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61A77" w14:textId="75346E15" w:rsidR="00D8235A" w:rsidRPr="00EE517D" w:rsidRDefault="00B3669E" w:rsidP="00F6247C">
      <w:pPr>
        <w:pStyle w:val="Titre"/>
        <w:spacing w:before="2160"/>
        <w:jc w:val="center"/>
        <w:rPr>
          <w:rStyle w:val="Titredulivre"/>
        </w:rPr>
      </w:pPr>
      <w:r w:rsidRPr="00EE517D">
        <w:rPr>
          <w:rStyle w:val="Titredulivre"/>
        </w:rPr>
        <w:t xml:space="preserve">Analyse documentaire des enjeux de </w:t>
      </w:r>
      <w:r w:rsidR="006E0579">
        <w:rPr>
          <w:rStyle w:val="Titredulivre"/>
        </w:rPr>
        <w:t xml:space="preserve">la </w:t>
      </w:r>
      <w:r w:rsidRPr="00EE517D">
        <w:rPr>
          <w:rStyle w:val="Titredulivre"/>
        </w:rPr>
        <w:t xml:space="preserve">nutrition </w:t>
      </w:r>
      <w:r w:rsidR="00813A13">
        <w:rPr>
          <w:rStyle w:val="Titredulivre"/>
        </w:rPr>
        <w:t>au niger</w:t>
      </w:r>
    </w:p>
    <w:p w14:paraId="1D620845" w14:textId="77777777" w:rsidR="00B3669E" w:rsidRDefault="00B3669E" w:rsidP="007E426D">
      <w:pPr>
        <w:jc w:val="both"/>
      </w:pPr>
    </w:p>
    <w:p w14:paraId="6B0FF20F" w14:textId="77777777" w:rsidR="00E50BEA" w:rsidRDefault="00E50BEA" w:rsidP="007E426D">
      <w:pPr>
        <w:spacing w:after="200" w:line="276" w:lineRule="auto"/>
        <w:jc w:val="both"/>
        <w:sectPr w:rsidR="00E50BEA" w:rsidSect="00F6247C">
          <w:footerReference w:type="even" r:id="rId8"/>
          <w:footerReference w:type="default" r:id="rId9"/>
          <w:headerReference w:type="first" r:id="rId10"/>
          <w:pgSz w:w="11906" w:h="16838" w:code="9"/>
          <w:pgMar w:top="1418" w:right="1418" w:bottom="1418" w:left="1418" w:header="709" w:footer="709" w:gutter="0"/>
          <w:cols w:space="708"/>
          <w:titlePg/>
          <w:docGrid w:linePitch="360"/>
        </w:sectPr>
      </w:pPr>
    </w:p>
    <w:bookmarkStart w:id="0" w:name="_Toc528222314" w:displacedByCustomXml="next"/>
    <w:sdt>
      <w:sdtPr>
        <w:rPr>
          <w:rFonts w:asciiTheme="minorHAnsi" w:eastAsiaTheme="minorHAnsi" w:hAnsiTheme="minorHAnsi" w:cstheme="minorBidi"/>
          <w:b/>
          <w:bCs/>
          <w:caps w:val="0"/>
          <w:color w:val="auto"/>
          <w:sz w:val="22"/>
          <w:szCs w:val="22"/>
        </w:rPr>
        <w:id w:val="-349101592"/>
        <w:docPartObj>
          <w:docPartGallery w:val="Table of Contents"/>
          <w:docPartUnique/>
        </w:docPartObj>
      </w:sdtPr>
      <w:sdtEndPr>
        <w:rPr>
          <w:b w:val="0"/>
          <w:bCs w:val="0"/>
        </w:rPr>
      </w:sdtEndPr>
      <w:sdtContent>
        <w:p w14:paraId="4EF812D4" w14:textId="092F45E6" w:rsidR="007A2CC8" w:rsidRDefault="007A2CC8" w:rsidP="00E50BEA">
          <w:pPr>
            <w:pStyle w:val="Titre1Situation"/>
          </w:pPr>
          <w:r>
            <w:t>Table des matières</w:t>
          </w:r>
          <w:bookmarkEnd w:id="0"/>
        </w:p>
        <w:p w14:paraId="10840716" w14:textId="77777777" w:rsidR="009F573A" w:rsidRDefault="007A2CC8">
          <w:pPr>
            <w:pStyle w:val="TM1"/>
            <w:tabs>
              <w:tab w:val="right" w:leader="dot" w:pos="9060"/>
            </w:tabs>
            <w:rPr>
              <w:rFonts w:eastAsiaTheme="minorEastAsia"/>
              <w:noProof/>
              <w:lang w:eastAsia="fr-FR"/>
            </w:rPr>
          </w:pPr>
          <w:r>
            <w:fldChar w:fldCharType="begin"/>
          </w:r>
          <w:r>
            <w:instrText xml:space="preserve"> TOC \o "1-3" \h \z \u </w:instrText>
          </w:r>
          <w:r>
            <w:fldChar w:fldCharType="separate"/>
          </w:r>
          <w:hyperlink w:anchor="_Toc528222314" w:history="1">
            <w:r w:rsidR="009F573A" w:rsidRPr="00AF1459">
              <w:rPr>
                <w:rStyle w:val="Lienhypertexte"/>
                <w:noProof/>
              </w:rPr>
              <w:t>Table des matières</w:t>
            </w:r>
            <w:r w:rsidR="009F573A">
              <w:rPr>
                <w:noProof/>
                <w:webHidden/>
              </w:rPr>
              <w:tab/>
            </w:r>
            <w:r w:rsidR="009F573A">
              <w:rPr>
                <w:noProof/>
                <w:webHidden/>
              </w:rPr>
              <w:fldChar w:fldCharType="begin"/>
            </w:r>
            <w:r w:rsidR="009F573A">
              <w:rPr>
                <w:noProof/>
                <w:webHidden/>
              </w:rPr>
              <w:instrText xml:space="preserve"> PAGEREF _Toc528222314 \h </w:instrText>
            </w:r>
            <w:r w:rsidR="009F573A">
              <w:rPr>
                <w:noProof/>
                <w:webHidden/>
              </w:rPr>
            </w:r>
            <w:r w:rsidR="009F573A">
              <w:rPr>
                <w:noProof/>
                <w:webHidden/>
              </w:rPr>
              <w:fldChar w:fldCharType="separate"/>
            </w:r>
            <w:r w:rsidR="009F573A">
              <w:rPr>
                <w:noProof/>
                <w:webHidden/>
              </w:rPr>
              <w:t>2</w:t>
            </w:r>
            <w:r w:rsidR="009F573A">
              <w:rPr>
                <w:noProof/>
                <w:webHidden/>
              </w:rPr>
              <w:fldChar w:fldCharType="end"/>
            </w:r>
          </w:hyperlink>
        </w:p>
        <w:p w14:paraId="34109628" w14:textId="77777777" w:rsidR="009F573A" w:rsidRDefault="009F573A">
          <w:pPr>
            <w:pStyle w:val="TM1"/>
            <w:tabs>
              <w:tab w:val="right" w:leader="dot" w:pos="9060"/>
            </w:tabs>
            <w:rPr>
              <w:rFonts w:eastAsiaTheme="minorEastAsia"/>
              <w:noProof/>
              <w:lang w:eastAsia="fr-FR"/>
            </w:rPr>
          </w:pPr>
          <w:hyperlink w:anchor="_Toc528222315" w:history="1">
            <w:r w:rsidRPr="00AF1459">
              <w:rPr>
                <w:rStyle w:val="Lienhypertexte"/>
                <w:noProof/>
              </w:rPr>
              <w:t>LISTE DES ABREVIATIONS</w:t>
            </w:r>
            <w:r>
              <w:rPr>
                <w:noProof/>
                <w:webHidden/>
              </w:rPr>
              <w:tab/>
            </w:r>
            <w:r>
              <w:rPr>
                <w:noProof/>
                <w:webHidden/>
              </w:rPr>
              <w:fldChar w:fldCharType="begin"/>
            </w:r>
            <w:r>
              <w:rPr>
                <w:noProof/>
                <w:webHidden/>
              </w:rPr>
              <w:instrText xml:space="preserve"> PAGEREF _Toc528222315 \h </w:instrText>
            </w:r>
            <w:r>
              <w:rPr>
                <w:noProof/>
                <w:webHidden/>
              </w:rPr>
            </w:r>
            <w:r>
              <w:rPr>
                <w:noProof/>
                <w:webHidden/>
              </w:rPr>
              <w:fldChar w:fldCharType="separate"/>
            </w:r>
            <w:r>
              <w:rPr>
                <w:noProof/>
                <w:webHidden/>
              </w:rPr>
              <w:t>5</w:t>
            </w:r>
            <w:r>
              <w:rPr>
                <w:noProof/>
                <w:webHidden/>
              </w:rPr>
              <w:fldChar w:fldCharType="end"/>
            </w:r>
          </w:hyperlink>
        </w:p>
        <w:p w14:paraId="7B5D5B16" w14:textId="77777777" w:rsidR="009F573A" w:rsidRDefault="009F573A">
          <w:pPr>
            <w:pStyle w:val="TM1"/>
            <w:tabs>
              <w:tab w:val="right" w:leader="dot" w:pos="9060"/>
            </w:tabs>
            <w:rPr>
              <w:rFonts w:eastAsiaTheme="minorEastAsia"/>
              <w:noProof/>
              <w:lang w:eastAsia="fr-FR"/>
            </w:rPr>
          </w:pPr>
          <w:hyperlink w:anchor="_Toc528222316" w:history="1">
            <w:r w:rsidRPr="00AF1459">
              <w:rPr>
                <w:rStyle w:val="Lienhypertexte"/>
                <w:noProof/>
              </w:rPr>
              <w:t>LISTE DES TABLEAUX</w:t>
            </w:r>
            <w:r>
              <w:rPr>
                <w:noProof/>
                <w:webHidden/>
              </w:rPr>
              <w:tab/>
            </w:r>
            <w:r>
              <w:rPr>
                <w:noProof/>
                <w:webHidden/>
              </w:rPr>
              <w:fldChar w:fldCharType="begin"/>
            </w:r>
            <w:r>
              <w:rPr>
                <w:noProof/>
                <w:webHidden/>
              </w:rPr>
              <w:instrText xml:space="preserve"> PAGEREF _Toc528222316 \h </w:instrText>
            </w:r>
            <w:r>
              <w:rPr>
                <w:noProof/>
                <w:webHidden/>
              </w:rPr>
            </w:r>
            <w:r>
              <w:rPr>
                <w:noProof/>
                <w:webHidden/>
              </w:rPr>
              <w:fldChar w:fldCharType="separate"/>
            </w:r>
            <w:r>
              <w:rPr>
                <w:noProof/>
                <w:webHidden/>
              </w:rPr>
              <w:t>8</w:t>
            </w:r>
            <w:r>
              <w:rPr>
                <w:noProof/>
                <w:webHidden/>
              </w:rPr>
              <w:fldChar w:fldCharType="end"/>
            </w:r>
          </w:hyperlink>
        </w:p>
        <w:p w14:paraId="477C6409" w14:textId="77777777" w:rsidR="009F573A" w:rsidRDefault="009F573A">
          <w:pPr>
            <w:pStyle w:val="TM1"/>
            <w:tabs>
              <w:tab w:val="right" w:leader="dot" w:pos="9060"/>
            </w:tabs>
            <w:rPr>
              <w:rFonts w:eastAsiaTheme="minorEastAsia"/>
              <w:noProof/>
              <w:lang w:eastAsia="fr-FR"/>
            </w:rPr>
          </w:pPr>
          <w:hyperlink w:anchor="_Toc528222317" w:history="1">
            <w:r w:rsidRPr="00AF1459">
              <w:rPr>
                <w:rStyle w:val="Lienhypertexte"/>
                <w:noProof/>
              </w:rPr>
              <w:t>LISTE DES FIGURES</w:t>
            </w:r>
            <w:r>
              <w:rPr>
                <w:noProof/>
                <w:webHidden/>
              </w:rPr>
              <w:tab/>
            </w:r>
            <w:r>
              <w:rPr>
                <w:noProof/>
                <w:webHidden/>
              </w:rPr>
              <w:fldChar w:fldCharType="begin"/>
            </w:r>
            <w:r>
              <w:rPr>
                <w:noProof/>
                <w:webHidden/>
              </w:rPr>
              <w:instrText xml:space="preserve"> PAGEREF _Toc528222317 \h </w:instrText>
            </w:r>
            <w:r>
              <w:rPr>
                <w:noProof/>
                <w:webHidden/>
              </w:rPr>
            </w:r>
            <w:r>
              <w:rPr>
                <w:noProof/>
                <w:webHidden/>
              </w:rPr>
              <w:fldChar w:fldCharType="separate"/>
            </w:r>
            <w:r>
              <w:rPr>
                <w:noProof/>
                <w:webHidden/>
              </w:rPr>
              <w:t>9</w:t>
            </w:r>
            <w:r>
              <w:rPr>
                <w:noProof/>
                <w:webHidden/>
              </w:rPr>
              <w:fldChar w:fldCharType="end"/>
            </w:r>
          </w:hyperlink>
        </w:p>
        <w:p w14:paraId="0A168FA7" w14:textId="77777777" w:rsidR="009F573A" w:rsidRDefault="009F573A">
          <w:pPr>
            <w:pStyle w:val="TM1"/>
            <w:tabs>
              <w:tab w:val="right" w:leader="dot" w:pos="9060"/>
            </w:tabs>
            <w:rPr>
              <w:rFonts w:eastAsiaTheme="minorEastAsia"/>
              <w:noProof/>
              <w:lang w:eastAsia="fr-FR"/>
            </w:rPr>
          </w:pPr>
          <w:hyperlink w:anchor="_Toc528222318" w:history="1">
            <w:r w:rsidRPr="00AF1459">
              <w:rPr>
                <w:rStyle w:val="Lienhypertexte"/>
                <w:noProof/>
              </w:rPr>
              <w:t>RESUME</w:t>
            </w:r>
            <w:r>
              <w:rPr>
                <w:noProof/>
                <w:webHidden/>
              </w:rPr>
              <w:tab/>
            </w:r>
            <w:r>
              <w:rPr>
                <w:noProof/>
                <w:webHidden/>
              </w:rPr>
              <w:fldChar w:fldCharType="begin"/>
            </w:r>
            <w:r>
              <w:rPr>
                <w:noProof/>
                <w:webHidden/>
              </w:rPr>
              <w:instrText xml:space="preserve"> PAGEREF _Toc528222318 \h </w:instrText>
            </w:r>
            <w:r>
              <w:rPr>
                <w:noProof/>
                <w:webHidden/>
              </w:rPr>
            </w:r>
            <w:r>
              <w:rPr>
                <w:noProof/>
                <w:webHidden/>
              </w:rPr>
              <w:fldChar w:fldCharType="separate"/>
            </w:r>
            <w:r>
              <w:rPr>
                <w:noProof/>
                <w:webHidden/>
              </w:rPr>
              <w:t>10</w:t>
            </w:r>
            <w:r>
              <w:rPr>
                <w:noProof/>
                <w:webHidden/>
              </w:rPr>
              <w:fldChar w:fldCharType="end"/>
            </w:r>
          </w:hyperlink>
        </w:p>
        <w:p w14:paraId="1E91C01A" w14:textId="77777777" w:rsidR="009F573A" w:rsidRDefault="009F573A">
          <w:pPr>
            <w:pStyle w:val="TM1"/>
            <w:tabs>
              <w:tab w:val="right" w:leader="dot" w:pos="9060"/>
            </w:tabs>
            <w:rPr>
              <w:rFonts w:eastAsiaTheme="minorEastAsia"/>
              <w:noProof/>
              <w:lang w:eastAsia="fr-FR"/>
            </w:rPr>
          </w:pPr>
          <w:hyperlink w:anchor="_Toc528222319" w:history="1">
            <w:r w:rsidRPr="00AF1459">
              <w:rPr>
                <w:rStyle w:val="Lienhypertexte"/>
                <w:noProof/>
              </w:rPr>
              <w:t>INTRODUCTION</w:t>
            </w:r>
            <w:r>
              <w:rPr>
                <w:noProof/>
                <w:webHidden/>
              </w:rPr>
              <w:tab/>
            </w:r>
            <w:r>
              <w:rPr>
                <w:noProof/>
                <w:webHidden/>
              </w:rPr>
              <w:fldChar w:fldCharType="begin"/>
            </w:r>
            <w:r>
              <w:rPr>
                <w:noProof/>
                <w:webHidden/>
              </w:rPr>
              <w:instrText xml:space="preserve"> PAGEREF _Toc528222319 \h </w:instrText>
            </w:r>
            <w:r>
              <w:rPr>
                <w:noProof/>
                <w:webHidden/>
              </w:rPr>
            </w:r>
            <w:r>
              <w:rPr>
                <w:noProof/>
                <w:webHidden/>
              </w:rPr>
              <w:fldChar w:fldCharType="separate"/>
            </w:r>
            <w:r>
              <w:rPr>
                <w:noProof/>
                <w:webHidden/>
              </w:rPr>
              <w:t>13</w:t>
            </w:r>
            <w:r>
              <w:rPr>
                <w:noProof/>
                <w:webHidden/>
              </w:rPr>
              <w:fldChar w:fldCharType="end"/>
            </w:r>
          </w:hyperlink>
        </w:p>
        <w:p w14:paraId="58837565" w14:textId="77777777" w:rsidR="009F573A" w:rsidRDefault="009F573A">
          <w:pPr>
            <w:pStyle w:val="TM2"/>
            <w:tabs>
              <w:tab w:val="left" w:pos="660"/>
              <w:tab w:val="right" w:leader="dot" w:pos="9060"/>
            </w:tabs>
            <w:rPr>
              <w:rFonts w:eastAsiaTheme="minorEastAsia"/>
              <w:noProof/>
              <w:lang w:eastAsia="fr-FR"/>
            </w:rPr>
          </w:pPr>
          <w:hyperlink w:anchor="_Toc528222320" w:history="1">
            <w:r w:rsidRPr="00AF1459">
              <w:rPr>
                <w:rStyle w:val="Lienhypertexte"/>
                <w:noProof/>
              </w:rPr>
              <w:t>I.</w:t>
            </w:r>
            <w:r>
              <w:rPr>
                <w:rFonts w:eastAsiaTheme="minorEastAsia"/>
                <w:noProof/>
                <w:lang w:eastAsia="fr-FR"/>
              </w:rPr>
              <w:tab/>
            </w:r>
            <w:r w:rsidRPr="00AF1459">
              <w:rPr>
                <w:rStyle w:val="Lienhypertexte"/>
                <w:noProof/>
              </w:rPr>
              <w:t>Contexte de la nutrition</w:t>
            </w:r>
            <w:r>
              <w:rPr>
                <w:noProof/>
                <w:webHidden/>
              </w:rPr>
              <w:tab/>
            </w:r>
            <w:r>
              <w:rPr>
                <w:noProof/>
                <w:webHidden/>
              </w:rPr>
              <w:fldChar w:fldCharType="begin"/>
            </w:r>
            <w:r>
              <w:rPr>
                <w:noProof/>
                <w:webHidden/>
              </w:rPr>
              <w:instrText xml:space="preserve"> PAGEREF _Toc528222320 \h </w:instrText>
            </w:r>
            <w:r>
              <w:rPr>
                <w:noProof/>
                <w:webHidden/>
              </w:rPr>
            </w:r>
            <w:r>
              <w:rPr>
                <w:noProof/>
                <w:webHidden/>
              </w:rPr>
              <w:fldChar w:fldCharType="separate"/>
            </w:r>
            <w:r>
              <w:rPr>
                <w:noProof/>
                <w:webHidden/>
              </w:rPr>
              <w:t>14</w:t>
            </w:r>
            <w:r>
              <w:rPr>
                <w:noProof/>
                <w:webHidden/>
              </w:rPr>
              <w:fldChar w:fldCharType="end"/>
            </w:r>
          </w:hyperlink>
        </w:p>
        <w:p w14:paraId="463B7643" w14:textId="77777777" w:rsidR="009F573A" w:rsidRDefault="009F573A">
          <w:pPr>
            <w:pStyle w:val="TM2"/>
            <w:tabs>
              <w:tab w:val="left" w:pos="880"/>
              <w:tab w:val="right" w:leader="dot" w:pos="9060"/>
            </w:tabs>
            <w:rPr>
              <w:rFonts w:eastAsiaTheme="minorEastAsia"/>
              <w:noProof/>
              <w:lang w:eastAsia="fr-FR"/>
            </w:rPr>
          </w:pPr>
          <w:hyperlink w:anchor="_Toc528222321" w:history="1">
            <w:r w:rsidRPr="00AF1459">
              <w:rPr>
                <w:rStyle w:val="Lienhypertexte"/>
                <w:noProof/>
              </w:rPr>
              <w:t>1.1</w:t>
            </w:r>
            <w:r>
              <w:rPr>
                <w:rFonts w:eastAsiaTheme="minorEastAsia"/>
                <w:noProof/>
                <w:lang w:eastAsia="fr-FR"/>
              </w:rPr>
              <w:tab/>
            </w:r>
            <w:r w:rsidRPr="00AF1459">
              <w:rPr>
                <w:rStyle w:val="Lienhypertexte"/>
                <w:noProof/>
              </w:rPr>
              <w:t>Au niveau international et régional</w:t>
            </w:r>
            <w:r>
              <w:rPr>
                <w:noProof/>
                <w:webHidden/>
              </w:rPr>
              <w:tab/>
            </w:r>
            <w:r>
              <w:rPr>
                <w:noProof/>
                <w:webHidden/>
              </w:rPr>
              <w:fldChar w:fldCharType="begin"/>
            </w:r>
            <w:r>
              <w:rPr>
                <w:noProof/>
                <w:webHidden/>
              </w:rPr>
              <w:instrText xml:space="preserve"> PAGEREF _Toc528222321 \h </w:instrText>
            </w:r>
            <w:r>
              <w:rPr>
                <w:noProof/>
                <w:webHidden/>
              </w:rPr>
            </w:r>
            <w:r>
              <w:rPr>
                <w:noProof/>
                <w:webHidden/>
              </w:rPr>
              <w:fldChar w:fldCharType="separate"/>
            </w:r>
            <w:r>
              <w:rPr>
                <w:noProof/>
                <w:webHidden/>
              </w:rPr>
              <w:t>14</w:t>
            </w:r>
            <w:r>
              <w:rPr>
                <w:noProof/>
                <w:webHidden/>
              </w:rPr>
              <w:fldChar w:fldCharType="end"/>
            </w:r>
          </w:hyperlink>
        </w:p>
        <w:p w14:paraId="7234C89F" w14:textId="77777777" w:rsidR="009F573A" w:rsidRDefault="009F573A">
          <w:pPr>
            <w:pStyle w:val="TM2"/>
            <w:tabs>
              <w:tab w:val="left" w:pos="880"/>
              <w:tab w:val="right" w:leader="dot" w:pos="9060"/>
            </w:tabs>
            <w:rPr>
              <w:rFonts w:eastAsiaTheme="minorEastAsia"/>
              <w:noProof/>
              <w:lang w:eastAsia="fr-FR"/>
            </w:rPr>
          </w:pPr>
          <w:hyperlink w:anchor="_Toc528222322" w:history="1">
            <w:r w:rsidRPr="00AF1459">
              <w:rPr>
                <w:rStyle w:val="Lienhypertexte"/>
                <w:noProof/>
              </w:rPr>
              <w:t>1.2</w:t>
            </w:r>
            <w:r>
              <w:rPr>
                <w:rFonts w:eastAsiaTheme="minorEastAsia"/>
                <w:noProof/>
                <w:lang w:eastAsia="fr-FR"/>
              </w:rPr>
              <w:tab/>
            </w:r>
            <w:r w:rsidRPr="00AF1459">
              <w:rPr>
                <w:rStyle w:val="Lienhypertexte"/>
                <w:noProof/>
              </w:rPr>
              <w:t>Au Niger</w:t>
            </w:r>
            <w:r>
              <w:rPr>
                <w:noProof/>
                <w:webHidden/>
              </w:rPr>
              <w:tab/>
            </w:r>
            <w:r>
              <w:rPr>
                <w:noProof/>
                <w:webHidden/>
              </w:rPr>
              <w:fldChar w:fldCharType="begin"/>
            </w:r>
            <w:r>
              <w:rPr>
                <w:noProof/>
                <w:webHidden/>
              </w:rPr>
              <w:instrText xml:space="preserve"> PAGEREF _Toc528222322 \h </w:instrText>
            </w:r>
            <w:r>
              <w:rPr>
                <w:noProof/>
                <w:webHidden/>
              </w:rPr>
            </w:r>
            <w:r>
              <w:rPr>
                <w:noProof/>
                <w:webHidden/>
              </w:rPr>
              <w:fldChar w:fldCharType="separate"/>
            </w:r>
            <w:r>
              <w:rPr>
                <w:noProof/>
                <w:webHidden/>
              </w:rPr>
              <w:t>16</w:t>
            </w:r>
            <w:r>
              <w:rPr>
                <w:noProof/>
                <w:webHidden/>
              </w:rPr>
              <w:fldChar w:fldCharType="end"/>
            </w:r>
          </w:hyperlink>
        </w:p>
        <w:p w14:paraId="6E016542" w14:textId="77777777" w:rsidR="009F573A" w:rsidRDefault="009F573A">
          <w:pPr>
            <w:pStyle w:val="TM2"/>
            <w:tabs>
              <w:tab w:val="left" w:pos="660"/>
              <w:tab w:val="right" w:leader="dot" w:pos="9060"/>
            </w:tabs>
            <w:rPr>
              <w:rFonts w:eastAsiaTheme="minorEastAsia"/>
              <w:noProof/>
              <w:lang w:eastAsia="fr-FR"/>
            </w:rPr>
          </w:pPr>
          <w:hyperlink w:anchor="_Toc528222323" w:history="1">
            <w:r w:rsidRPr="00AF1459">
              <w:rPr>
                <w:rStyle w:val="Lienhypertexte"/>
                <w:noProof/>
              </w:rPr>
              <w:t>II.</w:t>
            </w:r>
            <w:r>
              <w:rPr>
                <w:rFonts w:eastAsiaTheme="minorEastAsia"/>
                <w:noProof/>
                <w:lang w:eastAsia="fr-FR"/>
              </w:rPr>
              <w:tab/>
            </w:r>
            <w:r w:rsidRPr="00AF1459">
              <w:rPr>
                <w:rStyle w:val="Lienhypertexte"/>
                <w:noProof/>
              </w:rPr>
              <w:t>Situation de la nutrition au Niger</w:t>
            </w:r>
            <w:r>
              <w:rPr>
                <w:noProof/>
                <w:webHidden/>
              </w:rPr>
              <w:tab/>
            </w:r>
            <w:r>
              <w:rPr>
                <w:noProof/>
                <w:webHidden/>
              </w:rPr>
              <w:fldChar w:fldCharType="begin"/>
            </w:r>
            <w:r>
              <w:rPr>
                <w:noProof/>
                <w:webHidden/>
              </w:rPr>
              <w:instrText xml:space="preserve"> PAGEREF _Toc528222323 \h </w:instrText>
            </w:r>
            <w:r>
              <w:rPr>
                <w:noProof/>
                <w:webHidden/>
              </w:rPr>
            </w:r>
            <w:r>
              <w:rPr>
                <w:noProof/>
                <w:webHidden/>
              </w:rPr>
              <w:fldChar w:fldCharType="separate"/>
            </w:r>
            <w:r>
              <w:rPr>
                <w:noProof/>
                <w:webHidden/>
              </w:rPr>
              <w:t>17</w:t>
            </w:r>
            <w:r>
              <w:rPr>
                <w:noProof/>
                <w:webHidden/>
              </w:rPr>
              <w:fldChar w:fldCharType="end"/>
            </w:r>
          </w:hyperlink>
        </w:p>
        <w:p w14:paraId="46968B97" w14:textId="77777777" w:rsidR="009F573A" w:rsidRDefault="009F573A">
          <w:pPr>
            <w:pStyle w:val="TM2"/>
            <w:tabs>
              <w:tab w:val="left" w:pos="880"/>
              <w:tab w:val="right" w:leader="dot" w:pos="9060"/>
            </w:tabs>
            <w:rPr>
              <w:rFonts w:eastAsiaTheme="minorEastAsia"/>
              <w:noProof/>
              <w:lang w:eastAsia="fr-FR"/>
            </w:rPr>
          </w:pPr>
          <w:hyperlink w:anchor="_Toc528222324" w:history="1">
            <w:r w:rsidRPr="00AF1459">
              <w:rPr>
                <w:rStyle w:val="Lienhypertexte"/>
                <w:noProof/>
              </w:rPr>
              <w:t>2.1</w:t>
            </w:r>
            <w:r>
              <w:rPr>
                <w:rFonts w:eastAsiaTheme="minorEastAsia"/>
                <w:noProof/>
                <w:lang w:eastAsia="fr-FR"/>
              </w:rPr>
              <w:tab/>
            </w:r>
            <w:r w:rsidRPr="00AF1459">
              <w:rPr>
                <w:rStyle w:val="Lienhypertexte"/>
                <w:noProof/>
              </w:rPr>
              <w:t>Le contexte national</w:t>
            </w:r>
            <w:r>
              <w:rPr>
                <w:noProof/>
                <w:webHidden/>
              </w:rPr>
              <w:tab/>
            </w:r>
            <w:r>
              <w:rPr>
                <w:noProof/>
                <w:webHidden/>
              </w:rPr>
              <w:fldChar w:fldCharType="begin"/>
            </w:r>
            <w:r>
              <w:rPr>
                <w:noProof/>
                <w:webHidden/>
              </w:rPr>
              <w:instrText xml:space="preserve"> PAGEREF _Toc528222324 \h </w:instrText>
            </w:r>
            <w:r>
              <w:rPr>
                <w:noProof/>
                <w:webHidden/>
              </w:rPr>
            </w:r>
            <w:r>
              <w:rPr>
                <w:noProof/>
                <w:webHidden/>
              </w:rPr>
              <w:fldChar w:fldCharType="separate"/>
            </w:r>
            <w:r>
              <w:rPr>
                <w:noProof/>
                <w:webHidden/>
              </w:rPr>
              <w:t>17</w:t>
            </w:r>
            <w:r>
              <w:rPr>
                <w:noProof/>
                <w:webHidden/>
              </w:rPr>
              <w:fldChar w:fldCharType="end"/>
            </w:r>
          </w:hyperlink>
        </w:p>
        <w:p w14:paraId="1875E804" w14:textId="77777777" w:rsidR="009F573A" w:rsidRDefault="009F573A">
          <w:pPr>
            <w:pStyle w:val="TM2"/>
            <w:tabs>
              <w:tab w:val="left" w:pos="880"/>
              <w:tab w:val="right" w:leader="dot" w:pos="9060"/>
            </w:tabs>
            <w:rPr>
              <w:rFonts w:eastAsiaTheme="minorEastAsia"/>
              <w:noProof/>
              <w:lang w:eastAsia="fr-FR"/>
            </w:rPr>
          </w:pPr>
          <w:hyperlink w:anchor="_Toc528222325" w:history="1">
            <w:r w:rsidRPr="00AF1459">
              <w:rPr>
                <w:rStyle w:val="Lienhypertexte"/>
                <w:noProof/>
              </w:rPr>
              <w:t>2.2</w:t>
            </w:r>
            <w:r>
              <w:rPr>
                <w:rFonts w:eastAsiaTheme="minorEastAsia"/>
                <w:noProof/>
                <w:lang w:eastAsia="fr-FR"/>
              </w:rPr>
              <w:tab/>
            </w:r>
            <w:r w:rsidRPr="00AF1459">
              <w:rPr>
                <w:rStyle w:val="Lienhypertexte"/>
                <w:noProof/>
              </w:rPr>
              <w:t>La malnutrition au Niger</w:t>
            </w:r>
            <w:r>
              <w:rPr>
                <w:noProof/>
                <w:webHidden/>
              </w:rPr>
              <w:tab/>
            </w:r>
            <w:r>
              <w:rPr>
                <w:noProof/>
                <w:webHidden/>
              </w:rPr>
              <w:fldChar w:fldCharType="begin"/>
            </w:r>
            <w:r>
              <w:rPr>
                <w:noProof/>
                <w:webHidden/>
              </w:rPr>
              <w:instrText xml:space="preserve"> PAGEREF _Toc528222325 \h </w:instrText>
            </w:r>
            <w:r>
              <w:rPr>
                <w:noProof/>
                <w:webHidden/>
              </w:rPr>
            </w:r>
            <w:r>
              <w:rPr>
                <w:noProof/>
                <w:webHidden/>
              </w:rPr>
              <w:fldChar w:fldCharType="separate"/>
            </w:r>
            <w:r>
              <w:rPr>
                <w:noProof/>
                <w:webHidden/>
              </w:rPr>
              <w:t>18</w:t>
            </w:r>
            <w:r>
              <w:rPr>
                <w:noProof/>
                <w:webHidden/>
              </w:rPr>
              <w:fldChar w:fldCharType="end"/>
            </w:r>
          </w:hyperlink>
        </w:p>
        <w:p w14:paraId="7E5291DA" w14:textId="77777777" w:rsidR="009F573A" w:rsidRDefault="009F573A">
          <w:pPr>
            <w:pStyle w:val="TM3"/>
            <w:tabs>
              <w:tab w:val="right" w:leader="dot" w:pos="9060"/>
            </w:tabs>
            <w:rPr>
              <w:rFonts w:eastAsiaTheme="minorEastAsia"/>
              <w:noProof/>
              <w:lang w:eastAsia="fr-FR"/>
            </w:rPr>
          </w:pPr>
          <w:hyperlink w:anchor="_Toc528222326" w:history="1">
            <w:r w:rsidRPr="00AF1459">
              <w:rPr>
                <w:rStyle w:val="Lienhypertexte"/>
                <w:noProof/>
              </w:rPr>
              <w:t>2.1.1. Le fardeau de la malnutrition</w:t>
            </w:r>
            <w:r>
              <w:rPr>
                <w:noProof/>
                <w:webHidden/>
              </w:rPr>
              <w:tab/>
            </w:r>
            <w:r>
              <w:rPr>
                <w:noProof/>
                <w:webHidden/>
              </w:rPr>
              <w:fldChar w:fldCharType="begin"/>
            </w:r>
            <w:r>
              <w:rPr>
                <w:noProof/>
                <w:webHidden/>
              </w:rPr>
              <w:instrText xml:space="preserve"> PAGEREF _Toc528222326 \h </w:instrText>
            </w:r>
            <w:r>
              <w:rPr>
                <w:noProof/>
                <w:webHidden/>
              </w:rPr>
            </w:r>
            <w:r>
              <w:rPr>
                <w:noProof/>
                <w:webHidden/>
              </w:rPr>
              <w:fldChar w:fldCharType="separate"/>
            </w:r>
            <w:r>
              <w:rPr>
                <w:noProof/>
                <w:webHidden/>
              </w:rPr>
              <w:t>18</w:t>
            </w:r>
            <w:r>
              <w:rPr>
                <w:noProof/>
                <w:webHidden/>
              </w:rPr>
              <w:fldChar w:fldCharType="end"/>
            </w:r>
          </w:hyperlink>
        </w:p>
        <w:p w14:paraId="40B2656F" w14:textId="77777777" w:rsidR="009F573A" w:rsidRDefault="009F573A">
          <w:pPr>
            <w:pStyle w:val="TM3"/>
            <w:tabs>
              <w:tab w:val="right" w:leader="dot" w:pos="9060"/>
            </w:tabs>
            <w:rPr>
              <w:rFonts w:eastAsiaTheme="minorEastAsia"/>
              <w:noProof/>
              <w:lang w:eastAsia="fr-FR"/>
            </w:rPr>
          </w:pPr>
          <w:hyperlink w:anchor="_Toc528222327" w:history="1">
            <w:r w:rsidRPr="00AF1459">
              <w:rPr>
                <w:rStyle w:val="Lienhypertexte"/>
                <w:noProof/>
              </w:rPr>
              <w:t>2.1.2 Les tendances de la malnutrition</w:t>
            </w:r>
            <w:r>
              <w:rPr>
                <w:noProof/>
                <w:webHidden/>
              </w:rPr>
              <w:tab/>
            </w:r>
            <w:r>
              <w:rPr>
                <w:noProof/>
                <w:webHidden/>
              </w:rPr>
              <w:fldChar w:fldCharType="begin"/>
            </w:r>
            <w:r>
              <w:rPr>
                <w:noProof/>
                <w:webHidden/>
              </w:rPr>
              <w:instrText xml:space="preserve"> PAGEREF _Toc528222327 \h </w:instrText>
            </w:r>
            <w:r>
              <w:rPr>
                <w:noProof/>
                <w:webHidden/>
              </w:rPr>
            </w:r>
            <w:r>
              <w:rPr>
                <w:noProof/>
                <w:webHidden/>
              </w:rPr>
              <w:fldChar w:fldCharType="separate"/>
            </w:r>
            <w:r>
              <w:rPr>
                <w:noProof/>
                <w:webHidden/>
              </w:rPr>
              <w:t>20</w:t>
            </w:r>
            <w:r>
              <w:rPr>
                <w:noProof/>
                <w:webHidden/>
              </w:rPr>
              <w:fldChar w:fldCharType="end"/>
            </w:r>
          </w:hyperlink>
        </w:p>
        <w:p w14:paraId="16EA3C4D" w14:textId="77777777" w:rsidR="009F573A" w:rsidRDefault="009F573A">
          <w:pPr>
            <w:pStyle w:val="TM3"/>
            <w:tabs>
              <w:tab w:val="right" w:leader="dot" w:pos="9060"/>
            </w:tabs>
            <w:rPr>
              <w:rFonts w:eastAsiaTheme="minorEastAsia"/>
              <w:noProof/>
              <w:lang w:eastAsia="fr-FR"/>
            </w:rPr>
          </w:pPr>
          <w:hyperlink w:anchor="_Toc528222328" w:history="1">
            <w:r w:rsidRPr="00AF1459">
              <w:rPr>
                <w:rStyle w:val="Lienhypertexte"/>
                <w:noProof/>
              </w:rPr>
              <w:t>2.1.3 Les déterminants de la malnutrition au Niger</w:t>
            </w:r>
            <w:r>
              <w:rPr>
                <w:noProof/>
                <w:webHidden/>
              </w:rPr>
              <w:tab/>
            </w:r>
            <w:r>
              <w:rPr>
                <w:noProof/>
                <w:webHidden/>
              </w:rPr>
              <w:fldChar w:fldCharType="begin"/>
            </w:r>
            <w:r>
              <w:rPr>
                <w:noProof/>
                <w:webHidden/>
              </w:rPr>
              <w:instrText xml:space="preserve"> PAGEREF _Toc528222328 \h </w:instrText>
            </w:r>
            <w:r>
              <w:rPr>
                <w:noProof/>
                <w:webHidden/>
              </w:rPr>
            </w:r>
            <w:r>
              <w:rPr>
                <w:noProof/>
                <w:webHidden/>
              </w:rPr>
              <w:fldChar w:fldCharType="separate"/>
            </w:r>
            <w:r>
              <w:rPr>
                <w:noProof/>
                <w:webHidden/>
              </w:rPr>
              <w:t>20</w:t>
            </w:r>
            <w:r>
              <w:rPr>
                <w:noProof/>
                <w:webHidden/>
              </w:rPr>
              <w:fldChar w:fldCharType="end"/>
            </w:r>
          </w:hyperlink>
        </w:p>
        <w:p w14:paraId="33181BCF" w14:textId="77777777" w:rsidR="009F573A" w:rsidRDefault="009F573A">
          <w:pPr>
            <w:pStyle w:val="TM2"/>
            <w:tabs>
              <w:tab w:val="left" w:pos="880"/>
              <w:tab w:val="right" w:leader="dot" w:pos="9060"/>
            </w:tabs>
            <w:rPr>
              <w:rFonts w:eastAsiaTheme="minorEastAsia"/>
              <w:noProof/>
              <w:lang w:eastAsia="fr-FR"/>
            </w:rPr>
          </w:pPr>
          <w:hyperlink w:anchor="_Toc528222329" w:history="1">
            <w:r w:rsidRPr="00AF1459">
              <w:rPr>
                <w:rStyle w:val="Lienhypertexte"/>
                <w:noProof/>
              </w:rPr>
              <w:t>III.</w:t>
            </w:r>
            <w:r>
              <w:rPr>
                <w:rFonts w:eastAsiaTheme="minorEastAsia"/>
                <w:noProof/>
                <w:lang w:eastAsia="fr-FR"/>
              </w:rPr>
              <w:tab/>
            </w:r>
            <w:r w:rsidRPr="00AF1459">
              <w:rPr>
                <w:rStyle w:val="Lienhypertexte"/>
                <w:noProof/>
              </w:rPr>
              <w:t>Analyse de la nutrition dans les politiques, programmes et stratégies au niveau national</w:t>
            </w:r>
            <w:r>
              <w:rPr>
                <w:noProof/>
                <w:webHidden/>
              </w:rPr>
              <w:tab/>
            </w:r>
            <w:r>
              <w:rPr>
                <w:noProof/>
                <w:webHidden/>
              </w:rPr>
              <w:fldChar w:fldCharType="begin"/>
            </w:r>
            <w:r>
              <w:rPr>
                <w:noProof/>
                <w:webHidden/>
              </w:rPr>
              <w:instrText xml:space="preserve"> PAGEREF _Toc528222329 \h </w:instrText>
            </w:r>
            <w:r>
              <w:rPr>
                <w:noProof/>
                <w:webHidden/>
              </w:rPr>
            </w:r>
            <w:r>
              <w:rPr>
                <w:noProof/>
                <w:webHidden/>
              </w:rPr>
              <w:fldChar w:fldCharType="separate"/>
            </w:r>
            <w:r>
              <w:rPr>
                <w:noProof/>
                <w:webHidden/>
              </w:rPr>
              <w:t>24</w:t>
            </w:r>
            <w:r>
              <w:rPr>
                <w:noProof/>
                <w:webHidden/>
              </w:rPr>
              <w:fldChar w:fldCharType="end"/>
            </w:r>
          </w:hyperlink>
        </w:p>
        <w:p w14:paraId="3EEF92C4" w14:textId="77777777" w:rsidR="009F573A" w:rsidRDefault="009F573A">
          <w:pPr>
            <w:pStyle w:val="TM2"/>
            <w:tabs>
              <w:tab w:val="left" w:pos="880"/>
              <w:tab w:val="right" w:leader="dot" w:pos="9060"/>
            </w:tabs>
            <w:rPr>
              <w:rFonts w:eastAsiaTheme="minorEastAsia"/>
              <w:noProof/>
              <w:lang w:eastAsia="fr-FR"/>
            </w:rPr>
          </w:pPr>
          <w:hyperlink w:anchor="_Toc528222330" w:history="1">
            <w:r w:rsidRPr="00AF1459">
              <w:rPr>
                <w:rStyle w:val="Lienhypertexte"/>
                <w:noProof/>
              </w:rPr>
              <w:t>3.1</w:t>
            </w:r>
            <w:r>
              <w:rPr>
                <w:rFonts w:eastAsiaTheme="minorEastAsia"/>
                <w:noProof/>
                <w:lang w:eastAsia="fr-FR"/>
              </w:rPr>
              <w:tab/>
            </w:r>
            <w:r w:rsidRPr="00AF1459">
              <w:rPr>
                <w:rStyle w:val="Lienhypertexte"/>
                <w:noProof/>
              </w:rPr>
              <w:t>La prise en compte de la nutrition dans les politiques, programmes et stratégies nationales</w:t>
            </w:r>
            <w:r>
              <w:rPr>
                <w:noProof/>
                <w:webHidden/>
              </w:rPr>
              <w:tab/>
            </w:r>
            <w:r>
              <w:rPr>
                <w:noProof/>
                <w:webHidden/>
              </w:rPr>
              <w:fldChar w:fldCharType="begin"/>
            </w:r>
            <w:r>
              <w:rPr>
                <w:noProof/>
                <w:webHidden/>
              </w:rPr>
              <w:instrText xml:space="preserve"> PAGEREF _Toc528222330 \h </w:instrText>
            </w:r>
            <w:r>
              <w:rPr>
                <w:noProof/>
                <w:webHidden/>
              </w:rPr>
            </w:r>
            <w:r>
              <w:rPr>
                <w:noProof/>
                <w:webHidden/>
              </w:rPr>
              <w:fldChar w:fldCharType="separate"/>
            </w:r>
            <w:r>
              <w:rPr>
                <w:noProof/>
                <w:webHidden/>
              </w:rPr>
              <w:t>24</w:t>
            </w:r>
            <w:r>
              <w:rPr>
                <w:noProof/>
                <w:webHidden/>
              </w:rPr>
              <w:fldChar w:fldCharType="end"/>
            </w:r>
          </w:hyperlink>
        </w:p>
        <w:p w14:paraId="07DE3662" w14:textId="77777777" w:rsidR="009F573A" w:rsidRDefault="009F573A">
          <w:pPr>
            <w:pStyle w:val="TM3"/>
            <w:tabs>
              <w:tab w:val="right" w:leader="dot" w:pos="9060"/>
            </w:tabs>
            <w:rPr>
              <w:rFonts w:eastAsiaTheme="minorEastAsia"/>
              <w:noProof/>
              <w:lang w:eastAsia="fr-FR"/>
            </w:rPr>
          </w:pPr>
          <w:hyperlink w:anchor="_Toc528222331" w:history="1">
            <w:r w:rsidRPr="00AF1459">
              <w:rPr>
                <w:rStyle w:val="Lienhypertexte"/>
                <w:noProof/>
              </w:rPr>
              <w:t>3.1.1. La nutrition dans la Stratégie de Développement Durable et de Croissance Inclusive (SDDCI) Niger 2035</w:t>
            </w:r>
            <w:r>
              <w:rPr>
                <w:noProof/>
                <w:webHidden/>
              </w:rPr>
              <w:tab/>
            </w:r>
            <w:r>
              <w:rPr>
                <w:noProof/>
                <w:webHidden/>
              </w:rPr>
              <w:fldChar w:fldCharType="begin"/>
            </w:r>
            <w:r>
              <w:rPr>
                <w:noProof/>
                <w:webHidden/>
              </w:rPr>
              <w:instrText xml:space="preserve"> PAGEREF _Toc528222331 \h </w:instrText>
            </w:r>
            <w:r>
              <w:rPr>
                <w:noProof/>
                <w:webHidden/>
              </w:rPr>
            </w:r>
            <w:r>
              <w:rPr>
                <w:noProof/>
                <w:webHidden/>
              </w:rPr>
              <w:fldChar w:fldCharType="separate"/>
            </w:r>
            <w:r>
              <w:rPr>
                <w:noProof/>
                <w:webHidden/>
              </w:rPr>
              <w:t>26</w:t>
            </w:r>
            <w:r>
              <w:rPr>
                <w:noProof/>
                <w:webHidden/>
              </w:rPr>
              <w:fldChar w:fldCharType="end"/>
            </w:r>
          </w:hyperlink>
        </w:p>
        <w:p w14:paraId="72D90485" w14:textId="77777777" w:rsidR="009F573A" w:rsidRDefault="009F573A">
          <w:pPr>
            <w:pStyle w:val="TM3"/>
            <w:tabs>
              <w:tab w:val="right" w:leader="dot" w:pos="9060"/>
            </w:tabs>
            <w:rPr>
              <w:rFonts w:eastAsiaTheme="minorEastAsia"/>
              <w:noProof/>
              <w:lang w:eastAsia="fr-FR"/>
            </w:rPr>
          </w:pPr>
          <w:hyperlink w:anchor="_Toc528222332" w:history="1">
            <w:r w:rsidRPr="00AF1459">
              <w:rPr>
                <w:rStyle w:val="Lienhypertexte"/>
                <w:noProof/>
              </w:rPr>
              <w:t>3.1.2. La nutrition dans le Plan de Développement Economique et Social (PDES) 2017-2021 et dans son Plan d’Actions Prioritaires (PAP) 2017-2021</w:t>
            </w:r>
            <w:r>
              <w:rPr>
                <w:noProof/>
                <w:webHidden/>
              </w:rPr>
              <w:tab/>
            </w:r>
            <w:r>
              <w:rPr>
                <w:noProof/>
                <w:webHidden/>
              </w:rPr>
              <w:fldChar w:fldCharType="begin"/>
            </w:r>
            <w:r>
              <w:rPr>
                <w:noProof/>
                <w:webHidden/>
              </w:rPr>
              <w:instrText xml:space="preserve"> PAGEREF _Toc528222332 \h </w:instrText>
            </w:r>
            <w:r>
              <w:rPr>
                <w:noProof/>
                <w:webHidden/>
              </w:rPr>
            </w:r>
            <w:r>
              <w:rPr>
                <w:noProof/>
                <w:webHidden/>
              </w:rPr>
              <w:fldChar w:fldCharType="separate"/>
            </w:r>
            <w:r>
              <w:rPr>
                <w:noProof/>
                <w:webHidden/>
              </w:rPr>
              <w:t>27</w:t>
            </w:r>
            <w:r>
              <w:rPr>
                <w:noProof/>
                <w:webHidden/>
              </w:rPr>
              <w:fldChar w:fldCharType="end"/>
            </w:r>
          </w:hyperlink>
        </w:p>
        <w:p w14:paraId="0A8F67FE" w14:textId="77777777" w:rsidR="009F573A" w:rsidRDefault="009F573A">
          <w:pPr>
            <w:pStyle w:val="TM3"/>
            <w:tabs>
              <w:tab w:val="right" w:leader="dot" w:pos="9060"/>
            </w:tabs>
            <w:rPr>
              <w:rFonts w:eastAsiaTheme="minorEastAsia"/>
              <w:noProof/>
              <w:lang w:eastAsia="fr-FR"/>
            </w:rPr>
          </w:pPr>
          <w:hyperlink w:anchor="_Toc528222333" w:history="1">
            <w:r w:rsidRPr="00AF1459">
              <w:rPr>
                <w:rStyle w:val="Lienhypertexte"/>
                <w:noProof/>
              </w:rPr>
              <w:t>3.1.3. La nutrition dans le cadre stratégique de l’Initiative 3N 2012-2035, le plan d’action 2016-2020 du HC3N et le Document de Programmation Pluriannuel des Dépenses 2018-2020 du Haut-commissariat à l’Initiative 3N</w:t>
            </w:r>
            <w:r>
              <w:rPr>
                <w:noProof/>
                <w:webHidden/>
              </w:rPr>
              <w:tab/>
            </w:r>
            <w:r>
              <w:rPr>
                <w:noProof/>
                <w:webHidden/>
              </w:rPr>
              <w:fldChar w:fldCharType="begin"/>
            </w:r>
            <w:r>
              <w:rPr>
                <w:noProof/>
                <w:webHidden/>
              </w:rPr>
              <w:instrText xml:space="preserve"> PAGEREF _Toc528222333 \h </w:instrText>
            </w:r>
            <w:r>
              <w:rPr>
                <w:noProof/>
                <w:webHidden/>
              </w:rPr>
            </w:r>
            <w:r>
              <w:rPr>
                <w:noProof/>
                <w:webHidden/>
              </w:rPr>
              <w:fldChar w:fldCharType="separate"/>
            </w:r>
            <w:r>
              <w:rPr>
                <w:noProof/>
                <w:webHidden/>
              </w:rPr>
              <w:t>29</w:t>
            </w:r>
            <w:r>
              <w:rPr>
                <w:noProof/>
                <w:webHidden/>
              </w:rPr>
              <w:fldChar w:fldCharType="end"/>
            </w:r>
          </w:hyperlink>
        </w:p>
        <w:p w14:paraId="3A95308C" w14:textId="77777777" w:rsidR="009F573A" w:rsidRDefault="009F573A">
          <w:pPr>
            <w:pStyle w:val="TM3"/>
            <w:tabs>
              <w:tab w:val="right" w:leader="dot" w:pos="9060"/>
            </w:tabs>
            <w:rPr>
              <w:rFonts w:eastAsiaTheme="minorEastAsia"/>
              <w:noProof/>
              <w:lang w:eastAsia="fr-FR"/>
            </w:rPr>
          </w:pPr>
          <w:hyperlink w:anchor="_Toc528222334" w:history="1">
            <w:r w:rsidRPr="00AF1459">
              <w:rPr>
                <w:rStyle w:val="Lienhypertexte"/>
                <w:noProof/>
              </w:rPr>
              <w:t>3.1.4. La Politique Nationale de Sécurité Nutritionnelle (PNSN) 2016-2025 et son plan d’action 2017-2019</w:t>
            </w:r>
            <w:r>
              <w:rPr>
                <w:noProof/>
                <w:webHidden/>
              </w:rPr>
              <w:tab/>
            </w:r>
            <w:r>
              <w:rPr>
                <w:noProof/>
                <w:webHidden/>
              </w:rPr>
              <w:fldChar w:fldCharType="begin"/>
            </w:r>
            <w:r>
              <w:rPr>
                <w:noProof/>
                <w:webHidden/>
              </w:rPr>
              <w:instrText xml:space="preserve"> PAGEREF _Toc528222334 \h </w:instrText>
            </w:r>
            <w:r>
              <w:rPr>
                <w:noProof/>
                <w:webHidden/>
              </w:rPr>
            </w:r>
            <w:r>
              <w:rPr>
                <w:noProof/>
                <w:webHidden/>
              </w:rPr>
              <w:fldChar w:fldCharType="separate"/>
            </w:r>
            <w:r>
              <w:rPr>
                <w:noProof/>
                <w:webHidden/>
              </w:rPr>
              <w:t>34</w:t>
            </w:r>
            <w:r>
              <w:rPr>
                <w:noProof/>
                <w:webHidden/>
              </w:rPr>
              <w:fldChar w:fldCharType="end"/>
            </w:r>
          </w:hyperlink>
        </w:p>
        <w:p w14:paraId="08744A52" w14:textId="77777777" w:rsidR="009F573A" w:rsidRDefault="009F573A">
          <w:pPr>
            <w:pStyle w:val="TM2"/>
            <w:tabs>
              <w:tab w:val="left" w:pos="880"/>
              <w:tab w:val="right" w:leader="dot" w:pos="9060"/>
            </w:tabs>
            <w:rPr>
              <w:rFonts w:eastAsiaTheme="minorEastAsia"/>
              <w:noProof/>
              <w:lang w:eastAsia="fr-FR"/>
            </w:rPr>
          </w:pPr>
          <w:hyperlink w:anchor="_Toc528222335" w:history="1">
            <w:r w:rsidRPr="00AF1459">
              <w:rPr>
                <w:rStyle w:val="Lienhypertexte"/>
                <w:noProof/>
              </w:rPr>
              <w:t>IV.</w:t>
            </w:r>
            <w:r>
              <w:rPr>
                <w:rFonts w:eastAsiaTheme="minorEastAsia"/>
                <w:noProof/>
                <w:lang w:eastAsia="fr-FR"/>
              </w:rPr>
              <w:tab/>
            </w:r>
            <w:r w:rsidRPr="00AF1459">
              <w:rPr>
                <w:rStyle w:val="Lienhypertexte"/>
                <w:noProof/>
              </w:rPr>
              <w:t>Analyse de la nutrition dans les politiques, programmes et stratégies au niveau sectoriel</w:t>
            </w:r>
            <w:r>
              <w:rPr>
                <w:noProof/>
                <w:webHidden/>
              </w:rPr>
              <w:tab/>
            </w:r>
            <w:r>
              <w:rPr>
                <w:noProof/>
                <w:webHidden/>
              </w:rPr>
              <w:fldChar w:fldCharType="begin"/>
            </w:r>
            <w:r>
              <w:rPr>
                <w:noProof/>
                <w:webHidden/>
              </w:rPr>
              <w:instrText xml:space="preserve"> PAGEREF _Toc528222335 \h </w:instrText>
            </w:r>
            <w:r>
              <w:rPr>
                <w:noProof/>
                <w:webHidden/>
              </w:rPr>
            </w:r>
            <w:r>
              <w:rPr>
                <w:noProof/>
                <w:webHidden/>
              </w:rPr>
              <w:fldChar w:fldCharType="separate"/>
            </w:r>
            <w:r>
              <w:rPr>
                <w:noProof/>
                <w:webHidden/>
              </w:rPr>
              <w:t>39</w:t>
            </w:r>
            <w:r>
              <w:rPr>
                <w:noProof/>
                <w:webHidden/>
              </w:rPr>
              <w:fldChar w:fldCharType="end"/>
            </w:r>
          </w:hyperlink>
        </w:p>
        <w:p w14:paraId="7053EEFF" w14:textId="77777777" w:rsidR="009F573A" w:rsidRDefault="009F573A">
          <w:pPr>
            <w:pStyle w:val="TM2"/>
            <w:tabs>
              <w:tab w:val="left" w:pos="880"/>
              <w:tab w:val="right" w:leader="dot" w:pos="9060"/>
            </w:tabs>
            <w:rPr>
              <w:rFonts w:eastAsiaTheme="minorEastAsia"/>
              <w:noProof/>
              <w:lang w:eastAsia="fr-FR"/>
            </w:rPr>
          </w:pPr>
          <w:hyperlink w:anchor="_Toc528222336" w:history="1">
            <w:r w:rsidRPr="00AF1459">
              <w:rPr>
                <w:rStyle w:val="Lienhypertexte"/>
                <w:noProof/>
              </w:rPr>
              <w:t>4.1</w:t>
            </w:r>
            <w:r>
              <w:rPr>
                <w:rFonts w:eastAsiaTheme="minorEastAsia"/>
                <w:noProof/>
                <w:lang w:eastAsia="fr-FR"/>
              </w:rPr>
              <w:tab/>
            </w:r>
            <w:r w:rsidRPr="00AF1459">
              <w:rPr>
                <w:rStyle w:val="Lienhypertexte"/>
                <w:noProof/>
              </w:rPr>
              <w:t>La nutrition dans le secteur de la santé publique</w:t>
            </w:r>
            <w:r>
              <w:rPr>
                <w:noProof/>
                <w:webHidden/>
              </w:rPr>
              <w:tab/>
            </w:r>
            <w:r>
              <w:rPr>
                <w:noProof/>
                <w:webHidden/>
              </w:rPr>
              <w:fldChar w:fldCharType="begin"/>
            </w:r>
            <w:r>
              <w:rPr>
                <w:noProof/>
                <w:webHidden/>
              </w:rPr>
              <w:instrText xml:space="preserve"> PAGEREF _Toc528222336 \h </w:instrText>
            </w:r>
            <w:r>
              <w:rPr>
                <w:noProof/>
                <w:webHidden/>
              </w:rPr>
            </w:r>
            <w:r>
              <w:rPr>
                <w:noProof/>
                <w:webHidden/>
              </w:rPr>
              <w:fldChar w:fldCharType="separate"/>
            </w:r>
            <w:r>
              <w:rPr>
                <w:noProof/>
                <w:webHidden/>
              </w:rPr>
              <w:t>39</w:t>
            </w:r>
            <w:r>
              <w:rPr>
                <w:noProof/>
                <w:webHidden/>
              </w:rPr>
              <w:fldChar w:fldCharType="end"/>
            </w:r>
          </w:hyperlink>
        </w:p>
        <w:p w14:paraId="5F04AA37" w14:textId="77777777" w:rsidR="009F573A" w:rsidRDefault="009F573A">
          <w:pPr>
            <w:pStyle w:val="TM3"/>
            <w:tabs>
              <w:tab w:val="right" w:leader="dot" w:pos="9060"/>
            </w:tabs>
            <w:rPr>
              <w:rFonts w:eastAsiaTheme="minorEastAsia"/>
              <w:noProof/>
              <w:lang w:eastAsia="fr-FR"/>
            </w:rPr>
          </w:pPr>
          <w:hyperlink w:anchor="_Toc528222337" w:history="1">
            <w:r w:rsidRPr="00AF1459">
              <w:rPr>
                <w:rStyle w:val="Lienhypertexte"/>
                <w:noProof/>
              </w:rPr>
              <w:t>4.1.1. Lien entre la santé et  la nutrition</w:t>
            </w:r>
            <w:r>
              <w:rPr>
                <w:noProof/>
                <w:webHidden/>
              </w:rPr>
              <w:tab/>
            </w:r>
            <w:r>
              <w:rPr>
                <w:noProof/>
                <w:webHidden/>
              </w:rPr>
              <w:fldChar w:fldCharType="begin"/>
            </w:r>
            <w:r>
              <w:rPr>
                <w:noProof/>
                <w:webHidden/>
              </w:rPr>
              <w:instrText xml:space="preserve"> PAGEREF _Toc528222337 \h </w:instrText>
            </w:r>
            <w:r>
              <w:rPr>
                <w:noProof/>
                <w:webHidden/>
              </w:rPr>
            </w:r>
            <w:r>
              <w:rPr>
                <w:noProof/>
                <w:webHidden/>
              </w:rPr>
              <w:fldChar w:fldCharType="separate"/>
            </w:r>
            <w:r>
              <w:rPr>
                <w:noProof/>
                <w:webHidden/>
              </w:rPr>
              <w:t>39</w:t>
            </w:r>
            <w:r>
              <w:rPr>
                <w:noProof/>
                <w:webHidden/>
              </w:rPr>
              <w:fldChar w:fldCharType="end"/>
            </w:r>
          </w:hyperlink>
        </w:p>
        <w:p w14:paraId="5102EA4E" w14:textId="77777777" w:rsidR="009F573A" w:rsidRDefault="009F573A">
          <w:pPr>
            <w:pStyle w:val="TM3"/>
            <w:tabs>
              <w:tab w:val="right" w:leader="dot" w:pos="9060"/>
            </w:tabs>
            <w:rPr>
              <w:rFonts w:eastAsiaTheme="minorEastAsia"/>
              <w:noProof/>
              <w:lang w:eastAsia="fr-FR"/>
            </w:rPr>
          </w:pPr>
          <w:hyperlink w:anchor="_Toc528222338" w:history="1">
            <w:r w:rsidRPr="00AF1459">
              <w:rPr>
                <w:rStyle w:val="Lienhypertexte"/>
                <w:noProof/>
              </w:rPr>
              <w:t>4.1.2. La nutrition dans les documents de politiques, stratégies, programmes et plans du secteur de la santé au Niger</w:t>
            </w:r>
            <w:r>
              <w:rPr>
                <w:noProof/>
                <w:webHidden/>
              </w:rPr>
              <w:tab/>
            </w:r>
            <w:r>
              <w:rPr>
                <w:noProof/>
                <w:webHidden/>
              </w:rPr>
              <w:fldChar w:fldCharType="begin"/>
            </w:r>
            <w:r>
              <w:rPr>
                <w:noProof/>
                <w:webHidden/>
              </w:rPr>
              <w:instrText xml:space="preserve"> PAGEREF _Toc528222338 \h </w:instrText>
            </w:r>
            <w:r>
              <w:rPr>
                <w:noProof/>
                <w:webHidden/>
              </w:rPr>
            </w:r>
            <w:r>
              <w:rPr>
                <w:noProof/>
                <w:webHidden/>
              </w:rPr>
              <w:fldChar w:fldCharType="separate"/>
            </w:r>
            <w:r>
              <w:rPr>
                <w:noProof/>
                <w:webHidden/>
              </w:rPr>
              <w:t>41</w:t>
            </w:r>
            <w:r>
              <w:rPr>
                <w:noProof/>
                <w:webHidden/>
              </w:rPr>
              <w:fldChar w:fldCharType="end"/>
            </w:r>
          </w:hyperlink>
        </w:p>
        <w:p w14:paraId="77E38282" w14:textId="77777777" w:rsidR="009F573A" w:rsidRDefault="009F573A">
          <w:pPr>
            <w:pStyle w:val="TM2"/>
            <w:tabs>
              <w:tab w:val="left" w:pos="880"/>
              <w:tab w:val="right" w:leader="dot" w:pos="9060"/>
            </w:tabs>
            <w:rPr>
              <w:rFonts w:eastAsiaTheme="minorEastAsia"/>
              <w:noProof/>
              <w:lang w:eastAsia="fr-FR"/>
            </w:rPr>
          </w:pPr>
          <w:hyperlink w:anchor="_Toc528222339" w:history="1">
            <w:r w:rsidRPr="00AF1459">
              <w:rPr>
                <w:rStyle w:val="Lienhypertexte"/>
                <w:noProof/>
              </w:rPr>
              <w:t>4.2</w:t>
            </w:r>
            <w:r>
              <w:rPr>
                <w:rFonts w:eastAsiaTheme="minorEastAsia"/>
                <w:noProof/>
                <w:lang w:eastAsia="fr-FR"/>
              </w:rPr>
              <w:tab/>
            </w:r>
            <w:r w:rsidRPr="00AF1459">
              <w:rPr>
                <w:rStyle w:val="Lienhypertexte"/>
                <w:noProof/>
              </w:rPr>
              <w:t>La nutrition dans le secteur de l’agriculture et des systèmes alimentaires</w:t>
            </w:r>
            <w:r>
              <w:rPr>
                <w:noProof/>
                <w:webHidden/>
              </w:rPr>
              <w:tab/>
            </w:r>
            <w:r>
              <w:rPr>
                <w:noProof/>
                <w:webHidden/>
              </w:rPr>
              <w:fldChar w:fldCharType="begin"/>
            </w:r>
            <w:r>
              <w:rPr>
                <w:noProof/>
                <w:webHidden/>
              </w:rPr>
              <w:instrText xml:space="preserve"> PAGEREF _Toc528222339 \h </w:instrText>
            </w:r>
            <w:r>
              <w:rPr>
                <w:noProof/>
                <w:webHidden/>
              </w:rPr>
            </w:r>
            <w:r>
              <w:rPr>
                <w:noProof/>
                <w:webHidden/>
              </w:rPr>
              <w:fldChar w:fldCharType="separate"/>
            </w:r>
            <w:r>
              <w:rPr>
                <w:noProof/>
                <w:webHidden/>
              </w:rPr>
              <w:t>43</w:t>
            </w:r>
            <w:r>
              <w:rPr>
                <w:noProof/>
                <w:webHidden/>
              </w:rPr>
              <w:fldChar w:fldCharType="end"/>
            </w:r>
          </w:hyperlink>
        </w:p>
        <w:p w14:paraId="6E129CB3" w14:textId="77777777" w:rsidR="009F573A" w:rsidRDefault="009F573A">
          <w:pPr>
            <w:pStyle w:val="TM3"/>
            <w:tabs>
              <w:tab w:val="right" w:leader="dot" w:pos="9060"/>
            </w:tabs>
            <w:rPr>
              <w:rFonts w:eastAsiaTheme="minorEastAsia"/>
              <w:noProof/>
              <w:lang w:eastAsia="fr-FR"/>
            </w:rPr>
          </w:pPr>
          <w:hyperlink w:anchor="_Toc528222340" w:history="1">
            <w:r w:rsidRPr="00AF1459">
              <w:rPr>
                <w:rStyle w:val="Lienhypertexte"/>
                <w:noProof/>
              </w:rPr>
              <w:t>4.2.1. Lien entre l’agriculture, les systèmes alimentaires et la nutrition</w:t>
            </w:r>
            <w:r>
              <w:rPr>
                <w:noProof/>
                <w:webHidden/>
              </w:rPr>
              <w:tab/>
            </w:r>
            <w:r>
              <w:rPr>
                <w:noProof/>
                <w:webHidden/>
              </w:rPr>
              <w:fldChar w:fldCharType="begin"/>
            </w:r>
            <w:r>
              <w:rPr>
                <w:noProof/>
                <w:webHidden/>
              </w:rPr>
              <w:instrText xml:space="preserve"> PAGEREF _Toc528222340 \h </w:instrText>
            </w:r>
            <w:r>
              <w:rPr>
                <w:noProof/>
                <w:webHidden/>
              </w:rPr>
            </w:r>
            <w:r>
              <w:rPr>
                <w:noProof/>
                <w:webHidden/>
              </w:rPr>
              <w:fldChar w:fldCharType="separate"/>
            </w:r>
            <w:r>
              <w:rPr>
                <w:noProof/>
                <w:webHidden/>
              </w:rPr>
              <w:t>43</w:t>
            </w:r>
            <w:r>
              <w:rPr>
                <w:noProof/>
                <w:webHidden/>
              </w:rPr>
              <w:fldChar w:fldCharType="end"/>
            </w:r>
          </w:hyperlink>
        </w:p>
        <w:p w14:paraId="5B127962" w14:textId="77777777" w:rsidR="009F573A" w:rsidRDefault="009F573A">
          <w:pPr>
            <w:pStyle w:val="TM3"/>
            <w:tabs>
              <w:tab w:val="right" w:leader="dot" w:pos="9060"/>
            </w:tabs>
            <w:rPr>
              <w:rFonts w:eastAsiaTheme="minorEastAsia"/>
              <w:noProof/>
              <w:lang w:eastAsia="fr-FR"/>
            </w:rPr>
          </w:pPr>
          <w:hyperlink w:anchor="_Toc528222341" w:history="1">
            <w:r w:rsidRPr="00AF1459">
              <w:rPr>
                <w:rStyle w:val="Lienhypertexte"/>
                <w:noProof/>
              </w:rPr>
              <w:t>4.2.2. La nutrition dans les documents de politiques, stratégies, programmes et plans du secteur de l’agriculture et des systèmes alimentaires au Niger</w:t>
            </w:r>
            <w:r>
              <w:rPr>
                <w:noProof/>
                <w:webHidden/>
              </w:rPr>
              <w:tab/>
            </w:r>
            <w:r>
              <w:rPr>
                <w:noProof/>
                <w:webHidden/>
              </w:rPr>
              <w:fldChar w:fldCharType="begin"/>
            </w:r>
            <w:r>
              <w:rPr>
                <w:noProof/>
                <w:webHidden/>
              </w:rPr>
              <w:instrText xml:space="preserve"> PAGEREF _Toc528222341 \h </w:instrText>
            </w:r>
            <w:r>
              <w:rPr>
                <w:noProof/>
                <w:webHidden/>
              </w:rPr>
            </w:r>
            <w:r>
              <w:rPr>
                <w:noProof/>
                <w:webHidden/>
              </w:rPr>
              <w:fldChar w:fldCharType="separate"/>
            </w:r>
            <w:r>
              <w:rPr>
                <w:noProof/>
                <w:webHidden/>
              </w:rPr>
              <w:t>47</w:t>
            </w:r>
            <w:r>
              <w:rPr>
                <w:noProof/>
                <w:webHidden/>
              </w:rPr>
              <w:fldChar w:fldCharType="end"/>
            </w:r>
          </w:hyperlink>
        </w:p>
        <w:p w14:paraId="6EC79644" w14:textId="77777777" w:rsidR="009F573A" w:rsidRDefault="009F573A">
          <w:pPr>
            <w:pStyle w:val="TM2"/>
            <w:tabs>
              <w:tab w:val="left" w:pos="880"/>
              <w:tab w:val="right" w:leader="dot" w:pos="9060"/>
            </w:tabs>
            <w:rPr>
              <w:rFonts w:eastAsiaTheme="minorEastAsia"/>
              <w:noProof/>
              <w:lang w:eastAsia="fr-FR"/>
            </w:rPr>
          </w:pPr>
          <w:hyperlink w:anchor="_Toc528222342" w:history="1">
            <w:r w:rsidRPr="00AF1459">
              <w:rPr>
                <w:rStyle w:val="Lienhypertexte"/>
                <w:noProof/>
              </w:rPr>
              <w:t>4.3</w:t>
            </w:r>
            <w:r>
              <w:rPr>
                <w:rFonts w:eastAsiaTheme="minorEastAsia"/>
                <w:noProof/>
                <w:lang w:eastAsia="fr-FR"/>
              </w:rPr>
              <w:tab/>
            </w:r>
            <w:r w:rsidRPr="00AF1459">
              <w:rPr>
                <w:rStyle w:val="Lienhypertexte"/>
                <w:noProof/>
              </w:rPr>
              <w:t>La nutrition dans le secteur de l’eau, hygiène et assainissement</w:t>
            </w:r>
            <w:r>
              <w:rPr>
                <w:noProof/>
                <w:webHidden/>
              </w:rPr>
              <w:tab/>
            </w:r>
            <w:r>
              <w:rPr>
                <w:noProof/>
                <w:webHidden/>
              </w:rPr>
              <w:fldChar w:fldCharType="begin"/>
            </w:r>
            <w:r>
              <w:rPr>
                <w:noProof/>
                <w:webHidden/>
              </w:rPr>
              <w:instrText xml:space="preserve"> PAGEREF _Toc528222342 \h </w:instrText>
            </w:r>
            <w:r>
              <w:rPr>
                <w:noProof/>
                <w:webHidden/>
              </w:rPr>
            </w:r>
            <w:r>
              <w:rPr>
                <w:noProof/>
                <w:webHidden/>
              </w:rPr>
              <w:fldChar w:fldCharType="separate"/>
            </w:r>
            <w:r>
              <w:rPr>
                <w:noProof/>
                <w:webHidden/>
              </w:rPr>
              <w:t>48</w:t>
            </w:r>
            <w:r>
              <w:rPr>
                <w:noProof/>
                <w:webHidden/>
              </w:rPr>
              <w:fldChar w:fldCharType="end"/>
            </w:r>
          </w:hyperlink>
        </w:p>
        <w:p w14:paraId="79DC9D98" w14:textId="77777777" w:rsidR="009F573A" w:rsidRDefault="009F573A">
          <w:pPr>
            <w:pStyle w:val="TM3"/>
            <w:tabs>
              <w:tab w:val="right" w:leader="dot" w:pos="9060"/>
            </w:tabs>
            <w:rPr>
              <w:rFonts w:eastAsiaTheme="minorEastAsia"/>
              <w:noProof/>
              <w:lang w:eastAsia="fr-FR"/>
            </w:rPr>
          </w:pPr>
          <w:hyperlink w:anchor="_Toc528222343" w:history="1">
            <w:r w:rsidRPr="00AF1459">
              <w:rPr>
                <w:rStyle w:val="Lienhypertexte"/>
                <w:noProof/>
              </w:rPr>
              <w:t>4.3.1. Lien entre l’eau, hygiène et assainissement et la nutrition</w:t>
            </w:r>
            <w:r>
              <w:rPr>
                <w:noProof/>
                <w:webHidden/>
              </w:rPr>
              <w:tab/>
            </w:r>
            <w:r>
              <w:rPr>
                <w:noProof/>
                <w:webHidden/>
              </w:rPr>
              <w:fldChar w:fldCharType="begin"/>
            </w:r>
            <w:r>
              <w:rPr>
                <w:noProof/>
                <w:webHidden/>
              </w:rPr>
              <w:instrText xml:space="preserve"> PAGEREF _Toc528222343 \h </w:instrText>
            </w:r>
            <w:r>
              <w:rPr>
                <w:noProof/>
                <w:webHidden/>
              </w:rPr>
            </w:r>
            <w:r>
              <w:rPr>
                <w:noProof/>
                <w:webHidden/>
              </w:rPr>
              <w:fldChar w:fldCharType="separate"/>
            </w:r>
            <w:r>
              <w:rPr>
                <w:noProof/>
                <w:webHidden/>
              </w:rPr>
              <w:t>48</w:t>
            </w:r>
            <w:r>
              <w:rPr>
                <w:noProof/>
                <w:webHidden/>
              </w:rPr>
              <w:fldChar w:fldCharType="end"/>
            </w:r>
          </w:hyperlink>
        </w:p>
        <w:p w14:paraId="1F96C9D4" w14:textId="77777777" w:rsidR="009F573A" w:rsidRDefault="009F573A">
          <w:pPr>
            <w:pStyle w:val="TM3"/>
            <w:tabs>
              <w:tab w:val="right" w:leader="dot" w:pos="9060"/>
            </w:tabs>
            <w:rPr>
              <w:rFonts w:eastAsiaTheme="minorEastAsia"/>
              <w:noProof/>
              <w:lang w:eastAsia="fr-FR"/>
            </w:rPr>
          </w:pPr>
          <w:hyperlink w:anchor="_Toc528222344" w:history="1">
            <w:r w:rsidRPr="00AF1459">
              <w:rPr>
                <w:rStyle w:val="Lienhypertexte"/>
                <w:noProof/>
              </w:rPr>
              <w:t>4.3.2. La nutrition dans les documents de politiques, stratégies, programmes et plans du secteur de l’Eau, l’Hygiène et l’Assainissement au Niger</w:t>
            </w:r>
            <w:r>
              <w:rPr>
                <w:noProof/>
                <w:webHidden/>
              </w:rPr>
              <w:tab/>
            </w:r>
            <w:r>
              <w:rPr>
                <w:noProof/>
                <w:webHidden/>
              </w:rPr>
              <w:fldChar w:fldCharType="begin"/>
            </w:r>
            <w:r>
              <w:rPr>
                <w:noProof/>
                <w:webHidden/>
              </w:rPr>
              <w:instrText xml:space="preserve"> PAGEREF _Toc528222344 \h </w:instrText>
            </w:r>
            <w:r>
              <w:rPr>
                <w:noProof/>
                <w:webHidden/>
              </w:rPr>
            </w:r>
            <w:r>
              <w:rPr>
                <w:noProof/>
                <w:webHidden/>
              </w:rPr>
              <w:fldChar w:fldCharType="separate"/>
            </w:r>
            <w:r>
              <w:rPr>
                <w:noProof/>
                <w:webHidden/>
              </w:rPr>
              <w:t>49</w:t>
            </w:r>
            <w:r>
              <w:rPr>
                <w:noProof/>
                <w:webHidden/>
              </w:rPr>
              <w:fldChar w:fldCharType="end"/>
            </w:r>
          </w:hyperlink>
        </w:p>
        <w:p w14:paraId="76C99C5C" w14:textId="77777777" w:rsidR="009F573A" w:rsidRDefault="009F573A">
          <w:pPr>
            <w:pStyle w:val="TM2"/>
            <w:tabs>
              <w:tab w:val="left" w:pos="880"/>
              <w:tab w:val="right" w:leader="dot" w:pos="9060"/>
            </w:tabs>
            <w:rPr>
              <w:rFonts w:eastAsiaTheme="minorEastAsia"/>
              <w:noProof/>
              <w:lang w:eastAsia="fr-FR"/>
            </w:rPr>
          </w:pPr>
          <w:hyperlink w:anchor="_Toc528222345" w:history="1">
            <w:r w:rsidRPr="00AF1459">
              <w:rPr>
                <w:rStyle w:val="Lienhypertexte"/>
                <w:noProof/>
              </w:rPr>
              <w:t>4.4</w:t>
            </w:r>
            <w:r>
              <w:rPr>
                <w:rFonts w:eastAsiaTheme="minorEastAsia"/>
                <w:noProof/>
                <w:lang w:eastAsia="fr-FR"/>
              </w:rPr>
              <w:tab/>
            </w:r>
            <w:r w:rsidRPr="00AF1459">
              <w:rPr>
                <w:rStyle w:val="Lienhypertexte"/>
                <w:noProof/>
              </w:rPr>
              <w:t>La nutrition dans le secteur de l’environnement</w:t>
            </w:r>
            <w:r>
              <w:rPr>
                <w:noProof/>
                <w:webHidden/>
              </w:rPr>
              <w:tab/>
            </w:r>
            <w:r>
              <w:rPr>
                <w:noProof/>
                <w:webHidden/>
              </w:rPr>
              <w:fldChar w:fldCharType="begin"/>
            </w:r>
            <w:r>
              <w:rPr>
                <w:noProof/>
                <w:webHidden/>
              </w:rPr>
              <w:instrText xml:space="preserve"> PAGEREF _Toc528222345 \h </w:instrText>
            </w:r>
            <w:r>
              <w:rPr>
                <w:noProof/>
                <w:webHidden/>
              </w:rPr>
            </w:r>
            <w:r>
              <w:rPr>
                <w:noProof/>
                <w:webHidden/>
              </w:rPr>
              <w:fldChar w:fldCharType="separate"/>
            </w:r>
            <w:r>
              <w:rPr>
                <w:noProof/>
                <w:webHidden/>
              </w:rPr>
              <w:t>49</w:t>
            </w:r>
            <w:r>
              <w:rPr>
                <w:noProof/>
                <w:webHidden/>
              </w:rPr>
              <w:fldChar w:fldCharType="end"/>
            </w:r>
          </w:hyperlink>
        </w:p>
        <w:p w14:paraId="2F80672A" w14:textId="77777777" w:rsidR="009F573A" w:rsidRDefault="009F573A">
          <w:pPr>
            <w:pStyle w:val="TM3"/>
            <w:tabs>
              <w:tab w:val="right" w:leader="dot" w:pos="9060"/>
            </w:tabs>
            <w:rPr>
              <w:rFonts w:eastAsiaTheme="minorEastAsia"/>
              <w:noProof/>
              <w:lang w:eastAsia="fr-FR"/>
            </w:rPr>
          </w:pPr>
          <w:hyperlink w:anchor="_Toc528222346" w:history="1">
            <w:r w:rsidRPr="00AF1459">
              <w:rPr>
                <w:rStyle w:val="Lienhypertexte"/>
                <w:noProof/>
              </w:rPr>
              <w:t>4.4.1. Lien entre l’environnement et la nutrition</w:t>
            </w:r>
            <w:r>
              <w:rPr>
                <w:noProof/>
                <w:webHidden/>
              </w:rPr>
              <w:tab/>
            </w:r>
            <w:r>
              <w:rPr>
                <w:noProof/>
                <w:webHidden/>
              </w:rPr>
              <w:fldChar w:fldCharType="begin"/>
            </w:r>
            <w:r>
              <w:rPr>
                <w:noProof/>
                <w:webHidden/>
              </w:rPr>
              <w:instrText xml:space="preserve"> PAGEREF _Toc528222346 \h </w:instrText>
            </w:r>
            <w:r>
              <w:rPr>
                <w:noProof/>
                <w:webHidden/>
              </w:rPr>
            </w:r>
            <w:r>
              <w:rPr>
                <w:noProof/>
                <w:webHidden/>
              </w:rPr>
              <w:fldChar w:fldCharType="separate"/>
            </w:r>
            <w:r>
              <w:rPr>
                <w:noProof/>
                <w:webHidden/>
              </w:rPr>
              <w:t>49</w:t>
            </w:r>
            <w:r>
              <w:rPr>
                <w:noProof/>
                <w:webHidden/>
              </w:rPr>
              <w:fldChar w:fldCharType="end"/>
            </w:r>
          </w:hyperlink>
        </w:p>
        <w:p w14:paraId="6C0285E7" w14:textId="77777777" w:rsidR="009F573A" w:rsidRDefault="009F573A">
          <w:pPr>
            <w:pStyle w:val="TM3"/>
            <w:tabs>
              <w:tab w:val="right" w:leader="dot" w:pos="9060"/>
            </w:tabs>
            <w:rPr>
              <w:rFonts w:eastAsiaTheme="minorEastAsia"/>
              <w:noProof/>
              <w:lang w:eastAsia="fr-FR"/>
            </w:rPr>
          </w:pPr>
          <w:hyperlink w:anchor="_Toc528222347" w:history="1">
            <w:r w:rsidRPr="00AF1459">
              <w:rPr>
                <w:rStyle w:val="Lienhypertexte"/>
                <w:noProof/>
              </w:rPr>
              <w:t>4.4.2. La nutrition dans les documents de politiques, stratégies, programmes et plans du secteur de l’environnement et du développement durable au Niger</w:t>
            </w:r>
            <w:r>
              <w:rPr>
                <w:noProof/>
                <w:webHidden/>
              </w:rPr>
              <w:tab/>
            </w:r>
            <w:r>
              <w:rPr>
                <w:noProof/>
                <w:webHidden/>
              </w:rPr>
              <w:fldChar w:fldCharType="begin"/>
            </w:r>
            <w:r>
              <w:rPr>
                <w:noProof/>
                <w:webHidden/>
              </w:rPr>
              <w:instrText xml:space="preserve"> PAGEREF _Toc528222347 \h </w:instrText>
            </w:r>
            <w:r>
              <w:rPr>
                <w:noProof/>
                <w:webHidden/>
              </w:rPr>
            </w:r>
            <w:r>
              <w:rPr>
                <w:noProof/>
                <w:webHidden/>
              </w:rPr>
              <w:fldChar w:fldCharType="separate"/>
            </w:r>
            <w:r>
              <w:rPr>
                <w:noProof/>
                <w:webHidden/>
              </w:rPr>
              <w:t>50</w:t>
            </w:r>
            <w:r>
              <w:rPr>
                <w:noProof/>
                <w:webHidden/>
              </w:rPr>
              <w:fldChar w:fldCharType="end"/>
            </w:r>
          </w:hyperlink>
        </w:p>
        <w:p w14:paraId="37D7F258" w14:textId="77777777" w:rsidR="009F573A" w:rsidRDefault="009F573A">
          <w:pPr>
            <w:pStyle w:val="TM2"/>
            <w:tabs>
              <w:tab w:val="left" w:pos="880"/>
              <w:tab w:val="right" w:leader="dot" w:pos="9060"/>
            </w:tabs>
            <w:rPr>
              <w:rFonts w:eastAsiaTheme="minorEastAsia"/>
              <w:noProof/>
              <w:lang w:eastAsia="fr-FR"/>
            </w:rPr>
          </w:pPr>
          <w:hyperlink w:anchor="_Toc528222348" w:history="1">
            <w:r w:rsidRPr="00AF1459">
              <w:rPr>
                <w:rStyle w:val="Lienhypertexte"/>
                <w:noProof/>
              </w:rPr>
              <w:t>4.5</w:t>
            </w:r>
            <w:r>
              <w:rPr>
                <w:rFonts w:eastAsiaTheme="minorEastAsia"/>
                <w:noProof/>
                <w:lang w:eastAsia="fr-FR"/>
              </w:rPr>
              <w:tab/>
            </w:r>
            <w:r w:rsidRPr="00AF1459">
              <w:rPr>
                <w:rStyle w:val="Lienhypertexte"/>
                <w:noProof/>
              </w:rPr>
              <w:t>La nutrition dans le secteur de l’éducation</w:t>
            </w:r>
            <w:r>
              <w:rPr>
                <w:noProof/>
                <w:webHidden/>
              </w:rPr>
              <w:tab/>
            </w:r>
            <w:r>
              <w:rPr>
                <w:noProof/>
                <w:webHidden/>
              </w:rPr>
              <w:fldChar w:fldCharType="begin"/>
            </w:r>
            <w:r>
              <w:rPr>
                <w:noProof/>
                <w:webHidden/>
              </w:rPr>
              <w:instrText xml:space="preserve"> PAGEREF _Toc528222348 \h </w:instrText>
            </w:r>
            <w:r>
              <w:rPr>
                <w:noProof/>
                <w:webHidden/>
              </w:rPr>
            </w:r>
            <w:r>
              <w:rPr>
                <w:noProof/>
                <w:webHidden/>
              </w:rPr>
              <w:fldChar w:fldCharType="separate"/>
            </w:r>
            <w:r>
              <w:rPr>
                <w:noProof/>
                <w:webHidden/>
              </w:rPr>
              <w:t>50</w:t>
            </w:r>
            <w:r>
              <w:rPr>
                <w:noProof/>
                <w:webHidden/>
              </w:rPr>
              <w:fldChar w:fldCharType="end"/>
            </w:r>
          </w:hyperlink>
        </w:p>
        <w:p w14:paraId="7278E485" w14:textId="77777777" w:rsidR="009F573A" w:rsidRDefault="009F573A">
          <w:pPr>
            <w:pStyle w:val="TM3"/>
            <w:tabs>
              <w:tab w:val="right" w:leader="dot" w:pos="9060"/>
            </w:tabs>
            <w:rPr>
              <w:rFonts w:eastAsiaTheme="minorEastAsia"/>
              <w:noProof/>
              <w:lang w:eastAsia="fr-FR"/>
            </w:rPr>
          </w:pPr>
          <w:hyperlink w:anchor="_Toc528222349" w:history="1">
            <w:r w:rsidRPr="00AF1459">
              <w:rPr>
                <w:rStyle w:val="Lienhypertexte"/>
                <w:noProof/>
              </w:rPr>
              <w:t>4.5.1. Lien entre l’éducation et la nutrition</w:t>
            </w:r>
            <w:r>
              <w:rPr>
                <w:noProof/>
                <w:webHidden/>
              </w:rPr>
              <w:tab/>
            </w:r>
            <w:r>
              <w:rPr>
                <w:noProof/>
                <w:webHidden/>
              </w:rPr>
              <w:fldChar w:fldCharType="begin"/>
            </w:r>
            <w:r>
              <w:rPr>
                <w:noProof/>
                <w:webHidden/>
              </w:rPr>
              <w:instrText xml:space="preserve"> PAGEREF _Toc528222349 \h </w:instrText>
            </w:r>
            <w:r>
              <w:rPr>
                <w:noProof/>
                <w:webHidden/>
              </w:rPr>
            </w:r>
            <w:r>
              <w:rPr>
                <w:noProof/>
                <w:webHidden/>
              </w:rPr>
              <w:fldChar w:fldCharType="separate"/>
            </w:r>
            <w:r>
              <w:rPr>
                <w:noProof/>
                <w:webHidden/>
              </w:rPr>
              <w:t>50</w:t>
            </w:r>
            <w:r>
              <w:rPr>
                <w:noProof/>
                <w:webHidden/>
              </w:rPr>
              <w:fldChar w:fldCharType="end"/>
            </w:r>
          </w:hyperlink>
        </w:p>
        <w:p w14:paraId="22E3B841" w14:textId="77777777" w:rsidR="009F573A" w:rsidRDefault="009F573A">
          <w:pPr>
            <w:pStyle w:val="TM3"/>
            <w:tabs>
              <w:tab w:val="right" w:leader="dot" w:pos="9060"/>
            </w:tabs>
            <w:rPr>
              <w:rFonts w:eastAsiaTheme="minorEastAsia"/>
              <w:noProof/>
              <w:lang w:eastAsia="fr-FR"/>
            </w:rPr>
          </w:pPr>
          <w:hyperlink w:anchor="_Toc528222350" w:history="1">
            <w:r w:rsidRPr="00AF1459">
              <w:rPr>
                <w:rStyle w:val="Lienhypertexte"/>
                <w:noProof/>
              </w:rPr>
              <w:t>4.5.2. La nutrition dans les documents de politiques, stratégies, programmes et plans du secteur de l’éducation primaire au Niger</w:t>
            </w:r>
            <w:r>
              <w:rPr>
                <w:noProof/>
                <w:webHidden/>
              </w:rPr>
              <w:tab/>
            </w:r>
            <w:r>
              <w:rPr>
                <w:noProof/>
                <w:webHidden/>
              </w:rPr>
              <w:fldChar w:fldCharType="begin"/>
            </w:r>
            <w:r>
              <w:rPr>
                <w:noProof/>
                <w:webHidden/>
              </w:rPr>
              <w:instrText xml:space="preserve"> PAGEREF _Toc528222350 \h </w:instrText>
            </w:r>
            <w:r>
              <w:rPr>
                <w:noProof/>
                <w:webHidden/>
              </w:rPr>
            </w:r>
            <w:r>
              <w:rPr>
                <w:noProof/>
                <w:webHidden/>
              </w:rPr>
              <w:fldChar w:fldCharType="separate"/>
            </w:r>
            <w:r>
              <w:rPr>
                <w:noProof/>
                <w:webHidden/>
              </w:rPr>
              <w:t>51</w:t>
            </w:r>
            <w:r>
              <w:rPr>
                <w:noProof/>
                <w:webHidden/>
              </w:rPr>
              <w:fldChar w:fldCharType="end"/>
            </w:r>
          </w:hyperlink>
        </w:p>
        <w:p w14:paraId="15206BDC" w14:textId="77777777" w:rsidR="009F573A" w:rsidRDefault="009F573A">
          <w:pPr>
            <w:pStyle w:val="TM2"/>
            <w:tabs>
              <w:tab w:val="left" w:pos="880"/>
              <w:tab w:val="right" w:leader="dot" w:pos="9060"/>
            </w:tabs>
            <w:rPr>
              <w:rFonts w:eastAsiaTheme="minorEastAsia"/>
              <w:noProof/>
              <w:lang w:eastAsia="fr-FR"/>
            </w:rPr>
          </w:pPr>
          <w:hyperlink w:anchor="_Toc528222351" w:history="1">
            <w:r w:rsidRPr="00AF1459">
              <w:rPr>
                <w:rStyle w:val="Lienhypertexte"/>
                <w:noProof/>
              </w:rPr>
              <w:t>4.6</w:t>
            </w:r>
            <w:r>
              <w:rPr>
                <w:rFonts w:eastAsiaTheme="minorEastAsia"/>
                <w:noProof/>
                <w:lang w:eastAsia="fr-FR"/>
              </w:rPr>
              <w:tab/>
            </w:r>
            <w:r w:rsidRPr="00AF1459">
              <w:rPr>
                <w:rStyle w:val="Lienhypertexte"/>
                <w:noProof/>
              </w:rPr>
              <w:t>La nutrition dans le secteur de la protection sociale</w:t>
            </w:r>
            <w:r>
              <w:rPr>
                <w:noProof/>
                <w:webHidden/>
              </w:rPr>
              <w:tab/>
            </w:r>
            <w:r>
              <w:rPr>
                <w:noProof/>
                <w:webHidden/>
              </w:rPr>
              <w:fldChar w:fldCharType="begin"/>
            </w:r>
            <w:r>
              <w:rPr>
                <w:noProof/>
                <w:webHidden/>
              </w:rPr>
              <w:instrText xml:space="preserve"> PAGEREF _Toc528222351 \h </w:instrText>
            </w:r>
            <w:r>
              <w:rPr>
                <w:noProof/>
                <w:webHidden/>
              </w:rPr>
            </w:r>
            <w:r>
              <w:rPr>
                <w:noProof/>
                <w:webHidden/>
              </w:rPr>
              <w:fldChar w:fldCharType="separate"/>
            </w:r>
            <w:r>
              <w:rPr>
                <w:noProof/>
                <w:webHidden/>
              </w:rPr>
              <w:t>52</w:t>
            </w:r>
            <w:r>
              <w:rPr>
                <w:noProof/>
                <w:webHidden/>
              </w:rPr>
              <w:fldChar w:fldCharType="end"/>
            </w:r>
          </w:hyperlink>
        </w:p>
        <w:p w14:paraId="17D68D06" w14:textId="77777777" w:rsidR="009F573A" w:rsidRDefault="009F573A">
          <w:pPr>
            <w:pStyle w:val="TM3"/>
            <w:tabs>
              <w:tab w:val="right" w:leader="dot" w:pos="9060"/>
            </w:tabs>
            <w:rPr>
              <w:rFonts w:eastAsiaTheme="minorEastAsia"/>
              <w:noProof/>
              <w:lang w:eastAsia="fr-FR"/>
            </w:rPr>
          </w:pPr>
          <w:hyperlink w:anchor="_Toc528222352" w:history="1">
            <w:r w:rsidRPr="00AF1459">
              <w:rPr>
                <w:rStyle w:val="Lienhypertexte"/>
                <w:noProof/>
              </w:rPr>
              <w:t>4.6.1. Lien entre la protection sociale et la nutrition</w:t>
            </w:r>
            <w:r>
              <w:rPr>
                <w:noProof/>
                <w:webHidden/>
              </w:rPr>
              <w:tab/>
            </w:r>
            <w:r>
              <w:rPr>
                <w:noProof/>
                <w:webHidden/>
              </w:rPr>
              <w:fldChar w:fldCharType="begin"/>
            </w:r>
            <w:r>
              <w:rPr>
                <w:noProof/>
                <w:webHidden/>
              </w:rPr>
              <w:instrText xml:space="preserve"> PAGEREF _Toc528222352 \h </w:instrText>
            </w:r>
            <w:r>
              <w:rPr>
                <w:noProof/>
                <w:webHidden/>
              </w:rPr>
            </w:r>
            <w:r>
              <w:rPr>
                <w:noProof/>
                <w:webHidden/>
              </w:rPr>
              <w:fldChar w:fldCharType="separate"/>
            </w:r>
            <w:r>
              <w:rPr>
                <w:noProof/>
                <w:webHidden/>
              </w:rPr>
              <w:t>52</w:t>
            </w:r>
            <w:r>
              <w:rPr>
                <w:noProof/>
                <w:webHidden/>
              </w:rPr>
              <w:fldChar w:fldCharType="end"/>
            </w:r>
          </w:hyperlink>
        </w:p>
        <w:p w14:paraId="1CECD834" w14:textId="77777777" w:rsidR="009F573A" w:rsidRDefault="009F573A">
          <w:pPr>
            <w:pStyle w:val="TM3"/>
            <w:tabs>
              <w:tab w:val="right" w:leader="dot" w:pos="9060"/>
            </w:tabs>
            <w:rPr>
              <w:rFonts w:eastAsiaTheme="minorEastAsia"/>
              <w:noProof/>
              <w:lang w:eastAsia="fr-FR"/>
            </w:rPr>
          </w:pPr>
          <w:hyperlink w:anchor="_Toc528222353" w:history="1">
            <w:r w:rsidRPr="00AF1459">
              <w:rPr>
                <w:rStyle w:val="Lienhypertexte"/>
                <w:noProof/>
              </w:rPr>
              <w:t>4.6.2. La nutrition dans les documents de politiques, stratégies, programmes et plans du secteur de protection sociale au Niger</w:t>
            </w:r>
            <w:r>
              <w:rPr>
                <w:noProof/>
                <w:webHidden/>
              </w:rPr>
              <w:tab/>
            </w:r>
            <w:r>
              <w:rPr>
                <w:noProof/>
                <w:webHidden/>
              </w:rPr>
              <w:fldChar w:fldCharType="begin"/>
            </w:r>
            <w:r>
              <w:rPr>
                <w:noProof/>
                <w:webHidden/>
              </w:rPr>
              <w:instrText xml:space="preserve"> PAGEREF _Toc528222353 \h </w:instrText>
            </w:r>
            <w:r>
              <w:rPr>
                <w:noProof/>
                <w:webHidden/>
              </w:rPr>
            </w:r>
            <w:r>
              <w:rPr>
                <w:noProof/>
                <w:webHidden/>
              </w:rPr>
              <w:fldChar w:fldCharType="separate"/>
            </w:r>
            <w:r>
              <w:rPr>
                <w:noProof/>
                <w:webHidden/>
              </w:rPr>
              <w:t>53</w:t>
            </w:r>
            <w:r>
              <w:rPr>
                <w:noProof/>
                <w:webHidden/>
              </w:rPr>
              <w:fldChar w:fldCharType="end"/>
            </w:r>
          </w:hyperlink>
        </w:p>
        <w:p w14:paraId="452EFF22" w14:textId="77777777" w:rsidR="009F573A" w:rsidRDefault="009F573A">
          <w:pPr>
            <w:pStyle w:val="TM2"/>
            <w:tabs>
              <w:tab w:val="left" w:pos="660"/>
              <w:tab w:val="right" w:leader="dot" w:pos="9060"/>
            </w:tabs>
            <w:rPr>
              <w:rFonts w:eastAsiaTheme="minorEastAsia"/>
              <w:noProof/>
              <w:lang w:eastAsia="fr-FR"/>
            </w:rPr>
          </w:pPr>
          <w:hyperlink w:anchor="_Toc528222354" w:history="1">
            <w:r w:rsidRPr="00AF1459">
              <w:rPr>
                <w:rStyle w:val="Lienhypertexte"/>
                <w:noProof/>
              </w:rPr>
              <w:t>V.</w:t>
            </w:r>
            <w:r>
              <w:rPr>
                <w:rFonts w:eastAsiaTheme="minorEastAsia"/>
                <w:noProof/>
                <w:lang w:eastAsia="fr-FR"/>
              </w:rPr>
              <w:tab/>
            </w:r>
            <w:r w:rsidRPr="00AF1459">
              <w:rPr>
                <w:rStyle w:val="Lienhypertexte"/>
                <w:noProof/>
              </w:rPr>
              <w:t>Les enjeux de la nutrition</w:t>
            </w:r>
            <w:r>
              <w:rPr>
                <w:noProof/>
                <w:webHidden/>
              </w:rPr>
              <w:tab/>
            </w:r>
            <w:r>
              <w:rPr>
                <w:noProof/>
                <w:webHidden/>
              </w:rPr>
              <w:fldChar w:fldCharType="begin"/>
            </w:r>
            <w:r>
              <w:rPr>
                <w:noProof/>
                <w:webHidden/>
              </w:rPr>
              <w:instrText xml:space="preserve"> PAGEREF _Toc528222354 \h </w:instrText>
            </w:r>
            <w:r>
              <w:rPr>
                <w:noProof/>
                <w:webHidden/>
              </w:rPr>
            </w:r>
            <w:r>
              <w:rPr>
                <w:noProof/>
                <w:webHidden/>
              </w:rPr>
              <w:fldChar w:fldCharType="separate"/>
            </w:r>
            <w:r>
              <w:rPr>
                <w:noProof/>
                <w:webHidden/>
              </w:rPr>
              <w:t>54</w:t>
            </w:r>
            <w:r>
              <w:rPr>
                <w:noProof/>
                <w:webHidden/>
              </w:rPr>
              <w:fldChar w:fldCharType="end"/>
            </w:r>
          </w:hyperlink>
        </w:p>
        <w:p w14:paraId="36FE96B1" w14:textId="77777777" w:rsidR="009F573A" w:rsidRDefault="009F573A">
          <w:pPr>
            <w:pStyle w:val="TM2"/>
            <w:tabs>
              <w:tab w:val="left" w:pos="880"/>
              <w:tab w:val="right" w:leader="dot" w:pos="9060"/>
            </w:tabs>
            <w:rPr>
              <w:rFonts w:eastAsiaTheme="minorEastAsia"/>
              <w:noProof/>
              <w:lang w:eastAsia="fr-FR"/>
            </w:rPr>
          </w:pPr>
          <w:hyperlink w:anchor="_Toc528222355" w:history="1">
            <w:r w:rsidRPr="00AF1459">
              <w:rPr>
                <w:rStyle w:val="Lienhypertexte"/>
                <w:noProof/>
              </w:rPr>
              <w:t>5.1</w:t>
            </w:r>
            <w:r>
              <w:rPr>
                <w:rFonts w:eastAsiaTheme="minorEastAsia"/>
                <w:noProof/>
                <w:lang w:eastAsia="fr-FR"/>
              </w:rPr>
              <w:tab/>
            </w:r>
            <w:r w:rsidRPr="00AF1459">
              <w:rPr>
                <w:rStyle w:val="Lienhypertexte"/>
                <w:noProof/>
              </w:rPr>
              <w:t>Les enjeux liés à la mise en place d’un environnement favorable à la nutrition :</w:t>
            </w:r>
            <w:r>
              <w:rPr>
                <w:noProof/>
                <w:webHidden/>
              </w:rPr>
              <w:tab/>
            </w:r>
            <w:r>
              <w:rPr>
                <w:noProof/>
                <w:webHidden/>
              </w:rPr>
              <w:fldChar w:fldCharType="begin"/>
            </w:r>
            <w:r>
              <w:rPr>
                <w:noProof/>
                <w:webHidden/>
              </w:rPr>
              <w:instrText xml:space="preserve"> PAGEREF _Toc528222355 \h </w:instrText>
            </w:r>
            <w:r>
              <w:rPr>
                <w:noProof/>
                <w:webHidden/>
              </w:rPr>
            </w:r>
            <w:r>
              <w:rPr>
                <w:noProof/>
                <w:webHidden/>
              </w:rPr>
              <w:fldChar w:fldCharType="separate"/>
            </w:r>
            <w:r>
              <w:rPr>
                <w:noProof/>
                <w:webHidden/>
              </w:rPr>
              <w:t>55</w:t>
            </w:r>
            <w:r>
              <w:rPr>
                <w:noProof/>
                <w:webHidden/>
              </w:rPr>
              <w:fldChar w:fldCharType="end"/>
            </w:r>
          </w:hyperlink>
        </w:p>
        <w:p w14:paraId="5FE7C7E2" w14:textId="77777777" w:rsidR="009F573A" w:rsidRDefault="009F573A">
          <w:pPr>
            <w:pStyle w:val="TM3"/>
            <w:tabs>
              <w:tab w:val="right" w:leader="dot" w:pos="9060"/>
            </w:tabs>
            <w:rPr>
              <w:rFonts w:eastAsiaTheme="minorEastAsia"/>
              <w:noProof/>
              <w:lang w:eastAsia="fr-FR"/>
            </w:rPr>
          </w:pPr>
          <w:hyperlink w:anchor="_Toc528222356" w:history="1">
            <w:r w:rsidRPr="00AF1459">
              <w:rPr>
                <w:rStyle w:val="Lienhypertexte"/>
                <w:noProof/>
              </w:rPr>
              <w:t>5.1.1 La prise en compte de la nutrition durant les cycles de planification sectorielle</w:t>
            </w:r>
            <w:r>
              <w:rPr>
                <w:noProof/>
                <w:webHidden/>
              </w:rPr>
              <w:tab/>
            </w:r>
            <w:r>
              <w:rPr>
                <w:noProof/>
                <w:webHidden/>
              </w:rPr>
              <w:fldChar w:fldCharType="begin"/>
            </w:r>
            <w:r>
              <w:rPr>
                <w:noProof/>
                <w:webHidden/>
              </w:rPr>
              <w:instrText xml:space="preserve"> PAGEREF _Toc528222356 \h </w:instrText>
            </w:r>
            <w:r>
              <w:rPr>
                <w:noProof/>
                <w:webHidden/>
              </w:rPr>
            </w:r>
            <w:r>
              <w:rPr>
                <w:noProof/>
                <w:webHidden/>
              </w:rPr>
              <w:fldChar w:fldCharType="separate"/>
            </w:r>
            <w:r>
              <w:rPr>
                <w:noProof/>
                <w:webHidden/>
              </w:rPr>
              <w:t>55</w:t>
            </w:r>
            <w:r>
              <w:rPr>
                <w:noProof/>
                <w:webHidden/>
              </w:rPr>
              <w:fldChar w:fldCharType="end"/>
            </w:r>
          </w:hyperlink>
        </w:p>
        <w:p w14:paraId="59EC2329" w14:textId="77777777" w:rsidR="009F573A" w:rsidRDefault="009F573A">
          <w:pPr>
            <w:pStyle w:val="TM3"/>
            <w:tabs>
              <w:tab w:val="right" w:leader="dot" w:pos="9060"/>
            </w:tabs>
            <w:rPr>
              <w:rFonts w:eastAsiaTheme="minorEastAsia"/>
              <w:noProof/>
              <w:lang w:eastAsia="fr-FR"/>
            </w:rPr>
          </w:pPr>
          <w:hyperlink w:anchor="_Toc528222357" w:history="1">
            <w:r w:rsidRPr="00AF1459">
              <w:rPr>
                <w:rStyle w:val="Lienhypertexte"/>
                <w:noProof/>
              </w:rPr>
              <w:t>5.1.2 La coordination multisectorielle</w:t>
            </w:r>
            <w:r>
              <w:rPr>
                <w:noProof/>
                <w:webHidden/>
              </w:rPr>
              <w:tab/>
            </w:r>
            <w:r>
              <w:rPr>
                <w:noProof/>
                <w:webHidden/>
              </w:rPr>
              <w:fldChar w:fldCharType="begin"/>
            </w:r>
            <w:r>
              <w:rPr>
                <w:noProof/>
                <w:webHidden/>
              </w:rPr>
              <w:instrText xml:space="preserve"> PAGEREF _Toc528222357 \h </w:instrText>
            </w:r>
            <w:r>
              <w:rPr>
                <w:noProof/>
                <w:webHidden/>
              </w:rPr>
            </w:r>
            <w:r>
              <w:rPr>
                <w:noProof/>
                <w:webHidden/>
              </w:rPr>
              <w:fldChar w:fldCharType="separate"/>
            </w:r>
            <w:r>
              <w:rPr>
                <w:noProof/>
                <w:webHidden/>
              </w:rPr>
              <w:t>56</w:t>
            </w:r>
            <w:r>
              <w:rPr>
                <w:noProof/>
                <w:webHidden/>
              </w:rPr>
              <w:fldChar w:fldCharType="end"/>
            </w:r>
          </w:hyperlink>
        </w:p>
        <w:p w14:paraId="530DB19D" w14:textId="77777777" w:rsidR="009F573A" w:rsidRDefault="009F573A">
          <w:pPr>
            <w:pStyle w:val="TM3"/>
            <w:tabs>
              <w:tab w:val="right" w:leader="dot" w:pos="9060"/>
            </w:tabs>
            <w:rPr>
              <w:rFonts w:eastAsiaTheme="minorEastAsia"/>
              <w:noProof/>
              <w:lang w:eastAsia="fr-FR"/>
            </w:rPr>
          </w:pPr>
          <w:hyperlink w:anchor="_Toc528222358" w:history="1">
            <w:r w:rsidRPr="00AF1459">
              <w:rPr>
                <w:rStyle w:val="Lienhypertexte"/>
                <w:noProof/>
              </w:rPr>
              <w:t>5.1.3. Le financement de la nutrition</w:t>
            </w:r>
            <w:r>
              <w:rPr>
                <w:noProof/>
                <w:webHidden/>
              </w:rPr>
              <w:tab/>
            </w:r>
            <w:r>
              <w:rPr>
                <w:noProof/>
                <w:webHidden/>
              </w:rPr>
              <w:fldChar w:fldCharType="begin"/>
            </w:r>
            <w:r>
              <w:rPr>
                <w:noProof/>
                <w:webHidden/>
              </w:rPr>
              <w:instrText xml:space="preserve"> PAGEREF _Toc528222358 \h </w:instrText>
            </w:r>
            <w:r>
              <w:rPr>
                <w:noProof/>
                <w:webHidden/>
              </w:rPr>
            </w:r>
            <w:r>
              <w:rPr>
                <w:noProof/>
                <w:webHidden/>
              </w:rPr>
              <w:fldChar w:fldCharType="separate"/>
            </w:r>
            <w:r>
              <w:rPr>
                <w:noProof/>
                <w:webHidden/>
              </w:rPr>
              <w:t>57</w:t>
            </w:r>
            <w:r>
              <w:rPr>
                <w:noProof/>
                <w:webHidden/>
              </w:rPr>
              <w:fldChar w:fldCharType="end"/>
            </w:r>
          </w:hyperlink>
        </w:p>
        <w:p w14:paraId="4F63A615" w14:textId="77777777" w:rsidR="009F573A" w:rsidRDefault="009F573A">
          <w:pPr>
            <w:pStyle w:val="TM3"/>
            <w:tabs>
              <w:tab w:val="right" w:leader="dot" w:pos="9060"/>
            </w:tabs>
            <w:rPr>
              <w:rFonts w:eastAsiaTheme="minorEastAsia"/>
              <w:noProof/>
              <w:lang w:eastAsia="fr-FR"/>
            </w:rPr>
          </w:pPr>
          <w:hyperlink w:anchor="_Toc528222359" w:history="1">
            <w:r w:rsidRPr="00AF1459">
              <w:rPr>
                <w:rStyle w:val="Lienhypertexte"/>
                <w:noProof/>
              </w:rPr>
              <w:t>5.1.4 La mise en place d’un système d’information pour la nutrition</w:t>
            </w:r>
            <w:r>
              <w:rPr>
                <w:noProof/>
                <w:webHidden/>
              </w:rPr>
              <w:tab/>
            </w:r>
            <w:r>
              <w:rPr>
                <w:noProof/>
                <w:webHidden/>
              </w:rPr>
              <w:fldChar w:fldCharType="begin"/>
            </w:r>
            <w:r>
              <w:rPr>
                <w:noProof/>
                <w:webHidden/>
              </w:rPr>
              <w:instrText xml:space="preserve"> PAGEREF _Toc528222359 \h </w:instrText>
            </w:r>
            <w:r>
              <w:rPr>
                <w:noProof/>
                <w:webHidden/>
              </w:rPr>
            </w:r>
            <w:r>
              <w:rPr>
                <w:noProof/>
                <w:webHidden/>
              </w:rPr>
              <w:fldChar w:fldCharType="separate"/>
            </w:r>
            <w:r>
              <w:rPr>
                <w:noProof/>
                <w:webHidden/>
              </w:rPr>
              <w:t>58</w:t>
            </w:r>
            <w:r>
              <w:rPr>
                <w:noProof/>
                <w:webHidden/>
              </w:rPr>
              <w:fldChar w:fldCharType="end"/>
            </w:r>
          </w:hyperlink>
        </w:p>
        <w:p w14:paraId="3CE7497F" w14:textId="77777777" w:rsidR="009F573A" w:rsidRDefault="009F573A">
          <w:pPr>
            <w:pStyle w:val="TM3"/>
            <w:tabs>
              <w:tab w:val="right" w:leader="dot" w:pos="9060"/>
            </w:tabs>
            <w:rPr>
              <w:rFonts w:eastAsiaTheme="minorEastAsia"/>
              <w:noProof/>
              <w:lang w:eastAsia="fr-FR"/>
            </w:rPr>
          </w:pPr>
          <w:hyperlink w:anchor="_Toc528222360" w:history="1">
            <w:r w:rsidRPr="00AF1459">
              <w:rPr>
                <w:rStyle w:val="Lienhypertexte"/>
                <w:noProof/>
              </w:rPr>
              <w:t>5.1.5 Le suivi et évaluation de la mise en œuvre de la PNSN</w:t>
            </w:r>
            <w:r>
              <w:rPr>
                <w:noProof/>
                <w:webHidden/>
              </w:rPr>
              <w:tab/>
            </w:r>
            <w:r>
              <w:rPr>
                <w:noProof/>
                <w:webHidden/>
              </w:rPr>
              <w:fldChar w:fldCharType="begin"/>
            </w:r>
            <w:r>
              <w:rPr>
                <w:noProof/>
                <w:webHidden/>
              </w:rPr>
              <w:instrText xml:space="preserve"> PAGEREF _Toc528222360 \h </w:instrText>
            </w:r>
            <w:r>
              <w:rPr>
                <w:noProof/>
                <w:webHidden/>
              </w:rPr>
            </w:r>
            <w:r>
              <w:rPr>
                <w:noProof/>
                <w:webHidden/>
              </w:rPr>
              <w:fldChar w:fldCharType="separate"/>
            </w:r>
            <w:r>
              <w:rPr>
                <w:noProof/>
                <w:webHidden/>
              </w:rPr>
              <w:t>59</w:t>
            </w:r>
            <w:r>
              <w:rPr>
                <w:noProof/>
                <w:webHidden/>
              </w:rPr>
              <w:fldChar w:fldCharType="end"/>
            </w:r>
          </w:hyperlink>
        </w:p>
        <w:p w14:paraId="0FFB6D20" w14:textId="77777777" w:rsidR="009F573A" w:rsidRDefault="009F573A">
          <w:pPr>
            <w:pStyle w:val="TM3"/>
            <w:tabs>
              <w:tab w:val="right" w:leader="dot" w:pos="9060"/>
            </w:tabs>
            <w:rPr>
              <w:rFonts w:eastAsiaTheme="minorEastAsia"/>
              <w:noProof/>
              <w:lang w:eastAsia="fr-FR"/>
            </w:rPr>
          </w:pPr>
          <w:hyperlink w:anchor="_Toc528222361" w:history="1">
            <w:r w:rsidRPr="00AF1459">
              <w:rPr>
                <w:rStyle w:val="Lienhypertexte"/>
                <w:noProof/>
              </w:rPr>
              <w:t>5.1.6 La rédevabilité des acteurs de la PNSN</w:t>
            </w:r>
            <w:r>
              <w:rPr>
                <w:noProof/>
                <w:webHidden/>
              </w:rPr>
              <w:tab/>
            </w:r>
            <w:r>
              <w:rPr>
                <w:noProof/>
                <w:webHidden/>
              </w:rPr>
              <w:fldChar w:fldCharType="begin"/>
            </w:r>
            <w:r>
              <w:rPr>
                <w:noProof/>
                <w:webHidden/>
              </w:rPr>
              <w:instrText xml:space="preserve"> PAGEREF _Toc528222361 \h </w:instrText>
            </w:r>
            <w:r>
              <w:rPr>
                <w:noProof/>
                <w:webHidden/>
              </w:rPr>
            </w:r>
            <w:r>
              <w:rPr>
                <w:noProof/>
                <w:webHidden/>
              </w:rPr>
              <w:fldChar w:fldCharType="separate"/>
            </w:r>
            <w:r>
              <w:rPr>
                <w:noProof/>
                <w:webHidden/>
              </w:rPr>
              <w:t>59</w:t>
            </w:r>
            <w:r>
              <w:rPr>
                <w:noProof/>
                <w:webHidden/>
              </w:rPr>
              <w:fldChar w:fldCharType="end"/>
            </w:r>
          </w:hyperlink>
        </w:p>
        <w:p w14:paraId="3B960BE3" w14:textId="77777777" w:rsidR="009F573A" w:rsidRDefault="009F573A">
          <w:pPr>
            <w:pStyle w:val="TM2"/>
            <w:tabs>
              <w:tab w:val="left" w:pos="880"/>
              <w:tab w:val="right" w:leader="dot" w:pos="9060"/>
            </w:tabs>
            <w:rPr>
              <w:rFonts w:eastAsiaTheme="minorEastAsia"/>
              <w:noProof/>
              <w:lang w:eastAsia="fr-FR"/>
            </w:rPr>
          </w:pPr>
          <w:hyperlink w:anchor="_Toc528222362" w:history="1">
            <w:r w:rsidRPr="00AF1459">
              <w:rPr>
                <w:rStyle w:val="Lienhypertexte"/>
                <w:noProof/>
              </w:rPr>
              <w:t>5.2</w:t>
            </w:r>
            <w:r>
              <w:rPr>
                <w:rFonts w:eastAsiaTheme="minorEastAsia"/>
                <w:noProof/>
                <w:lang w:eastAsia="fr-FR"/>
              </w:rPr>
              <w:tab/>
            </w:r>
            <w:r w:rsidRPr="00AF1459">
              <w:rPr>
                <w:rStyle w:val="Lienhypertexte"/>
                <w:noProof/>
              </w:rPr>
              <w:t>Les enjeux d’ordre opérationnels :</w:t>
            </w:r>
            <w:r>
              <w:rPr>
                <w:noProof/>
                <w:webHidden/>
              </w:rPr>
              <w:tab/>
            </w:r>
            <w:r>
              <w:rPr>
                <w:noProof/>
                <w:webHidden/>
              </w:rPr>
              <w:fldChar w:fldCharType="begin"/>
            </w:r>
            <w:r>
              <w:rPr>
                <w:noProof/>
                <w:webHidden/>
              </w:rPr>
              <w:instrText xml:space="preserve"> PAGEREF _Toc528222362 \h </w:instrText>
            </w:r>
            <w:r>
              <w:rPr>
                <w:noProof/>
                <w:webHidden/>
              </w:rPr>
            </w:r>
            <w:r>
              <w:rPr>
                <w:noProof/>
                <w:webHidden/>
              </w:rPr>
              <w:fldChar w:fldCharType="separate"/>
            </w:r>
            <w:r>
              <w:rPr>
                <w:noProof/>
                <w:webHidden/>
              </w:rPr>
              <w:t>60</w:t>
            </w:r>
            <w:r>
              <w:rPr>
                <w:noProof/>
                <w:webHidden/>
              </w:rPr>
              <w:fldChar w:fldCharType="end"/>
            </w:r>
          </w:hyperlink>
        </w:p>
        <w:p w14:paraId="0652E433" w14:textId="77777777" w:rsidR="009F573A" w:rsidRDefault="009F573A">
          <w:pPr>
            <w:pStyle w:val="TM3"/>
            <w:tabs>
              <w:tab w:val="right" w:leader="dot" w:pos="9060"/>
            </w:tabs>
            <w:rPr>
              <w:rFonts w:eastAsiaTheme="minorEastAsia"/>
              <w:noProof/>
              <w:lang w:eastAsia="fr-FR"/>
            </w:rPr>
          </w:pPr>
          <w:hyperlink w:anchor="_Toc528222363" w:history="1">
            <w:r w:rsidRPr="00AF1459">
              <w:rPr>
                <w:rStyle w:val="Lienhypertexte"/>
                <w:noProof/>
              </w:rPr>
              <w:t>5.2.1 Le renforcement des capacités institutionnelles et humaines en faveur de la nutrition</w:t>
            </w:r>
            <w:r>
              <w:rPr>
                <w:noProof/>
                <w:webHidden/>
              </w:rPr>
              <w:tab/>
            </w:r>
            <w:r>
              <w:rPr>
                <w:noProof/>
                <w:webHidden/>
              </w:rPr>
              <w:fldChar w:fldCharType="begin"/>
            </w:r>
            <w:r>
              <w:rPr>
                <w:noProof/>
                <w:webHidden/>
              </w:rPr>
              <w:instrText xml:space="preserve"> PAGEREF _Toc528222363 \h </w:instrText>
            </w:r>
            <w:r>
              <w:rPr>
                <w:noProof/>
                <w:webHidden/>
              </w:rPr>
            </w:r>
            <w:r>
              <w:rPr>
                <w:noProof/>
                <w:webHidden/>
              </w:rPr>
              <w:fldChar w:fldCharType="separate"/>
            </w:r>
            <w:r>
              <w:rPr>
                <w:noProof/>
                <w:webHidden/>
              </w:rPr>
              <w:t>60</w:t>
            </w:r>
            <w:r>
              <w:rPr>
                <w:noProof/>
                <w:webHidden/>
              </w:rPr>
              <w:fldChar w:fldCharType="end"/>
            </w:r>
          </w:hyperlink>
        </w:p>
        <w:p w14:paraId="35093F1C" w14:textId="77777777" w:rsidR="009F573A" w:rsidRDefault="009F573A">
          <w:pPr>
            <w:pStyle w:val="TM3"/>
            <w:tabs>
              <w:tab w:val="right" w:leader="dot" w:pos="9060"/>
            </w:tabs>
            <w:rPr>
              <w:rFonts w:eastAsiaTheme="minorEastAsia"/>
              <w:noProof/>
              <w:lang w:eastAsia="fr-FR"/>
            </w:rPr>
          </w:pPr>
          <w:hyperlink w:anchor="_Toc528222364" w:history="1">
            <w:r w:rsidRPr="00AF1459">
              <w:rPr>
                <w:rStyle w:val="Lienhypertexte"/>
                <w:noProof/>
              </w:rPr>
              <w:t>5.2.2 La définition d’un paquet minium d’activités multisectorielles à haut impact à mettre à échelle</w:t>
            </w:r>
            <w:r>
              <w:rPr>
                <w:noProof/>
                <w:webHidden/>
              </w:rPr>
              <w:tab/>
            </w:r>
            <w:r>
              <w:rPr>
                <w:noProof/>
                <w:webHidden/>
              </w:rPr>
              <w:fldChar w:fldCharType="begin"/>
            </w:r>
            <w:r>
              <w:rPr>
                <w:noProof/>
                <w:webHidden/>
              </w:rPr>
              <w:instrText xml:space="preserve"> PAGEREF _Toc528222364 \h </w:instrText>
            </w:r>
            <w:r>
              <w:rPr>
                <w:noProof/>
                <w:webHidden/>
              </w:rPr>
            </w:r>
            <w:r>
              <w:rPr>
                <w:noProof/>
                <w:webHidden/>
              </w:rPr>
              <w:fldChar w:fldCharType="separate"/>
            </w:r>
            <w:r>
              <w:rPr>
                <w:noProof/>
                <w:webHidden/>
              </w:rPr>
              <w:t>61</w:t>
            </w:r>
            <w:r>
              <w:rPr>
                <w:noProof/>
                <w:webHidden/>
              </w:rPr>
              <w:fldChar w:fldCharType="end"/>
            </w:r>
          </w:hyperlink>
        </w:p>
        <w:p w14:paraId="3EC6F30F" w14:textId="77777777" w:rsidR="009F573A" w:rsidRDefault="009F573A">
          <w:pPr>
            <w:pStyle w:val="TM3"/>
            <w:tabs>
              <w:tab w:val="right" w:leader="dot" w:pos="9060"/>
            </w:tabs>
            <w:rPr>
              <w:rFonts w:eastAsiaTheme="minorEastAsia"/>
              <w:noProof/>
              <w:lang w:eastAsia="fr-FR"/>
            </w:rPr>
          </w:pPr>
          <w:hyperlink w:anchor="_Toc528222365" w:history="1">
            <w:r w:rsidRPr="00AF1459">
              <w:rPr>
                <w:rStyle w:val="Lienhypertexte"/>
                <w:noProof/>
              </w:rPr>
              <w:t>5.2.3 Le ciblage des zones d’interventions et des bénéficiaires</w:t>
            </w:r>
            <w:r>
              <w:rPr>
                <w:noProof/>
                <w:webHidden/>
              </w:rPr>
              <w:tab/>
            </w:r>
            <w:r>
              <w:rPr>
                <w:noProof/>
                <w:webHidden/>
              </w:rPr>
              <w:fldChar w:fldCharType="begin"/>
            </w:r>
            <w:r>
              <w:rPr>
                <w:noProof/>
                <w:webHidden/>
              </w:rPr>
              <w:instrText xml:space="preserve"> PAGEREF _Toc528222365 \h </w:instrText>
            </w:r>
            <w:r>
              <w:rPr>
                <w:noProof/>
                <w:webHidden/>
              </w:rPr>
            </w:r>
            <w:r>
              <w:rPr>
                <w:noProof/>
                <w:webHidden/>
              </w:rPr>
              <w:fldChar w:fldCharType="separate"/>
            </w:r>
            <w:r>
              <w:rPr>
                <w:noProof/>
                <w:webHidden/>
              </w:rPr>
              <w:t>62</w:t>
            </w:r>
            <w:r>
              <w:rPr>
                <w:noProof/>
                <w:webHidden/>
              </w:rPr>
              <w:fldChar w:fldCharType="end"/>
            </w:r>
          </w:hyperlink>
        </w:p>
        <w:p w14:paraId="716750C7" w14:textId="77777777" w:rsidR="009F573A" w:rsidRDefault="009F573A">
          <w:pPr>
            <w:pStyle w:val="TM1"/>
            <w:tabs>
              <w:tab w:val="right" w:leader="dot" w:pos="9060"/>
            </w:tabs>
            <w:rPr>
              <w:rFonts w:eastAsiaTheme="minorEastAsia"/>
              <w:noProof/>
              <w:lang w:eastAsia="fr-FR"/>
            </w:rPr>
          </w:pPr>
          <w:hyperlink w:anchor="_Toc528222366" w:history="1">
            <w:r w:rsidRPr="00AF1459">
              <w:rPr>
                <w:rStyle w:val="Lienhypertexte"/>
                <w:noProof/>
              </w:rPr>
              <w:t>Conclusion</w:t>
            </w:r>
            <w:r>
              <w:rPr>
                <w:noProof/>
                <w:webHidden/>
              </w:rPr>
              <w:tab/>
            </w:r>
            <w:r>
              <w:rPr>
                <w:noProof/>
                <w:webHidden/>
              </w:rPr>
              <w:fldChar w:fldCharType="begin"/>
            </w:r>
            <w:r>
              <w:rPr>
                <w:noProof/>
                <w:webHidden/>
              </w:rPr>
              <w:instrText xml:space="preserve"> PAGEREF _Toc528222366 \h </w:instrText>
            </w:r>
            <w:r>
              <w:rPr>
                <w:noProof/>
                <w:webHidden/>
              </w:rPr>
            </w:r>
            <w:r>
              <w:rPr>
                <w:noProof/>
                <w:webHidden/>
              </w:rPr>
              <w:fldChar w:fldCharType="separate"/>
            </w:r>
            <w:r>
              <w:rPr>
                <w:noProof/>
                <w:webHidden/>
              </w:rPr>
              <w:t>64</w:t>
            </w:r>
            <w:r>
              <w:rPr>
                <w:noProof/>
                <w:webHidden/>
              </w:rPr>
              <w:fldChar w:fldCharType="end"/>
            </w:r>
          </w:hyperlink>
        </w:p>
        <w:p w14:paraId="2392C354" w14:textId="77777777" w:rsidR="009F573A" w:rsidRDefault="009F573A">
          <w:pPr>
            <w:pStyle w:val="TM1"/>
            <w:tabs>
              <w:tab w:val="right" w:leader="dot" w:pos="9060"/>
            </w:tabs>
            <w:rPr>
              <w:rFonts w:eastAsiaTheme="minorEastAsia"/>
              <w:noProof/>
              <w:lang w:eastAsia="fr-FR"/>
            </w:rPr>
          </w:pPr>
          <w:hyperlink w:anchor="_Toc528222367" w:history="1">
            <w:r w:rsidRPr="00AF1459">
              <w:rPr>
                <w:rStyle w:val="Lienhypertexte"/>
                <w:noProof/>
              </w:rPr>
              <w:t>ANNEXE</w:t>
            </w:r>
            <w:r>
              <w:rPr>
                <w:noProof/>
                <w:webHidden/>
              </w:rPr>
              <w:tab/>
            </w:r>
            <w:r>
              <w:rPr>
                <w:noProof/>
                <w:webHidden/>
              </w:rPr>
              <w:fldChar w:fldCharType="begin"/>
            </w:r>
            <w:r>
              <w:rPr>
                <w:noProof/>
                <w:webHidden/>
              </w:rPr>
              <w:instrText xml:space="preserve"> PAGEREF _Toc528222367 \h </w:instrText>
            </w:r>
            <w:r>
              <w:rPr>
                <w:noProof/>
                <w:webHidden/>
              </w:rPr>
            </w:r>
            <w:r>
              <w:rPr>
                <w:noProof/>
                <w:webHidden/>
              </w:rPr>
              <w:fldChar w:fldCharType="separate"/>
            </w:r>
            <w:r>
              <w:rPr>
                <w:noProof/>
                <w:webHidden/>
              </w:rPr>
              <w:t>65</w:t>
            </w:r>
            <w:r>
              <w:rPr>
                <w:noProof/>
                <w:webHidden/>
              </w:rPr>
              <w:fldChar w:fldCharType="end"/>
            </w:r>
          </w:hyperlink>
        </w:p>
        <w:p w14:paraId="505C29AF" w14:textId="77777777" w:rsidR="009F573A" w:rsidRDefault="009F573A">
          <w:pPr>
            <w:pStyle w:val="TM1"/>
            <w:tabs>
              <w:tab w:val="right" w:leader="dot" w:pos="9060"/>
            </w:tabs>
            <w:rPr>
              <w:rFonts w:eastAsiaTheme="minorEastAsia"/>
              <w:noProof/>
              <w:lang w:eastAsia="fr-FR"/>
            </w:rPr>
          </w:pPr>
          <w:hyperlink w:anchor="_Toc528222368" w:history="1">
            <w:r w:rsidRPr="00AF1459">
              <w:rPr>
                <w:rStyle w:val="Lienhypertexte"/>
                <w:noProof/>
              </w:rPr>
              <w:t>REFERENCES</w:t>
            </w:r>
            <w:r>
              <w:rPr>
                <w:noProof/>
                <w:webHidden/>
              </w:rPr>
              <w:tab/>
            </w:r>
            <w:r>
              <w:rPr>
                <w:noProof/>
                <w:webHidden/>
              </w:rPr>
              <w:fldChar w:fldCharType="begin"/>
            </w:r>
            <w:r>
              <w:rPr>
                <w:noProof/>
                <w:webHidden/>
              </w:rPr>
              <w:instrText xml:space="preserve"> PAGEREF _Toc528222368 \h </w:instrText>
            </w:r>
            <w:r>
              <w:rPr>
                <w:noProof/>
                <w:webHidden/>
              </w:rPr>
            </w:r>
            <w:r>
              <w:rPr>
                <w:noProof/>
                <w:webHidden/>
              </w:rPr>
              <w:fldChar w:fldCharType="separate"/>
            </w:r>
            <w:r>
              <w:rPr>
                <w:noProof/>
                <w:webHidden/>
              </w:rPr>
              <w:t>67</w:t>
            </w:r>
            <w:r>
              <w:rPr>
                <w:noProof/>
                <w:webHidden/>
              </w:rPr>
              <w:fldChar w:fldCharType="end"/>
            </w:r>
          </w:hyperlink>
        </w:p>
        <w:p w14:paraId="1DF73D50" w14:textId="21F9DA0F" w:rsidR="007A2CC8" w:rsidRDefault="007A2CC8">
          <w:r>
            <w:rPr>
              <w:b/>
              <w:bCs/>
            </w:rPr>
            <w:fldChar w:fldCharType="end"/>
          </w:r>
        </w:p>
      </w:sdtContent>
    </w:sdt>
    <w:p w14:paraId="34F89EFB" w14:textId="77777777" w:rsidR="00E50BEA" w:rsidRDefault="00E50BEA" w:rsidP="007E426D">
      <w:pPr>
        <w:spacing w:after="200" w:line="276" w:lineRule="auto"/>
        <w:jc w:val="both"/>
        <w:sectPr w:rsidR="00E50BEA" w:rsidSect="00A879E1">
          <w:pgSz w:w="11906" w:h="16838"/>
          <w:pgMar w:top="1418" w:right="1418" w:bottom="1418" w:left="1418" w:header="709" w:footer="709" w:gutter="0"/>
          <w:cols w:space="708"/>
          <w:docGrid w:linePitch="360"/>
        </w:sectPr>
      </w:pPr>
    </w:p>
    <w:p w14:paraId="58FA26DB" w14:textId="77777777" w:rsidR="00E827A9" w:rsidRDefault="00987429" w:rsidP="00E50BEA">
      <w:pPr>
        <w:pStyle w:val="Titre1Situation"/>
      </w:pPr>
      <w:bookmarkStart w:id="1" w:name="_Toc528222315"/>
      <w:r w:rsidRPr="00E827A9">
        <w:lastRenderedPageBreak/>
        <w:t>LISTE DES ABREVIATIONS</w:t>
      </w:r>
      <w:bookmarkEnd w:id="1"/>
      <w:r w:rsidRPr="00E827A9">
        <w:t xml:space="preserve"> </w:t>
      </w:r>
    </w:p>
    <w:p w14:paraId="5F2481C0"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AC </w:t>
      </w:r>
      <w:r w:rsidRPr="00F6247C">
        <w:rPr>
          <w:rFonts w:ascii="Arial" w:hAnsi="Arial" w:cs="Arial"/>
          <w:sz w:val="20"/>
          <w:szCs w:val="20"/>
        </w:rPr>
        <w:tab/>
        <w:t>Crédit de Paiement</w:t>
      </w:r>
    </w:p>
    <w:p w14:paraId="16928702"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ACT </w:t>
      </w:r>
      <w:r w:rsidRPr="00F6247C">
        <w:rPr>
          <w:rFonts w:ascii="Arial" w:hAnsi="Arial" w:cs="Arial"/>
          <w:sz w:val="20"/>
          <w:szCs w:val="20"/>
        </w:rPr>
        <w:tab/>
        <w:t>Antipaludéens issus de Combinaisons Thérapeutiques</w:t>
      </w:r>
    </w:p>
    <w:p w14:paraId="0E520C8E"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AE </w:t>
      </w:r>
      <w:r w:rsidRPr="00F6247C">
        <w:rPr>
          <w:rFonts w:ascii="Arial" w:hAnsi="Arial" w:cs="Arial"/>
          <w:sz w:val="20"/>
          <w:szCs w:val="20"/>
        </w:rPr>
        <w:tab/>
        <w:t>Autorisations d’Engagement</w:t>
      </w:r>
    </w:p>
    <w:p w14:paraId="7CB8593B" w14:textId="77777777" w:rsidR="001535F0" w:rsidRPr="00BA4EF5" w:rsidRDefault="001535F0" w:rsidP="00F6247C">
      <w:pPr>
        <w:tabs>
          <w:tab w:val="left" w:pos="2552"/>
        </w:tabs>
        <w:rPr>
          <w:rFonts w:ascii="Arial" w:hAnsi="Arial" w:cs="Arial"/>
          <w:sz w:val="20"/>
          <w:szCs w:val="20"/>
        </w:rPr>
      </w:pPr>
      <w:r w:rsidRPr="00BA4EF5">
        <w:rPr>
          <w:rFonts w:ascii="Arial" w:hAnsi="Arial" w:cs="Arial"/>
          <w:sz w:val="20"/>
          <w:szCs w:val="20"/>
        </w:rPr>
        <w:t>AGIR</w:t>
      </w:r>
      <w:r w:rsidRPr="00BA4EF5">
        <w:rPr>
          <w:rFonts w:ascii="Arial" w:hAnsi="Arial" w:cs="Arial"/>
          <w:sz w:val="20"/>
          <w:szCs w:val="20"/>
        </w:rPr>
        <w:tab/>
        <w:t>Alliance Globale pour la Résilience</w:t>
      </w:r>
    </w:p>
    <w:p w14:paraId="47442EBC" w14:textId="77777777" w:rsidR="001535F0" w:rsidRPr="00F6247C" w:rsidRDefault="001535F0" w:rsidP="00F6247C">
      <w:pPr>
        <w:tabs>
          <w:tab w:val="left" w:pos="2552"/>
        </w:tabs>
        <w:rPr>
          <w:rFonts w:ascii="Arial" w:hAnsi="Arial" w:cs="Arial"/>
          <w:sz w:val="20"/>
          <w:szCs w:val="20"/>
        </w:rPr>
      </w:pPr>
      <w:r w:rsidRPr="00BA4EF5">
        <w:rPr>
          <w:rFonts w:ascii="Arial" w:hAnsi="Arial" w:cs="Arial"/>
          <w:sz w:val="20"/>
          <w:szCs w:val="20"/>
        </w:rPr>
        <w:t>ANJE</w:t>
      </w:r>
      <w:r w:rsidRPr="00F6247C">
        <w:rPr>
          <w:rFonts w:ascii="Arial" w:hAnsi="Arial" w:cs="Arial"/>
          <w:sz w:val="20"/>
          <w:szCs w:val="20"/>
        </w:rPr>
        <w:t xml:space="preserve"> </w:t>
      </w:r>
      <w:r w:rsidRPr="00F6247C">
        <w:rPr>
          <w:rFonts w:ascii="Arial" w:hAnsi="Arial" w:cs="Arial"/>
          <w:sz w:val="20"/>
          <w:szCs w:val="20"/>
        </w:rPr>
        <w:tab/>
        <w:t>Alimentation du Nourrisson et du Jeune Enfant</w:t>
      </w:r>
    </w:p>
    <w:p w14:paraId="1DC1B758"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CEDEAO</w:t>
      </w:r>
      <w:r w:rsidRPr="00F6247C">
        <w:rPr>
          <w:rFonts w:ascii="Arial" w:eastAsia="Times New Roman" w:hAnsi="Arial" w:cs="Arial"/>
          <w:sz w:val="20"/>
          <w:szCs w:val="20"/>
          <w:lang w:bidi="en-US"/>
        </w:rPr>
        <w:t xml:space="preserve"> </w:t>
      </w:r>
      <w:r w:rsidRPr="00F6247C">
        <w:rPr>
          <w:rFonts w:ascii="Arial" w:eastAsia="Times New Roman" w:hAnsi="Arial" w:cs="Arial"/>
          <w:sz w:val="20"/>
          <w:szCs w:val="20"/>
          <w:lang w:bidi="en-US"/>
        </w:rPr>
        <w:tab/>
        <w:t>C</w:t>
      </w:r>
      <w:r w:rsidRPr="00F6247C">
        <w:rPr>
          <w:rFonts w:ascii="Arial" w:hAnsi="Arial" w:cs="Arial"/>
          <w:sz w:val="20"/>
          <w:szCs w:val="20"/>
        </w:rPr>
        <w:t xml:space="preserve">ommunauté Des </w:t>
      </w:r>
      <w:r w:rsidRPr="00F6247C">
        <w:rPr>
          <w:rFonts w:ascii="Arial" w:eastAsia="Times New Roman" w:hAnsi="Arial" w:cs="Arial"/>
          <w:sz w:val="20"/>
          <w:szCs w:val="20"/>
          <w:lang w:bidi="en-US"/>
        </w:rPr>
        <w:t>E</w:t>
      </w:r>
      <w:r w:rsidRPr="00F6247C">
        <w:rPr>
          <w:rFonts w:ascii="Arial" w:hAnsi="Arial" w:cs="Arial"/>
          <w:sz w:val="20"/>
          <w:szCs w:val="20"/>
        </w:rPr>
        <w:t>tats d’Afrique de l’Ouest</w:t>
      </w:r>
    </w:p>
    <w:p w14:paraId="2BA364AA"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CES/DRS </w:t>
      </w:r>
      <w:r w:rsidRPr="00F6247C">
        <w:rPr>
          <w:rFonts w:ascii="Arial" w:hAnsi="Arial" w:cs="Arial"/>
          <w:sz w:val="20"/>
          <w:szCs w:val="20"/>
        </w:rPr>
        <w:tab/>
        <w:t>Conservation des Eaux et du Sol et de Défense et Restauration des Sols</w:t>
      </w:r>
    </w:p>
    <w:p w14:paraId="3659A25A"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CIN2</w:t>
      </w:r>
      <w:r w:rsidRPr="00F6247C">
        <w:rPr>
          <w:rFonts w:ascii="Arial" w:hAnsi="Arial" w:cs="Arial"/>
          <w:sz w:val="20"/>
          <w:szCs w:val="20"/>
        </w:rPr>
        <w:tab/>
        <w:t>Conférence Internationale sur la Nutrition</w:t>
      </w:r>
    </w:p>
    <w:p w14:paraId="27B6334F"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CIO </w:t>
      </w:r>
      <w:r w:rsidRPr="00F6247C">
        <w:rPr>
          <w:rFonts w:ascii="Arial" w:hAnsi="Arial" w:cs="Arial"/>
          <w:sz w:val="20"/>
          <w:szCs w:val="20"/>
        </w:rPr>
        <w:tab/>
        <w:t>Conseil Interministériel d’Orientation</w:t>
      </w:r>
    </w:p>
    <w:p w14:paraId="13DB24A9"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CMPS-4</w:t>
      </w:r>
      <w:r w:rsidRPr="00F6247C">
        <w:rPr>
          <w:rFonts w:ascii="Arial" w:hAnsi="Arial" w:cs="Arial"/>
          <w:sz w:val="20"/>
          <w:szCs w:val="20"/>
        </w:rPr>
        <w:tab/>
        <w:t>Création du Comité Multisectoriel du Programme stratégique 4</w:t>
      </w:r>
    </w:p>
    <w:p w14:paraId="591A1B65" w14:textId="77777777" w:rsidR="001535F0" w:rsidRDefault="001535F0" w:rsidP="00F6247C">
      <w:pPr>
        <w:tabs>
          <w:tab w:val="left" w:pos="2552"/>
        </w:tabs>
        <w:rPr>
          <w:rFonts w:ascii="Arial" w:eastAsia="Times New Roman" w:hAnsi="Arial" w:cs="Arial"/>
          <w:sz w:val="20"/>
          <w:szCs w:val="20"/>
          <w:lang w:bidi="en-US"/>
        </w:rPr>
      </w:pPr>
      <w:r w:rsidRPr="00F6247C">
        <w:rPr>
          <w:rFonts w:ascii="Arial" w:eastAsia="Times New Roman" w:hAnsi="Arial" w:cs="Arial"/>
          <w:sz w:val="20"/>
          <w:szCs w:val="20"/>
          <w:lang w:bidi="en-US"/>
        </w:rPr>
        <w:t>CNI</w:t>
      </w:r>
      <w:r w:rsidRPr="00F6247C">
        <w:rPr>
          <w:rFonts w:ascii="Arial" w:eastAsia="Times New Roman" w:hAnsi="Arial" w:cs="Arial"/>
          <w:sz w:val="20"/>
          <w:szCs w:val="20"/>
          <w:lang w:bidi="en-US"/>
        </w:rPr>
        <w:tab/>
        <w:t xml:space="preserve">Conférence International sur la Nutrition </w:t>
      </w:r>
      <w:r w:rsidRPr="00F6247C">
        <w:rPr>
          <w:rFonts w:ascii="Arial" w:hAnsi="Arial" w:cs="Arial"/>
          <w:sz w:val="20"/>
          <w:szCs w:val="20"/>
        </w:rPr>
        <w:t>O</w:t>
      </w:r>
      <w:r w:rsidRPr="00F6247C">
        <w:rPr>
          <w:rFonts w:ascii="Arial" w:eastAsia="Times New Roman" w:hAnsi="Arial" w:cs="Arial"/>
          <w:sz w:val="20"/>
          <w:szCs w:val="20"/>
          <w:lang w:bidi="en-US"/>
        </w:rPr>
        <w:t xml:space="preserve">bjectifs du Millénaire pour le </w:t>
      </w:r>
    </w:p>
    <w:p w14:paraId="5999CDC7"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CPNR </w:t>
      </w:r>
      <w:r w:rsidRPr="00F6247C">
        <w:rPr>
          <w:rFonts w:ascii="Arial" w:hAnsi="Arial" w:cs="Arial"/>
          <w:sz w:val="20"/>
          <w:szCs w:val="20"/>
        </w:rPr>
        <w:tab/>
        <w:t>la Consultation Prénatale Recentrée</w:t>
      </w:r>
    </w:p>
    <w:p w14:paraId="7C782E32"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CPS </w:t>
      </w:r>
      <w:r w:rsidRPr="00F6247C">
        <w:rPr>
          <w:rFonts w:ascii="Arial" w:hAnsi="Arial" w:cs="Arial"/>
          <w:sz w:val="20"/>
          <w:szCs w:val="20"/>
        </w:rPr>
        <w:tab/>
        <w:t>Chimio-prophylaxie Saisonnière du Paludisme</w:t>
      </w:r>
    </w:p>
    <w:p w14:paraId="29912B60"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CSIN-GDT </w:t>
      </w:r>
      <w:r w:rsidRPr="00F6247C">
        <w:rPr>
          <w:rFonts w:ascii="Arial" w:hAnsi="Arial" w:cs="Arial"/>
          <w:sz w:val="20"/>
          <w:szCs w:val="20"/>
        </w:rPr>
        <w:tab/>
        <w:t>Cadre Stratégique du Niger en matière de Gestion Durable des Terres</w:t>
      </w:r>
    </w:p>
    <w:p w14:paraId="4139DB6A" w14:textId="77777777" w:rsidR="001535F0" w:rsidRPr="00F6247C" w:rsidRDefault="001535F0" w:rsidP="00F6247C">
      <w:pPr>
        <w:tabs>
          <w:tab w:val="left" w:pos="2552"/>
        </w:tabs>
        <w:rPr>
          <w:rFonts w:ascii="Arial" w:eastAsia="Times New Roman" w:hAnsi="Arial" w:cs="Arial"/>
          <w:sz w:val="20"/>
          <w:szCs w:val="20"/>
          <w:lang w:bidi="en-US"/>
        </w:rPr>
      </w:pPr>
      <w:r>
        <w:rPr>
          <w:rFonts w:ascii="Arial" w:eastAsia="Times New Roman" w:hAnsi="Arial" w:cs="Arial"/>
          <w:sz w:val="20"/>
          <w:szCs w:val="20"/>
          <w:lang w:bidi="en-US"/>
        </w:rPr>
        <w:tab/>
      </w:r>
      <w:r w:rsidRPr="00F6247C">
        <w:rPr>
          <w:rFonts w:ascii="Arial" w:hAnsi="Arial" w:cs="Arial"/>
          <w:sz w:val="20"/>
          <w:szCs w:val="20"/>
        </w:rPr>
        <w:t>D</w:t>
      </w:r>
      <w:r w:rsidRPr="00F6247C">
        <w:rPr>
          <w:rFonts w:ascii="Arial" w:eastAsia="Times New Roman" w:hAnsi="Arial" w:cs="Arial"/>
          <w:sz w:val="20"/>
          <w:szCs w:val="20"/>
          <w:lang w:bidi="en-US"/>
        </w:rPr>
        <w:t>éveloppement (OMD)</w:t>
      </w:r>
    </w:p>
    <w:p w14:paraId="63A34DAB"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DGB </w:t>
      </w:r>
      <w:r w:rsidRPr="00F6247C">
        <w:rPr>
          <w:rFonts w:ascii="Arial" w:hAnsi="Arial" w:cs="Arial"/>
          <w:sz w:val="20"/>
          <w:szCs w:val="20"/>
        </w:rPr>
        <w:tab/>
        <w:t>Direction Générale du Budget</w:t>
      </w:r>
    </w:p>
    <w:p w14:paraId="0AE78300"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DN </w:t>
      </w:r>
      <w:r w:rsidRPr="00F6247C">
        <w:rPr>
          <w:rFonts w:ascii="Arial" w:hAnsi="Arial" w:cs="Arial"/>
          <w:sz w:val="20"/>
          <w:szCs w:val="20"/>
        </w:rPr>
        <w:tab/>
        <w:t>Division de la Nutrition</w:t>
      </w:r>
    </w:p>
    <w:p w14:paraId="6E993D5C"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DNPGCA </w:t>
      </w:r>
      <w:r w:rsidRPr="00F6247C">
        <w:rPr>
          <w:rFonts w:ascii="Arial" w:hAnsi="Arial" w:cs="Arial"/>
          <w:sz w:val="20"/>
          <w:szCs w:val="20"/>
        </w:rPr>
        <w:tab/>
        <w:t>Dispositif National de Prévention et de Gestion des Crises Alimentaires</w:t>
      </w:r>
    </w:p>
    <w:p w14:paraId="07D3F2A1"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DOE </w:t>
      </w:r>
      <w:r w:rsidRPr="00F6247C">
        <w:rPr>
          <w:rFonts w:ascii="Arial" w:hAnsi="Arial" w:cs="Arial"/>
          <w:sz w:val="20"/>
          <w:szCs w:val="20"/>
        </w:rPr>
        <w:tab/>
        <w:t>Document d’Orientations Economiques</w:t>
      </w:r>
    </w:p>
    <w:p w14:paraId="690FB5DF"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DPG </w:t>
      </w:r>
      <w:r w:rsidRPr="00F6247C">
        <w:rPr>
          <w:rFonts w:ascii="Arial" w:hAnsi="Arial" w:cs="Arial"/>
          <w:sz w:val="20"/>
          <w:szCs w:val="20"/>
        </w:rPr>
        <w:tab/>
        <w:t>Déclaration de Politique Générale</w:t>
      </w:r>
    </w:p>
    <w:p w14:paraId="1AC10C5F" w14:textId="77777777" w:rsidR="001535F0" w:rsidRDefault="001535F0" w:rsidP="00F6247C">
      <w:pPr>
        <w:tabs>
          <w:tab w:val="left" w:pos="2552"/>
        </w:tabs>
        <w:rPr>
          <w:rFonts w:ascii="Arial" w:hAnsi="Arial" w:cs="Arial"/>
          <w:sz w:val="20"/>
          <w:szCs w:val="20"/>
        </w:rPr>
      </w:pPr>
      <w:r w:rsidRPr="00F6247C">
        <w:rPr>
          <w:rFonts w:ascii="Arial" w:hAnsi="Arial" w:cs="Arial"/>
          <w:sz w:val="20"/>
          <w:szCs w:val="20"/>
        </w:rPr>
        <w:t>DPPD</w:t>
      </w:r>
      <w:r w:rsidRPr="007F1DAF">
        <w:rPr>
          <w:rFonts w:ascii="Arial" w:hAnsi="Arial" w:cs="Arial"/>
          <w:sz w:val="20"/>
          <w:szCs w:val="20"/>
        </w:rPr>
        <w:t xml:space="preserve"> </w:t>
      </w:r>
      <w:r>
        <w:rPr>
          <w:rFonts w:ascii="Arial" w:hAnsi="Arial" w:cs="Arial"/>
          <w:sz w:val="20"/>
          <w:szCs w:val="20"/>
        </w:rPr>
        <w:tab/>
      </w:r>
      <w:r w:rsidRPr="00F6247C">
        <w:rPr>
          <w:rFonts w:ascii="Arial" w:hAnsi="Arial" w:cs="Arial"/>
          <w:sz w:val="20"/>
          <w:szCs w:val="20"/>
        </w:rPr>
        <w:t>Document de Programmation Pluriannuel des Dépenses</w:t>
      </w:r>
    </w:p>
    <w:p w14:paraId="7B04629D" w14:textId="77777777" w:rsidR="001535F0" w:rsidRPr="00F6247C" w:rsidRDefault="001535F0" w:rsidP="00F6247C">
      <w:pPr>
        <w:tabs>
          <w:tab w:val="left" w:pos="2552"/>
        </w:tabs>
        <w:rPr>
          <w:rFonts w:ascii="Arial" w:hAnsi="Arial" w:cs="Arial"/>
          <w:sz w:val="20"/>
          <w:szCs w:val="20"/>
        </w:rPr>
      </w:pPr>
      <w:r w:rsidRPr="007F1DAF">
        <w:rPr>
          <w:rFonts w:ascii="Arial" w:hAnsi="Arial" w:cs="Arial"/>
          <w:sz w:val="20"/>
          <w:szCs w:val="20"/>
        </w:rPr>
        <w:t>DSME</w:t>
      </w:r>
      <w:r w:rsidRPr="00F6247C">
        <w:rPr>
          <w:rFonts w:ascii="Arial" w:hAnsi="Arial" w:cs="Arial"/>
          <w:sz w:val="20"/>
          <w:szCs w:val="20"/>
        </w:rPr>
        <w:tab/>
      </w:r>
      <w:r w:rsidRPr="007F1DAF">
        <w:rPr>
          <w:rFonts w:ascii="Arial" w:hAnsi="Arial" w:cs="Arial"/>
          <w:sz w:val="20"/>
          <w:szCs w:val="20"/>
        </w:rPr>
        <w:t xml:space="preserve">la Direction de la Santé de la </w:t>
      </w:r>
      <w:r>
        <w:rPr>
          <w:rFonts w:ascii="Arial" w:hAnsi="Arial" w:cs="Arial"/>
          <w:sz w:val="20"/>
          <w:szCs w:val="20"/>
        </w:rPr>
        <w:t>M</w:t>
      </w:r>
      <w:r w:rsidRPr="007F1DAF">
        <w:rPr>
          <w:rFonts w:ascii="Arial" w:hAnsi="Arial" w:cs="Arial"/>
          <w:sz w:val="20"/>
          <w:szCs w:val="20"/>
        </w:rPr>
        <w:t>ère et de l’</w:t>
      </w:r>
      <w:r>
        <w:rPr>
          <w:rFonts w:ascii="Arial" w:hAnsi="Arial" w:cs="Arial"/>
          <w:sz w:val="20"/>
          <w:szCs w:val="20"/>
        </w:rPr>
        <w:t>E</w:t>
      </w:r>
      <w:r w:rsidRPr="007F1DAF">
        <w:rPr>
          <w:rFonts w:ascii="Arial" w:hAnsi="Arial" w:cs="Arial"/>
          <w:sz w:val="20"/>
          <w:szCs w:val="20"/>
        </w:rPr>
        <w:t xml:space="preserve">nfant </w:t>
      </w:r>
    </w:p>
    <w:p w14:paraId="72481386"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ECOWAP/PDDAA </w:t>
      </w:r>
      <w:r w:rsidRPr="00F6247C">
        <w:rPr>
          <w:rFonts w:ascii="Arial" w:hAnsi="Arial" w:cs="Arial"/>
          <w:sz w:val="20"/>
          <w:szCs w:val="20"/>
        </w:rPr>
        <w:tab/>
        <w:t>Plan de Développement Détaillé pour l’Agriculture en Afrique</w:t>
      </w:r>
    </w:p>
    <w:p w14:paraId="5221EA7F"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EDSN </w:t>
      </w:r>
      <w:r w:rsidRPr="00F6247C">
        <w:rPr>
          <w:rFonts w:ascii="Arial" w:hAnsi="Arial" w:cs="Arial"/>
          <w:sz w:val="20"/>
          <w:szCs w:val="20"/>
        </w:rPr>
        <w:tab/>
        <w:t>Enquêtes Démographiques et de Santé du Niger</w:t>
      </w:r>
    </w:p>
    <w:p w14:paraId="7A2DFCD9"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ENN </w:t>
      </w:r>
      <w:r w:rsidRPr="00F6247C">
        <w:rPr>
          <w:rFonts w:ascii="Arial" w:hAnsi="Arial" w:cs="Arial"/>
          <w:sz w:val="20"/>
          <w:szCs w:val="20"/>
        </w:rPr>
        <w:tab/>
        <w:t>Emergency Nutrition Network</w:t>
      </w:r>
    </w:p>
    <w:p w14:paraId="514A148E" w14:textId="77777777" w:rsidR="001535F0" w:rsidRPr="00F6247C" w:rsidRDefault="001535F0" w:rsidP="00F6247C">
      <w:pPr>
        <w:tabs>
          <w:tab w:val="left" w:pos="2552"/>
        </w:tabs>
        <w:rPr>
          <w:rFonts w:ascii="Arial" w:hAnsi="Arial" w:cs="Arial"/>
          <w:sz w:val="20"/>
          <w:szCs w:val="20"/>
        </w:rPr>
      </w:pPr>
      <w:r>
        <w:rPr>
          <w:rFonts w:ascii="Arial" w:hAnsi="Arial" w:cs="Arial"/>
          <w:sz w:val="20"/>
          <w:szCs w:val="20"/>
        </w:rPr>
        <w:tab/>
      </w:r>
      <w:r w:rsidRPr="00F6247C">
        <w:rPr>
          <w:rFonts w:ascii="Arial" w:hAnsi="Arial" w:cs="Arial"/>
          <w:sz w:val="20"/>
          <w:szCs w:val="20"/>
        </w:rPr>
        <w:t>et Nutritionnelle au Sahel</w:t>
      </w:r>
    </w:p>
    <w:p w14:paraId="22037204" w14:textId="2767CD54" w:rsidR="001535F0" w:rsidRPr="00F6247C" w:rsidRDefault="001535F0" w:rsidP="00F6247C">
      <w:pPr>
        <w:tabs>
          <w:tab w:val="left" w:pos="2552"/>
        </w:tabs>
        <w:rPr>
          <w:rFonts w:ascii="Arial" w:eastAsia="Times New Roman" w:hAnsi="Arial" w:cs="Arial"/>
          <w:sz w:val="20"/>
          <w:szCs w:val="20"/>
          <w:lang w:bidi="en-US"/>
        </w:rPr>
      </w:pPr>
      <w:r w:rsidRPr="00F6247C">
        <w:rPr>
          <w:rFonts w:ascii="Arial" w:eastAsia="Times New Roman" w:hAnsi="Arial" w:cs="Arial"/>
          <w:sz w:val="20"/>
          <w:szCs w:val="20"/>
          <w:lang w:bidi="en-US"/>
        </w:rPr>
        <w:t>FAO</w:t>
      </w:r>
      <w:r>
        <w:rPr>
          <w:rFonts w:ascii="Arial" w:eastAsia="Times New Roman" w:hAnsi="Arial" w:cs="Arial"/>
          <w:sz w:val="20"/>
          <w:szCs w:val="20"/>
          <w:lang w:bidi="en-US"/>
        </w:rPr>
        <w:tab/>
        <w:t>Organisation des Nations Unies pour l</w:t>
      </w:r>
      <w:r w:rsidR="007A209B">
        <w:rPr>
          <w:rFonts w:ascii="Arial" w:eastAsia="Times New Roman" w:hAnsi="Arial" w:cs="Arial"/>
          <w:sz w:val="20"/>
          <w:szCs w:val="20"/>
          <w:lang w:bidi="en-US"/>
        </w:rPr>
        <w:t>’</w:t>
      </w:r>
      <w:r>
        <w:rPr>
          <w:rFonts w:ascii="Arial" w:eastAsia="Times New Roman" w:hAnsi="Arial" w:cs="Arial"/>
          <w:sz w:val="20"/>
          <w:szCs w:val="20"/>
          <w:lang w:bidi="en-US"/>
        </w:rPr>
        <w:t>alimentation et l’agriculture</w:t>
      </w:r>
    </w:p>
    <w:p w14:paraId="7939C28A"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GIRE </w:t>
      </w:r>
      <w:r w:rsidRPr="00F6247C">
        <w:rPr>
          <w:rFonts w:ascii="Arial" w:hAnsi="Arial" w:cs="Arial"/>
          <w:sz w:val="20"/>
          <w:szCs w:val="20"/>
        </w:rPr>
        <w:tab/>
        <w:t>Programme de Gestion Intégrée des Ressources en Eau</w:t>
      </w:r>
    </w:p>
    <w:p w14:paraId="37E92617"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GS-GDT </w:t>
      </w:r>
      <w:r w:rsidRPr="00F6247C">
        <w:rPr>
          <w:rFonts w:ascii="Arial" w:hAnsi="Arial" w:cs="Arial"/>
          <w:sz w:val="20"/>
          <w:szCs w:val="20"/>
        </w:rPr>
        <w:tab/>
        <w:t>Cadre Stratégique de la Gestion Durable des Terres</w:t>
      </w:r>
    </w:p>
    <w:p w14:paraId="066700DF"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GTN </w:t>
      </w:r>
      <w:r w:rsidRPr="00F6247C">
        <w:rPr>
          <w:rFonts w:ascii="Arial" w:hAnsi="Arial" w:cs="Arial"/>
          <w:sz w:val="20"/>
          <w:szCs w:val="20"/>
        </w:rPr>
        <w:tab/>
        <w:t>Groupe Thématique Nutrition</w:t>
      </w:r>
    </w:p>
    <w:p w14:paraId="38992D8C"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HASA </w:t>
      </w:r>
      <w:r w:rsidRPr="00F6247C">
        <w:rPr>
          <w:rFonts w:ascii="Arial" w:hAnsi="Arial" w:cs="Arial"/>
          <w:sz w:val="20"/>
          <w:szCs w:val="20"/>
        </w:rPr>
        <w:tab/>
        <w:t>Haute Autorité à la Sécurité Alimentaire</w:t>
      </w:r>
    </w:p>
    <w:p w14:paraId="67753916"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HC3N </w:t>
      </w:r>
      <w:r w:rsidRPr="00F6247C">
        <w:rPr>
          <w:rFonts w:ascii="Arial" w:hAnsi="Arial" w:cs="Arial"/>
          <w:sz w:val="20"/>
          <w:szCs w:val="20"/>
        </w:rPr>
        <w:tab/>
        <w:t>Haut-commissariat à l’Initiative les Nigériens nourrissent les Nigériens</w:t>
      </w:r>
    </w:p>
    <w:p w14:paraId="171BEA0B"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HIMO</w:t>
      </w:r>
      <w:r w:rsidRPr="00F6247C">
        <w:rPr>
          <w:rFonts w:ascii="Arial" w:hAnsi="Arial" w:cs="Arial"/>
          <w:sz w:val="20"/>
          <w:szCs w:val="20"/>
        </w:rPr>
        <w:tab/>
        <w:t xml:space="preserve">Haute Intensité de Main d’Oeuvre </w:t>
      </w:r>
    </w:p>
    <w:p w14:paraId="24EE74CD"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I3N</w:t>
      </w:r>
      <w:r w:rsidRPr="00F6247C">
        <w:rPr>
          <w:rFonts w:ascii="Arial" w:hAnsi="Arial" w:cs="Arial"/>
          <w:sz w:val="20"/>
          <w:szCs w:val="20"/>
        </w:rPr>
        <w:tab/>
        <w:t xml:space="preserve">Initiative « les Nigériens Nourrissent les Nigériens » </w:t>
      </w:r>
    </w:p>
    <w:p w14:paraId="6B0396EA"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 xml:space="preserve">IEAN </w:t>
      </w:r>
      <w:r w:rsidRPr="00F6247C">
        <w:rPr>
          <w:rFonts w:ascii="Arial" w:hAnsi="Arial" w:cs="Arial"/>
          <w:sz w:val="20"/>
          <w:szCs w:val="20"/>
        </w:rPr>
        <w:tab/>
        <w:t>Initiative Ecole Amies de la Nutrition</w:t>
      </w:r>
    </w:p>
    <w:p w14:paraId="03C182ED" w14:textId="77777777" w:rsidR="001535F0" w:rsidRPr="00F6247C" w:rsidRDefault="001535F0" w:rsidP="00F6247C">
      <w:pPr>
        <w:tabs>
          <w:tab w:val="left" w:pos="2552"/>
        </w:tabs>
        <w:rPr>
          <w:rFonts w:ascii="Arial" w:hAnsi="Arial" w:cs="Arial"/>
          <w:sz w:val="20"/>
          <w:szCs w:val="20"/>
          <w:lang w:val="en-US"/>
        </w:rPr>
      </w:pPr>
      <w:r w:rsidRPr="00F6247C">
        <w:rPr>
          <w:rFonts w:ascii="Arial" w:hAnsi="Arial" w:cs="Arial"/>
          <w:sz w:val="20"/>
          <w:szCs w:val="20"/>
          <w:lang w:val="en-US"/>
        </w:rPr>
        <w:t xml:space="preserve">LiST </w:t>
      </w:r>
      <w:r w:rsidRPr="00F6247C">
        <w:rPr>
          <w:rFonts w:ascii="Arial" w:hAnsi="Arial" w:cs="Arial"/>
          <w:sz w:val="20"/>
          <w:szCs w:val="20"/>
          <w:lang w:val="en-US"/>
        </w:rPr>
        <w:tab/>
        <w:t>Lives Saved</w:t>
      </w:r>
      <w:r>
        <w:rPr>
          <w:rFonts w:ascii="Arial" w:hAnsi="Arial" w:cs="Arial"/>
          <w:sz w:val="20"/>
          <w:szCs w:val="20"/>
          <w:lang w:val="en-US"/>
        </w:rPr>
        <w:t xml:space="preserve"> Tool</w:t>
      </w:r>
    </w:p>
    <w:p w14:paraId="31C87193" w14:textId="77777777" w:rsidR="001535F0" w:rsidRPr="00F6247C" w:rsidRDefault="001535F0" w:rsidP="00F6247C">
      <w:pPr>
        <w:tabs>
          <w:tab w:val="left" w:pos="2552"/>
        </w:tabs>
        <w:jc w:val="both"/>
        <w:rPr>
          <w:rFonts w:ascii="Arial" w:hAnsi="Arial" w:cs="Arial"/>
          <w:sz w:val="20"/>
          <w:szCs w:val="20"/>
          <w:lang w:val="en-US"/>
        </w:rPr>
      </w:pPr>
      <w:r w:rsidRPr="00F6247C">
        <w:rPr>
          <w:rFonts w:ascii="Arial" w:hAnsi="Arial" w:cs="Arial"/>
          <w:sz w:val="20"/>
          <w:szCs w:val="20"/>
          <w:lang w:val="en-US"/>
        </w:rPr>
        <w:t xml:space="preserve">MAG </w:t>
      </w:r>
      <w:r w:rsidRPr="00F6247C">
        <w:rPr>
          <w:rFonts w:ascii="Arial" w:hAnsi="Arial" w:cs="Arial"/>
          <w:sz w:val="20"/>
          <w:szCs w:val="20"/>
          <w:lang w:val="en-US"/>
        </w:rPr>
        <w:tab/>
        <w:t>Malnutrition Aiguë Globale</w:t>
      </w:r>
    </w:p>
    <w:p w14:paraId="71B9E612"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MAGEL </w:t>
      </w:r>
      <w:r w:rsidRPr="00F6247C">
        <w:rPr>
          <w:rFonts w:ascii="Arial" w:hAnsi="Arial" w:cs="Arial"/>
          <w:sz w:val="20"/>
          <w:szCs w:val="20"/>
        </w:rPr>
        <w:tab/>
        <w:t>Ministère de l’Agriculture et de l’Elevage</w:t>
      </w:r>
    </w:p>
    <w:p w14:paraId="03BC404C"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MAHGC</w:t>
      </w:r>
      <w:r w:rsidRPr="00F6247C">
        <w:rPr>
          <w:rFonts w:ascii="Arial" w:hAnsi="Arial" w:cs="Arial"/>
          <w:sz w:val="20"/>
          <w:szCs w:val="20"/>
        </w:rPr>
        <w:tab/>
        <w:t>Ministère de l’Action Humanitaire et de a Gestion des Catastrophes</w:t>
      </w:r>
    </w:p>
    <w:p w14:paraId="67FB4B8B"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 xml:space="preserve">MAM </w:t>
      </w:r>
      <w:r w:rsidRPr="00F6247C">
        <w:rPr>
          <w:rFonts w:ascii="Arial" w:hAnsi="Arial" w:cs="Arial"/>
          <w:sz w:val="20"/>
          <w:szCs w:val="20"/>
        </w:rPr>
        <w:tab/>
        <w:t>Malnutrition Aiguë Modérée</w:t>
      </w:r>
    </w:p>
    <w:p w14:paraId="2E8E0C95"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 xml:space="preserve">MAS </w:t>
      </w:r>
      <w:r w:rsidRPr="00F6247C">
        <w:rPr>
          <w:rFonts w:ascii="Arial" w:hAnsi="Arial" w:cs="Arial"/>
          <w:sz w:val="20"/>
          <w:szCs w:val="20"/>
        </w:rPr>
        <w:tab/>
        <w:t xml:space="preserve">Malnutrition Aiguë Sévère </w:t>
      </w:r>
    </w:p>
    <w:p w14:paraId="1A8577FD"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lastRenderedPageBreak/>
        <w:t>MC</w:t>
      </w:r>
      <w:r w:rsidRPr="00F6247C">
        <w:rPr>
          <w:rFonts w:ascii="Arial" w:hAnsi="Arial" w:cs="Arial"/>
          <w:sz w:val="20"/>
          <w:szCs w:val="20"/>
        </w:rPr>
        <w:tab/>
        <w:t>Ministère de la Communication</w:t>
      </w:r>
    </w:p>
    <w:p w14:paraId="0D58DFCF"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MCPSP</w:t>
      </w:r>
      <w:r w:rsidRPr="00F6247C">
        <w:rPr>
          <w:rFonts w:ascii="Arial" w:hAnsi="Arial" w:cs="Arial"/>
          <w:sz w:val="20"/>
          <w:szCs w:val="20"/>
        </w:rPr>
        <w:tab/>
        <w:t>Ministère du Commerce et de la Promotion du Secteur Privé</w:t>
      </w:r>
    </w:p>
    <w:p w14:paraId="258EB2D6" w14:textId="77777777" w:rsidR="001535F0" w:rsidRPr="00F6247C" w:rsidRDefault="001535F0" w:rsidP="00F6247C">
      <w:pPr>
        <w:tabs>
          <w:tab w:val="left" w:pos="2552"/>
        </w:tabs>
        <w:ind w:firstLine="3"/>
        <w:jc w:val="both"/>
        <w:rPr>
          <w:rFonts w:ascii="Arial" w:hAnsi="Arial" w:cs="Arial"/>
          <w:sz w:val="20"/>
          <w:szCs w:val="20"/>
        </w:rPr>
      </w:pPr>
      <w:r>
        <w:rPr>
          <w:rFonts w:ascii="Arial" w:hAnsi="Arial" w:cs="Arial"/>
          <w:sz w:val="20"/>
          <w:szCs w:val="20"/>
        </w:rPr>
        <w:t>MDCAT</w:t>
      </w:r>
      <w:r>
        <w:rPr>
          <w:rFonts w:ascii="Arial" w:hAnsi="Arial" w:cs="Arial"/>
          <w:sz w:val="20"/>
          <w:szCs w:val="20"/>
        </w:rPr>
        <w:tab/>
      </w:r>
      <w:r w:rsidRPr="00F6247C">
        <w:rPr>
          <w:rFonts w:ascii="Arial" w:hAnsi="Arial" w:cs="Arial"/>
          <w:sz w:val="20"/>
          <w:szCs w:val="20"/>
        </w:rPr>
        <w:t>Ministère du Développement Commun</w:t>
      </w:r>
      <w:r>
        <w:rPr>
          <w:rFonts w:ascii="Arial" w:hAnsi="Arial" w:cs="Arial"/>
          <w:sz w:val="20"/>
          <w:szCs w:val="20"/>
        </w:rPr>
        <w:t xml:space="preserve">autaire et de l’Aménagement du </w:t>
      </w:r>
      <w:r>
        <w:rPr>
          <w:rFonts w:ascii="Arial" w:hAnsi="Arial" w:cs="Arial"/>
          <w:sz w:val="20"/>
          <w:szCs w:val="20"/>
        </w:rPr>
        <w:tab/>
        <w:t>T</w:t>
      </w:r>
      <w:r w:rsidRPr="00F6247C">
        <w:rPr>
          <w:rFonts w:ascii="Arial" w:hAnsi="Arial" w:cs="Arial"/>
          <w:sz w:val="20"/>
          <w:szCs w:val="20"/>
        </w:rPr>
        <w:t>erritoire</w:t>
      </w:r>
    </w:p>
    <w:p w14:paraId="6E6F7CC7" w14:textId="77777777" w:rsidR="001535F0" w:rsidRPr="00F6247C" w:rsidRDefault="001535F0" w:rsidP="00F6247C">
      <w:pPr>
        <w:tabs>
          <w:tab w:val="left" w:pos="2552"/>
        </w:tabs>
        <w:jc w:val="both"/>
        <w:rPr>
          <w:rFonts w:ascii="Arial" w:hAnsi="Arial" w:cs="Arial"/>
          <w:sz w:val="20"/>
          <w:szCs w:val="20"/>
          <w:lang w:eastAsia="fr-FR"/>
        </w:rPr>
      </w:pPr>
      <w:r>
        <w:rPr>
          <w:rFonts w:ascii="Arial" w:hAnsi="Arial" w:cs="Arial"/>
          <w:sz w:val="20"/>
          <w:szCs w:val="20"/>
        </w:rPr>
        <w:t>MEDD</w:t>
      </w:r>
      <w:r>
        <w:rPr>
          <w:rFonts w:ascii="Arial" w:hAnsi="Arial" w:cs="Arial"/>
          <w:sz w:val="20"/>
          <w:szCs w:val="20"/>
        </w:rPr>
        <w:tab/>
      </w:r>
      <w:r w:rsidRPr="00F6247C">
        <w:rPr>
          <w:rFonts w:ascii="Arial" w:hAnsi="Arial" w:cs="Arial"/>
          <w:sz w:val="20"/>
          <w:szCs w:val="20"/>
        </w:rPr>
        <w:t>Ministère de l’Environnement et du Développement Durable</w:t>
      </w:r>
    </w:p>
    <w:p w14:paraId="4612D19C" w14:textId="77777777" w:rsidR="001535F0" w:rsidRDefault="001535F0" w:rsidP="00F6247C">
      <w:pPr>
        <w:tabs>
          <w:tab w:val="left" w:pos="2552"/>
        </w:tabs>
        <w:ind w:firstLine="7"/>
        <w:jc w:val="both"/>
        <w:rPr>
          <w:rFonts w:ascii="Arial" w:hAnsi="Arial" w:cs="Arial"/>
          <w:sz w:val="20"/>
          <w:szCs w:val="20"/>
        </w:rPr>
      </w:pPr>
      <w:r>
        <w:rPr>
          <w:rFonts w:ascii="Arial" w:hAnsi="Arial" w:cs="Arial"/>
          <w:sz w:val="20"/>
          <w:szCs w:val="20"/>
        </w:rPr>
        <w:t>MEP/A/PLN/EC</w:t>
      </w:r>
      <w:r>
        <w:rPr>
          <w:rFonts w:ascii="Arial" w:hAnsi="Arial" w:cs="Arial"/>
          <w:sz w:val="20"/>
          <w:szCs w:val="20"/>
        </w:rPr>
        <w:tab/>
      </w:r>
      <w:r w:rsidRPr="00F6247C">
        <w:rPr>
          <w:rFonts w:ascii="Arial" w:hAnsi="Arial" w:cs="Arial"/>
          <w:sz w:val="20"/>
          <w:szCs w:val="20"/>
        </w:rPr>
        <w:t xml:space="preserve">Ministère de l’Enseignement Primaire, de l’Alphabétisation, de la </w:t>
      </w:r>
    </w:p>
    <w:p w14:paraId="5B001620"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 xml:space="preserve">MEPT </w:t>
      </w:r>
      <w:r w:rsidRPr="00F6247C">
        <w:rPr>
          <w:rFonts w:ascii="Arial" w:hAnsi="Arial" w:cs="Arial"/>
          <w:sz w:val="20"/>
          <w:szCs w:val="20"/>
        </w:rPr>
        <w:tab/>
        <w:t xml:space="preserve">Ministère des Enseignements Professionnels et Techniques </w:t>
      </w:r>
    </w:p>
    <w:p w14:paraId="2D5DBC44"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 xml:space="preserve">MES </w:t>
      </w:r>
      <w:r w:rsidRPr="00F6247C">
        <w:rPr>
          <w:rFonts w:ascii="Arial" w:hAnsi="Arial" w:cs="Arial"/>
          <w:sz w:val="20"/>
          <w:szCs w:val="20"/>
        </w:rPr>
        <w:tab/>
        <w:t xml:space="preserve">Ministère des Enseignements Secondaires </w:t>
      </w:r>
    </w:p>
    <w:p w14:paraId="000C531A" w14:textId="77777777" w:rsidR="001535F0" w:rsidRPr="00F6247C" w:rsidRDefault="001535F0" w:rsidP="00F6247C">
      <w:pPr>
        <w:tabs>
          <w:tab w:val="left" w:pos="2552"/>
        </w:tabs>
        <w:ind w:firstLine="3"/>
        <w:jc w:val="both"/>
        <w:rPr>
          <w:rFonts w:ascii="Arial" w:hAnsi="Arial" w:cs="Arial"/>
          <w:sz w:val="20"/>
          <w:szCs w:val="20"/>
        </w:rPr>
      </w:pPr>
      <w:r>
        <w:rPr>
          <w:rFonts w:ascii="Arial" w:hAnsi="Arial" w:cs="Arial"/>
          <w:sz w:val="20"/>
          <w:szCs w:val="20"/>
        </w:rPr>
        <w:t>MESRI</w:t>
      </w:r>
      <w:r>
        <w:rPr>
          <w:rFonts w:ascii="Arial" w:hAnsi="Arial" w:cs="Arial"/>
          <w:sz w:val="20"/>
          <w:szCs w:val="20"/>
        </w:rPr>
        <w:tab/>
      </w:r>
      <w:r w:rsidRPr="00F6247C">
        <w:rPr>
          <w:rFonts w:ascii="Arial" w:hAnsi="Arial" w:cs="Arial"/>
          <w:sz w:val="20"/>
          <w:szCs w:val="20"/>
        </w:rPr>
        <w:t>Ministère de l’Enseignement Supérieur, de la Recherche et de l’Innovation</w:t>
      </w:r>
    </w:p>
    <w:p w14:paraId="73DCAA1D"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 xml:space="preserve">METSS </w:t>
      </w:r>
      <w:r w:rsidRPr="00F6247C">
        <w:rPr>
          <w:rFonts w:ascii="Arial" w:hAnsi="Arial" w:cs="Arial"/>
          <w:sz w:val="20"/>
          <w:szCs w:val="20"/>
        </w:rPr>
        <w:tab/>
        <w:t xml:space="preserve">Ministère de l’Emploi, du Travail et de la Sécurité Sociale </w:t>
      </w:r>
    </w:p>
    <w:p w14:paraId="7377180A"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MF</w:t>
      </w:r>
      <w:r w:rsidRPr="00F6247C">
        <w:rPr>
          <w:rFonts w:ascii="Arial" w:hAnsi="Arial" w:cs="Arial"/>
          <w:sz w:val="20"/>
          <w:szCs w:val="20"/>
        </w:rPr>
        <w:tab/>
        <w:t>Ministère des Finances</w:t>
      </w:r>
    </w:p>
    <w:p w14:paraId="3AE228B3"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 xml:space="preserve">MHA </w:t>
      </w:r>
      <w:r w:rsidRPr="00F6247C">
        <w:rPr>
          <w:rFonts w:ascii="Arial" w:hAnsi="Arial" w:cs="Arial"/>
          <w:sz w:val="20"/>
          <w:szCs w:val="20"/>
        </w:rPr>
        <w:tab/>
        <w:t xml:space="preserve">Ministère de l’Hydraulique et de l’Assainissement </w:t>
      </w:r>
    </w:p>
    <w:p w14:paraId="1140389E"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MI</w:t>
      </w:r>
      <w:r w:rsidRPr="00F6247C">
        <w:rPr>
          <w:rFonts w:ascii="Arial" w:hAnsi="Arial" w:cs="Arial"/>
          <w:sz w:val="20"/>
          <w:szCs w:val="20"/>
        </w:rPr>
        <w:tab/>
        <w:t>Ministère de l’Industrie</w:t>
      </w:r>
    </w:p>
    <w:p w14:paraId="67C8B3DA" w14:textId="77777777" w:rsidR="001535F0" w:rsidRPr="00F6247C" w:rsidRDefault="001535F0" w:rsidP="00F6247C">
      <w:pPr>
        <w:tabs>
          <w:tab w:val="left" w:pos="2552"/>
        </w:tabs>
        <w:jc w:val="both"/>
        <w:rPr>
          <w:rFonts w:ascii="Arial" w:eastAsia="Times New Roman" w:hAnsi="Arial" w:cs="Arial"/>
          <w:sz w:val="20"/>
          <w:szCs w:val="20"/>
          <w:lang w:eastAsia="fr-FR"/>
        </w:rPr>
      </w:pPr>
      <w:r w:rsidRPr="00F6247C">
        <w:rPr>
          <w:rFonts w:ascii="Arial" w:hAnsi="Arial" w:cs="Arial"/>
          <w:sz w:val="20"/>
          <w:szCs w:val="20"/>
        </w:rPr>
        <w:t xml:space="preserve">MJS </w:t>
      </w:r>
      <w:r w:rsidRPr="00F6247C">
        <w:rPr>
          <w:rFonts w:ascii="Arial" w:hAnsi="Arial" w:cs="Arial"/>
          <w:sz w:val="20"/>
          <w:szCs w:val="20"/>
        </w:rPr>
        <w:tab/>
        <w:t xml:space="preserve">Ministère de la Jeunesse et des Sports </w:t>
      </w:r>
    </w:p>
    <w:p w14:paraId="19A8A3B7"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MM</w:t>
      </w:r>
      <w:r w:rsidRPr="00F6247C">
        <w:rPr>
          <w:rFonts w:ascii="Arial" w:hAnsi="Arial" w:cs="Arial"/>
          <w:sz w:val="20"/>
          <w:szCs w:val="20"/>
        </w:rPr>
        <w:tab/>
        <w:t>Ministère des Mines</w:t>
      </w:r>
    </w:p>
    <w:p w14:paraId="759D5E12" w14:textId="77777777" w:rsidR="001535F0" w:rsidRPr="00F6247C" w:rsidRDefault="001535F0" w:rsidP="00F6247C">
      <w:pPr>
        <w:tabs>
          <w:tab w:val="left" w:pos="2552"/>
        </w:tabs>
        <w:ind w:left="2124" w:hanging="2124"/>
        <w:jc w:val="both"/>
        <w:rPr>
          <w:rFonts w:ascii="Arial" w:hAnsi="Arial" w:cs="Arial"/>
          <w:sz w:val="20"/>
          <w:szCs w:val="20"/>
        </w:rPr>
      </w:pPr>
      <w:r w:rsidRPr="00F6247C">
        <w:rPr>
          <w:rFonts w:ascii="Arial" w:hAnsi="Arial" w:cs="Arial"/>
          <w:sz w:val="20"/>
          <w:szCs w:val="20"/>
        </w:rPr>
        <w:t>MNT</w:t>
      </w:r>
      <w:r w:rsidRPr="00F6247C">
        <w:rPr>
          <w:rFonts w:ascii="Arial" w:hAnsi="Arial" w:cs="Arial"/>
          <w:sz w:val="20"/>
          <w:szCs w:val="20"/>
        </w:rPr>
        <w:tab/>
      </w:r>
      <w:r>
        <w:rPr>
          <w:rFonts w:ascii="Arial" w:hAnsi="Arial" w:cs="Arial"/>
          <w:sz w:val="20"/>
          <w:szCs w:val="20"/>
        </w:rPr>
        <w:tab/>
      </w:r>
      <w:r w:rsidRPr="00F6247C">
        <w:rPr>
          <w:rFonts w:ascii="Arial" w:hAnsi="Arial" w:cs="Arial"/>
          <w:sz w:val="20"/>
          <w:szCs w:val="20"/>
        </w:rPr>
        <w:t>Maladies Non Transmissibles</w:t>
      </w:r>
    </w:p>
    <w:p w14:paraId="312EDA64"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MP</w:t>
      </w:r>
      <w:r w:rsidRPr="00F6247C">
        <w:rPr>
          <w:rFonts w:ascii="Arial" w:hAnsi="Arial" w:cs="Arial"/>
          <w:sz w:val="20"/>
          <w:szCs w:val="20"/>
        </w:rPr>
        <w:tab/>
        <w:t>Ministère du plan</w:t>
      </w:r>
    </w:p>
    <w:p w14:paraId="6D7CFFEC"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MPF/PE</w:t>
      </w:r>
      <w:r w:rsidRPr="00F6247C">
        <w:rPr>
          <w:rFonts w:ascii="Arial" w:hAnsi="Arial" w:cs="Arial"/>
          <w:sz w:val="20"/>
          <w:szCs w:val="20"/>
        </w:rPr>
        <w:tab/>
        <w:t>Ministère de la Promotion de la Femme et de la Protection de l’Enfant</w:t>
      </w:r>
    </w:p>
    <w:p w14:paraId="6F72F984"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MPop</w:t>
      </w:r>
      <w:r w:rsidRPr="00F6247C">
        <w:rPr>
          <w:rFonts w:ascii="Arial" w:hAnsi="Arial" w:cs="Arial"/>
          <w:sz w:val="20"/>
          <w:szCs w:val="20"/>
        </w:rPr>
        <w:tab/>
        <w:t>Ministère de la Population</w:t>
      </w:r>
    </w:p>
    <w:p w14:paraId="28DB35AA" w14:textId="77777777" w:rsidR="001535F0" w:rsidRPr="00F6247C" w:rsidRDefault="001535F0" w:rsidP="00F6247C">
      <w:pPr>
        <w:tabs>
          <w:tab w:val="left" w:pos="2552"/>
        </w:tabs>
        <w:ind w:left="2550" w:hanging="2550"/>
        <w:jc w:val="both"/>
        <w:rPr>
          <w:rFonts w:ascii="Arial" w:hAnsi="Arial" w:cs="Arial"/>
          <w:sz w:val="20"/>
          <w:szCs w:val="20"/>
        </w:rPr>
      </w:pPr>
      <w:r w:rsidRPr="00F6247C">
        <w:rPr>
          <w:rFonts w:ascii="Arial" w:hAnsi="Arial" w:cs="Arial"/>
          <w:sz w:val="20"/>
          <w:szCs w:val="20"/>
        </w:rPr>
        <w:t xml:space="preserve">MRC </w:t>
      </w:r>
      <w:r w:rsidRPr="00F6247C">
        <w:rPr>
          <w:rFonts w:ascii="Arial" w:hAnsi="Arial" w:cs="Arial"/>
          <w:sz w:val="20"/>
          <w:szCs w:val="20"/>
        </w:rPr>
        <w:tab/>
      </w:r>
      <w:r>
        <w:rPr>
          <w:rFonts w:ascii="Arial" w:hAnsi="Arial" w:cs="Arial"/>
          <w:sz w:val="20"/>
          <w:szCs w:val="20"/>
        </w:rPr>
        <w:tab/>
      </w:r>
      <w:r w:rsidRPr="00F6247C">
        <w:rPr>
          <w:rFonts w:ascii="Arial" w:hAnsi="Arial" w:cs="Arial"/>
          <w:sz w:val="20"/>
          <w:szCs w:val="20"/>
        </w:rPr>
        <w:t>Ministère de la Renaissance culturelle, des Arts et de la Modernisation Sociale</w:t>
      </w:r>
    </w:p>
    <w:p w14:paraId="7CA68635"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 xml:space="preserve">MSP </w:t>
      </w:r>
      <w:r w:rsidRPr="00F6247C">
        <w:rPr>
          <w:rFonts w:ascii="Arial" w:hAnsi="Arial" w:cs="Arial"/>
          <w:sz w:val="20"/>
          <w:szCs w:val="20"/>
        </w:rPr>
        <w:tab/>
        <w:t>Ministère de la Santé Publique</w:t>
      </w:r>
    </w:p>
    <w:p w14:paraId="1B779C16"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MVSU</w:t>
      </w:r>
      <w:r w:rsidRPr="00F6247C">
        <w:rPr>
          <w:rFonts w:ascii="Arial" w:hAnsi="Arial" w:cs="Arial"/>
          <w:sz w:val="20"/>
          <w:szCs w:val="20"/>
        </w:rPr>
        <w:tab/>
        <w:t>Ministère de la Ville et de la Salubrité Urbaine</w:t>
      </w:r>
    </w:p>
    <w:p w14:paraId="56ABC325" w14:textId="77777777" w:rsidR="001535F0" w:rsidRPr="00F6247C" w:rsidRDefault="001535F0" w:rsidP="00F6247C">
      <w:pPr>
        <w:tabs>
          <w:tab w:val="left" w:pos="2552"/>
        </w:tabs>
        <w:rPr>
          <w:rFonts w:ascii="Arial" w:hAnsi="Arial" w:cs="Arial"/>
          <w:sz w:val="20"/>
          <w:szCs w:val="20"/>
        </w:rPr>
      </w:pPr>
      <w:r>
        <w:rPr>
          <w:rFonts w:ascii="Arial" w:hAnsi="Arial" w:cs="Arial"/>
          <w:sz w:val="20"/>
          <w:szCs w:val="20"/>
        </w:rPr>
        <w:tab/>
      </w:r>
      <w:r w:rsidRPr="00F6247C">
        <w:rPr>
          <w:rFonts w:ascii="Arial" w:hAnsi="Arial" w:cs="Arial"/>
          <w:sz w:val="20"/>
          <w:szCs w:val="20"/>
        </w:rPr>
        <w:t>Nutritionnelle</w:t>
      </w:r>
    </w:p>
    <w:p w14:paraId="166A4367"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ODD </w:t>
      </w:r>
      <w:r w:rsidRPr="00F6247C">
        <w:rPr>
          <w:rFonts w:ascii="Arial" w:hAnsi="Arial" w:cs="Arial"/>
          <w:sz w:val="20"/>
          <w:szCs w:val="20"/>
        </w:rPr>
        <w:tab/>
        <w:t>Objectifs de Développement Durable</w:t>
      </w:r>
    </w:p>
    <w:p w14:paraId="05A87B8C" w14:textId="77777777" w:rsidR="001535F0" w:rsidRPr="00F6247C" w:rsidRDefault="001535F0" w:rsidP="00F6247C">
      <w:pPr>
        <w:tabs>
          <w:tab w:val="left" w:pos="2552"/>
        </w:tabs>
        <w:jc w:val="both"/>
        <w:rPr>
          <w:rFonts w:ascii="Arial" w:hAnsi="Arial" w:cs="Arial"/>
          <w:sz w:val="20"/>
          <w:szCs w:val="20"/>
        </w:rPr>
      </w:pPr>
      <w:r w:rsidRPr="00F6247C">
        <w:rPr>
          <w:rFonts w:ascii="Arial" w:hAnsi="Arial" w:cs="Arial"/>
          <w:sz w:val="20"/>
          <w:szCs w:val="20"/>
        </w:rPr>
        <w:t xml:space="preserve">OHT </w:t>
      </w:r>
      <w:r w:rsidRPr="00F6247C">
        <w:rPr>
          <w:rFonts w:ascii="Arial" w:hAnsi="Arial" w:cs="Arial"/>
          <w:sz w:val="20"/>
          <w:szCs w:val="20"/>
        </w:rPr>
        <w:tab/>
        <w:t>Outil "</w:t>
      </w:r>
      <w:r w:rsidRPr="00F6247C">
        <w:rPr>
          <w:rFonts w:ascii="Arial" w:hAnsi="Arial" w:cs="Arial"/>
          <w:i/>
          <w:sz w:val="20"/>
          <w:szCs w:val="20"/>
        </w:rPr>
        <w:t>One Health</w:t>
      </w:r>
      <w:r w:rsidRPr="00F6247C">
        <w:rPr>
          <w:rFonts w:ascii="Arial" w:hAnsi="Arial" w:cs="Arial"/>
          <w:sz w:val="20"/>
          <w:szCs w:val="20"/>
        </w:rPr>
        <w:t xml:space="preserve">" </w:t>
      </w:r>
    </w:p>
    <w:p w14:paraId="2B985505"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OMC </w:t>
      </w:r>
      <w:r w:rsidRPr="00F6247C">
        <w:rPr>
          <w:rFonts w:ascii="Arial" w:hAnsi="Arial" w:cs="Arial"/>
          <w:sz w:val="20"/>
          <w:szCs w:val="20"/>
        </w:rPr>
        <w:tab/>
        <w:t>Organisation Mondiale du Commerce</w:t>
      </w:r>
    </w:p>
    <w:p w14:paraId="0E026C46" w14:textId="77777777" w:rsidR="001535F0" w:rsidRPr="00F6247C" w:rsidRDefault="001535F0" w:rsidP="00F6247C">
      <w:pPr>
        <w:tabs>
          <w:tab w:val="left" w:pos="2552"/>
        </w:tabs>
        <w:rPr>
          <w:rFonts w:ascii="Arial" w:hAnsi="Arial" w:cs="Arial"/>
          <w:sz w:val="20"/>
          <w:szCs w:val="20"/>
        </w:rPr>
      </w:pPr>
      <w:r w:rsidRPr="00B534A9">
        <w:rPr>
          <w:rFonts w:ascii="Arial" w:hAnsi="Arial" w:cs="Arial"/>
          <w:sz w:val="20"/>
          <w:szCs w:val="20"/>
        </w:rPr>
        <w:t>OMS</w:t>
      </w:r>
      <w:r>
        <w:rPr>
          <w:rFonts w:ascii="Arial" w:hAnsi="Arial" w:cs="Arial"/>
          <w:sz w:val="20"/>
          <w:szCs w:val="20"/>
        </w:rPr>
        <w:tab/>
        <w:t>Organisation Mondiale de la Santé</w:t>
      </w:r>
    </w:p>
    <w:p w14:paraId="0E006989"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ONGs </w:t>
      </w:r>
      <w:r w:rsidRPr="00F6247C">
        <w:rPr>
          <w:rFonts w:ascii="Arial" w:hAnsi="Arial" w:cs="Arial"/>
          <w:sz w:val="20"/>
          <w:szCs w:val="20"/>
        </w:rPr>
        <w:tab/>
        <w:t>Organisations Non Gouvernementales</w:t>
      </w:r>
    </w:p>
    <w:p w14:paraId="40DD77C6" w14:textId="77777777" w:rsidR="001535F0" w:rsidRPr="00F6247C" w:rsidRDefault="001535F0" w:rsidP="00F6247C">
      <w:pPr>
        <w:tabs>
          <w:tab w:val="left" w:pos="2552"/>
        </w:tabs>
        <w:rPr>
          <w:rFonts w:ascii="Arial" w:eastAsia="Times New Roman" w:hAnsi="Arial" w:cs="Arial"/>
          <w:sz w:val="20"/>
          <w:szCs w:val="20"/>
          <w:lang w:bidi="en-US"/>
        </w:rPr>
      </w:pPr>
      <w:r w:rsidRPr="00F6247C">
        <w:rPr>
          <w:rFonts w:ascii="Arial" w:eastAsia="Times New Roman" w:hAnsi="Arial" w:cs="Arial"/>
          <w:sz w:val="20"/>
          <w:szCs w:val="20"/>
          <w:lang w:bidi="en-US"/>
        </w:rPr>
        <w:t xml:space="preserve">OOAS </w:t>
      </w:r>
      <w:r w:rsidRPr="00F6247C">
        <w:rPr>
          <w:rFonts w:ascii="Arial" w:eastAsia="Times New Roman" w:hAnsi="Arial" w:cs="Arial"/>
          <w:sz w:val="20"/>
          <w:szCs w:val="20"/>
          <w:lang w:bidi="en-US"/>
        </w:rPr>
        <w:tab/>
        <w:t>Organisation Ouest Africaine de la santé</w:t>
      </w:r>
    </w:p>
    <w:p w14:paraId="0B48B9F4" w14:textId="77777777" w:rsidR="001535F0" w:rsidRDefault="001535F0" w:rsidP="00F6247C">
      <w:pPr>
        <w:tabs>
          <w:tab w:val="left" w:pos="2552"/>
        </w:tabs>
        <w:rPr>
          <w:rFonts w:ascii="Arial" w:hAnsi="Arial" w:cs="Arial"/>
          <w:sz w:val="20"/>
          <w:szCs w:val="20"/>
        </w:rPr>
      </w:pPr>
      <w:r w:rsidRPr="00F6247C">
        <w:rPr>
          <w:rFonts w:ascii="Arial" w:hAnsi="Arial" w:cs="Arial"/>
          <w:sz w:val="20"/>
          <w:szCs w:val="20"/>
        </w:rPr>
        <w:t xml:space="preserve">P2RS </w:t>
      </w:r>
      <w:r w:rsidRPr="00F6247C">
        <w:rPr>
          <w:rFonts w:ascii="Arial" w:hAnsi="Arial" w:cs="Arial"/>
          <w:sz w:val="20"/>
          <w:szCs w:val="20"/>
        </w:rPr>
        <w:tab/>
        <w:t xml:space="preserve">Programme de Renforcement de la Résilience à l’Insécurité Alimentaire </w:t>
      </w:r>
    </w:p>
    <w:p w14:paraId="00128303"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PA PNSN</w:t>
      </w:r>
      <w:r w:rsidRPr="00F6247C">
        <w:rPr>
          <w:rFonts w:ascii="Arial" w:hAnsi="Arial" w:cs="Arial"/>
          <w:sz w:val="20"/>
          <w:szCs w:val="20"/>
        </w:rPr>
        <w:tab/>
        <w:t>Plan d’Action de la PNSN</w:t>
      </w:r>
    </w:p>
    <w:p w14:paraId="6138B47F"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PA</w:t>
      </w:r>
      <w:r w:rsidRPr="00F6247C">
        <w:rPr>
          <w:rFonts w:ascii="Arial" w:hAnsi="Arial" w:cs="Arial"/>
          <w:sz w:val="20"/>
          <w:szCs w:val="20"/>
        </w:rPr>
        <w:tab/>
        <w:t>Plan d’Actions</w:t>
      </w:r>
    </w:p>
    <w:p w14:paraId="577164FF"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PAM</w:t>
      </w:r>
      <w:r>
        <w:rPr>
          <w:rFonts w:ascii="Arial" w:hAnsi="Arial" w:cs="Arial"/>
          <w:sz w:val="20"/>
          <w:szCs w:val="20"/>
        </w:rPr>
        <w:tab/>
        <w:t>Programme Alimentaire Mondial</w:t>
      </w:r>
    </w:p>
    <w:p w14:paraId="343C7197"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PANGIRE </w:t>
      </w:r>
      <w:r w:rsidRPr="00F6247C">
        <w:rPr>
          <w:rFonts w:ascii="Arial" w:hAnsi="Arial" w:cs="Arial"/>
          <w:sz w:val="20"/>
          <w:szCs w:val="20"/>
        </w:rPr>
        <w:tab/>
        <w:t>Plan d’Action National de Gestion Intégrée des Ressources en Eau</w:t>
      </w:r>
    </w:p>
    <w:p w14:paraId="0DDE775D"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PAP </w:t>
      </w:r>
      <w:r w:rsidRPr="00F6247C">
        <w:rPr>
          <w:rFonts w:ascii="Arial" w:hAnsi="Arial" w:cs="Arial"/>
          <w:sz w:val="20"/>
          <w:szCs w:val="20"/>
        </w:rPr>
        <w:tab/>
        <w:t>Plan d’Actions Prioritaires</w:t>
      </w:r>
    </w:p>
    <w:p w14:paraId="2A95E588"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PAP </w:t>
      </w:r>
      <w:r w:rsidRPr="00F6247C">
        <w:rPr>
          <w:rFonts w:ascii="Arial" w:hAnsi="Arial" w:cs="Arial"/>
          <w:sz w:val="20"/>
          <w:szCs w:val="20"/>
        </w:rPr>
        <w:tab/>
        <w:t>Projet Annuel de Performance</w:t>
      </w:r>
    </w:p>
    <w:p w14:paraId="53935577"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PCIMA </w:t>
      </w:r>
      <w:r w:rsidRPr="00F6247C">
        <w:rPr>
          <w:rFonts w:ascii="Arial" w:hAnsi="Arial" w:cs="Arial"/>
          <w:sz w:val="20"/>
          <w:szCs w:val="20"/>
        </w:rPr>
        <w:tab/>
        <w:t>Prise en Charge Intégrée de la Malnutrition Aiguë</w:t>
      </w:r>
    </w:p>
    <w:p w14:paraId="5642A5DF"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PDDAA </w:t>
      </w:r>
      <w:r w:rsidRPr="00F6247C">
        <w:rPr>
          <w:rFonts w:ascii="Arial" w:hAnsi="Arial" w:cs="Arial"/>
          <w:sz w:val="20"/>
          <w:szCs w:val="20"/>
        </w:rPr>
        <w:tab/>
        <w:t>Programme Détaillé de Développement de l’Agriculture Africaine</w:t>
      </w:r>
    </w:p>
    <w:p w14:paraId="55E24E93"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PDES </w:t>
      </w:r>
      <w:r w:rsidRPr="00F6247C">
        <w:rPr>
          <w:rFonts w:ascii="Arial" w:hAnsi="Arial" w:cs="Arial"/>
          <w:sz w:val="20"/>
          <w:szCs w:val="20"/>
        </w:rPr>
        <w:tab/>
        <w:t>Plan de Développement Economique et Social</w:t>
      </w:r>
    </w:p>
    <w:p w14:paraId="65ED5330"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PDS </w:t>
      </w:r>
      <w:r w:rsidRPr="00F6247C">
        <w:rPr>
          <w:rFonts w:ascii="Arial" w:hAnsi="Arial" w:cs="Arial"/>
          <w:sz w:val="20"/>
          <w:szCs w:val="20"/>
        </w:rPr>
        <w:tab/>
        <w:t>Plan de Développement Sanitaire</w:t>
      </w:r>
    </w:p>
    <w:p w14:paraId="5C9D46F5"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PMA </w:t>
      </w:r>
      <w:r w:rsidRPr="00F6247C">
        <w:rPr>
          <w:rFonts w:ascii="Arial" w:hAnsi="Arial" w:cs="Arial"/>
          <w:sz w:val="20"/>
          <w:szCs w:val="20"/>
        </w:rPr>
        <w:tab/>
        <w:t>Paquet Minium d’Activités</w:t>
      </w:r>
    </w:p>
    <w:p w14:paraId="18B7FBC6"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PNEDD </w:t>
      </w:r>
      <w:r w:rsidRPr="00F6247C">
        <w:rPr>
          <w:rFonts w:ascii="Arial" w:hAnsi="Arial" w:cs="Arial"/>
          <w:sz w:val="20"/>
          <w:szCs w:val="20"/>
        </w:rPr>
        <w:tab/>
        <w:t>Plan National de l’Environnement pour un Développement Durable</w:t>
      </w:r>
    </w:p>
    <w:p w14:paraId="65429B71"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PNN </w:t>
      </w:r>
      <w:r w:rsidRPr="00F6247C">
        <w:rPr>
          <w:rFonts w:ascii="Arial" w:hAnsi="Arial" w:cs="Arial"/>
          <w:sz w:val="20"/>
          <w:szCs w:val="20"/>
        </w:rPr>
        <w:tab/>
        <w:t>Politique Nationale de Nutrition</w:t>
      </w:r>
    </w:p>
    <w:p w14:paraId="475226F3"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PNPS</w:t>
      </w:r>
      <w:r w:rsidRPr="00F6247C">
        <w:rPr>
          <w:rFonts w:ascii="Arial" w:hAnsi="Arial" w:cs="Arial"/>
          <w:sz w:val="20"/>
          <w:szCs w:val="20"/>
        </w:rPr>
        <w:tab/>
        <w:t>Politique Nationale de Protection Sociale au Niger</w:t>
      </w:r>
    </w:p>
    <w:p w14:paraId="35AD1D82"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PNS </w:t>
      </w:r>
      <w:r w:rsidRPr="00F6247C">
        <w:rPr>
          <w:rFonts w:ascii="Arial" w:hAnsi="Arial" w:cs="Arial"/>
          <w:sz w:val="20"/>
          <w:szCs w:val="20"/>
        </w:rPr>
        <w:tab/>
        <w:t>Politique Nationale de Santé</w:t>
      </w:r>
    </w:p>
    <w:p w14:paraId="4D51C6EA"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PNSN </w:t>
      </w:r>
      <w:r w:rsidRPr="00F6247C">
        <w:rPr>
          <w:rFonts w:ascii="Arial" w:hAnsi="Arial" w:cs="Arial"/>
          <w:sz w:val="20"/>
          <w:szCs w:val="20"/>
        </w:rPr>
        <w:tab/>
        <w:t>Politique Nationale de Sécurité Nutritionnelle multisectorielle</w:t>
      </w:r>
    </w:p>
    <w:p w14:paraId="5548CBCF" w14:textId="77777777" w:rsidR="001535F0" w:rsidRPr="00F6247C" w:rsidRDefault="001535F0" w:rsidP="00F6247C">
      <w:pPr>
        <w:tabs>
          <w:tab w:val="left" w:pos="2552"/>
        </w:tabs>
        <w:ind w:firstLine="7"/>
        <w:jc w:val="both"/>
        <w:rPr>
          <w:rFonts w:ascii="Arial" w:hAnsi="Arial" w:cs="Arial"/>
          <w:sz w:val="20"/>
          <w:szCs w:val="20"/>
        </w:rPr>
      </w:pPr>
      <w:r>
        <w:rPr>
          <w:rFonts w:ascii="Arial" w:hAnsi="Arial" w:cs="Arial"/>
          <w:sz w:val="20"/>
          <w:szCs w:val="20"/>
        </w:rPr>
        <w:tab/>
      </w:r>
      <w:r w:rsidRPr="00F6247C">
        <w:rPr>
          <w:rFonts w:ascii="Arial" w:hAnsi="Arial" w:cs="Arial"/>
          <w:sz w:val="20"/>
          <w:szCs w:val="20"/>
        </w:rPr>
        <w:t>Promotion des Langues Nationales et de l’Education Civique </w:t>
      </w:r>
    </w:p>
    <w:p w14:paraId="64BFA501"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PROSEHA </w:t>
      </w:r>
      <w:r w:rsidRPr="00F6247C">
        <w:rPr>
          <w:rFonts w:ascii="Arial" w:hAnsi="Arial" w:cs="Arial"/>
          <w:sz w:val="20"/>
          <w:szCs w:val="20"/>
        </w:rPr>
        <w:tab/>
        <w:t>Programme Sectoriel Eau Hygiène et Assainissement</w:t>
      </w:r>
    </w:p>
    <w:p w14:paraId="272A0B47" w14:textId="77777777" w:rsidR="001535F0" w:rsidRDefault="001535F0" w:rsidP="00F6247C">
      <w:pPr>
        <w:tabs>
          <w:tab w:val="left" w:pos="2552"/>
        </w:tabs>
        <w:rPr>
          <w:rFonts w:ascii="Arial" w:hAnsi="Arial" w:cs="Arial"/>
          <w:sz w:val="20"/>
          <w:szCs w:val="20"/>
        </w:rPr>
      </w:pPr>
      <w:r w:rsidRPr="00F6247C">
        <w:rPr>
          <w:rFonts w:ascii="Arial" w:hAnsi="Arial" w:cs="Arial"/>
          <w:sz w:val="20"/>
          <w:szCs w:val="20"/>
        </w:rPr>
        <w:t xml:space="preserve">PRRIA </w:t>
      </w:r>
      <w:r w:rsidRPr="00F6247C">
        <w:rPr>
          <w:rFonts w:ascii="Arial" w:hAnsi="Arial" w:cs="Arial"/>
          <w:sz w:val="20"/>
          <w:szCs w:val="20"/>
        </w:rPr>
        <w:tab/>
        <w:t xml:space="preserve">Projet de Renforcement de la Résilience à l’Insécurité Alimentaire et </w:t>
      </w:r>
    </w:p>
    <w:p w14:paraId="12FF7C8F"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PSEF </w:t>
      </w:r>
      <w:r w:rsidRPr="00F6247C">
        <w:rPr>
          <w:rFonts w:ascii="Arial" w:hAnsi="Arial" w:cs="Arial"/>
          <w:sz w:val="20"/>
          <w:szCs w:val="20"/>
        </w:rPr>
        <w:tab/>
        <w:t>Programme Sectoriel pour l’Education et la Formation</w:t>
      </w:r>
    </w:p>
    <w:p w14:paraId="6E5A44A6"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PTFs </w:t>
      </w:r>
      <w:r w:rsidRPr="00F6247C">
        <w:rPr>
          <w:rFonts w:ascii="Arial" w:hAnsi="Arial" w:cs="Arial"/>
          <w:sz w:val="20"/>
          <w:szCs w:val="20"/>
        </w:rPr>
        <w:tab/>
        <w:t>Partenaires Techniques et Financiers</w:t>
      </w:r>
    </w:p>
    <w:p w14:paraId="1808982E"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RAP </w:t>
      </w:r>
      <w:r w:rsidRPr="00F6247C">
        <w:rPr>
          <w:rFonts w:ascii="Arial" w:hAnsi="Arial" w:cs="Arial"/>
          <w:sz w:val="20"/>
          <w:szCs w:val="20"/>
        </w:rPr>
        <w:tab/>
        <w:t>Rapport Annuel de performance</w:t>
      </w:r>
    </w:p>
    <w:p w14:paraId="1CC2EA90" w14:textId="77777777" w:rsidR="001535F0" w:rsidRPr="00F6247C" w:rsidRDefault="001535F0" w:rsidP="00F6247C">
      <w:pPr>
        <w:tabs>
          <w:tab w:val="left" w:pos="2552"/>
        </w:tabs>
        <w:rPr>
          <w:rFonts w:ascii="Arial" w:hAnsi="Arial" w:cs="Arial"/>
          <w:sz w:val="20"/>
          <w:szCs w:val="20"/>
          <w:lang w:val="en-US"/>
        </w:rPr>
      </w:pPr>
      <w:r w:rsidRPr="00F6247C">
        <w:rPr>
          <w:rFonts w:ascii="Arial" w:hAnsi="Arial" w:cs="Arial"/>
          <w:sz w:val="20"/>
          <w:szCs w:val="20"/>
          <w:lang w:val="en-US"/>
        </w:rPr>
        <w:t>REACH</w:t>
      </w:r>
      <w:r w:rsidRPr="00F6247C">
        <w:rPr>
          <w:rFonts w:ascii="Arial" w:hAnsi="Arial" w:cs="Arial"/>
          <w:sz w:val="20"/>
          <w:szCs w:val="20"/>
          <w:lang w:val="en-US"/>
        </w:rPr>
        <w:tab/>
        <w:t>Renewed Effort Against Child Hunger and Undernutrition</w:t>
      </w:r>
    </w:p>
    <w:p w14:paraId="7CAD6595"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SAN/DA </w:t>
      </w:r>
      <w:r w:rsidRPr="00F6247C">
        <w:rPr>
          <w:rFonts w:ascii="Arial" w:hAnsi="Arial" w:cs="Arial"/>
          <w:sz w:val="20"/>
          <w:szCs w:val="20"/>
        </w:rPr>
        <w:tab/>
        <w:t>Développement Agricole Durables</w:t>
      </w:r>
    </w:p>
    <w:p w14:paraId="231F0C14"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SDDCI </w:t>
      </w:r>
      <w:r w:rsidRPr="00F6247C">
        <w:rPr>
          <w:rFonts w:ascii="Arial" w:hAnsi="Arial" w:cs="Arial"/>
          <w:sz w:val="20"/>
          <w:szCs w:val="20"/>
        </w:rPr>
        <w:tab/>
        <w:t>Stratégie de Développement Durable et de Croissance Inclusive</w:t>
      </w:r>
    </w:p>
    <w:p w14:paraId="791F13FC"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SDDEL </w:t>
      </w:r>
      <w:r w:rsidRPr="00F6247C">
        <w:rPr>
          <w:rFonts w:ascii="Arial" w:hAnsi="Arial" w:cs="Arial"/>
          <w:sz w:val="20"/>
          <w:szCs w:val="20"/>
        </w:rPr>
        <w:tab/>
        <w:t>Stratégie de Développement Durable de l’Elevage</w:t>
      </w:r>
    </w:p>
    <w:p w14:paraId="384E97A5"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SDR </w:t>
      </w:r>
      <w:r w:rsidRPr="00F6247C">
        <w:rPr>
          <w:rFonts w:ascii="Arial" w:hAnsi="Arial" w:cs="Arial"/>
          <w:sz w:val="20"/>
          <w:szCs w:val="20"/>
        </w:rPr>
        <w:tab/>
        <w:t>Stratégie du Développement Rural</w:t>
      </w:r>
    </w:p>
    <w:p w14:paraId="3A1C5A67" w14:textId="77777777" w:rsidR="001535F0" w:rsidRPr="00F6247C" w:rsidRDefault="001535F0" w:rsidP="00F6247C">
      <w:pPr>
        <w:tabs>
          <w:tab w:val="left" w:pos="2552"/>
        </w:tabs>
        <w:rPr>
          <w:rFonts w:ascii="Arial" w:hAnsi="Arial" w:cs="Arial"/>
          <w:sz w:val="20"/>
          <w:szCs w:val="20"/>
        </w:rPr>
      </w:pPr>
      <w:r w:rsidRPr="00F6247C">
        <w:rPr>
          <w:rFonts w:ascii="Arial" w:hAnsi="Arial" w:cs="Arial"/>
          <w:sz w:val="20"/>
          <w:szCs w:val="20"/>
        </w:rPr>
        <w:t xml:space="preserve">SISAN </w:t>
      </w:r>
      <w:r w:rsidRPr="00F6247C">
        <w:rPr>
          <w:rFonts w:ascii="Arial" w:hAnsi="Arial" w:cs="Arial"/>
          <w:sz w:val="20"/>
          <w:szCs w:val="20"/>
        </w:rPr>
        <w:tab/>
        <w:t>Symposium International sur la Sécurité Alimentaire et Nutritionnelle</w:t>
      </w:r>
    </w:p>
    <w:p w14:paraId="6CC4E381" w14:textId="77777777" w:rsidR="001535F0" w:rsidRPr="008329C3" w:rsidRDefault="001535F0" w:rsidP="00F6247C">
      <w:pPr>
        <w:tabs>
          <w:tab w:val="left" w:pos="2552"/>
        </w:tabs>
        <w:rPr>
          <w:rFonts w:ascii="Arial" w:hAnsi="Arial" w:cs="Arial"/>
          <w:sz w:val="20"/>
          <w:szCs w:val="20"/>
          <w:lang w:val="en-US"/>
        </w:rPr>
      </w:pPr>
      <w:r w:rsidRPr="008329C3">
        <w:rPr>
          <w:rFonts w:ascii="Arial" w:hAnsi="Arial" w:cs="Arial"/>
          <w:sz w:val="20"/>
          <w:szCs w:val="20"/>
          <w:lang w:val="en-US"/>
        </w:rPr>
        <w:t>SMART</w:t>
      </w:r>
      <w:r w:rsidRPr="008329C3">
        <w:rPr>
          <w:rFonts w:ascii="Arial" w:hAnsi="Arial" w:cs="Arial"/>
          <w:sz w:val="20"/>
          <w:szCs w:val="20"/>
          <w:lang w:val="en-US"/>
        </w:rPr>
        <w:tab/>
        <w:t>Stanrdadized Monotoring and Assessment of Relief and Transition</w:t>
      </w:r>
    </w:p>
    <w:p w14:paraId="643B94A9" w14:textId="77777777" w:rsidR="00F6247C" w:rsidRPr="003400C9" w:rsidRDefault="00F6247C" w:rsidP="00F6247C">
      <w:pPr>
        <w:tabs>
          <w:tab w:val="left" w:pos="2552"/>
        </w:tabs>
        <w:rPr>
          <w:rFonts w:ascii="Arial" w:hAnsi="Arial" w:cs="Arial"/>
          <w:sz w:val="20"/>
          <w:szCs w:val="20"/>
        </w:rPr>
      </w:pPr>
      <w:r w:rsidRPr="003400C9">
        <w:rPr>
          <w:rFonts w:ascii="Arial" w:hAnsi="Arial" w:cs="Arial"/>
          <w:sz w:val="20"/>
          <w:szCs w:val="20"/>
        </w:rPr>
        <w:lastRenderedPageBreak/>
        <w:t xml:space="preserve">SMNI </w:t>
      </w:r>
      <w:r w:rsidRPr="003400C9">
        <w:rPr>
          <w:rFonts w:ascii="Arial" w:hAnsi="Arial" w:cs="Arial"/>
          <w:sz w:val="20"/>
          <w:szCs w:val="20"/>
        </w:rPr>
        <w:tab/>
        <w:t>Santé Maternelle, Néonatale et Infantile</w:t>
      </w:r>
    </w:p>
    <w:p w14:paraId="31CD1932" w14:textId="77777777" w:rsidR="003400C9" w:rsidRDefault="00F6247C" w:rsidP="00F6247C">
      <w:pPr>
        <w:tabs>
          <w:tab w:val="left" w:pos="2552"/>
        </w:tabs>
        <w:rPr>
          <w:rFonts w:ascii="Arial" w:hAnsi="Arial" w:cs="Arial"/>
          <w:sz w:val="20"/>
          <w:szCs w:val="20"/>
        </w:rPr>
      </w:pPr>
      <w:r w:rsidRPr="00F6247C">
        <w:rPr>
          <w:rFonts w:ascii="Arial" w:hAnsi="Arial" w:cs="Arial"/>
          <w:sz w:val="20"/>
          <w:szCs w:val="20"/>
        </w:rPr>
        <w:t xml:space="preserve">SOPHAB </w:t>
      </w:r>
      <w:r w:rsidRPr="00F6247C">
        <w:rPr>
          <w:rFonts w:ascii="Arial" w:hAnsi="Arial" w:cs="Arial"/>
          <w:sz w:val="20"/>
          <w:szCs w:val="20"/>
        </w:rPr>
        <w:tab/>
        <w:t xml:space="preserve">Stratégie Opérationnelle de Promotion de l’Hygiène et de </w:t>
      </w:r>
    </w:p>
    <w:p w14:paraId="5CC2F8F3" w14:textId="4E626B34" w:rsidR="00F6247C" w:rsidRPr="00F6247C" w:rsidRDefault="003400C9" w:rsidP="00F6247C">
      <w:pPr>
        <w:tabs>
          <w:tab w:val="left" w:pos="2552"/>
        </w:tabs>
        <w:rPr>
          <w:rFonts w:ascii="Arial" w:hAnsi="Arial" w:cs="Arial"/>
          <w:sz w:val="20"/>
          <w:szCs w:val="20"/>
        </w:rPr>
      </w:pPr>
      <w:r>
        <w:rPr>
          <w:rFonts w:ascii="Arial" w:hAnsi="Arial" w:cs="Arial"/>
          <w:sz w:val="20"/>
          <w:szCs w:val="20"/>
        </w:rPr>
        <w:tab/>
      </w:r>
      <w:r w:rsidR="00B7120B" w:rsidRPr="00F6247C">
        <w:rPr>
          <w:rFonts w:ascii="Arial" w:hAnsi="Arial" w:cs="Arial"/>
          <w:sz w:val="20"/>
          <w:szCs w:val="20"/>
        </w:rPr>
        <w:t>L’Assainissement</w:t>
      </w:r>
      <w:r w:rsidR="00F6247C" w:rsidRPr="00F6247C">
        <w:rPr>
          <w:rFonts w:ascii="Arial" w:hAnsi="Arial" w:cs="Arial"/>
          <w:sz w:val="20"/>
          <w:szCs w:val="20"/>
        </w:rPr>
        <w:t xml:space="preserve"> de Base</w:t>
      </w:r>
    </w:p>
    <w:p w14:paraId="1D15DBB9" w14:textId="77777777" w:rsidR="00F6247C" w:rsidRPr="00F6247C" w:rsidRDefault="00F6247C" w:rsidP="00F6247C">
      <w:pPr>
        <w:tabs>
          <w:tab w:val="left" w:pos="2552"/>
        </w:tabs>
        <w:rPr>
          <w:rFonts w:ascii="Arial" w:hAnsi="Arial" w:cs="Arial"/>
          <w:sz w:val="20"/>
          <w:szCs w:val="20"/>
        </w:rPr>
      </w:pPr>
      <w:r w:rsidRPr="00F6247C">
        <w:rPr>
          <w:rFonts w:ascii="Arial" w:hAnsi="Arial" w:cs="Arial"/>
          <w:sz w:val="20"/>
          <w:szCs w:val="20"/>
        </w:rPr>
        <w:t xml:space="preserve">SRO/Zinc </w:t>
      </w:r>
      <w:r w:rsidRPr="00F6247C">
        <w:rPr>
          <w:rFonts w:ascii="Arial" w:hAnsi="Arial" w:cs="Arial"/>
          <w:sz w:val="20"/>
          <w:szCs w:val="20"/>
        </w:rPr>
        <w:tab/>
        <w:t>Solution de Réhydratation Oral combiné au Zinc</w:t>
      </w:r>
    </w:p>
    <w:p w14:paraId="5AC10BB0" w14:textId="77777777" w:rsidR="00F6247C" w:rsidRPr="00F6247C" w:rsidRDefault="00F6247C" w:rsidP="00F6247C">
      <w:pPr>
        <w:tabs>
          <w:tab w:val="left" w:pos="2552"/>
        </w:tabs>
        <w:rPr>
          <w:rFonts w:ascii="Arial" w:eastAsia="Times New Roman" w:hAnsi="Arial" w:cs="Arial"/>
          <w:sz w:val="20"/>
          <w:szCs w:val="20"/>
          <w:lang w:bidi="en-US"/>
        </w:rPr>
      </w:pPr>
      <w:r w:rsidRPr="00F6247C">
        <w:rPr>
          <w:rFonts w:ascii="Arial" w:eastAsia="Times New Roman" w:hAnsi="Arial" w:cs="Arial"/>
          <w:sz w:val="20"/>
          <w:szCs w:val="20"/>
          <w:lang w:bidi="en-US"/>
        </w:rPr>
        <w:t>SUN</w:t>
      </w:r>
      <w:r w:rsidRPr="00F6247C">
        <w:rPr>
          <w:rFonts w:ascii="Arial" w:eastAsia="Times New Roman" w:hAnsi="Arial" w:cs="Arial"/>
          <w:sz w:val="20"/>
          <w:szCs w:val="20"/>
          <w:lang w:bidi="en-US"/>
        </w:rPr>
        <w:tab/>
        <w:t>Scaling Up Nutrition</w:t>
      </w:r>
    </w:p>
    <w:p w14:paraId="3AEA44EA" w14:textId="77777777" w:rsidR="00F6247C" w:rsidRPr="00F6247C" w:rsidRDefault="00F6247C" w:rsidP="00F6247C">
      <w:pPr>
        <w:tabs>
          <w:tab w:val="left" w:pos="2552"/>
        </w:tabs>
        <w:rPr>
          <w:rFonts w:ascii="Arial" w:hAnsi="Arial" w:cs="Arial"/>
          <w:sz w:val="20"/>
          <w:szCs w:val="20"/>
        </w:rPr>
      </w:pPr>
      <w:r w:rsidRPr="00F6247C">
        <w:rPr>
          <w:rFonts w:ascii="Arial" w:hAnsi="Arial" w:cs="Arial"/>
          <w:sz w:val="20"/>
          <w:szCs w:val="20"/>
        </w:rPr>
        <w:t>TUN</w:t>
      </w:r>
      <w:r w:rsidRPr="00F6247C">
        <w:rPr>
          <w:rFonts w:ascii="Arial" w:hAnsi="Arial" w:cs="Arial"/>
          <w:sz w:val="20"/>
          <w:szCs w:val="20"/>
        </w:rPr>
        <w:tab/>
        <w:t>Tous Unis pour la Nutrition</w:t>
      </w:r>
    </w:p>
    <w:p w14:paraId="4862A704" w14:textId="77777777" w:rsidR="00F6247C" w:rsidRPr="00F6247C" w:rsidRDefault="00F6247C" w:rsidP="00F6247C">
      <w:pPr>
        <w:tabs>
          <w:tab w:val="left" w:pos="2552"/>
        </w:tabs>
        <w:rPr>
          <w:rFonts w:ascii="Arial" w:hAnsi="Arial" w:cs="Arial"/>
          <w:sz w:val="20"/>
          <w:szCs w:val="20"/>
        </w:rPr>
      </w:pPr>
      <w:r w:rsidRPr="00F6247C">
        <w:rPr>
          <w:rFonts w:ascii="Arial" w:hAnsi="Arial" w:cs="Arial"/>
          <w:sz w:val="20"/>
          <w:szCs w:val="20"/>
        </w:rPr>
        <w:t xml:space="preserve">UEMOA </w:t>
      </w:r>
      <w:r w:rsidRPr="00F6247C">
        <w:rPr>
          <w:rFonts w:ascii="Arial" w:hAnsi="Arial" w:cs="Arial"/>
          <w:sz w:val="20"/>
          <w:szCs w:val="20"/>
        </w:rPr>
        <w:tab/>
        <w:t>Union Economique et Monétaire des Etats d’Afrique de l’Ouest</w:t>
      </w:r>
    </w:p>
    <w:p w14:paraId="0BAE0E69" w14:textId="308AE9F7" w:rsidR="00F6247C" w:rsidRPr="00F6247C" w:rsidRDefault="00F6247C" w:rsidP="00F6247C">
      <w:pPr>
        <w:tabs>
          <w:tab w:val="left" w:pos="2552"/>
        </w:tabs>
        <w:rPr>
          <w:rFonts w:ascii="Arial" w:hAnsi="Arial" w:cs="Arial"/>
          <w:sz w:val="20"/>
          <w:szCs w:val="20"/>
        </w:rPr>
      </w:pPr>
      <w:r w:rsidRPr="00F6247C">
        <w:rPr>
          <w:rFonts w:ascii="Arial" w:hAnsi="Arial" w:cs="Arial"/>
          <w:sz w:val="20"/>
          <w:szCs w:val="20"/>
        </w:rPr>
        <w:t>UNESCO</w:t>
      </w:r>
      <w:r w:rsidRPr="00F6247C">
        <w:rPr>
          <w:rFonts w:ascii="Arial" w:hAnsi="Arial" w:cs="Arial"/>
          <w:sz w:val="20"/>
          <w:szCs w:val="20"/>
        </w:rPr>
        <w:tab/>
      </w:r>
      <w:r w:rsidR="00D76B9E" w:rsidRPr="00D76B9E">
        <w:rPr>
          <w:rFonts w:ascii="Arial" w:hAnsi="Arial" w:cs="Arial"/>
          <w:sz w:val="20"/>
          <w:szCs w:val="20"/>
        </w:rPr>
        <w:t xml:space="preserve">Organisation des Nations </w:t>
      </w:r>
      <w:r w:rsidR="00D76B9E">
        <w:rPr>
          <w:rFonts w:ascii="Arial" w:hAnsi="Arial" w:cs="Arial"/>
          <w:sz w:val="20"/>
          <w:szCs w:val="20"/>
        </w:rPr>
        <w:t>Unies pour l'E</w:t>
      </w:r>
      <w:r w:rsidR="00D76B9E" w:rsidRPr="00D76B9E">
        <w:rPr>
          <w:rFonts w:ascii="Arial" w:hAnsi="Arial" w:cs="Arial"/>
          <w:sz w:val="20"/>
          <w:szCs w:val="20"/>
        </w:rPr>
        <w:t xml:space="preserve">ducation, la </w:t>
      </w:r>
      <w:r w:rsidR="00D76B9E">
        <w:rPr>
          <w:rFonts w:ascii="Arial" w:hAnsi="Arial" w:cs="Arial"/>
          <w:sz w:val="20"/>
          <w:szCs w:val="20"/>
        </w:rPr>
        <w:t>Science et la C</w:t>
      </w:r>
      <w:r w:rsidR="00D76B9E" w:rsidRPr="00D76B9E">
        <w:rPr>
          <w:rFonts w:ascii="Arial" w:hAnsi="Arial" w:cs="Arial"/>
          <w:sz w:val="20"/>
          <w:szCs w:val="20"/>
        </w:rPr>
        <w:t>ulture</w:t>
      </w:r>
    </w:p>
    <w:p w14:paraId="2F6B9056" w14:textId="10160E59" w:rsidR="00F6247C" w:rsidRPr="00F6247C" w:rsidRDefault="00F6247C" w:rsidP="00F6247C">
      <w:pPr>
        <w:tabs>
          <w:tab w:val="left" w:pos="2552"/>
        </w:tabs>
        <w:rPr>
          <w:rFonts w:ascii="Arial" w:hAnsi="Arial" w:cs="Arial"/>
          <w:sz w:val="20"/>
          <w:szCs w:val="20"/>
        </w:rPr>
      </w:pPr>
      <w:r w:rsidRPr="00F6247C">
        <w:rPr>
          <w:rFonts w:ascii="Arial" w:hAnsi="Arial" w:cs="Arial"/>
          <w:sz w:val="20"/>
          <w:szCs w:val="20"/>
        </w:rPr>
        <w:t>UNICEF</w:t>
      </w:r>
      <w:r w:rsidRPr="00F6247C">
        <w:rPr>
          <w:rFonts w:ascii="Arial" w:hAnsi="Arial" w:cs="Arial"/>
          <w:sz w:val="20"/>
          <w:szCs w:val="20"/>
        </w:rPr>
        <w:tab/>
      </w:r>
      <w:r w:rsidR="00DC0A11" w:rsidRPr="00DC0A11">
        <w:rPr>
          <w:rFonts w:ascii="Arial" w:hAnsi="Arial" w:cs="Arial"/>
          <w:sz w:val="20"/>
          <w:szCs w:val="20"/>
        </w:rPr>
        <w:t xml:space="preserve">Fonds des Nations </w:t>
      </w:r>
      <w:r w:rsidR="00D76B9E">
        <w:rPr>
          <w:rFonts w:ascii="Arial" w:hAnsi="Arial" w:cs="Arial"/>
          <w:sz w:val="20"/>
          <w:szCs w:val="20"/>
        </w:rPr>
        <w:t>U</w:t>
      </w:r>
      <w:r w:rsidR="00DC0A11" w:rsidRPr="00DC0A11">
        <w:rPr>
          <w:rFonts w:ascii="Arial" w:hAnsi="Arial" w:cs="Arial"/>
          <w:sz w:val="20"/>
          <w:szCs w:val="20"/>
        </w:rPr>
        <w:t>nies pour l'</w:t>
      </w:r>
      <w:r w:rsidR="00D76B9E">
        <w:rPr>
          <w:rFonts w:ascii="Arial" w:hAnsi="Arial" w:cs="Arial"/>
          <w:sz w:val="20"/>
          <w:szCs w:val="20"/>
        </w:rPr>
        <w:t>E</w:t>
      </w:r>
      <w:r w:rsidR="00DC0A11" w:rsidRPr="00DC0A11">
        <w:rPr>
          <w:rFonts w:ascii="Arial" w:hAnsi="Arial" w:cs="Arial"/>
          <w:sz w:val="20"/>
          <w:szCs w:val="20"/>
        </w:rPr>
        <w:t>nfance</w:t>
      </w:r>
    </w:p>
    <w:p w14:paraId="5B0FD36F" w14:textId="77777777" w:rsidR="00F6247C" w:rsidRDefault="00F6247C" w:rsidP="007E426D">
      <w:pPr>
        <w:spacing w:after="200" w:line="276" w:lineRule="auto"/>
        <w:jc w:val="both"/>
      </w:pPr>
    </w:p>
    <w:p w14:paraId="4ED761D1" w14:textId="77777777" w:rsidR="00E827A9" w:rsidRDefault="00E827A9" w:rsidP="007E426D">
      <w:pPr>
        <w:spacing w:after="200" w:line="276" w:lineRule="auto"/>
        <w:jc w:val="both"/>
      </w:pPr>
    </w:p>
    <w:p w14:paraId="644FA65F" w14:textId="77777777" w:rsidR="00E50BEA" w:rsidRDefault="00E50BEA">
      <w:pPr>
        <w:spacing w:after="200" w:line="276" w:lineRule="auto"/>
        <w:sectPr w:rsidR="00E50BEA" w:rsidSect="00A879E1">
          <w:pgSz w:w="11906" w:h="16838"/>
          <w:pgMar w:top="1418" w:right="1418" w:bottom="1418" w:left="1418" w:header="709" w:footer="709" w:gutter="0"/>
          <w:cols w:space="708"/>
          <w:docGrid w:linePitch="360"/>
        </w:sectPr>
      </w:pPr>
    </w:p>
    <w:p w14:paraId="549D12DA" w14:textId="77777777" w:rsidR="00E827A9" w:rsidRDefault="00987429" w:rsidP="00E50BEA">
      <w:pPr>
        <w:pStyle w:val="Titre1Situation"/>
      </w:pPr>
      <w:bookmarkStart w:id="2" w:name="_Toc528222316"/>
      <w:r>
        <w:lastRenderedPageBreak/>
        <w:t>LISTE DES TABLEAUX</w:t>
      </w:r>
      <w:bookmarkEnd w:id="2"/>
    </w:p>
    <w:p w14:paraId="7499360F" w14:textId="77777777" w:rsidR="009F573A" w:rsidRDefault="00E1491D">
      <w:pPr>
        <w:pStyle w:val="Tabledesillustrations"/>
        <w:tabs>
          <w:tab w:val="right" w:leader="dot" w:pos="9060"/>
        </w:tabs>
        <w:rPr>
          <w:rFonts w:eastAsiaTheme="minorEastAsia"/>
          <w:noProof/>
          <w:lang w:eastAsia="fr-FR"/>
        </w:rPr>
      </w:pPr>
      <w:r>
        <w:fldChar w:fldCharType="begin"/>
      </w:r>
      <w:r w:rsidR="00466396">
        <w:instrText xml:space="preserve"> TOC \h \z \c "Tableau" </w:instrText>
      </w:r>
      <w:r>
        <w:fldChar w:fldCharType="separate"/>
      </w:r>
      <w:hyperlink w:anchor="_Toc528222369" w:history="1">
        <w:r w:rsidR="009F573A" w:rsidRPr="00AD3C75">
          <w:rPr>
            <w:rStyle w:val="Lienhypertexte"/>
            <w:noProof/>
          </w:rPr>
          <w:t>Tableau 1 : Budget estimatif du sous-programme amélioration de l’état nutritionnel du PAP du PDES pour la période 2017-2021</w:t>
        </w:r>
        <w:r w:rsidR="009F573A">
          <w:rPr>
            <w:noProof/>
            <w:webHidden/>
          </w:rPr>
          <w:tab/>
        </w:r>
        <w:r w:rsidR="009F573A">
          <w:rPr>
            <w:noProof/>
            <w:webHidden/>
          </w:rPr>
          <w:fldChar w:fldCharType="begin"/>
        </w:r>
        <w:r w:rsidR="009F573A">
          <w:rPr>
            <w:noProof/>
            <w:webHidden/>
          </w:rPr>
          <w:instrText xml:space="preserve"> PAGEREF _Toc528222369 \h </w:instrText>
        </w:r>
        <w:r w:rsidR="009F573A">
          <w:rPr>
            <w:noProof/>
            <w:webHidden/>
          </w:rPr>
        </w:r>
        <w:r w:rsidR="009F573A">
          <w:rPr>
            <w:noProof/>
            <w:webHidden/>
          </w:rPr>
          <w:fldChar w:fldCharType="separate"/>
        </w:r>
        <w:r w:rsidR="009F573A">
          <w:rPr>
            <w:noProof/>
            <w:webHidden/>
          </w:rPr>
          <w:t>28</w:t>
        </w:r>
        <w:r w:rsidR="009F573A">
          <w:rPr>
            <w:noProof/>
            <w:webHidden/>
          </w:rPr>
          <w:fldChar w:fldCharType="end"/>
        </w:r>
      </w:hyperlink>
    </w:p>
    <w:p w14:paraId="34BBC1B4" w14:textId="77777777" w:rsidR="009F573A" w:rsidRDefault="009F573A">
      <w:pPr>
        <w:pStyle w:val="Tabledesillustrations"/>
        <w:tabs>
          <w:tab w:val="right" w:leader="dot" w:pos="9060"/>
        </w:tabs>
        <w:rPr>
          <w:rFonts w:eastAsiaTheme="minorEastAsia"/>
          <w:noProof/>
          <w:lang w:eastAsia="fr-FR"/>
        </w:rPr>
      </w:pPr>
      <w:hyperlink w:anchor="_Toc528222370" w:history="1">
        <w:r w:rsidRPr="00AD3C75">
          <w:rPr>
            <w:rStyle w:val="Lienhypertexte"/>
            <w:noProof/>
          </w:rPr>
          <w:t>Tableau 2 : Répartition du budget du domaine d’intervention n°4 « Réduction de la vulnérabilité à l’insécurité alimentaire et nutritionnelle » du plan d’action du HC3N 2016-2020 par année</w:t>
        </w:r>
        <w:r>
          <w:rPr>
            <w:noProof/>
            <w:webHidden/>
          </w:rPr>
          <w:tab/>
        </w:r>
        <w:r>
          <w:rPr>
            <w:noProof/>
            <w:webHidden/>
          </w:rPr>
          <w:fldChar w:fldCharType="begin"/>
        </w:r>
        <w:r>
          <w:rPr>
            <w:noProof/>
            <w:webHidden/>
          </w:rPr>
          <w:instrText xml:space="preserve"> PAGEREF _Toc528222370 \h </w:instrText>
        </w:r>
        <w:r>
          <w:rPr>
            <w:noProof/>
            <w:webHidden/>
          </w:rPr>
        </w:r>
        <w:r>
          <w:rPr>
            <w:noProof/>
            <w:webHidden/>
          </w:rPr>
          <w:fldChar w:fldCharType="separate"/>
        </w:r>
        <w:r>
          <w:rPr>
            <w:noProof/>
            <w:webHidden/>
          </w:rPr>
          <w:t>33</w:t>
        </w:r>
        <w:r>
          <w:rPr>
            <w:noProof/>
            <w:webHidden/>
          </w:rPr>
          <w:fldChar w:fldCharType="end"/>
        </w:r>
      </w:hyperlink>
    </w:p>
    <w:p w14:paraId="2202F1BB" w14:textId="77777777" w:rsidR="009F573A" w:rsidRDefault="009F573A">
      <w:pPr>
        <w:pStyle w:val="Tabledesillustrations"/>
        <w:tabs>
          <w:tab w:val="right" w:leader="dot" w:pos="9060"/>
        </w:tabs>
        <w:rPr>
          <w:rFonts w:eastAsiaTheme="minorEastAsia"/>
          <w:noProof/>
          <w:lang w:eastAsia="fr-FR"/>
        </w:rPr>
      </w:pPr>
      <w:hyperlink w:anchor="_Toc528222371" w:history="1">
        <w:r w:rsidRPr="00AD3C75">
          <w:rPr>
            <w:rStyle w:val="Lienhypertexte"/>
            <w:noProof/>
          </w:rPr>
          <w:t>Tableau 3 : Répartition du budget du PS 11 amélioration de l’état nutritionnel des nigériennes et des nigériens du plan d’action du HC3N 2016-2020 par année</w:t>
        </w:r>
        <w:r>
          <w:rPr>
            <w:noProof/>
            <w:webHidden/>
          </w:rPr>
          <w:tab/>
        </w:r>
        <w:r>
          <w:rPr>
            <w:noProof/>
            <w:webHidden/>
          </w:rPr>
          <w:fldChar w:fldCharType="begin"/>
        </w:r>
        <w:r>
          <w:rPr>
            <w:noProof/>
            <w:webHidden/>
          </w:rPr>
          <w:instrText xml:space="preserve"> PAGEREF _Toc528222371 \h </w:instrText>
        </w:r>
        <w:r>
          <w:rPr>
            <w:noProof/>
            <w:webHidden/>
          </w:rPr>
        </w:r>
        <w:r>
          <w:rPr>
            <w:noProof/>
            <w:webHidden/>
          </w:rPr>
          <w:fldChar w:fldCharType="separate"/>
        </w:r>
        <w:r>
          <w:rPr>
            <w:noProof/>
            <w:webHidden/>
          </w:rPr>
          <w:t>33</w:t>
        </w:r>
        <w:r>
          <w:rPr>
            <w:noProof/>
            <w:webHidden/>
          </w:rPr>
          <w:fldChar w:fldCharType="end"/>
        </w:r>
      </w:hyperlink>
    </w:p>
    <w:p w14:paraId="66005684" w14:textId="77777777" w:rsidR="009F573A" w:rsidRDefault="009F573A">
      <w:pPr>
        <w:pStyle w:val="Tabledesillustrations"/>
        <w:tabs>
          <w:tab w:val="right" w:leader="dot" w:pos="9060"/>
        </w:tabs>
        <w:rPr>
          <w:rFonts w:eastAsiaTheme="minorEastAsia"/>
          <w:noProof/>
          <w:lang w:eastAsia="fr-FR"/>
        </w:rPr>
      </w:pPr>
      <w:hyperlink w:anchor="_Toc528222372" w:history="1">
        <w:r w:rsidRPr="00AD3C75">
          <w:rPr>
            <w:rStyle w:val="Lienhypertexte"/>
            <w:noProof/>
          </w:rPr>
          <w:t>Tableau 4 : Ventilation des résultats et activités du PA de la PNSN 2017-2019</w:t>
        </w:r>
        <w:r>
          <w:rPr>
            <w:noProof/>
            <w:webHidden/>
          </w:rPr>
          <w:tab/>
        </w:r>
        <w:r>
          <w:rPr>
            <w:noProof/>
            <w:webHidden/>
          </w:rPr>
          <w:fldChar w:fldCharType="begin"/>
        </w:r>
        <w:r>
          <w:rPr>
            <w:noProof/>
            <w:webHidden/>
          </w:rPr>
          <w:instrText xml:space="preserve"> PAGEREF _Toc528222372 \h </w:instrText>
        </w:r>
        <w:r>
          <w:rPr>
            <w:noProof/>
            <w:webHidden/>
          </w:rPr>
        </w:r>
        <w:r>
          <w:rPr>
            <w:noProof/>
            <w:webHidden/>
          </w:rPr>
          <w:fldChar w:fldCharType="separate"/>
        </w:r>
        <w:r>
          <w:rPr>
            <w:noProof/>
            <w:webHidden/>
          </w:rPr>
          <w:t>35</w:t>
        </w:r>
        <w:r>
          <w:rPr>
            <w:noProof/>
            <w:webHidden/>
          </w:rPr>
          <w:fldChar w:fldCharType="end"/>
        </w:r>
      </w:hyperlink>
    </w:p>
    <w:p w14:paraId="36040003" w14:textId="77777777" w:rsidR="009F573A" w:rsidRDefault="009F573A">
      <w:pPr>
        <w:pStyle w:val="Tabledesillustrations"/>
        <w:tabs>
          <w:tab w:val="right" w:leader="dot" w:pos="9060"/>
        </w:tabs>
        <w:rPr>
          <w:rFonts w:eastAsiaTheme="minorEastAsia"/>
          <w:noProof/>
          <w:lang w:eastAsia="fr-FR"/>
        </w:rPr>
      </w:pPr>
      <w:hyperlink w:anchor="_Toc528222373" w:history="1">
        <w:r w:rsidRPr="00AD3C75">
          <w:rPr>
            <w:rStyle w:val="Lienhypertexte"/>
            <w:noProof/>
          </w:rPr>
          <w:t>Tableau 5 : Budget estimatif du PA de la PNSN pour la période 2017-2019</w:t>
        </w:r>
        <w:r>
          <w:rPr>
            <w:noProof/>
            <w:webHidden/>
          </w:rPr>
          <w:tab/>
        </w:r>
        <w:r>
          <w:rPr>
            <w:noProof/>
            <w:webHidden/>
          </w:rPr>
          <w:fldChar w:fldCharType="begin"/>
        </w:r>
        <w:r>
          <w:rPr>
            <w:noProof/>
            <w:webHidden/>
          </w:rPr>
          <w:instrText xml:space="preserve"> PAGEREF _Toc528222373 \h </w:instrText>
        </w:r>
        <w:r>
          <w:rPr>
            <w:noProof/>
            <w:webHidden/>
          </w:rPr>
        </w:r>
        <w:r>
          <w:rPr>
            <w:noProof/>
            <w:webHidden/>
          </w:rPr>
          <w:fldChar w:fldCharType="separate"/>
        </w:r>
        <w:r>
          <w:rPr>
            <w:noProof/>
            <w:webHidden/>
          </w:rPr>
          <w:t>37</w:t>
        </w:r>
        <w:r>
          <w:rPr>
            <w:noProof/>
            <w:webHidden/>
          </w:rPr>
          <w:fldChar w:fldCharType="end"/>
        </w:r>
      </w:hyperlink>
    </w:p>
    <w:p w14:paraId="47012A68" w14:textId="77777777" w:rsidR="00E50BEA" w:rsidRDefault="00E1491D" w:rsidP="007E426D">
      <w:pPr>
        <w:spacing w:after="200" w:line="276" w:lineRule="auto"/>
        <w:jc w:val="both"/>
        <w:sectPr w:rsidR="00E50BEA" w:rsidSect="00A879E1">
          <w:pgSz w:w="11906" w:h="16838"/>
          <w:pgMar w:top="1418" w:right="1418" w:bottom="1418" w:left="1418" w:header="709" w:footer="709" w:gutter="0"/>
          <w:cols w:space="708"/>
          <w:docGrid w:linePitch="360"/>
        </w:sectPr>
      </w:pPr>
      <w:r>
        <w:fldChar w:fldCharType="end"/>
      </w:r>
    </w:p>
    <w:p w14:paraId="06C868A1" w14:textId="1264E5D2" w:rsidR="00E827A9" w:rsidRDefault="00987429" w:rsidP="00E50BEA">
      <w:pPr>
        <w:pStyle w:val="Titre1Situation"/>
      </w:pPr>
      <w:bookmarkStart w:id="3" w:name="_Toc528222317"/>
      <w:r>
        <w:lastRenderedPageBreak/>
        <w:t>LISTE DES FIGURES</w:t>
      </w:r>
      <w:bookmarkEnd w:id="3"/>
    </w:p>
    <w:p w14:paraId="1B574F5D" w14:textId="77777777" w:rsidR="009F573A" w:rsidRDefault="00D5196D">
      <w:pPr>
        <w:pStyle w:val="Tabledesillustrations"/>
        <w:tabs>
          <w:tab w:val="right" w:leader="dot" w:pos="9060"/>
        </w:tabs>
        <w:rPr>
          <w:rFonts w:eastAsiaTheme="minorEastAsia"/>
          <w:noProof/>
          <w:lang w:eastAsia="fr-FR"/>
        </w:rPr>
      </w:pPr>
      <w:r>
        <w:fldChar w:fldCharType="begin"/>
      </w:r>
      <w:r>
        <w:instrText xml:space="preserve"> TOC \h \z \c "Figure" </w:instrText>
      </w:r>
      <w:r>
        <w:fldChar w:fldCharType="separate"/>
      </w:r>
      <w:hyperlink w:anchor="_Toc528222374" w:history="1">
        <w:r w:rsidR="009F573A" w:rsidRPr="00965191">
          <w:rPr>
            <w:rStyle w:val="Lienhypertexte"/>
            <w:noProof/>
          </w:rPr>
          <w:t>Figure 1 : Répartition du coût du sous-programme amélioration de l'état nutritionnel  dans le PAP du PDES en fonction des actions majeurs 2017-2021</w:t>
        </w:r>
        <w:r w:rsidR="009F573A">
          <w:rPr>
            <w:noProof/>
            <w:webHidden/>
          </w:rPr>
          <w:tab/>
        </w:r>
        <w:r w:rsidR="009F573A">
          <w:rPr>
            <w:noProof/>
            <w:webHidden/>
          </w:rPr>
          <w:fldChar w:fldCharType="begin"/>
        </w:r>
        <w:r w:rsidR="009F573A">
          <w:rPr>
            <w:noProof/>
            <w:webHidden/>
          </w:rPr>
          <w:instrText xml:space="preserve"> PAGEREF _Toc528222374 \h </w:instrText>
        </w:r>
        <w:r w:rsidR="009F573A">
          <w:rPr>
            <w:noProof/>
            <w:webHidden/>
          </w:rPr>
        </w:r>
        <w:r w:rsidR="009F573A">
          <w:rPr>
            <w:noProof/>
            <w:webHidden/>
          </w:rPr>
          <w:fldChar w:fldCharType="separate"/>
        </w:r>
        <w:r w:rsidR="009F573A">
          <w:rPr>
            <w:noProof/>
            <w:webHidden/>
          </w:rPr>
          <w:t>29</w:t>
        </w:r>
        <w:r w:rsidR="009F573A">
          <w:rPr>
            <w:noProof/>
            <w:webHidden/>
          </w:rPr>
          <w:fldChar w:fldCharType="end"/>
        </w:r>
      </w:hyperlink>
    </w:p>
    <w:p w14:paraId="7F8C6192" w14:textId="77777777" w:rsidR="009F573A" w:rsidRDefault="009F573A">
      <w:pPr>
        <w:pStyle w:val="Tabledesillustrations"/>
        <w:tabs>
          <w:tab w:val="right" w:leader="dot" w:pos="9060"/>
        </w:tabs>
        <w:rPr>
          <w:rFonts w:eastAsiaTheme="minorEastAsia"/>
          <w:noProof/>
          <w:lang w:eastAsia="fr-FR"/>
        </w:rPr>
      </w:pPr>
      <w:hyperlink w:anchor="_Toc528222375" w:history="1">
        <w:r w:rsidRPr="00965191">
          <w:rPr>
            <w:rStyle w:val="Lienhypertexte"/>
            <w:noProof/>
          </w:rPr>
          <w:t>Figure 2 : Répartition des résultats, résultats intermédiaires et activités du PA de la PNSN 2017-2019 par engagement</w:t>
        </w:r>
        <w:r>
          <w:rPr>
            <w:noProof/>
            <w:webHidden/>
          </w:rPr>
          <w:tab/>
        </w:r>
        <w:r>
          <w:rPr>
            <w:noProof/>
            <w:webHidden/>
          </w:rPr>
          <w:fldChar w:fldCharType="begin"/>
        </w:r>
        <w:r>
          <w:rPr>
            <w:noProof/>
            <w:webHidden/>
          </w:rPr>
          <w:instrText xml:space="preserve"> PAGEREF _Toc528222375 \h </w:instrText>
        </w:r>
        <w:r>
          <w:rPr>
            <w:noProof/>
            <w:webHidden/>
          </w:rPr>
        </w:r>
        <w:r>
          <w:rPr>
            <w:noProof/>
            <w:webHidden/>
          </w:rPr>
          <w:fldChar w:fldCharType="separate"/>
        </w:r>
        <w:r>
          <w:rPr>
            <w:noProof/>
            <w:webHidden/>
          </w:rPr>
          <w:t>35</w:t>
        </w:r>
        <w:r>
          <w:rPr>
            <w:noProof/>
            <w:webHidden/>
          </w:rPr>
          <w:fldChar w:fldCharType="end"/>
        </w:r>
      </w:hyperlink>
    </w:p>
    <w:p w14:paraId="4788267C" w14:textId="77777777" w:rsidR="009F573A" w:rsidRDefault="009F573A">
      <w:pPr>
        <w:pStyle w:val="Tabledesillustrations"/>
        <w:tabs>
          <w:tab w:val="right" w:leader="dot" w:pos="9060"/>
        </w:tabs>
        <w:rPr>
          <w:rFonts w:eastAsiaTheme="minorEastAsia"/>
          <w:noProof/>
          <w:lang w:eastAsia="fr-FR"/>
        </w:rPr>
      </w:pPr>
      <w:hyperlink w:anchor="_Toc528222376" w:history="1">
        <w:r w:rsidRPr="00965191">
          <w:rPr>
            <w:rStyle w:val="Lienhypertexte"/>
            <w:noProof/>
          </w:rPr>
          <w:t>Figure 3 : Répartition des activités du PA de la PNSN 2017-2019 par engagement</w:t>
        </w:r>
        <w:r>
          <w:rPr>
            <w:noProof/>
            <w:webHidden/>
          </w:rPr>
          <w:tab/>
        </w:r>
        <w:r>
          <w:rPr>
            <w:noProof/>
            <w:webHidden/>
          </w:rPr>
          <w:fldChar w:fldCharType="begin"/>
        </w:r>
        <w:r>
          <w:rPr>
            <w:noProof/>
            <w:webHidden/>
          </w:rPr>
          <w:instrText xml:space="preserve"> PAGEREF _Toc528222376 \h </w:instrText>
        </w:r>
        <w:r>
          <w:rPr>
            <w:noProof/>
            <w:webHidden/>
          </w:rPr>
        </w:r>
        <w:r>
          <w:rPr>
            <w:noProof/>
            <w:webHidden/>
          </w:rPr>
          <w:fldChar w:fldCharType="separate"/>
        </w:r>
        <w:r>
          <w:rPr>
            <w:noProof/>
            <w:webHidden/>
          </w:rPr>
          <w:t>36</w:t>
        </w:r>
        <w:r>
          <w:rPr>
            <w:noProof/>
            <w:webHidden/>
          </w:rPr>
          <w:fldChar w:fldCharType="end"/>
        </w:r>
      </w:hyperlink>
    </w:p>
    <w:p w14:paraId="4D39340B" w14:textId="77777777" w:rsidR="009F573A" w:rsidRDefault="009F573A">
      <w:pPr>
        <w:pStyle w:val="Tabledesillustrations"/>
        <w:tabs>
          <w:tab w:val="right" w:leader="dot" w:pos="9060"/>
        </w:tabs>
        <w:rPr>
          <w:rFonts w:eastAsiaTheme="minorEastAsia"/>
          <w:noProof/>
          <w:lang w:eastAsia="fr-FR"/>
        </w:rPr>
      </w:pPr>
      <w:hyperlink w:anchor="_Toc528222377" w:history="1">
        <w:r w:rsidRPr="00965191">
          <w:rPr>
            <w:rStyle w:val="Lienhypertexte"/>
            <w:noProof/>
          </w:rPr>
          <w:t>Figure 4 : Répartition du budget du PA de la PNSN 2017-2019 par engagement</w:t>
        </w:r>
        <w:r>
          <w:rPr>
            <w:noProof/>
            <w:webHidden/>
          </w:rPr>
          <w:tab/>
        </w:r>
        <w:r>
          <w:rPr>
            <w:noProof/>
            <w:webHidden/>
          </w:rPr>
          <w:fldChar w:fldCharType="begin"/>
        </w:r>
        <w:r>
          <w:rPr>
            <w:noProof/>
            <w:webHidden/>
          </w:rPr>
          <w:instrText xml:space="preserve"> PAGEREF _Toc528222377 \h </w:instrText>
        </w:r>
        <w:r>
          <w:rPr>
            <w:noProof/>
            <w:webHidden/>
          </w:rPr>
        </w:r>
        <w:r>
          <w:rPr>
            <w:noProof/>
            <w:webHidden/>
          </w:rPr>
          <w:fldChar w:fldCharType="separate"/>
        </w:r>
        <w:r>
          <w:rPr>
            <w:noProof/>
            <w:webHidden/>
          </w:rPr>
          <w:t>38</w:t>
        </w:r>
        <w:r>
          <w:rPr>
            <w:noProof/>
            <w:webHidden/>
          </w:rPr>
          <w:fldChar w:fldCharType="end"/>
        </w:r>
      </w:hyperlink>
    </w:p>
    <w:p w14:paraId="268E7166" w14:textId="77777777" w:rsidR="009F573A" w:rsidRDefault="009F573A">
      <w:pPr>
        <w:pStyle w:val="Tabledesillustrations"/>
        <w:tabs>
          <w:tab w:val="right" w:leader="dot" w:pos="9060"/>
        </w:tabs>
        <w:rPr>
          <w:rFonts w:eastAsiaTheme="minorEastAsia"/>
          <w:noProof/>
          <w:lang w:eastAsia="fr-FR"/>
        </w:rPr>
      </w:pPr>
      <w:hyperlink w:anchor="_Toc528222378" w:history="1">
        <w:r w:rsidRPr="00965191">
          <w:rPr>
            <w:rStyle w:val="Lienhypertexte"/>
            <w:noProof/>
          </w:rPr>
          <w:t>Figure 5 : Comparaison des coûts entre le plan d’action de la PNSN et le PDS (2017-2021)</w:t>
        </w:r>
        <w:r>
          <w:rPr>
            <w:noProof/>
            <w:webHidden/>
          </w:rPr>
          <w:tab/>
        </w:r>
        <w:r>
          <w:rPr>
            <w:noProof/>
            <w:webHidden/>
          </w:rPr>
          <w:fldChar w:fldCharType="begin"/>
        </w:r>
        <w:r>
          <w:rPr>
            <w:noProof/>
            <w:webHidden/>
          </w:rPr>
          <w:instrText xml:space="preserve"> PAGEREF _Toc528222378 \h </w:instrText>
        </w:r>
        <w:r>
          <w:rPr>
            <w:noProof/>
            <w:webHidden/>
          </w:rPr>
        </w:r>
        <w:r>
          <w:rPr>
            <w:noProof/>
            <w:webHidden/>
          </w:rPr>
          <w:fldChar w:fldCharType="separate"/>
        </w:r>
        <w:r>
          <w:rPr>
            <w:noProof/>
            <w:webHidden/>
          </w:rPr>
          <w:t>43</w:t>
        </w:r>
        <w:r>
          <w:rPr>
            <w:noProof/>
            <w:webHidden/>
          </w:rPr>
          <w:fldChar w:fldCharType="end"/>
        </w:r>
      </w:hyperlink>
    </w:p>
    <w:p w14:paraId="41A12302" w14:textId="77777777" w:rsidR="009F573A" w:rsidRDefault="009F573A">
      <w:pPr>
        <w:pStyle w:val="Tabledesillustrations"/>
        <w:tabs>
          <w:tab w:val="right" w:leader="dot" w:pos="9060"/>
        </w:tabs>
        <w:rPr>
          <w:rFonts w:eastAsiaTheme="minorEastAsia"/>
          <w:noProof/>
          <w:lang w:eastAsia="fr-FR"/>
        </w:rPr>
      </w:pPr>
      <w:hyperlink w:anchor="_Toc528222379" w:history="1">
        <w:r w:rsidRPr="00965191">
          <w:rPr>
            <w:rStyle w:val="Lienhypertexte"/>
            <w:noProof/>
          </w:rPr>
          <w:t>Figure 6 : Responsabilité et implication institutionnelles par engagement de la PNSN</w:t>
        </w:r>
        <w:r>
          <w:rPr>
            <w:noProof/>
            <w:webHidden/>
          </w:rPr>
          <w:tab/>
        </w:r>
        <w:r>
          <w:rPr>
            <w:noProof/>
            <w:webHidden/>
          </w:rPr>
          <w:fldChar w:fldCharType="begin"/>
        </w:r>
        <w:r>
          <w:rPr>
            <w:noProof/>
            <w:webHidden/>
          </w:rPr>
          <w:instrText xml:space="preserve"> PAGEREF _Toc528222379 \h </w:instrText>
        </w:r>
        <w:r>
          <w:rPr>
            <w:noProof/>
            <w:webHidden/>
          </w:rPr>
        </w:r>
        <w:r>
          <w:rPr>
            <w:noProof/>
            <w:webHidden/>
          </w:rPr>
          <w:fldChar w:fldCharType="separate"/>
        </w:r>
        <w:r>
          <w:rPr>
            <w:noProof/>
            <w:webHidden/>
          </w:rPr>
          <w:t>60</w:t>
        </w:r>
        <w:r>
          <w:rPr>
            <w:noProof/>
            <w:webHidden/>
          </w:rPr>
          <w:fldChar w:fldCharType="end"/>
        </w:r>
      </w:hyperlink>
    </w:p>
    <w:p w14:paraId="4DFB5E96" w14:textId="23C12924" w:rsidR="00E827A9" w:rsidRDefault="00D5196D" w:rsidP="007E426D">
      <w:pPr>
        <w:spacing w:after="200" w:line="276" w:lineRule="auto"/>
        <w:jc w:val="both"/>
      </w:pPr>
      <w:r>
        <w:fldChar w:fldCharType="end"/>
      </w:r>
    </w:p>
    <w:p w14:paraId="1F8B6AAD" w14:textId="77777777" w:rsidR="00E50BEA" w:rsidRDefault="00E50BEA" w:rsidP="007E426D">
      <w:pPr>
        <w:spacing w:after="200" w:line="276" w:lineRule="auto"/>
        <w:jc w:val="both"/>
        <w:sectPr w:rsidR="00E50BEA" w:rsidSect="00A879E1">
          <w:pgSz w:w="11906" w:h="16838"/>
          <w:pgMar w:top="1418" w:right="1418" w:bottom="1418" w:left="1418" w:header="709" w:footer="709" w:gutter="0"/>
          <w:cols w:space="708"/>
          <w:docGrid w:linePitch="360"/>
        </w:sectPr>
      </w:pPr>
    </w:p>
    <w:p w14:paraId="2501CDE0" w14:textId="77777777" w:rsidR="007A522F" w:rsidRDefault="00E827A9" w:rsidP="00E50BEA">
      <w:pPr>
        <w:pStyle w:val="Titre1Situation"/>
      </w:pPr>
      <w:bookmarkStart w:id="4" w:name="_Toc528222318"/>
      <w:r>
        <w:lastRenderedPageBreak/>
        <w:t>RESUME</w:t>
      </w:r>
      <w:bookmarkEnd w:id="4"/>
    </w:p>
    <w:p w14:paraId="251EE9A0" w14:textId="6DCDBF67" w:rsidR="006265D2" w:rsidRDefault="006265D2" w:rsidP="006265D2">
      <w:pPr>
        <w:pStyle w:val="ParagrapheRapportPNIN"/>
      </w:pPr>
      <w:r>
        <w:t xml:space="preserve">La malnutrition est la cause sous-jacente de 42% des décès </w:t>
      </w:r>
      <w:r w:rsidR="006371A5">
        <w:t xml:space="preserve">des enfants de moins de 5 ans </w:t>
      </w:r>
      <w:r>
        <w:t xml:space="preserve">au Niger.  Le fardeau de la malnutrition ne cesse de s’alourdir pour le Niger en raison de taux de prévalences de toutes les formes de malnutrition très élevés et de la croissance démographique galopante. Pour faire face à cette situation préoccupante, le Gouvernement du Niger soutenu par l’ensemble de ses partenaires techniques et financiers, a élaboré </w:t>
      </w:r>
      <w:r w:rsidR="00C919B5" w:rsidRPr="00C919B5">
        <w:t xml:space="preserve">mis en œuvre </w:t>
      </w:r>
      <w:r>
        <w:t xml:space="preserve">des politiques, stratégies, plans et programmes nationaux et sectoriels. </w:t>
      </w:r>
    </w:p>
    <w:p w14:paraId="77A062AD" w14:textId="77777777" w:rsidR="000A2551" w:rsidRDefault="006265D2" w:rsidP="000A2551">
      <w:pPr>
        <w:pStyle w:val="ParagrapheRapportPNIN"/>
      </w:pPr>
      <w:r>
        <w:t>Le Niger s’est également engagé dans la mise en place d’une Plateforme Nationale d’Information pour la Nutrition (PNIN). L’initiative a pour but de produire de l’information de qualité liée à la nutrition dans les divers secteurs contributifs à la nutrition. Elle vise aussi à engendrer des besoins et demandes d’informations, à produire des analyses adaptées aux besoins des utilisateurs de manière à alimenter le débat public sur les questions de sécurité nutritionnelle. Elle ambitionne enfin de formuler des messages simples de sensibilisation et de plaidoyer à l’endroit des décideurs, des parties prenantes, des partenaires au dév</w:t>
      </w:r>
      <w:r w:rsidR="000A2551">
        <w:t xml:space="preserve">eloppement et du grand public. </w:t>
      </w:r>
    </w:p>
    <w:p w14:paraId="4E138DEA" w14:textId="2F7D4D48" w:rsidR="00C919B5" w:rsidRDefault="006265D2" w:rsidP="000A2551">
      <w:pPr>
        <w:pStyle w:val="ParagrapheRapportPNIN"/>
      </w:pPr>
      <w:r>
        <w:t xml:space="preserve">Afin </w:t>
      </w:r>
      <w:r w:rsidR="00F0683D">
        <w:t>d</w:t>
      </w:r>
      <w:r>
        <w:t>’élabor</w:t>
      </w:r>
      <w:r w:rsidR="00FF500B">
        <w:t xml:space="preserve">er </w:t>
      </w:r>
      <w:r>
        <w:t xml:space="preserve">un plan-cadre d’analyse  2019-2020, la PNIN a entrepris une analyse des enjeux de la nutrition au Niger.  </w:t>
      </w:r>
      <w:r w:rsidR="000A2551">
        <w:t xml:space="preserve">L’analyse documentaire réalisée a permis de faire ressortir des constats liés aux politiques, stratégies, plans et programmes nationaux et sectoriels examinés et d’identifier certains enjeux de la nutrition. </w:t>
      </w:r>
    </w:p>
    <w:p w14:paraId="5AF4859C" w14:textId="156D6CE0" w:rsidR="00A451B0" w:rsidRDefault="00A451B0" w:rsidP="00A451B0">
      <w:pPr>
        <w:pStyle w:val="ParagrapheRapportPNIN"/>
      </w:pPr>
      <w:r w:rsidRPr="00814372">
        <w:t xml:space="preserve">Les </w:t>
      </w:r>
      <w:r>
        <w:t>enjeux examinés ont été catégorisés</w:t>
      </w:r>
      <w:r w:rsidRPr="00814372">
        <w:t xml:space="preserve"> en enjeux liés</w:t>
      </w:r>
      <w:r w:rsidR="0084769D" w:rsidRPr="0084769D">
        <w:t xml:space="preserve"> à la mise en place d’un environnement favorable à la nutrition </w:t>
      </w:r>
      <w:r>
        <w:t xml:space="preserve">et </w:t>
      </w:r>
      <w:r w:rsidRPr="00814372">
        <w:t xml:space="preserve"> en enjeux </w:t>
      </w:r>
      <w:r>
        <w:t>d’ordre opérationnels.</w:t>
      </w:r>
    </w:p>
    <w:p w14:paraId="33CFC900" w14:textId="21F6959C" w:rsidR="00A451B0" w:rsidRDefault="00A451B0" w:rsidP="0084769D">
      <w:pPr>
        <w:pStyle w:val="PucesRapportPNIN"/>
      </w:pPr>
      <w:r w:rsidRPr="00A451B0">
        <w:t xml:space="preserve">Les enjeux liés </w:t>
      </w:r>
      <w:r w:rsidR="0084769D" w:rsidRPr="0084769D">
        <w:t xml:space="preserve">à la mise en place d’un environnement favorable à la nutrition </w:t>
      </w:r>
      <w:r w:rsidRPr="00A451B0">
        <w:t>sont :</w:t>
      </w:r>
    </w:p>
    <w:p w14:paraId="276D1629" w14:textId="049FD7B0" w:rsidR="008E55D2" w:rsidRDefault="008E55D2" w:rsidP="0084769D">
      <w:pPr>
        <w:pStyle w:val="PucesRapportPNIN"/>
        <w:numPr>
          <w:ilvl w:val="0"/>
          <w:numId w:val="22"/>
        </w:numPr>
      </w:pPr>
      <w:r w:rsidRPr="008E55D2">
        <w:t>La prise en compte de la nutrition durant les cycles de planification sectorielle</w:t>
      </w:r>
    </w:p>
    <w:p w14:paraId="03221B29" w14:textId="15E9D700" w:rsidR="008E55D2" w:rsidRDefault="008E55D2" w:rsidP="0084769D">
      <w:pPr>
        <w:pStyle w:val="PucesRapportPNIN"/>
        <w:numPr>
          <w:ilvl w:val="0"/>
          <w:numId w:val="22"/>
        </w:numPr>
      </w:pPr>
      <w:r w:rsidRPr="008E55D2">
        <w:t>La coordination multisectorielle</w:t>
      </w:r>
    </w:p>
    <w:p w14:paraId="221D08B4" w14:textId="7A8CAF8C" w:rsidR="008E55D2" w:rsidRDefault="008E55D2" w:rsidP="0084769D">
      <w:pPr>
        <w:pStyle w:val="PucesRapportPNIN"/>
        <w:numPr>
          <w:ilvl w:val="0"/>
          <w:numId w:val="22"/>
        </w:numPr>
      </w:pPr>
      <w:r w:rsidRPr="008E55D2">
        <w:t>Le financement de la nutrition</w:t>
      </w:r>
    </w:p>
    <w:p w14:paraId="023774AB" w14:textId="12D2DFE6" w:rsidR="008E55D2" w:rsidRDefault="008E55D2" w:rsidP="0084769D">
      <w:pPr>
        <w:pStyle w:val="PucesRapportPNIN"/>
        <w:numPr>
          <w:ilvl w:val="0"/>
          <w:numId w:val="22"/>
        </w:numPr>
      </w:pPr>
      <w:r w:rsidRPr="008E55D2">
        <w:t>La mise en place d’un système d’information pour la nutrition</w:t>
      </w:r>
    </w:p>
    <w:p w14:paraId="1826DF78" w14:textId="79FCE822" w:rsidR="009F573A" w:rsidRDefault="009F573A" w:rsidP="009F573A">
      <w:pPr>
        <w:pStyle w:val="PucesRapportPNIN"/>
        <w:numPr>
          <w:ilvl w:val="0"/>
          <w:numId w:val="22"/>
        </w:numPr>
      </w:pPr>
      <w:r>
        <w:t>Le suivi et évaluation de la mise en œuvre de la PNSN</w:t>
      </w:r>
    </w:p>
    <w:p w14:paraId="3EE43260" w14:textId="0E15E5C9" w:rsidR="008E55D2" w:rsidRDefault="008E55D2" w:rsidP="0084769D">
      <w:pPr>
        <w:pStyle w:val="PucesRapportPNIN"/>
        <w:numPr>
          <w:ilvl w:val="0"/>
          <w:numId w:val="22"/>
        </w:numPr>
      </w:pPr>
      <w:r>
        <w:t>L</w:t>
      </w:r>
      <w:r w:rsidRPr="008E55D2">
        <w:t>a redevabilité des acteurs de la PNSN</w:t>
      </w:r>
    </w:p>
    <w:p w14:paraId="4E1F27E8" w14:textId="77777777" w:rsidR="00AD74BC" w:rsidRDefault="00AD74BC" w:rsidP="00AD74BC">
      <w:pPr>
        <w:pStyle w:val="PucesRapportPNIN"/>
        <w:numPr>
          <w:ilvl w:val="0"/>
          <w:numId w:val="0"/>
        </w:numPr>
        <w:ind w:left="3141"/>
      </w:pPr>
    </w:p>
    <w:p w14:paraId="5BD47BB1" w14:textId="77777777" w:rsidR="002E6CDE" w:rsidRDefault="002E6CDE" w:rsidP="00AD74BC">
      <w:pPr>
        <w:pStyle w:val="PucesRapportPNIN"/>
        <w:numPr>
          <w:ilvl w:val="0"/>
          <w:numId w:val="0"/>
        </w:numPr>
        <w:ind w:left="3141"/>
      </w:pPr>
    </w:p>
    <w:p w14:paraId="46E9E1F5" w14:textId="77777777" w:rsidR="008E55D2" w:rsidRPr="00A451B0" w:rsidRDefault="008E55D2" w:rsidP="008E55D2">
      <w:pPr>
        <w:pStyle w:val="PucesRapportPNIN"/>
        <w:numPr>
          <w:ilvl w:val="0"/>
          <w:numId w:val="0"/>
        </w:numPr>
        <w:ind w:left="2421"/>
      </w:pPr>
    </w:p>
    <w:p w14:paraId="162CAF8D" w14:textId="6232E474" w:rsidR="00A451B0" w:rsidRPr="00A451B0" w:rsidRDefault="00A451B0" w:rsidP="00A451B0">
      <w:pPr>
        <w:pStyle w:val="PucesRapportPNIN"/>
      </w:pPr>
      <w:r w:rsidRPr="00A451B0">
        <w:t>Les enjeux d’ordre opérationnels sont :</w:t>
      </w:r>
    </w:p>
    <w:p w14:paraId="55732AF4" w14:textId="28E280CF" w:rsidR="00A451B0" w:rsidRDefault="0084769D" w:rsidP="00E40D4E">
      <w:pPr>
        <w:pStyle w:val="PucesRapportPNIN"/>
        <w:numPr>
          <w:ilvl w:val="0"/>
          <w:numId w:val="22"/>
        </w:numPr>
      </w:pPr>
      <w:r w:rsidRPr="0084769D">
        <w:t>Le renforcement des capacités institutionnelles et humaines en faveur de la nutrition</w:t>
      </w:r>
    </w:p>
    <w:p w14:paraId="3353B690" w14:textId="77777777" w:rsidR="00E40D4E" w:rsidRDefault="00E40D4E" w:rsidP="00E40D4E">
      <w:pPr>
        <w:pStyle w:val="PucesRapportPNIN"/>
        <w:numPr>
          <w:ilvl w:val="0"/>
          <w:numId w:val="22"/>
        </w:numPr>
      </w:pPr>
      <w:r w:rsidRPr="00E40D4E">
        <w:t>La définition d’un paquet minium d’activités multisectorielles à haut impact à mettre à échelle</w:t>
      </w:r>
    </w:p>
    <w:p w14:paraId="317F3983" w14:textId="77777777" w:rsidR="00E40D4E" w:rsidRDefault="00E40D4E" w:rsidP="00E40D4E">
      <w:pPr>
        <w:pStyle w:val="PucesRapportPNIN"/>
        <w:numPr>
          <w:ilvl w:val="0"/>
          <w:numId w:val="22"/>
        </w:numPr>
      </w:pPr>
      <w:r w:rsidRPr="00E40D4E">
        <w:t>Le ciblage des zones d’interventions et des bénéficiaires</w:t>
      </w:r>
    </w:p>
    <w:p w14:paraId="76004119" w14:textId="77777777" w:rsidR="00E40D4E" w:rsidRDefault="00E40D4E" w:rsidP="00E40D4E">
      <w:pPr>
        <w:pStyle w:val="PucesRapportPNIN"/>
        <w:numPr>
          <w:ilvl w:val="0"/>
          <w:numId w:val="22"/>
        </w:numPr>
      </w:pPr>
      <w:r w:rsidRPr="0084769D">
        <w:t xml:space="preserve">Le suivi et évaluation de la mise en œuvre de la PNSN </w:t>
      </w:r>
    </w:p>
    <w:p w14:paraId="3496399F" w14:textId="77777777" w:rsidR="00AD74BC" w:rsidRDefault="00A451B0" w:rsidP="00AD74BC">
      <w:pPr>
        <w:pStyle w:val="ParagrapheRapportPNIN"/>
      </w:pPr>
      <w:r>
        <w:t xml:space="preserve">Des constats et questions ont émergés de l’analyse documentaire. </w:t>
      </w:r>
      <w:r w:rsidR="00AD74BC" w:rsidRPr="009174CA">
        <w:rPr>
          <w:b/>
        </w:rPr>
        <w:t>Un consensus est à rechercher avec les secteurs pour une formulation de questions pertinentes</w:t>
      </w:r>
      <w:r w:rsidR="00AD74BC">
        <w:t xml:space="preserve"> </w:t>
      </w:r>
      <w:r w:rsidR="00AD74BC" w:rsidRPr="009174CA">
        <w:rPr>
          <w:b/>
        </w:rPr>
        <w:t>et répondants à leurs besoins d’informations et à des formulations de recommandations pour des actions concrètes.</w:t>
      </w:r>
      <w:r w:rsidR="00AD74BC">
        <w:t xml:space="preserve"> </w:t>
      </w:r>
    </w:p>
    <w:p w14:paraId="022D5FAF" w14:textId="536E880E" w:rsidR="00AD74BC" w:rsidRDefault="00AD74BC" w:rsidP="00AD74BC">
      <w:pPr>
        <w:pStyle w:val="ParagrapheRapportPNIN"/>
      </w:pPr>
      <w:r>
        <w:t>Constats :</w:t>
      </w:r>
    </w:p>
    <w:p w14:paraId="70674391" w14:textId="4B463624" w:rsidR="000A2551" w:rsidRDefault="000A2551" w:rsidP="00CB6535">
      <w:pPr>
        <w:pStyle w:val="PucesRapportPNIN"/>
      </w:pPr>
      <w:r w:rsidRPr="000A2551">
        <w:t>La mise en place d’un agenda international de la nutrition, l’engagement du Niger au niveau international et régional a permis de repositionner la nutrition parmi les priorités nationales.</w:t>
      </w:r>
    </w:p>
    <w:p w14:paraId="65246783" w14:textId="5B5FC56C" w:rsidR="00BB6787" w:rsidRDefault="00BB6787" w:rsidP="00CB6535">
      <w:pPr>
        <w:pStyle w:val="PucesRapportPNIN"/>
      </w:pPr>
      <w:r>
        <w:t>Un effort d’alignement des politiques et documents stratégiques est fait pour une meilleure prise en compte de la nutrition.</w:t>
      </w:r>
    </w:p>
    <w:p w14:paraId="40A3F437" w14:textId="469CB328" w:rsidR="00BB6787" w:rsidRDefault="00BB6787" w:rsidP="00CB6535">
      <w:pPr>
        <w:pStyle w:val="PucesRapportPNIN"/>
      </w:pPr>
      <w:r>
        <w:t>Malgré ces avancées et une meilleure compréhension de la dimension multisectorielle de la nutrition, elle reste décrite comme une priorité relevant seulement du secteur de la santé dans plusieurs politiques et stratégies nationales.</w:t>
      </w:r>
    </w:p>
    <w:p w14:paraId="6CDCC3D6" w14:textId="4E5AEC37" w:rsidR="00BB6787" w:rsidRDefault="00BB6787" w:rsidP="00CB6535">
      <w:pPr>
        <w:pStyle w:val="PucesRapportPNIN"/>
      </w:pPr>
      <w:r>
        <w:t>La PNSN 2016-2025 qui est la première politique nationale de nutrition multisectorielle prône une approche multisectorielle dans la lutte contre la malnutrition</w:t>
      </w:r>
    </w:p>
    <w:p w14:paraId="6C51CB1F" w14:textId="2B76795B" w:rsidR="00BB6787" w:rsidRDefault="00BB6787" w:rsidP="00CB6535">
      <w:pPr>
        <w:pStyle w:val="PucesRapportPNIN"/>
      </w:pPr>
      <w:r>
        <w:t>Avec la PNSN, la contribution des secteurs à la nutrition est de plus en plus comprise mais il existe un réel besoin de renforcement des capacités au niveau sectoriel.</w:t>
      </w:r>
    </w:p>
    <w:p w14:paraId="2FFE0E12" w14:textId="77777777" w:rsidR="0061749F" w:rsidRDefault="0061749F" w:rsidP="00CB6535">
      <w:pPr>
        <w:pStyle w:val="PucesRapportPNIN"/>
      </w:pPr>
      <w:r>
        <w:t>Le PA de la PNSN a défini les interventions des secteurs mais il y a toujours un besoin de mise en cohérence avec les politiques et plans sectoriels surtout sur les cibles à atteindre.</w:t>
      </w:r>
    </w:p>
    <w:p w14:paraId="69495B4D" w14:textId="77777777" w:rsidR="00415CAA" w:rsidRDefault="00415CAA" w:rsidP="00415CAA">
      <w:pPr>
        <w:pStyle w:val="PucesRapportPNIN"/>
      </w:pPr>
      <w:r>
        <w:t>Les secteurs ne perçoivent toujours pas la nutrition comme étant contributif à leur secteur.</w:t>
      </w:r>
    </w:p>
    <w:p w14:paraId="5EC5C20E" w14:textId="77777777" w:rsidR="0061749F" w:rsidRDefault="0061749F" w:rsidP="00CB6535">
      <w:pPr>
        <w:pStyle w:val="PucesRapportPNIN"/>
      </w:pPr>
      <w:r>
        <w:t>Bien que les politiques, plans et programmes sectoriels comportent des actions et interventions sensibles à la nutrition, le ciblage des bénéficiaires et des zones d’interventions ne tient souvent pas compte de la malnutrition.</w:t>
      </w:r>
    </w:p>
    <w:p w14:paraId="533121EB" w14:textId="77777777" w:rsidR="0061749F" w:rsidRDefault="0061749F" w:rsidP="00CB6535">
      <w:pPr>
        <w:pStyle w:val="PucesRapportPNIN"/>
      </w:pPr>
      <w:r>
        <w:t>La plupart des interventions spécifiques et sensibles à la nutrition sont mises en œuvre très souvent à petite échelle.</w:t>
      </w:r>
    </w:p>
    <w:p w14:paraId="6C3BB83E" w14:textId="77777777" w:rsidR="00973C50" w:rsidRDefault="00973C50" w:rsidP="00CB6535">
      <w:pPr>
        <w:pStyle w:val="PucesRapportPNIN"/>
      </w:pPr>
      <w:r>
        <w:t>Il y a un faible niveau de prise en compte d’indicateurs nutritionnels dans les secteurs permettant de mettre en évidence leurs contributions.</w:t>
      </w:r>
    </w:p>
    <w:p w14:paraId="4A18225A" w14:textId="77777777" w:rsidR="00973C50" w:rsidRDefault="00973C50" w:rsidP="00CB6535">
      <w:pPr>
        <w:pStyle w:val="PucesRapportPNIN"/>
      </w:pPr>
      <w:r>
        <w:t>Il y n’a pas encore un système d’information national pour la nutrition au Niger.</w:t>
      </w:r>
    </w:p>
    <w:p w14:paraId="406E8FCC" w14:textId="1AEAAC0B" w:rsidR="0061749F" w:rsidRDefault="0061749F" w:rsidP="00CB6535">
      <w:pPr>
        <w:pStyle w:val="PucesRapportPNIN"/>
      </w:pPr>
      <w:r>
        <w:t>Il y a un besoin urgent de finaliser le plan de suivi évaluation et de plan de redevabilité de la PNSN pour une mise en œuvre efficiente de la PNSN</w:t>
      </w:r>
      <w:r w:rsidR="00973C50">
        <w:t>.</w:t>
      </w:r>
    </w:p>
    <w:p w14:paraId="70375C57" w14:textId="6C8F54FB" w:rsidR="00BB6787" w:rsidRDefault="00BB6787" w:rsidP="00CB6535">
      <w:pPr>
        <w:pStyle w:val="PucesRapportPNIN"/>
      </w:pPr>
      <w:r>
        <w:t>Il existe de fortes disparités sur le budget estimatif à allouer à la nutrition dans les politiques et documents stratégiques nationaux pour couvrir la période 2017-2021.</w:t>
      </w:r>
    </w:p>
    <w:p w14:paraId="16DE7164" w14:textId="518B9654" w:rsidR="00BB6787" w:rsidRDefault="00BB6787" w:rsidP="00CB6535">
      <w:pPr>
        <w:pStyle w:val="PucesRapportPNIN"/>
      </w:pPr>
      <w:r>
        <w:t>Le financement de la nutrition dans tous les plans nationaux reste fortement dépendent des financements de partenaires techniques et financiers.</w:t>
      </w:r>
    </w:p>
    <w:p w14:paraId="6EB0BF80" w14:textId="30580286" w:rsidR="00BB6787" w:rsidRDefault="00BB6787" w:rsidP="00CB6535">
      <w:pPr>
        <w:pStyle w:val="PucesRapportPNIN"/>
      </w:pPr>
      <w:r>
        <w:lastRenderedPageBreak/>
        <w:t>Le gap financier pour mettre en œuvre les actions pour la nutrition est important.</w:t>
      </w:r>
    </w:p>
    <w:p w14:paraId="0FA0CF79" w14:textId="009FC2E2" w:rsidR="00BB6787" w:rsidRDefault="00BB6787" w:rsidP="00CB6535">
      <w:pPr>
        <w:pStyle w:val="PucesRapportPNIN"/>
      </w:pPr>
      <w:r w:rsidRPr="00BB6787">
        <w:t>Depuis plus d’une dizaine d’années, les prévalences des différentes formes de malnutrition sont très élevées au Niger et dépassent les seuils d’alerte de l’OMS malgré tous les efforts faits par le gouvernement et ses nombreux partenaires et la connaissance des déterminants de la malnutrition.</w:t>
      </w:r>
    </w:p>
    <w:p w14:paraId="0DAF77DB" w14:textId="526657B4" w:rsidR="00BB6787" w:rsidRDefault="00BB6787" w:rsidP="00BB6787">
      <w:pPr>
        <w:pStyle w:val="ParagrapheRapportPNIN"/>
      </w:pPr>
      <w:r>
        <w:t xml:space="preserve">Questions: </w:t>
      </w:r>
    </w:p>
    <w:p w14:paraId="58E8C4CD" w14:textId="589C3C21" w:rsidR="00BB6787" w:rsidRDefault="00BB6787" w:rsidP="00CB6535">
      <w:pPr>
        <w:pStyle w:val="PucesRapportPNIN"/>
      </w:pPr>
      <w:r>
        <w:t>Pourquoi les tendances de malnutrition observées depuis une dizaine d’année ne s’inversent pas malgré les efforts du Gouvernement et de ses partenaires ?</w:t>
      </w:r>
    </w:p>
    <w:p w14:paraId="3B65A15D" w14:textId="67C13F3F" w:rsidR="00BB6787" w:rsidRDefault="00BB6787" w:rsidP="00CB6535">
      <w:pPr>
        <w:pStyle w:val="PucesRapportPNIN"/>
      </w:pPr>
      <w:r>
        <w:t>Comment les déterminants de la malnutrition influencent les indicateurs des différentes formes de malnutrition au Niger ?</w:t>
      </w:r>
    </w:p>
    <w:p w14:paraId="6735B068" w14:textId="5AF28D96" w:rsidR="00BB6787" w:rsidRDefault="00BB6787" w:rsidP="00CB6535">
      <w:pPr>
        <w:pStyle w:val="PucesRapportPNIN"/>
      </w:pPr>
      <w:r>
        <w:t>Comment produire une grille d’évaluation de la sensibilité à la nutrition à appliquer lors des processus de révision ou d’élaboration des politiques et programmes ?</w:t>
      </w:r>
    </w:p>
    <w:p w14:paraId="11BD7CEC" w14:textId="262EA3E3" w:rsidR="00BB6787" w:rsidRDefault="00BB6787" w:rsidP="00CB6535">
      <w:pPr>
        <w:pStyle w:val="PucesRapportPNIN"/>
      </w:pPr>
      <w:r>
        <w:t>Comment disposer de données sur les compétences en nutrition au niveau de chaque secteur ?</w:t>
      </w:r>
    </w:p>
    <w:p w14:paraId="583629B9" w14:textId="77777777" w:rsidR="00973C50" w:rsidRDefault="00973C50" w:rsidP="00CB6535">
      <w:pPr>
        <w:pStyle w:val="PucesRapportPNIN"/>
      </w:pPr>
      <w:r>
        <w:t>Comment concilier le ciblage des bénéficiaires en tenant compte des exigences des secteurs et les exigences de la PNSN ?</w:t>
      </w:r>
    </w:p>
    <w:p w14:paraId="30EB8BFA" w14:textId="6652009F" w:rsidR="00973C50" w:rsidRDefault="00973C50" w:rsidP="00CB6535">
      <w:pPr>
        <w:pStyle w:val="PucesRapportPNIN"/>
      </w:pPr>
      <w:r>
        <w:t>Comment définir un paquet minimum d’interventions sensibles et spécifiques à la nutrition à haut impact ?</w:t>
      </w:r>
    </w:p>
    <w:p w14:paraId="5765D3A1" w14:textId="72EEC6B3" w:rsidR="00973C50" w:rsidRDefault="00973C50" w:rsidP="00CB6535">
      <w:pPr>
        <w:pStyle w:val="PucesRapportPNIN"/>
      </w:pPr>
      <w:r>
        <w:t>Comment établir un plan de passage à l’échelle d’un paquet minimum d’interventions sensibles et spécifiques à la nutrition à haut impact dans un contexte de rareté des ressources financières ?</w:t>
      </w:r>
    </w:p>
    <w:p w14:paraId="4B09E3A0" w14:textId="4D49B34B" w:rsidR="00973C50" w:rsidRDefault="00973C50" w:rsidP="00CB6535">
      <w:pPr>
        <w:pStyle w:val="PucesRapportPNIN"/>
      </w:pPr>
      <w:r>
        <w:t>Comment suivre régulièrement certains indicateurs des interventions spécifiques et sensibles à la nutrition retenus de manière consensuelle et aux niveaux national, régional, départemental, communal ?</w:t>
      </w:r>
    </w:p>
    <w:p w14:paraId="556E5F45" w14:textId="1F701E3D" w:rsidR="00973C50" w:rsidRDefault="00973C50" w:rsidP="00CB6535">
      <w:pPr>
        <w:pStyle w:val="PucesRapportPNIN"/>
      </w:pPr>
      <w:r>
        <w:t>Comment mettre en place un système national d’information pour la nutrition ?</w:t>
      </w:r>
    </w:p>
    <w:p w14:paraId="3B6CBA7C" w14:textId="6599A26F" w:rsidR="00973C50" w:rsidRDefault="00973C50" w:rsidP="00CB6535">
      <w:pPr>
        <w:pStyle w:val="PucesRapportPNIN"/>
      </w:pPr>
      <w:r>
        <w:t>Comment suivre les financements de la nutrition au niveau national et sectoriel pour une meilleure prise en compte  de la nutrition dans les politiques, stratégies et plans opérationnels?</w:t>
      </w:r>
    </w:p>
    <w:p w14:paraId="307A7612" w14:textId="07439161" w:rsidR="00973C50" w:rsidRDefault="00973C50" w:rsidP="00CB6535">
      <w:pPr>
        <w:pStyle w:val="PucesRapportPNIN"/>
      </w:pPr>
      <w:r>
        <w:t>Comment mettre en place un mécanisme de suivi des financements de la nutrition au niveau des secteurs ministériels et des partenaires y compris le secteur privé afin de renforcer la coordination et la redevabilité des acteurs de la PNSN ?</w:t>
      </w:r>
    </w:p>
    <w:p w14:paraId="2D6E15DE" w14:textId="028B2336" w:rsidR="00BB6787" w:rsidRDefault="00BB6787" w:rsidP="00CB6535">
      <w:pPr>
        <w:pStyle w:val="PucesRapportPNIN"/>
      </w:pPr>
      <w:r>
        <w:t>Comment susciter sur une base factuelle un plaidoyer pour une mobilisation suffisante de ressources financières de l’Etat et de ses partenaires ?</w:t>
      </w:r>
    </w:p>
    <w:p w14:paraId="0DA3EFE9" w14:textId="77777777" w:rsidR="0084769D" w:rsidRDefault="0084769D" w:rsidP="0084769D">
      <w:pPr>
        <w:pStyle w:val="ParagrapheRapportPNIN"/>
      </w:pPr>
      <w:r>
        <w:t>Des analyses statistiques simples mais pertinentes seront conduites suite à l’élaboration du plan cadre d’analyses 2019-2020 de la PNIN. Les résultats de ces analyses devraient être traduits en messages explicites et forts afin d’influencer les développements futurs dans les secteurs et au niveau des décideurs.</w:t>
      </w:r>
      <w:r w:rsidRPr="000A2551">
        <w:t xml:space="preserve"> </w:t>
      </w:r>
    </w:p>
    <w:p w14:paraId="64B41052" w14:textId="77777777" w:rsidR="00BB6787" w:rsidRDefault="00BB6787" w:rsidP="0084769D">
      <w:pPr>
        <w:pStyle w:val="ParagrapheRapportPNIN"/>
        <w:ind w:left="0"/>
      </w:pPr>
    </w:p>
    <w:p w14:paraId="32031A7A" w14:textId="77777777" w:rsidR="00843880" w:rsidRDefault="00843880" w:rsidP="00E50BEA">
      <w:pPr>
        <w:pStyle w:val="ParagrapheRapportPNIN"/>
      </w:pPr>
    </w:p>
    <w:p w14:paraId="588A36C8" w14:textId="77777777" w:rsidR="00843880" w:rsidRDefault="00843880" w:rsidP="00E50BEA">
      <w:pPr>
        <w:pStyle w:val="ParagrapheRapportPNIN"/>
      </w:pPr>
    </w:p>
    <w:p w14:paraId="76FFEC10" w14:textId="77777777" w:rsidR="00843880" w:rsidRDefault="00843880" w:rsidP="00E50BEA">
      <w:pPr>
        <w:pStyle w:val="ParagrapheRapportPNIN"/>
        <w:sectPr w:rsidR="00843880" w:rsidSect="00A879E1">
          <w:pgSz w:w="11906" w:h="16838"/>
          <w:pgMar w:top="1418" w:right="1418" w:bottom="1418" w:left="1418" w:header="709" w:footer="709" w:gutter="0"/>
          <w:cols w:space="708"/>
          <w:docGrid w:linePitch="360"/>
        </w:sectPr>
      </w:pPr>
    </w:p>
    <w:p w14:paraId="2F24C260" w14:textId="2A3C35A0" w:rsidR="00B3669E" w:rsidRDefault="007A522F" w:rsidP="006E0579">
      <w:pPr>
        <w:pStyle w:val="Titre1Situation"/>
        <w:ind w:left="2415" w:hanging="357"/>
      </w:pPr>
      <w:bookmarkStart w:id="5" w:name="_Toc528222319"/>
      <w:r>
        <w:lastRenderedPageBreak/>
        <w:t>INTRODUCTION</w:t>
      </w:r>
      <w:bookmarkEnd w:id="5"/>
    </w:p>
    <w:p w14:paraId="298B219C" w14:textId="7434A1FB" w:rsidR="006265D2" w:rsidRDefault="006371A5" w:rsidP="00545726">
      <w:pPr>
        <w:pStyle w:val="ParagrapheRapportPNIN"/>
      </w:pPr>
      <w:bookmarkStart w:id="6" w:name="_Toc528054579"/>
      <w:bookmarkEnd w:id="6"/>
      <w:r w:rsidRPr="006371A5">
        <w:t xml:space="preserve">La malnutrition est la cause sous-jacente de 42% des décès des enfants de moins de 5 ans au Niger.  </w:t>
      </w:r>
      <w:r w:rsidR="00545726">
        <w:t xml:space="preserve">Le fardeau de la malnutrition ne cesse de s’alourdir pour le Niger en raison de taux de prévalences de toutes les formes de malnutrition très élevés et de la croissance démographique galopante. </w:t>
      </w:r>
      <w:r w:rsidR="00545726" w:rsidRPr="008F1A67">
        <w:t xml:space="preserve">Pour faire face à cette situation préoccupante, le Gouvernement du Niger soutenu par l’ensemble de ses partenaires techniques et financiers, a élaboré </w:t>
      </w:r>
      <w:r w:rsidR="00C919B5">
        <w:t xml:space="preserve">et mis en œuvre </w:t>
      </w:r>
      <w:r w:rsidR="00545726">
        <w:t>des politiques, stratégies, plans et programmes nationaux et sectoriels.</w:t>
      </w:r>
      <w:r w:rsidR="00545726" w:rsidRPr="008F1A67">
        <w:t xml:space="preserve"> </w:t>
      </w:r>
    </w:p>
    <w:p w14:paraId="4215DBD6" w14:textId="4AE9706B" w:rsidR="00545726" w:rsidRDefault="00545726" w:rsidP="00545726">
      <w:pPr>
        <w:pStyle w:val="ParagrapheRapportPNIN"/>
      </w:pPr>
      <w:r w:rsidRPr="008F1A67">
        <w:t xml:space="preserve">Le Niger s’est </w:t>
      </w:r>
      <w:r>
        <w:t xml:space="preserve">également </w:t>
      </w:r>
      <w:r w:rsidRPr="008F1A67">
        <w:t xml:space="preserve">engagé dans la mise en place d’une Plateforme Nationale d’Information pour la Nutrition (PNIN). L’initiative a pour but de produire de l’information de qualité liée à la nutrition dans les divers secteurs contributifs </w:t>
      </w:r>
      <w:r>
        <w:t>à la nutrition</w:t>
      </w:r>
      <w:r w:rsidRPr="008F1A67">
        <w:t xml:space="preserve">. Elle vise aussi à engendrer des besoins et demandes d’informations, à produire des analyses adaptées aux besoins des utilisateurs de manière à alimenter le </w:t>
      </w:r>
      <w:r>
        <w:t xml:space="preserve">débat </w:t>
      </w:r>
      <w:r w:rsidRPr="008F1A67">
        <w:t xml:space="preserve">public sur les questions de sécurité nutritionnelle. Elle ambitionne </w:t>
      </w:r>
      <w:r>
        <w:t xml:space="preserve">enfin </w:t>
      </w:r>
      <w:r w:rsidRPr="008F1A67">
        <w:t xml:space="preserve">de formuler des messages simples de sensibilisation et de plaidoyer à l’endroit des décideurs, des parties prenantes, des partenaires au développement et du grand public. </w:t>
      </w:r>
      <w:r>
        <w:t xml:space="preserve">Afin </w:t>
      </w:r>
      <w:r w:rsidR="00D86FEC">
        <w:t>d</w:t>
      </w:r>
      <w:r>
        <w:t>’élaboration d’un plan-cadre d’analyse  2019-2020, la PNIN a entrepris une analyse des enjeux de la nutrition au Niger.  Cette analyse permettra de mieux comprendre l’intégration  de la nutrition dans les programmes nationaux et sectoriels, d’aborder les questions méritant une attention de la part des acteurs et des décideurs et de permettre un débat constructif sur le développement possible pour la nutrition dans les deux prochaines années.</w:t>
      </w:r>
    </w:p>
    <w:p w14:paraId="0EFE0D60" w14:textId="70657B2D" w:rsidR="00DC0A11" w:rsidRPr="00DC0A11" w:rsidRDefault="00545726" w:rsidP="00545726">
      <w:pPr>
        <w:pStyle w:val="ParagrapheRapportPNIN"/>
      </w:pPr>
      <w:r w:rsidRPr="00DC0A11">
        <w:t xml:space="preserve">Le présent document est structuré en </w:t>
      </w:r>
      <w:r w:rsidR="00DC0A11">
        <w:t>cinq</w:t>
      </w:r>
      <w:r w:rsidRPr="00DC0A11">
        <w:t xml:space="preserve"> principales parties</w:t>
      </w:r>
      <w:r w:rsidR="00DC0A11" w:rsidRPr="00DC0A11">
        <w:t> :</w:t>
      </w:r>
    </w:p>
    <w:p w14:paraId="21B19FED" w14:textId="5E1D88DC" w:rsidR="00DC0A11" w:rsidRPr="00DC0A11" w:rsidRDefault="00545726" w:rsidP="00CB6535">
      <w:pPr>
        <w:pStyle w:val="PucesRapportPNIN"/>
      </w:pPr>
      <w:r w:rsidRPr="00DC0A11">
        <w:t xml:space="preserve">La première </w:t>
      </w:r>
      <w:r w:rsidR="00DC0A11" w:rsidRPr="00DC0A11">
        <w:t xml:space="preserve">partie </w:t>
      </w:r>
      <w:r w:rsidRPr="00DC0A11">
        <w:t>présente</w:t>
      </w:r>
      <w:r w:rsidR="00DC0A11" w:rsidRPr="00DC0A11">
        <w:t xml:space="preserve"> le contexte de la nutrition au niveau international, régional et national</w:t>
      </w:r>
      <w:r w:rsidR="00DC0A11">
        <w:t> ;</w:t>
      </w:r>
    </w:p>
    <w:p w14:paraId="76946FE4" w14:textId="72CE7B1D" w:rsidR="00DC0A11" w:rsidRPr="00DC0A11" w:rsidRDefault="00DC0A11" w:rsidP="00CB6535">
      <w:pPr>
        <w:pStyle w:val="PucesRapportPNIN"/>
      </w:pPr>
      <w:r w:rsidRPr="00DC0A11">
        <w:t>La seconde partie présente la situation de la nutrition au Niger</w:t>
      </w:r>
      <w:r>
        <w:t> ;</w:t>
      </w:r>
    </w:p>
    <w:p w14:paraId="10CF7090" w14:textId="59A25B60" w:rsidR="00545726" w:rsidRDefault="00DC0A11" w:rsidP="00CB6535">
      <w:pPr>
        <w:pStyle w:val="PucesRapportPNIN"/>
      </w:pPr>
      <w:r w:rsidRPr="00DC0A11">
        <w:t xml:space="preserve">La troisième partie fait une </w:t>
      </w:r>
      <w:r>
        <w:t>a</w:t>
      </w:r>
      <w:r w:rsidRPr="00DC0A11">
        <w:t>nalyse de la nutrition dans les politiques programmes et stratégies au niveau national</w:t>
      </w:r>
      <w:r>
        <w:t> ;</w:t>
      </w:r>
    </w:p>
    <w:p w14:paraId="04DD1981" w14:textId="259CCF1D" w:rsidR="00DC0A11" w:rsidRDefault="00DC0A11" w:rsidP="00CB6535">
      <w:pPr>
        <w:pStyle w:val="PucesRapportPNIN"/>
      </w:pPr>
      <w:r>
        <w:t xml:space="preserve">La quatrième partie fait une analyse </w:t>
      </w:r>
      <w:r w:rsidRPr="00DC0A11">
        <w:t>de la nutrition dans les politiques, programmes et stratégies au niveau sectoriel</w:t>
      </w:r>
      <w:r>
        <w:t> ;</w:t>
      </w:r>
    </w:p>
    <w:p w14:paraId="7A286607" w14:textId="0480BC92" w:rsidR="00DC0A11" w:rsidRDefault="00DC0A11" w:rsidP="00CB6535">
      <w:pPr>
        <w:pStyle w:val="PucesRapportPNIN"/>
      </w:pPr>
      <w:r>
        <w:t>La cinquième et dernière partie discute des enjeux de la nutrition au Niger.</w:t>
      </w:r>
    </w:p>
    <w:p w14:paraId="648CB655" w14:textId="77777777" w:rsidR="00EA58D1" w:rsidRPr="00F42C6B" w:rsidRDefault="00A012BC" w:rsidP="006E0579">
      <w:pPr>
        <w:pStyle w:val="Titre2situation"/>
      </w:pPr>
      <w:bookmarkStart w:id="7" w:name="_Toc528222320"/>
      <w:r w:rsidRPr="001F5367">
        <w:lastRenderedPageBreak/>
        <w:t>Contexte de la</w:t>
      </w:r>
      <w:r w:rsidR="00BD74B6" w:rsidRPr="00890B49">
        <w:t xml:space="preserve"> nutrition</w:t>
      </w:r>
      <w:bookmarkEnd w:id="7"/>
      <w:r w:rsidR="00EA58D1" w:rsidRPr="004F5A11">
        <w:t xml:space="preserve"> </w:t>
      </w:r>
    </w:p>
    <w:p w14:paraId="100852A8" w14:textId="2809E165" w:rsidR="00545726" w:rsidRDefault="00545726" w:rsidP="00545726">
      <w:pPr>
        <w:pStyle w:val="ParagrapheRapportPNIN"/>
      </w:pPr>
      <w:r>
        <w:t xml:space="preserve">La nutrition constitue un enjeu majeur de développement, tant au niveau global que des pays, particulièrement ceux du Sahel. En effet, plusieurs études ont démontré que   la sous nutrition, la surnutrition et les carences en micronutriments affectent  le développement psychomoteur et cognitif des enfants de moins de 5 ans, impactant négativement sur leur productivité future et le Produit Intérieur Brut des Pays (PIB). </w:t>
      </w:r>
    </w:p>
    <w:p w14:paraId="2A57BB71" w14:textId="34141948" w:rsidR="00545726" w:rsidRDefault="00545726" w:rsidP="00545726">
      <w:pPr>
        <w:pStyle w:val="ParagrapheRapportPNIN"/>
      </w:pPr>
      <w:r>
        <w:t>Ces avancées dans la nutrition de la connaissance dans le domaine ont été à la base des plusieurs initiatives, mouvements ou orientations  au niveau international et régional ont eu des répercussions sur le développement et la mise en œuvre des politiques, auxquels se sont alignés les politiques, stratégies, programmes et plans nationaux. La prise en compte de ces avancées est indispensable dans la compréhension des enjeux dans le domaine de la nutrition.</w:t>
      </w:r>
    </w:p>
    <w:p w14:paraId="02BEB1AD" w14:textId="3F8D3A7F" w:rsidR="00545726" w:rsidRDefault="00545726" w:rsidP="00545726">
      <w:pPr>
        <w:pStyle w:val="ParagrapheRapportPNIN"/>
      </w:pPr>
      <w:r>
        <w:t>Afin de mieux appréhender les enjeux liés à la nutrition, la connaissance des orientations au niveau international global, un aperçu du paysage des politiques et stratégies en lien avec la nutrition sur la base du contexte et des leçons apprises dans la mise en œuvre des interventions  de nutrition au niveau du cours de la dernière décennie au Niger  sont indispensables.</w:t>
      </w:r>
    </w:p>
    <w:p w14:paraId="319DEDF8" w14:textId="2C1A1EF1" w:rsidR="00545726" w:rsidRDefault="00545726" w:rsidP="00545726">
      <w:pPr>
        <w:pStyle w:val="ParagrapheRapportPNIN"/>
      </w:pPr>
      <w:r>
        <w:t>Ainsi, les principaux évènements et ou orientations / engagements, auxquels le Niger a participé et ou souscrit peuvent être classés en engagements internationaux/régionaux et en engagements nationaux.</w:t>
      </w:r>
    </w:p>
    <w:p w14:paraId="7B23F6B4" w14:textId="77B74B9B" w:rsidR="00BD74B6" w:rsidRPr="00E50BEA" w:rsidRDefault="00EA58D1" w:rsidP="006551E1">
      <w:pPr>
        <w:pStyle w:val="Titre3PNIN"/>
      </w:pPr>
      <w:bookmarkStart w:id="8" w:name="_Toc528222321"/>
      <w:r w:rsidRPr="00E50BEA">
        <w:t>Au niveau international</w:t>
      </w:r>
      <w:r w:rsidR="009D43D5" w:rsidRPr="00E50BEA">
        <w:t xml:space="preserve"> et régional</w:t>
      </w:r>
      <w:bookmarkEnd w:id="8"/>
    </w:p>
    <w:p w14:paraId="2A6B5725" w14:textId="55AD5CD0" w:rsidR="00EA58D1" w:rsidRPr="005C017F" w:rsidRDefault="00EA58D1" w:rsidP="006E0579">
      <w:pPr>
        <w:pStyle w:val="PucesRapportPNIN"/>
      </w:pPr>
      <w:r w:rsidRPr="00F42C6B">
        <w:t>1992 : Première Conférence International sur la Nutrition (CNI)</w:t>
      </w:r>
      <w:r w:rsidR="00843880" w:rsidRPr="00007766">
        <w:t> ;</w:t>
      </w:r>
    </w:p>
    <w:p w14:paraId="72FAE8D3" w14:textId="78FE4B80" w:rsidR="00A212D0" w:rsidRPr="00504670" w:rsidRDefault="00A212D0" w:rsidP="006E0579">
      <w:pPr>
        <w:pStyle w:val="PucesRapportPNIN"/>
      </w:pPr>
      <w:r w:rsidRPr="00540DAE">
        <w:t>2000 </w:t>
      </w:r>
      <w:r w:rsidR="00497F56" w:rsidRPr="00540DAE">
        <w:t xml:space="preserve">: Adoption des </w:t>
      </w:r>
      <w:r w:rsidR="0068054C">
        <w:t>O</w:t>
      </w:r>
      <w:r w:rsidR="00497F56" w:rsidRPr="004F5A11">
        <w:t xml:space="preserve">bjectifs du Millénaire pour le </w:t>
      </w:r>
      <w:r w:rsidR="0068054C">
        <w:t>D</w:t>
      </w:r>
      <w:r w:rsidR="00497F56" w:rsidRPr="004F5A11">
        <w:t>éveloppement (OMD)</w:t>
      </w:r>
      <w:r w:rsidR="008D5D9D" w:rsidRPr="00F42C6B">
        <w:t xml:space="preserve"> </w:t>
      </w:r>
      <w:r w:rsidR="008D5D9D" w:rsidRPr="005C017F">
        <w:t xml:space="preserve">avec l’OMD1 </w:t>
      </w:r>
      <w:r w:rsidR="008D5D9D" w:rsidRPr="00540DAE">
        <w:t>en lien avec l’état nutritionnel des populations</w:t>
      </w:r>
      <w:r w:rsidR="00843880" w:rsidRPr="00540DAE">
        <w:t> ;</w:t>
      </w:r>
    </w:p>
    <w:p w14:paraId="1EC2E44F" w14:textId="15B93029" w:rsidR="0032104E" w:rsidRPr="006E0579" w:rsidRDefault="0057493F" w:rsidP="006E0579">
      <w:pPr>
        <w:pStyle w:val="PucesRapportPNIN"/>
      </w:pPr>
      <w:r w:rsidRPr="0093089E">
        <w:t>2008 :</w:t>
      </w:r>
      <w:r w:rsidR="00BD74B6" w:rsidRPr="00F6247C">
        <w:t xml:space="preserve"> </w:t>
      </w:r>
      <w:r w:rsidR="009E0F9A" w:rsidRPr="00F6247C">
        <w:t xml:space="preserve">Publication du </w:t>
      </w:r>
      <w:r w:rsidR="00BD74B6" w:rsidRPr="00F6247C">
        <w:t>Lancet Series</w:t>
      </w:r>
      <w:r w:rsidR="0032104E" w:rsidRPr="006E0579">
        <w:footnoteReference w:id="1"/>
      </w:r>
      <w:r w:rsidR="00BD74B6" w:rsidRPr="006F0573">
        <w:t xml:space="preserve"> </w:t>
      </w:r>
      <w:r w:rsidR="00A012BC" w:rsidRPr="001F5367">
        <w:t xml:space="preserve">sur la </w:t>
      </w:r>
      <w:r w:rsidR="00A012BC" w:rsidRPr="004F5A11">
        <w:t>sous nutrition maternel</w:t>
      </w:r>
      <w:r w:rsidR="00843880" w:rsidRPr="00F42C6B">
        <w:t>le</w:t>
      </w:r>
      <w:r w:rsidR="00A012BC" w:rsidRPr="00007766">
        <w:t xml:space="preserve"> et infantile. </w:t>
      </w:r>
      <w:r w:rsidR="00843880" w:rsidRPr="00540DAE">
        <w:t>L</w:t>
      </w:r>
      <w:r w:rsidR="00A012BC" w:rsidRPr="00540DAE">
        <w:t xml:space="preserve">’impact de la sous nutrition sur la santé et la mortalité l’enfant </w:t>
      </w:r>
      <w:r w:rsidR="00843880" w:rsidRPr="00504670">
        <w:t xml:space="preserve">est démontré </w:t>
      </w:r>
      <w:r w:rsidR="00A012BC" w:rsidRPr="0093089E">
        <w:t>et i</w:t>
      </w:r>
      <w:r w:rsidR="00843880" w:rsidRPr="00F6247C">
        <w:t xml:space="preserve"> </w:t>
      </w:r>
      <w:r w:rsidR="00A012BC" w:rsidRPr="00F6247C">
        <w:t>un ensemble de 10</w:t>
      </w:r>
      <w:r w:rsidR="00843880" w:rsidRPr="00F6247C">
        <w:t> </w:t>
      </w:r>
      <w:r w:rsidR="00A012BC" w:rsidRPr="00F6247C">
        <w:t xml:space="preserve">interventions multisectorielles </w:t>
      </w:r>
      <w:r w:rsidR="00843880" w:rsidRPr="003400C9">
        <w:t>pouvant</w:t>
      </w:r>
      <w:r w:rsidR="00A012BC" w:rsidRPr="003400C9">
        <w:t xml:space="preserve"> réduire le retard de croissance des enfants de 20</w:t>
      </w:r>
      <w:r w:rsidR="00843880" w:rsidRPr="006E0579">
        <w:t> </w:t>
      </w:r>
      <w:r w:rsidR="00A012BC" w:rsidRPr="006E0579">
        <w:t>%</w:t>
      </w:r>
      <w:r w:rsidR="00843880" w:rsidRPr="006E0579">
        <w:t xml:space="preserve"> est identifié </w:t>
      </w:r>
      <w:r w:rsidR="00A012BC" w:rsidRPr="006E0579">
        <w:t xml:space="preserve">si </w:t>
      </w:r>
      <w:r w:rsidR="00843880" w:rsidRPr="006E0579">
        <w:t xml:space="preserve">ces interventions </w:t>
      </w:r>
      <w:r w:rsidR="00A012BC" w:rsidRPr="006E0579">
        <w:t>sont couvertes à 90</w:t>
      </w:r>
      <w:r w:rsidR="00843880" w:rsidRPr="006E0579">
        <w:t> </w:t>
      </w:r>
      <w:r w:rsidR="00A012BC" w:rsidRPr="006E0579">
        <w:t>% et se concentr</w:t>
      </w:r>
      <w:r w:rsidR="00843880" w:rsidRPr="006E0579">
        <w:t>e</w:t>
      </w:r>
      <w:r w:rsidR="00A012BC" w:rsidRPr="006E0579">
        <w:t>nt sur la fenêtre d'opportunité pour les enfants de moins de deux</w:t>
      </w:r>
      <w:r w:rsidR="00843880" w:rsidRPr="006E0579">
        <w:t> </w:t>
      </w:r>
      <w:r w:rsidR="00A012BC" w:rsidRPr="006E0579">
        <w:t>ans (1000</w:t>
      </w:r>
      <w:r w:rsidR="00843880" w:rsidRPr="006E0579">
        <w:t> </w:t>
      </w:r>
      <w:r w:rsidR="00A012BC" w:rsidRPr="006E0579">
        <w:t>premiers jours de vie)</w:t>
      </w:r>
      <w:r w:rsidR="00843880" w:rsidRPr="006E0579">
        <w:t> ;</w:t>
      </w:r>
    </w:p>
    <w:p w14:paraId="35BD75B4" w14:textId="582164E9" w:rsidR="00BD74B6" w:rsidRPr="00540DAE" w:rsidRDefault="0032104E" w:rsidP="006E0579">
      <w:pPr>
        <w:pStyle w:val="PucesRapportPNIN"/>
      </w:pPr>
      <w:r w:rsidRPr="006E0579">
        <w:t>2009</w:t>
      </w:r>
      <w:r w:rsidR="0057493F" w:rsidRPr="006E0579">
        <w:t> :</w:t>
      </w:r>
      <w:r w:rsidRPr="006E0579">
        <w:t xml:space="preserve"> </w:t>
      </w:r>
      <w:r w:rsidR="009E0F9A" w:rsidRPr="006E0579">
        <w:t>E</w:t>
      </w:r>
      <w:r w:rsidR="00BD74B6" w:rsidRPr="006E0579">
        <w:t>tude du cout efficacité des interventions de nutrition</w:t>
      </w:r>
      <w:r w:rsidR="0069760B" w:rsidRPr="005529FD">
        <w:rPr>
          <w:vertAlign w:val="superscript"/>
        </w:rPr>
        <w:footnoteReference w:id="2"/>
      </w:r>
      <w:r w:rsidR="00BD74B6" w:rsidRPr="006F0573">
        <w:t xml:space="preserve"> en estimant le coût de la mise à l'échelle </w:t>
      </w:r>
      <w:r w:rsidRPr="00890B49">
        <w:t>de 13</w:t>
      </w:r>
      <w:r w:rsidR="00843880" w:rsidRPr="004F5A11">
        <w:t> </w:t>
      </w:r>
      <w:r w:rsidRPr="00007766">
        <w:t xml:space="preserve">interventions </w:t>
      </w:r>
      <w:r w:rsidR="009E0F9A" w:rsidRPr="005C017F">
        <w:t>couts-efficaces par la Banque Mondiale</w:t>
      </w:r>
      <w:r w:rsidR="00843880" w:rsidRPr="00540DAE">
        <w:t> ;</w:t>
      </w:r>
    </w:p>
    <w:p w14:paraId="40594D69" w14:textId="42631FBC" w:rsidR="00A37A54" w:rsidRPr="00F6247C" w:rsidRDefault="0057493F" w:rsidP="006E0579">
      <w:pPr>
        <w:pStyle w:val="PucesRapportPNIN"/>
      </w:pPr>
      <w:r w:rsidRPr="00540DAE">
        <w:t>2010 :</w:t>
      </w:r>
      <w:r w:rsidR="006311FF" w:rsidRPr="00504670">
        <w:t xml:space="preserve"> </w:t>
      </w:r>
      <w:r w:rsidR="00A37A54" w:rsidRPr="0093089E">
        <w:t>Création du mouvement Scaling Up Nutrition (SUN)</w:t>
      </w:r>
      <w:r w:rsidR="00843880" w:rsidRPr="00F6247C">
        <w:t> ;</w:t>
      </w:r>
    </w:p>
    <w:p w14:paraId="3CFB98E0" w14:textId="7A7D8EBB" w:rsidR="00BD74B6" w:rsidRPr="00540DAE" w:rsidRDefault="00A37A54" w:rsidP="006E0579">
      <w:pPr>
        <w:pStyle w:val="PucesRapportPNIN"/>
      </w:pPr>
      <w:r w:rsidRPr="00F6247C">
        <w:t xml:space="preserve">2010 : </w:t>
      </w:r>
      <w:r w:rsidR="009E0F9A" w:rsidRPr="00F6247C">
        <w:t>Elaboration d’un cadre d'action</w:t>
      </w:r>
      <w:r w:rsidR="009E0F9A" w:rsidRPr="006E0579">
        <w:footnoteReference w:id="3"/>
      </w:r>
      <w:r w:rsidR="009E0F9A" w:rsidRPr="006F0573">
        <w:t xml:space="preserve"> pour </w:t>
      </w:r>
      <w:r w:rsidR="009E0F9A" w:rsidRPr="00890B49">
        <w:t xml:space="preserve">la nutrition </w:t>
      </w:r>
      <w:r w:rsidR="009E0F9A" w:rsidRPr="00F42C6B">
        <w:t xml:space="preserve">par </w:t>
      </w:r>
      <w:r w:rsidR="006311FF" w:rsidRPr="00007766">
        <w:t>le mouvement Scaling U</w:t>
      </w:r>
      <w:r w:rsidR="009F25AD" w:rsidRPr="005C017F">
        <w:t>p Nutrition (SUN)</w:t>
      </w:r>
      <w:r w:rsidR="00843880" w:rsidRPr="00540DAE">
        <w:t> ;</w:t>
      </w:r>
    </w:p>
    <w:p w14:paraId="1B249A26" w14:textId="62730CCE" w:rsidR="009D43D5" w:rsidRPr="005C017F" w:rsidRDefault="009D43D5" w:rsidP="006E0579">
      <w:pPr>
        <w:pStyle w:val="PucesRapportPNIN"/>
      </w:pPr>
      <w:r w:rsidRPr="00540DAE">
        <w:t>2010</w:t>
      </w:r>
      <w:r w:rsidR="00843880" w:rsidRPr="00504670">
        <w:t> </w:t>
      </w:r>
      <w:r w:rsidRPr="00F6247C">
        <w:t>: Forum de la C</w:t>
      </w:r>
      <w:r w:rsidR="0068054C">
        <w:t xml:space="preserve">ommunauté Des </w:t>
      </w:r>
      <w:r w:rsidRPr="00890B49">
        <w:t>E</w:t>
      </w:r>
      <w:r w:rsidR="0068054C">
        <w:t>tats d’Afrique de l’Ouest (CEDEAO)</w:t>
      </w:r>
      <w:r w:rsidRPr="00890B49">
        <w:t xml:space="preserve"> organisé par l’Organisation Ouest Africaine de la santé (OOAS) consacré à la plan</w:t>
      </w:r>
      <w:r w:rsidRPr="004F5A11">
        <w:t>ification et au financement des programmes de la nutrition</w:t>
      </w:r>
      <w:r w:rsidR="00843880" w:rsidRPr="00F42C6B">
        <w:t> ;</w:t>
      </w:r>
    </w:p>
    <w:p w14:paraId="663A764C" w14:textId="5B4483F0" w:rsidR="009D43D5" w:rsidRPr="00540DAE" w:rsidRDefault="009D43D5" w:rsidP="006E0579">
      <w:pPr>
        <w:pStyle w:val="PucesRapportPNIN"/>
      </w:pPr>
      <w:r w:rsidRPr="00540DAE">
        <w:t>2011</w:t>
      </w:r>
      <w:r w:rsidR="00843880" w:rsidRPr="00540DAE">
        <w:t> </w:t>
      </w:r>
      <w:r w:rsidRPr="00504670">
        <w:t>: Atelier régional de la FAO</w:t>
      </w:r>
      <w:r w:rsidRPr="00890B49">
        <w:t xml:space="preserve"> pour l’inclusion de la nutrition dans les plans nationaux d’investissements agricoles dans les États membres, avec comme pr</w:t>
      </w:r>
      <w:r w:rsidRPr="004F5A11">
        <w:t>incipe cardinal, l’agriculture sens</w:t>
      </w:r>
      <w:r w:rsidRPr="00F42C6B">
        <w:t xml:space="preserve">ible à la Nutrition. Les plans </w:t>
      </w:r>
      <w:r w:rsidRPr="00F42C6B">
        <w:lastRenderedPageBreak/>
        <w:t xml:space="preserve">nationaux d’investissements agricoles sont les déclinaisons nationales du Programme Détaillé de </w:t>
      </w:r>
      <w:r w:rsidRPr="005C017F">
        <w:t>Développement de l’Agriculture Africaine (PDDAA) pour le continent Africain</w:t>
      </w:r>
      <w:r w:rsidR="00843880" w:rsidRPr="00540DAE">
        <w:t> ;</w:t>
      </w:r>
    </w:p>
    <w:p w14:paraId="6BD94149" w14:textId="69E4BB71" w:rsidR="0057493F" w:rsidRPr="00F6247C" w:rsidRDefault="0057493F" w:rsidP="006E0579">
      <w:pPr>
        <w:pStyle w:val="PucesRapportPNIN"/>
      </w:pPr>
      <w:r w:rsidRPr="00504670">
        <w:t>2012</w:t>
      </w:r>
      <w:r w:rsidR="00843880" w:rsidRPr="0093089E">
        <w:t> </w:t>
      </w:r>
      <w:r w:rsidRPr="00F6247C">
        <w:t xml:space="preserve">: </w:t>
      </w:r>
      <w:r w:rsidR="00B323D7" w:rsidRPr="00F6247C">
        <w:t>Adoption des cibles mondiales de nutrition par l’</w:t>
      </w:r>
      <w:r w:rsidRPr="00F6247C">
        <w:t>Assemblée Mondiale de la Santé</w:t>
      </w:r>
      <w:r w:rsidR="00A212D0" w:rsidRPr="00F6247C">
        <w:t xml:space="preserve"> au cours de laquelle</w:t>
      </w:r>
      <w:r w:rsidRPr="00F6247C">
        <w:t xml:space="preserve"> les dirigeants se sont engagés à accélérer les progrès dans la réalisation de six objectifs visant à améliorer la nutrition de la mère, du nourrisson et du jeune enfant d'ici 2025</w:t>
      </w:r>
      <w:r w:rsidR="00843880" w:rsidRPr="00F6247C">
        <w:t> ;</w:t>
      </w:r>
    </w:p>
    <w:p w14:paraId="08AA7B25" w14:textId="37C729E5" w:rsidR="00A212D0" w:rsidRPr="006E0579" w:rsidRDefault="00A212D0" w:rsidP="006E0579">
      <w:pPr>
        <w:pStyle w:val="PucesRapportPNIN"/>
      </w:pPr>
      <w:r w:rsidRPr="00F6247C">
        <w:t xml:space="preserve">2012 : Consensus de Copenhague </w:t>
      </w:r>
      <w:r w:rsidR="00F76CC2" w:rsidRPr="003400C9">
        <w:t>montrant</w:t>
      </w:r>
      <w:r w:rsidR="005C39E5" w:rsidRPr="003400C9">
        <w:t xml:space="preserve"> que parmi les dix interventions les plus efficaces ayant les plus importants retours sur investissement, cinq</w:t>
      </w:r>
      <w:r w:rsidR="00F76CC2" w:rsidRPr="006E0579">
        <w:t xml:space="preserve"> interventions</w:t>
      </w:r>
      <w:r w:rsidR="005C39E5" w:rsidRPr="006E0579">
        <w:t xml:space="preserve"> concernent le domaine de la lutte contre la malnutrition</w:t>
      </w:r>
      <w:r w:rsidR="00F76CC2" w:rsidRPr="006E0579">
        <w:t> ;</w:t>
      </w:r>
    </w:p>
    <w:p w14:paraId="0F42E408" w14:textId="6E9EFB7F" w:rsidR="00654A74" w:rsidRPr="006E0579" w:rsidRDefault="00784407" w:rsidP="006E0579">
      <w:pPr>
        <w:pStyle w:val="PucesRapportPNIN"/>
      </w:pPr>
      <w:r w:rsidRPr="006E0579">
        <w:t>2013</w:t>
      </w:r>
      <w:r w:rsidR="00EA58D1" w:rsidRPr="006E0579">
        <w:t xml:space="preserve"> : </w:t>
      </w:r>
      <w:r w:rsidR="00A212D0" w:rsidRPr="006E0579">
        <w:t>P</w:t>
      </w:r>
      <w:r w:rsidR="009E0F9A" w:rsidRPr="006E0579">
        <w:t xml:space="preserve">remier </w:t>
      </w:r>
      <w:r w:rsidRPr="006E0579">
        <w:t>Sommet Nutrition for Growth</w:t>
      </w:r>
      <w:r w:rsidR="00A212D0" w:rsidRPr="006E0579">
        <w:t xml:space="preserve"> où</w:t>
      </w:r>
      <w:r w:rsidRPr="006E0579">
        <w:t xml:space="preserve"> </w:t>
      </w:r>
      <w:r w:rsidR="00654A74" w:rsidRPr="006E0579">
        <w:t>les parties prenantes s’étaient engagées à consacrer 4</w:t>
      </w:r>
      <w:r w:rsidR="00F76CC2" w:rsidRPr="006E0579">
        <w:t> </w:t>
      </w:r>
      <w:r w:rsidR="00654A74" w:rsidRPr="006E0579">
        <w:t>milliards de dollars USD aux programmes de nutrition à fort impact</w:t>
      </w:r>
      <w:r w:rsidR="00F76CC2" w:rsidRPr="006E0579">
        <w:t> ;</w:t>
      </w:r>
    </w:p>
    <w:p w14:paraId="1432B31E" w14:textId="7827E121" w:rsidR="00BD74B6" w:rsidRPr="006E0579" w:rsidRDefault="00EA58D1" w:rsidP="006E0579">
      <w:pPr>
        <w:pStyle w:val="PucesRapportPNIN"/>
      </w:pPr>
      <w:r w:rsidRPr="006E0579">
        <w:t>2013 :</w:t>
      </w:r>
      <w:r w:rsidR="00BD74B6" w:rsidRPr="006E0579">
        <w:t xml:space="preserve"> </w:t>
      </w:r>
      <w:r w:rsidR="00A212D0" w:rsidRPr="006E0579">
        <w:t>Publications du L</w:t>
      </w:r>
      <w:r w:rsidR="00BD74B6" w:rsidRPr="006E0579">
        <w:t>ancet Series</w:t>
      </w:r>
      <w:r w:rsidR="00A212D0" w:rsidRPr="006E0579">
        <w:t xml:space="preserve"> qui</w:t>
      </w:r>
      <w:r w:rsidR="00784407" w:rsidRPr="006E0579">
        <w:t xml:space="preserve"> montre la nécessité d’agir sur trois niveaux</w:t>
      </w:r>
      <w:r w:rsidR="00F76CC2" w:rsidRPr="006E0579">
        <w:t xml:space="preserve"> </w:t>
      </w:r>
      <w:r w:rsidR="00784407" w:rsidRPr="006E0579">
        <w:t>pour une nutrition et un développement optimaux du fœtus et du jeune enfant</w:t>
      </w:r>
      <w:r w:rsidR="00F76CC2" w:rsidRPr="006E0579">
        <w:t> </w:t>
      </w:r>
      <w:r w:rsidR="00784407" w:rsidRPr="006E0579">
        <w:t xml:space="preserve">: </w:t>
      </w:r>
      <w:r w:rsidR="00F76CC2" w:rsidRPr="006E0579">
        <w:t>1</w:t>
      </w:r>
      <w:r w:rsidR="00784407" w:rsidRPr="006E0579">
        <w:t>)</w:t>
      </w:r>
      <w:r w:rsidR="00F76CC2" w:rsidRPr="006E0579">
        <w:t> </w:t>
      </w:r>
      <w:r w:rsidR="00784407" w:rsidRPr="006E0579">
        <w:t xml:space="preserve">les interventions spécifiques à la nutrition, </w:t>
      </w:r>
      <w:r w:rsidR="00F76CC2" w:rsidRPr="006E0579">
        <w:t>2</w:t>
      </w:r>
      <w:r w:rsidR="00784407" w:rsidRPr="006E0579">
        <w:t>)</w:t>
      </w:r>
      <w:r w:rsidR="00F76CC2" w:rsidRPr="006E0579">
        <w:t> </w:t>
      </w:r>
      <w:r w:rsidR="00784407" w:rsidRPr="006E0579">
        <w:t>les programmes et approches sensibles à la nutrition</w:t>
      </w:r>
      <w:r w:rsidR="00F76CC2" w:rsidRPr="006E0579">
        <w:t> ;</w:t>
      </w:r>
      <w:r w:rsidR="00784407" w:rsidRPr="006E0579">
        <w:t xml:space="preserve"> iii)</w:t>
      </w:r>
      <w:r w:rsidR="00F76CC2" w:rsidRPr="006E0579">
        <w:t> </w:t>
      </w:r>
      <w:r w:rsidR="00784407" w:rsidRPr="006E0579">
        <w:t xml:space="preserve">la création d’un environnement favorable. </w:t>
      </w:r>
    </w:p>
    <w:p w14:paraId="780E3FD1" w14:textId="2CF4A4DA" w:rsidR="009D43D5" w:rsidRPr="006E0579" w:rsidRDefault="009D43D5" w:rsidP="006E0579">
      <w:pPr>
        <w:pStyle w:val="PucesRapportPNIN"/>
      </w:pPr>
      <w:r w:rsidRPr="006E0579">
        <w:t>2013</w:t>
      </w:r>
      <w:r w:rsidR="00F76CC2" w:rsidRPr="006E0579">
        <w:t> </w:t>
      </w:r>
      <w:r w:rsidRPr="006E0579">
        <w:t>: Feuille de route Régionale de l’Alliance Globale Pour la Résilience Agir – Sahel et Afrique de l’Ouest</w:t>
      </w:r>
      <w:r w:rsidR="00F76CC2" w:rsidRPr="006E0579">
        <w:t> ;</w:t>
      </w:r>
    </w:p>
    <w:p w14:paraId="55B31E6C" w14:textId="40650E65" w:rsidR="0057493F" w:rsidRPr="006E0579" w:rsidRDefault="0057493F" w:rsidP="006E0579">
      <w:pPr>
        <w:pStyle w:val="PucesRapportPNIN"/>
      </w:pPr>
      <w:r w:rsidRPr="006E0579">
        <w:t>2014</w:t>
      </w:r>
      <w:r w:rsidR="00A212D0" w:rsidRPr="006E0579">
        <w:t xml:space="preserve"> : </w:t>
      </w:r>
      <w:r w:rsidRPr="006E0579">
        <w:t>Deuxième Conférence Internationale sur la Nutrition (CIN2) au cours d</w:t>
      </w:r>
      <w:r w:rsidR="00A212D0" w:rsidRPr="006E0579">
        <w:t>e</w:t>
      </w:r>
      <w:r w:rsidR="0072101C" w:rsidRPr="006E0579">
        <w:t xml:space="preserve"> </w:t>
      </w:r>
      <w:r w:rsidR="00A212D0" w:rsidRPr="006E0579">
        <w:t>laquelle</w:t>
      </w:r>
      <w:r w:rsidRPr="006E0579">
        <w:t xml:space="preserve"> les dirigeants se sont engagés à établir des politiques nationales visant à éradiquer la malnutrition et à transformer les systèmes alimentaires afin de rendre les régimes alimentaires nutritifs accessibles à tous</w:t>
      </w:r>
      <w:r w:rsidR="002E24A5" w:rsidRPr="006E0579">
        <w:t> ;</w:t>
      </w:r>
    </w:p>
    <w:p w14:paraId="53A30BD8" w14:textId="305BC785" w:rsidR="009F25AD" w:rsidRPr="006E0579" w:rsidRDefault="00ED69E4" w:rsidP="006E0579">
      <w:pPr>
        <w:pStyle w:val="PucesRapportPNIN"/>
      </w:pPr>
      <w:r w:rsidRPr="006E0579">
        <w:t>2014</w:t>
      </w:r>
      <w:r w:rsidR="00EA58D1" w:rsidRPr="006E0579">
        <w:t xml:space="preserve"> : </w:t>
      </w:r>
      <w:r w:rsidR="00A212D0" w:rsidRPr="006E0579">
        <w:t>P</w:t>
      </w:r>
      <w:r w:rsidRPr="006E0579">
        <w:t>remier rapport mondial sur la nutrition</w:t>
      </w:r>
      <w:r w:rsidR="008F52AD" w:rsidRPr="006E0579">
        <w:t>. Le rapport Mondial sur la nutrition</w:t>
      </w:r>
      <w:r w:rsidR="0057493F" w:rsidRPr="006E0579">
        <w:t xml:space="preserve"> est </w:t>
      </w:r>
      <w:r w:rsidR="008F52AD" w:rsidRPr="006E0579">
        <w:t>un</w:t>
      </w:r>
      <w:r w:rsidR="0057493F" w:rsidRPr="006E0579">
        <w:t xml:space="preserve"> outil </w:t>
      </w:r>
      <w:r w:rsidR="008F52AD" w:rsidRPr="006E0579">
        <w:t>conçu dans le but de recenser les engagements en faveur des interventions nutritionnelles et de suivre les progrès réalisés dans ce domaine</w:t>
      </w:r>
      <w:r w:rsidR="002E24A5" w:rsidRPr="006E0579">
        <w:t xml:space="preserve">. Le rapport mondiale (produit annuellement) p </w:t>
      </w:r>
      <w:r w:rsidR="008F52AD" w:rsidRPr="006E0579">
        <w:t>contribue à responsabiliser davantage les gouvernements et toutes les autres parties prenantes</w:t>
      </w:r>
      <w:r w:rsidR="002E24A5" w:rsidRPr="006E0579">
        <w:t> ;</w:t>
      </w:r>
    </w:p>
    <w:p w14:paraId="310A4BEA" w14:textId="05808466" w:rsidR="00EA58D1" w:rsidRPr="005C017F" w:rsidRDefault="00EA58D1" w:rsidP="006E0579">
      <w:pPr>
        <w:pStyle w:val="PucesRapportPNIN"/>
      </w:pPr>
      <w:r w:rsidRPr="006E0579">
        <w:t xml:space="preserve">2015 : </w:t>
      </w:r>
      <w:r w:rsidR="00A212D0" w:rsidRPr="006E0579">
        <w:t>U</w:t>
      </w:r>
      <w:r w:rsidRPr="006E0579">
        <w:t>n objectif visant à mettre un terme à la malnutrition sous toutes ses formes d'ici à 2030 est inscrit dans les nouveaux Objectifs de Développement Durable</w:t>
      </w:r>
      <w:r w:rsidR="002B68C0">
        <w:t xml:space="preserve"> (ODD-</w:t>
      </w:r>
      <w:r w:rsidR="00937553" w:rsidRPr="004F5A11">
        <w:t>Programme 2030)</w:t>
      </w:r>
      <w:r w:rsidR="002E24A5" w:rsidRPr="00F42C6B">
        <w:t> ;</w:t>
      </w:r>
    </w:p>
    <w:p w14:paraId="730F1FCE" w14:textId="2E63EE6F" w:rsidR="00EA58D1" w:rsidRPr="00F6247C" w:rsidRDefault="00EA58D1" w:rsidP="006E0579">
      <w:pPr>
        <w:pStyle w:val="PucesRapportPNIN"/>
      </w:pPr>
      <w:r w:rsidRPr="00540DAE">
        <w:t xml:space="preserve">2016 : </w:t>
      </w:r>
      <w:r w:rsidR="00A212D0" w:rsidRPr="00540DAE">
        <w:t>L’</w:t>
      </w:r>
      <w:r w:rsidRPr="00540DAE">
        <w:t xml:space="preserve">Assemblée générale des Nations Unies proclame la décennie d'action pour la nutrition </w:t>
      </w:r>
      <w:r w:rsidR="00A212D0" w:rsidRPr="00504670">
        <w:t xml:space="preserve">(2016-2025) </w:t>
      </w:r>
      <w:r w:rsidRPr="0093089E">
        <w:t>afin de lutter contre toutes les formes de malnutrition, y compris la sous-nutrition, les care</w:t>
      </w:r>
      <w:r w:rsidRPr="00F6247C">
        <w:t>nces en micronutriments, l'obésité et les maladies chroniques liées au régime alimentaire</w:t>
      </w:r>
      <w:r w:rsidR="002E24A5" w:rsidRPr="00F6247C">
        <w:t> ;</w:t>
      </w:r>
    </w:p>
    <w:p w14:paraId="26440CD6" w14:textId="77777777" w:rsidR="00030617" w:rsidRPr="00F6247C" w:rsidRDefault="00030617" w:rsidP="006E0579">
      <w:pPr>
        <w:pStyle w:val="PucesRapportPNIN"/>
      </w:pPr>
      <w:r w:rsidRPr="00F6247C">
        <w:t>2017 : Second du Sommet Nutrition for Growth</w:t>
      </w:r>
      <w:r w:rsidR="009E0F9A" w:rsidRPr="00F6247C">
        <w:t>.</w:t>
      </w:r>
    </w:p>
    <w:p w14:paraId="1BAD2FE8" w14:textId="77777777" w:rsidR="009D43D5" w:rsidRPr="005264F8" w:rsidRDefault="00B323D7" w:rsidP="006E0579">
      <w:pPr>
        <w:pStyle w:val="ParagrapheRapportPNIN"/>
      </w:pPr>
      <w:r>
        <w:t>Les cibles mondiales en matière de nutrition</w:t>
      </w:r>
      <w:r w:rsidR="009D43D5">
        <w:rPr>
          <w:rStyle w:val="Appelnotedebasdep"/>
        </w:rPr>
        <w:footnoteReference w:id="4"/>
      </w:r>
      <w:r>
        <w:t>, les cibles mondiales concernant les maladies non transmissibles, le Plan d’action mondial pour la lutte contre les maladies non transmissibles</w:t>
      </w:r>
      <w:r w:rsidR="009D43D5">
        <w:rPr>
          <w:rStyle w:val="Appelnotedebasdep"/>
        </w:rPr>
        <w:footnoteReference w:id="5"/>
      </w:r>
      <w:r>
        <w:t xml:space="preserve"> et le Cadre d’action de la deuxième Conférence internationale sur la nutrition (CIN2)</w:t>
      </w:r>
      <w:r w:rsidR="009D43D5">
        <w:rPr>
          <w:rStyle w:val="Appelnotedebasdep"/>
        </w:rPr>
        <w:footnoteReference w:id="6"/>
      </w:r>
      <w:r>
        <w:t xml:space="preserve"> fournissent des orientations claires concernant l’action à mener pour faire reculer la malnutrition sous toutes ses formes. Ces cibles </w:t>
      </w:r>
      <w:r>
        <w:lastRenderedPageBreak/>
        <w:t>sont en partie intégrées dans les objectifs de développement durable, où la nutrition doit être vue comme une question transversale.</w:t>
      </w:r>
    </w:p>
    <w:p w14:paraId="5E1399AB" w14:textId="77777777" w:rsidR="00CB6E9F" w:rsidRDefault="005264F8" w:rsidP="006551E1">
      <w:pPr>
        <w:pStyle w:val="Titre3PNIN"/>
      </w:pPr>
      <w:r>
        <w:t xml:space="preserve"> </w:t>
      </w:r>
      <w:bookmarkStart w:id="9" w:name="_Toc528222322"/>
      <w:r w:rsidR="00CB6E9F">
        <w:t>A</w:t>
      </w:r>
      <w:r w:rsidR="00CB6E9F" w:rsidRPr="007E426D">
        <w:t>u Niger</w:t>
      </w:r>
      <w:bookmarkEnd w:id="9"/>
      <w:r w:rsidR="00CB6E9F" w:rsidRPr="007E426D">
        <w:t xml:space="preserve"> </w:t>
      </w:r>
    </w:p>
    <w:p w14:paraId="2A180970" w14:textId="6A278900" w:rsidR="00CB6E9F" w:rsidRPr="00E10D79" w:rsidRDefault="005264F8" w:rsidP="00DE1F61">
      <w:pPr>
        <w:pStyle w:val="ParagrapheRapportPNIN"/>
      </w:pPr>
      <w:r>
        <w:t xml:space="preserve">L’adhésion du Niger à divers accords, conventions internationaux </w:t>
      </w:r>
      <w:r w:rsidR="00396218">
        <w:t xml:space="preserve">et régionaux </w:t>
      </w:r>
      <w:r>
        <w:t>sur la nutrition a permis d’impulser de</w:t>
      </w:r>
      <w:r w:rsidRPr="00E10D79">
        <w:t xml:space="preserve"> nombreuses avancées </w:t>
      </w:r>
      <w:r>
        <w:t>dans la nutrition</w:t>
      </w:r>
      <w:r w:rsidR="002E24A5">
        <w:t> :</w:t>
      </w:r>
    </w:p>
    <w:p w14:paraId="5B640F82" w14:textId="081361C0" w:rsidR="00CB6E9F" w:rsidRPr="00E10D79" w:rsidRDefault="00CB6E9F" w:rsidP="00DE1F61">
      <w:pPr>
        <w:pStyle w:val="PucesRapportPNIN"/>
      </w:pPr>
      <w:r w:rsidRPr="00E10D79">
        <w:t xml:space="preserve">2005 : </w:t>
      </w:r>
      <w:r w:rsidR="002E24A5">
        <w:t>La c</w:t>
      </w:r>
      <w:r w:rsidRPr="00E10D79">
        <w:t xml:space="preserve">rise alimentaire et nutritionnelle mobilise et focalise de nombreux </w:t>
      </w:r>
      <w:r w:rsidR="002E24A5">
        <w:t>P</w:t>
      </w:r>
      <w:r w:rsidRPr="00E10D79">
        <w:t xml:space="preserve">artenaires </w:t>
      </w:r>
      <w:r w:rsidR="002E24A5">
        <w:t>T</w:t>
      </w:r>
      <w:r w:rsidRPr="00E10D79">
        <w:t xml:space="preserve">echniques et </w:t>
      </w:r>
      <w:r w:rsidR="002E24A5">
        <w:t>F</w:t>
      </w:r>
      <w:r w:rsidRPr="00E10D79">
        <w:t>inanciers</w:t>
      </w:r>
      <w:r w:rsidR="002E24A5">
        <w:t xml:space="preserve"> (PTFs)</w:t>
      </w:r>
      <w:r w:rsidRPr="00E10D79">
        <w:t xml:space="preserve"> et </w:t>
      </w:r>
      <w:r w:rsidR="002E24A5">
        <w:t>O</w:t>
      </w:r>
      <w:r w:rsidRPr="00E10D79">
        <w:t xml:space="preserve">rganisations </w:t>
      </w:r>
      <w:r w:rsidR="002E24A5">
        <w:t>N</w:t>
      </w:r>
      <w:r w:rsidRPr="00E10D79">
        <w:t xml:space="preserve">on </w:t>
      </w:r>
      <w:r w:rsidR="002E24A5">
        <w:t>G</w:t>
      </w:r>
      <w:r w:rsidRPr="00E10D79">
        <w:t>ouvernementales (ONGs) aux côtés de l’Etat ;</w:t>
      </w:r>
    </w:p>
    <w:p w14:paraId="28B3E524" w14:textId="081468F7" w:rsidR="00CB6E9F" w:rsidRDefault="00CB6E9F" w:rsidP="00DE1F61">
      <w:pPr>
        <w:pStyle w:val="PucesRapportPNIN"/>
      </w:pPr>
      <w:r w:rsidRPr="00E10D79">
        <w:t xml:space="preserve">2006 : Erection de la </w:t>
      </w:r>
      <w:r w:rsidR="002E24A5">
        <w:t>D</w:t>
      </w:r>
      <w:r w:rsidRPr="00E10D79">
        <w:t xml:space="preserve">ivision de la </w:t>
      </w:r>
      <w:r w:rsidR="002E24A5">
        <w:t>N</w:t>
      </w:r>
      <w:r w:rsidRPr="00E10D79">
        <w:t xml:space="preserve">utrition </w:t>
      </w:r>
      <w:r w:rsidR="002E24A5">
        <w:t xml:space="preserve">(DN) </w:t>
      </w:r>
      <w:r w:rsidRPr="00E10D79">
        <w:t xml:space="preserve">au sein de la </w:t>
      </w:r>
      <w:r w:rsidR="002E24A5">
        <w:t>D</w:t>
      </w:r>
      <w:r w:rsidRPr="00E10D79">
        <w:t xml:space="preserve">irection de la </w:t>
      </w:r>
      <w:r w:rsidR="002E24A5">
        <w:t>S</w:t>
      </w:r>
      <w:r w:rsidRPr="00E10D79">
        <w:t>anté de la mère et de l’enfant en direct</w:t>
      </w:r>
      <w:r w:rsidR="00BF2BC6">
        <w:t>ion de la nutrition</w:t>
      </w:r>
      <w:r w:rsidR="007F1DAF">
        <w:t xml:space="preserve"> (DSME)</w:t>
      </w:r>
      <w:r w:rsidR="002E24A5">
        <w:t xml:space="preserve"> ; </w:t>
      </w:r>
    </w:p>
    <w:p w14:paraId="186A53AC" w14:textId="120B70F9" w:rsidR="00BF2BC6" w:rsidRPr="00E10D79" w:rsidRDefault="00BF2BC6" w:rsidP="00DE1F61">
      <w:pPr>
        <w:pStyle w:val="PucesRapportPNIN"/>
      </w:pPr>
      <w:r w:rsidRPr="00E10D79">
        <w:t>2010 : Activation du Cluster nutrition pour la coordination des interventions de nutrition dans le c</w:t>
      </w:r>
      <w:r>
        <w:t>adre des urgences humanitaires</w:t>
      </w:r>
      <w:r w:rsidR="002E24A5">
        <w:t> ;</w:t>
      </w:r>
    </w:p>
    <w:p w14:paraId="47A9FA9B" w14:textId="328BFCD9" w:rsidR="00BF2BC6" w:rsidRPr="00E10D79" w:rsidRDefault="00BF2BC6" w:rsidP="00DE1F61">
      <w:pPr>
        <w:pStyle w:val="PucesRapportPNIN"/>
      </w:pPr>
      <w:r>
        <w:t>2010 : Révision de la Constitution suite à l’avènement de la septième République.</w:t>
      </w:r>
      <w:r w:rsidR="002E24A5">
        <w:t xml:space="preserve"> La Constitution </w:t>
      </w:r>
      <w:r>
        <w:t>introduit explicitement la nutrition dans en son article 12</w:t>
      </w:r>
      <w:r w:rsidR="002E24A5">
        <w:t> </w:t>
      </w:r>
      <w:r>
        <w:t>«</w:t>
      </w:r>
      <w:r w:rsidR="002E24A5">
        <w:t> </w:t>
      </w:r>
      <w:r>
        <w:t>….…le droit à la vie, à la santé, à la sécurité, à l'intégrité physique et mentale, à une alimentation saine et suffisante, à la nutrition à l’eau</w:t>
      </w:r>
      <w:r w:rsidR="002E24A5">
        <w:t xml:space="preserve"> </w:t>
      </w:r>
      <w:r>
        <w:t xml:space="preserve">potable, à l'éducation et à l'instruction dans les conditions définies par la loi </w:t>
      </w:r>
      <w:r>
        <w:rPr>
          <w:rStyle w:val="Appelnotedebasdep"/>
        </w:rPr>
        <w:footnoteReference w:id="7"/>
      </w:r>
      <w:r>
        <w:t>».</w:t>
      </w:r>
    </w:p>
    <w:p w14:paraId="5EFFE6BF" w14:textId="3F6FE713" w:rsidR="00CB6E9F" w:rsidRPr="00E10D79" w:rsidRDefault="00CB6E9F" w:rsidP="00DE1F61">
      <w:pPr>
        <w:pStyle w:val="PucesRapportPNIN"/>
      </w:pPr>
      <w:r w:rsidRPr="00E10D79">
        <w:t>2011 : Adhésion du Niger au mouvem</w:t>
      </w:r>
      <w:r w:rsidR="00BF2BC6">
        <w:t>ent Scaling Up Nutrition (SUN)</w:t>
      </w:r>
      <w:r w:rsidR="002E24A5">
        <w:t> ;</w:t>
      </w:r>
    </w:p>
    <w:p w14:paraId="1A441072" w14:textId="0A14EF2C" w:rsidR="00CB6E9F" w:rsidRPr="00E10D79" w:rsidRDefault="00CB6E9F" w:rsidP="00DE1F61">
      <w:pPr>
        <w:pStyle w:val="PucesRapportPNIN"/>
      </w:pPr>
      <w:r w:rsidRPr="00E10D79">
        <w:t xml:space="preserve">2011 : Organisation d’un </w:t>
      </w:r>
      <w:r w:rsidR="002E24A5">
        <w:t>S</w:t>
      </w:r>
      <w:r w:rsidRPr="00E10D79">
        <w:t>ymposium International sur la Sécurité Alimentaire et Nutritionnelle (SISAN) par la Haute Autorité à la Sécurité Alimentair</w:t>
      </w:r>
      <w:r w:rsidR="00BF2BC6">
        <w:t>e (HASA) créée en février 2010</w:t>
      </w:r>
      <w:r w:rsidR="002E24A5">
        <w:t> ;</w:t>
      </w:r>
    </w:p>
    <w:p w14:paraId="40379DD6" w14:textId="6028273A" w:rsidR="00CB6E9F" w:rsidRPr="00E10D79" w:rsidRDefault="00CB6E9F" w:rsidP="00DE1F61">
      <w:pPr>
        <w:pStyle w:val="PucesRapportPNIN"/>
      </w:pPr>
      <w:r w:rsidRPr="00E10D79">
        <w:t>2011 : Dissolution de l’HASA et création du Haut-commissariat à l’Initiative les Nigériens no</w:t>
      </w:r>
      <w:r w:rsidR="00BF2BC6">
        <w:t>urrissent les Nigériens (HC3N)</w:t>
      </w:r>
      <w:r w:rsidR="002E24A5">
        <w:t> ;</w:t>
      </w:r>
    </w:p>
    <w:p w14:paraId="30AEEBF7" w14:textId="6209FABA" w:rsidR="00CB6E9F" w:rsidRPr="00E10D79" w:rsidRDefault="00CB6E9F" w:rsidP="00DE1F61">
      <w:pPr>
        <w:pStyle w:val="PucesRapportPNIN"/>
      </w:pPr>
      <w:r w:rsidRPr="00E10D79">
        <w:t>2011</w:t>
      </w:r>
      <w:r w:rsidR="00BF2BC6">
        <w:t> : Elaboration d’une</w:t>
      </w:r>
      <w:r w:rsidRPr="00E10D79">
        <w:t xml:space="preserve"> Politique Nationale de Nutrition (PNN</w:t>
      </w:r>
      <w:r w:rsidR="00BF2BC6">
        <w:t>)</w:t>
      </w:r>
      <w:r w:rsidRPr="00E10D79">
        <w:t xml:space="preserve"> par la DN du M</w:t>
      </w:r>
      <w:r w:rsidR="002B68C0">
        <w:t>inistère de la Santé Publique (M</w:t>
      </w:r>
      <w:r w:rsidRPr="00E10D79">
        <w:t>SP</w:t>
      </w:r>
      <w:r w:rsidR="002B68C0">
        <w:t>)</w:t>
      </w:r>
      <w:r w:rsidRPr="00E10D79">
        <w:t xml:space="preserve"> suite aux recommandations du SISAN de mars 2011 et au forum régiona</w:t>
      </w:r>
      <w:r w:rsidR="00BF2BC6">
        <w:t>l de nutrition de Grand Bassam. L</w:t>
      </w:r>
      <w:r w:rsidRPr="00E10D79">
        <w:t>a PNN est multisectorielle mais portée par le MSP. Elle ne sera pas adoptée</w:t>
      </w:r>
      <w:r w:rsidR="002E24A5">
        <w:t> ;</w:t>
      </w:r>
    </w:p>
    <w:p w14:paraId="419F38AC" w14:textId="669ED4F2" w:rsidR="00CB6E9F" w:rsidRDefault="00CB6E9F" w:rsidP="00DE1F61">
      <w:pPr>
        <w:pStyle w:val="PucesRapportPNIN"/>
      </w:pPr>
      <w:r>
        <w:t>2011-2012</w:t>
      </w:r>
      <w:r w:rsidR="002E24A5">
        <w:t> </w:t>
      </w:r>
      <w:r w:rsidRPr="00552CB7">
        <w:t>: Crise alimentaire et nutritionnelle qui relance</w:t>
      </w:r>
      <w:r>
        <w:t xml:space="preserve"> la problématique de la nutrition au Niger</w:t>
      </w:r>
      <w:r w:rsidR="002E24A5">
        <w:t> ;</w:t>
      </w:r>
    </w:p>
    <w:p w14:paraId="144E0570" w14:textId="4ABEE6B3" w:rsidR="00CB6E9F" w:rsidRPr="00E10D79" w:rsidRDefault="00CB6E9F" w:rsidP="006E0579">
      <w:pPr>
        <w:pStyle w:val="PucesRapportPNIN"/>
      </w:pPr>
      <w:r w:rsidRPr="00E10D79">
        <w:t xml:space="preserve">2012 : Mise en place du secrétariat du REACH (Renewed Effort Against Child Hunger and Undernutrition) hébergé au sein du HC3N ; le REACH est chargé de coordonner l’appui des agences du système des Nations Unies (FAO, PAM, OMS et UNICEF) et de contribuer à améliorer le cadre politique en faveur de la </w:t>
      </w:r>
      <w:r w:rsidR="002E24A5" w:rsidRPr="00E10D79">
        <w:t>nutrition</w:t>
      </w:r>
      <w:r w:rsidR="002E24A5">
        <w:t> </w:t>
      </w:r>
      <w:r w:rsidRPr="00E10D79">
        <w:t>;</w:t>
      </w:r>
    </w:p>
    <w:p w14:paraId="10336332" w14:textId="15CA6895" w:rsidR="00CB6E9F" w:rsidRPr="00E10D79" w:rsidRDefault="00CB6E9F" w:rsidP="006E0579">
      <w:pPr>
        <w:pStyle w:val="PucesRapportPNIN"/>
      </w:pPr>
      <w:r w:rsidRPr="00E10D79">
        <w:t xml:space="preserve">Avril 2012 : Adoption de la stratégie de l’initiative 3N </w:t>
      </w:r>
      <w:r w:rsidR="00FD47A7">
        <w:t xml:space="preserve">ou </w:t>
      </w:r>
      <w:r w:rsidR="000D1E5E">
        <w:t>la Stratégie de Sécurité Alimentaire et du Développement Agricole Durables (SAN/DA)</w:t>
      </w:r>
      <w:r w:rsidR="00FD47A7">
        <w:t xml:space="preserve"> qui s’inscrit dans le processus de mise en œuvre de la Politique Agricole Commune de la CEDEAO, le Plan de Développement Détaillé pour l’Agriculture en Afrique (ECOWAP/PDDAA) et la Politique Agricole de l</w:t>
      </w:r>
      <w:r w:rsidR="002B68C0">
        <w:t>’</w:t>
      </w:r>
      <w:r w:rsidR="00FD47A7">
        <w:t>U</w:t>
      </w:r>
      <w:r w:rsidR="002B68C0">
        <w:t>nion Economique et Monétaire des Etats d’Afrique de l’Ouest (U</w:t>
      </w:r>
      <w:r w:rsidR="00FD47A7">
        <w:t>EMOA</w:t>
      </w:r>
      <w:r w:rsidR="002B68C0">
        <w:t>)</w:t>
      </w:r>
      <w:r w:rsidRPr="00E10D79">
        <w:t> ;</w:t>
      </w:r>
    </w:p>
    <w:p w14:paraId="1E712FE9" w14:textId="77777777" w:rsidR="00CB6E9F" w:rsidRPr="00E10D79" w:rsidRDefault="00CB6E9F" w:rsidP="006E0579">
      <w:pPr>
        <w:pStyle w:val="PucesRapportPNIN"/>
      </w:pPr>
      <w:r w:rsidRPr="00E10D79">
        <w:t>2013 : Création du Comité Multisectoriel du Programme stratégique 4 (CMPS-4), dédié à la nutrition et présidé par le MSP par décret. Le CMPS4 est chargé de coordonner les interventions relatives à la nutrition associées à l’Axe stratégique n°4 de la stratégie I3N sur la nutrition ;</w:t>
      </w:r>
    </w:p>
    <w:p w14:paraId="7747C0B4" w14:textId="111AD766" w:rsidR="00CB6E9F" w:rsidRPr="00E10D79" w:rsidRDefault="00CB6E9F" w:rsidP="006E0579">
      <w:pPr>
        <w:pStyle w:val="PucesRapportPNIN"/>
      </w:pPr>
      <w:r w:rsidRPr="00E10D79">
        <w:lastRenderedPageBreak/>
        <w:t>2013 : Création du Groupe Thématique Nutrition (GTN) en lieu et place du cluster nutrition. Le GTN assure la coordination entre les acteurs investis dans la nutrition</w:t>
      </w:r>
      <w:r w:rsidR="007F3024">
        <w:t xml:space="preserve"> au Niger ;</w:t>
      </w:r>
    </w:p>
    <w:p w14:paraId="16B8A909" w14:textId="00144E73" w:rsidR="00CB6E9F" w:rsidRPr="00E10D79" w:rsidRDefault="00CB6E9F" w:rsidP="006E0579">
      <w:pPr>
        <w:pStyle w:val="PucesRapportPNIN"/>
      </w:pPr>
      <w:r w:rsidRPr="00E10D79">
        <w:t xml:space="preserve">2015 : Elaboration d’une </w:t>
      </w:r>
      <w:r w:rsidR="007F3024">
        <w:t>P</w:t>
      </w:r>
      <w:r w:rsidRPr="00E10D79">
        <w:t xml:space="preserve">olitique </w:t>
      </w:r>
      <w:r w:rsidR="007F3024">
        <w:t>N</w:t>
      </w:r>
      <w:r w:rsidRPr="00E10D79">
        <w:t xml:space="preserve">ationale de </w:t>
      </w:r>
      <w:r w:rsidR="007F3024">
        <w:t>S</w:t>
      </w:r>
      <w:r w:rsidRPr="00E10D79">
        <w:t xml:space="preserve">écurité </w:t>
      </w:r>
      <w:r w:rsidR="007F3024">
        <w:t>N</w:t>
      </w:r>
      <w:r w:rsidRPr="00E10D79">
        <w:t>utritionnelle multisectorielle (PNSN) coordonnée par</w:t>
      </w:r>
      <w:r w:rsidR="007F3024">
        <w:t xml:space="preserve"> le</w:t>
      </w:r>
      <w:r w:rsidRPr="00E10D79">
        <w:t xml:space="preserve"> HC3N par un processus participatif avec l’ensemble des ministères ayant un lien avec la nutrition et une identification de points focaux nutrition au sein de </w:t>
      </w:r>
      <w:r w:rsidR="007F3024">
        <w:t>chaque</w:t>
      </w:r>
      <w:r w:rsidR="007F3024" w:rsidRPr="00E10D79">
        <w:t xml:space="preserve"> </w:t>
      </w:r>
      <w:r w:rsidRPr="00E10D79">
        <w:t>ministère ;</w:t>
      </w:r>
    </w:p>
    <w:p w14:paraId="45398A9F" w14:textId="26124A20" w:rsidR="00CB6E9F" w:rsidRPr="00E10D79" w:rsidRDefault="00CB6E9F" w:rsidP="006E0579">
      <w:pPr>
        <w:pStyle w:val="PucesRapportPNIN"/>
      </w:pPr>
      <w:r w:rsidRPr="00E10D79">
        <w:t xml:space="preserve">Janvier 2016 : </w:t>
      </w:r>
      <w:r w:rsidR="007F3024">
        <w:t>V</w:t>
      </w:r>
      <w:r w:rsidRPr="00E10D79">
        <w:t>alidation technique de la PNSN par le CMPS4 ;</w:t>
      </w:r>
    </w:p>
    <w:p w14:paraId="4B87D31F" w14:textId="27ADDA71" w:rsidR="00CB6E9F" w:rsidRPr="00E10D79" w:rsidRDefault="00CB6E9F" w:rsidP="006E0579">
      <w:pPr>
        <w:pStyle w:val="PucesRapportPNIN"/>
      </w:pPr>
      <w:r w:rsidRPr="00E10D79">
        <w:t xml:space="preserve">2016- 2017 : Elaboration et budgétisation du </w:t>
      </w:r>
      <w:r w:rsidR="007F3024">
        <w:t>P</w:t>
      </w:r>
      <w:r w:rsidRPr="00E10D79">
        <w:t>lan d’</w:t>
      </w:r>
      <w:r w:rsidR="007F3024">
        <w:t>A</w:t>
      </w:r>
      <w:r w:rsidRPr="00E10D79">
        <w:t>ction</w:t>
      </w:r>
      <w:r w:rsidR="002B68C0">
        <w:t>s</w:t>
      </w:r>
      <w:r w:rsidRPr="00E10D79">
        <w:t xml:space="preserve"> 2017-2019</w:t>
      </w:r>
      <w:r w:rsidR="007F3024">
        <w:t xml:space="preserve"> (PA)</w:t>
      </w:r>
      <w:r w:rsidRPr="00E10D79">
        <w:t xml:space="preserve"> de la PNSN ;</w:t>
      </w:r>
    </w:p>
    <w:p w14:paraId="34BB328A" w14:textId="77777777" w:rsidR="00CB6E9F" w:rsidRDefault="00CB6E9F" w:rsidP="006E0579">
      <w:pPr>
        <w:pStyle w:val="PucesRapportPNIN"/>
      </w:pPr>
      <w:r w:rsidRPr="00E10D79">
        <w:t>Juin 2017 : Validation technique du plan d’action de la PNSN ;</w:t>
      </w:r>
    </w:p>
    <w:p w14:paraId="62A8B54B" w14:textId="77777777" w:rsidR="00545726" w:rsidRPr="00545726" w:rsidRDefault="00545726" w:rsidP="00545726">
      <w:pPr>
        <w:pStyle w:val="PucesRapportPNIN"/>
      </w:pPr>
      <w:r w:rsidRPr="00545726">
        <w:t>Août 2017 : Signature de la convention entre la DUE et le Niger pour la mise en place d’une Plateforme Nationale d’Information pour la Nutrition ;</w:t>
      </w:r>
    </w:p>
    <w:p w14:paraId="0C8EAFA7" w14:textId="53A1E383" w:rsidR="00CB6E9F" w:rsidRPr="00E10D79" w:rsidRDefault="00CB6E9F" w:rsidP="006E0579">
      <w:pPr>
        <w:pStyle w:val="PucesRapportPNIN"/>
      </w:pPr>
      <w:r w:rsidRPr="00E10D79">
        <w:t>Janvier-mars</w:t>
      </w:r>
      <w:r w:rsidR="007F3024">
        <w:t xml:space="preserve"> </w:t>
      </w:r>
      <w:r w:rsidRPr="00E10D79">
        <w:t xml:space="preserve">2018 : </w:t>
      </w:r>
      <w:r w:rsidR="007F3024">
        <w:t>D</w:t>
      </w:r>
      <w:r w:rsidRPr="00E10D79">
        <w:t>iffusion de la PNSN et de son PA dans tous les ministères concernés par la PNSN ;</w:t>
      </w:r>
    </w:p>
    <w:p w14:paraId="58F55323" w14:textId="77777777" w:rsidR="00CB6E9F" w:rsidRPr="00E10D79" w:rsidRDefault="00CB6E9F" w:rsidP="006E0579">
      <w:pPr>
        <w:pStyle w:val="PucesRapportPNIN"/>
      </w:pPr>
      <w:r w:rsidRPr="00E10D79">
        <w:t>Septembre 2018 : Soumission de la PNSN et de son PA par le HC3N au Gouvernement pour son adoption.</w:t>
      </w:r>
    </w:p>
    <w:p w14:paraId="05FE872E" w14:textId="77777777" w:rsidR="00CB6E9F" w:rsidRDefault="00CB6E9F" w:rsidP="006E0579">
      <w:pPr>
        <w:pStyle w:val="ParagrapheRapportPNIN"/>
      </w:pPr>
      <w:r w:rsidRPr="009B53E7">
        <w:t>Bien que faisant face à de crises alimentaires et nutritionnelles répétitives</w:t>
      </w:r>
      <w:r w:rsidR="00D61194">
        <w:t>,</w:t>
      </w:r>
      <w:r w:rsidRPr="009B53E7">
        <w:t xml:space="preserve"> </w:t>
      </w:r>
      <w:r w:rsidR="00D61194" w:rsidRPr="009B53E7">
        <w:t xml:space="preserve">la nutrition </w:t>
      </w:r>
      <w:r w:rsidR="00D61194">
        <w:t>n’</w:t>
      </w:r>
      <w:r w:rsidR="00D61194" w:rsidRPr="009B53E7">
        <w:t>a été explicitement notifiée dans la constitution en son article 12</w:t>
      </w:r>
      <w:r w:rsidR="00D61194">
        <w:rPr>
          <w:rStyle w:val="Appelnotedebasdep"/>
        </w:rPr>
        <w:footnoteReference w:id="8"/>
      </w:r>
      <w:r w:rsidR="00D61194">
        <w:t xml:space="preserve"> qu’en 2010.</w:t>
      </w:r>
      <w:r w:rsidRPr="009B53E7">
        <w:t xml:space="preserve"> </w:t>
      </w:r>
    </w:p>
    <w:p w14:paraId="513674C6" w14:textId="04A1F6DB" w:rsidR="001B556A" w:rsidRDefault="001B556A" w:rsidP="006E0579">
      <w:pPr>
        <w:pStyle w:val="ParagrapheRapportPNIN"/>
        <w:shd w:val="clear" w:color="auto" w:fill="F2F2F2" w:themeFill="background1" w:themeFillShade="F2"/>
      </w:pPr>
      <w:r w:rsidRPr="00C6448E">
        <w:rPr>
          <w:b/>
        </w:rPr>
        <w:t>Constat :</w:t>
      </w:r>
      <w:r>
        <w:rPr>
          <w:b/>
        </w:rPr>
        <w:t xml:space="preserve"> </w:t>
      </w:r>
      <w:r w:rsidRPr="001B556A">
        <w:t>La mise</w:t>
      </w:r>
      <w:r w:rsidR="007F3024">
        <w:t xml:space="preserve"> en place d’un </w:t>
      </w:r>
      <w:r w:rsidRPr="001B556A">
        <w:t>agenda international de la nutrition, l’engagement du Niger au niveau international et régional a permis de</w:t>
      </w:r>
      <w:r w:rsidR="0091424B">
        <w:t xml:space="preserve"> repositionner la nutrition parmi</w:t>
      </w:r>
      <w:r w:rsidRPr="001B556A">
        <w:t xml:space="preserve"> les priorités nationale</w:t>
      </w:r>
      <w:r>
        <w:t>s.</w:t>
      </w:r>
    </w:p>
    <w:p w14:paraId="4D43F64A" w14:textId="77777777" w:rsidR="00831FAA" w:rsidRPr="00831FAA" w:rsidRDefault="00831FAA" w:rsidP="006E0579">
      <w:pPr>
        <w:pStyle w:val="Titre2situation"/>
      </w:pPr>
      <w:bookmarkStart w:id="10" w:name="_Toc528054583"/>
      <w:bookmarkStart w:id="11" w:name="_Toc528222323"/>
      <w:bookmarkEnd w:id="10"/>
      <w:r w:rsidRPr="00831FAA">
        <w:t>Situation de la nutrition au Niger</w:t>
      </w:r>
      <w:bookmarkEnd w:id="11"/>
    </w:p>
    <w:p w14:paraId="434C5085" w14:textId="1DA70673" w:rsidR="00167451" w:rsidRDefault="00674929" w:rsidP="006551E1">
      <w:pPr>
        <w:pStyle w:val="Titre3PNIN"/>
      </w:pPr>
      <w:bookmarkStart w:id="12" w:name="_Toc435775377"/>
      <w:bookmarkStart w:id="13" w:name="_Toc528222324"/>
      <w:r>
        <w:t>Le c</w:t>
      </w:r>
      <w:r w:rsidR="00167451" w:rsidRPr="00D8347F">
        <w:t>ontexte</w:t>
      </w:r>
      <w:r w:rsidR="00167451" w:rsidRPr="006E7887">
        <w:t xml:space="preserve"> national</w:t>
      </w:r>
      <w:bookmarkEnd w:id="12"/>
      <w:bookmarkEnd w:id="13"/>
    </w:p>
    <w:p w14:paraId="327DDE81" w14:textId="554A71A3" w:rsidR="00D92925" w:rsidRDefault="00C35306" w:rsidP="006E0579">
      <w:pPr>
        <w:pStyle w:val="ParagrapheRapportPNIN"/>
        <w:rPr>
          <w:lang w:eastAsia="fr-FR"/>
        </w:rPr>
      </w:pPr>
      <w:r>
        <w:rPr>
          <w:lang w:eastAsia="fr-FR"/>
        </w:rPr>
        <w:t>L’économie du Niger est peu diversifiée</w:t>
      </w:r>
      <w:r w:rsidR="007F3024">
        <w:rPr>
          <w:lang w:eastAsia="fr-FR"/>
        </w:rPr>
        <w:t xml:space="preserve">. Elle </w:t>
      </w:r>
      <w:r>
        <w:rPr>
          <w:lang w:eastAsia="fr-FR"/>
        </w:rPr>
        <w:t>est principalement basée sur l’agriculture de subsistance, l’élevage</w:t>
      </w:r>
      <w:r w:rsidR="00B2721A">
        <w:rPr>
          <w:lang w:eastAsia="fr-FR"/>
        </w:rPr>
        <w:t xml:space="preserve"> et l’exploitation </w:t>
      </w:r>
      <w:r w:rsidR="00546212">
        <w:rPr>
          <w:lang w:eastAsia="fr-FR"/>
        </w:rPr>
        <w:t>minière</w:t>
      </w:r>
      <w:r w:rsidR="00493B85" w:rsidRPr="00B80E0F">
        <w:rPr>
          <w:lang w:eastAsia="fr-FR"/>
        </w:rPr>
        <w:t>.</w:t>
      </w:r>
      <w:r w:rsidR="00493B85">
        <w:rPr>
          <w:lang w:eastAsia="fr-FR"/>
        </w:rPr>
        <w:t xml:space="preserve"> </w:t>
      </w:r>
      <w:r w:rsidR="00B2721A">
        <w:rPr>
          <w:lang w:eastAsia="fr-FR"/>
        </w:rPr>
        <w:t xml:space="preserve">Le secteur primaire </w:t>
      </w:r>
      <w:r w:rsidR="007F3024">
        <w:rPr>
          <w:lang w:eastAsia="fr-FR"/>
        </w:rPr>
        <w:t>représente</w:t>
      </w:r>
      <w:r w:rsidR="00B2721A">
        <w:rPr>
          <w:lang w:eastAsia="fr-FR"/>
        </w:rPr>
        <w:t xml:space="preserve"> 46</w:t>
      </w:r>
      <w:r w:rsidR="007F3024">
        <w:rPr>
          <w:lang w:eastAsia="fr-FR"/>
        </w:rPr>
        <w:t> </w:t>
      </w:r>
      <w:r w:rsidR="00B2721A">
        <w:rPr>
          <w:lang w:eastAsia="fr-FR"/>
        </w:rPr>
        <w:t>% du PIB dont plus de 27</w:t>
      </w:r>
      <w:r w:rsidR="00C2578F">
        <w:rPr>
          <w:lang w:eastAsia="fr-FR"/>
        </w:rPr>
        <w:t> </w:t>
      </w:r>
      <w:r w:rsidR="00B2721A">
        <w:rPr>
          <w:lang w:eastAsia="fr-FR"/>
        </w:rPr>
        <w:t>% pour l’agriculture et 13</w:t>
      </w:r>
      <w:r w:rsidR="00C2578F">
        <w:rPr>
          <w:lang w:eastAsia="fr-FR"/>
        </w:rPr>
        <w:t> </w:t>
      </w:r>
      <w:r w:rsidR="00B2721A">
        <w:rPr>
          <w:lang w:eastAsia="fr-FR"/>
        </w:rPr>
        <w:t xml:space="preserve">% pour l’élevage. </w:t>
      </w:r>
      <w:r w:rsidR="00F56B72">
        <w:rPr>
          <w:lang w:eastAsia="fr-FR"/>
        </w:rPr>
        <w:t>L’activité économique</w:t>
      </w:r>
      <w:r w:rsidR="00C2578F">
        <w:rPr>
          <w:lang w:eastAsia="fr-FR"/>
        </w:rPr>
        <w:t>,</w:t>
      </w:r>
      <w:r w:rsidR="00F56B72">
        <w:rPr>
          <w:lang w:eastAsia="fr-FR"/>
        </w:rPr>
        <w:t xml:space="preserve"> assez soutenue jusqu’aux années </w:t>
      </w:r>
      <w:r w:rsidR="00C2578F">
        <w:rPr>
          <w:lang w:eastAsia="fr-FR"/>
        </w:rPr>
        <w:t>19</w:t>
      </w:r>
      <w:r w:rsidR="00F56B72">
        <w:rPr>
          <w:lang w:eastAsia="fr-FR"/>
        </w:rPr>
        <w:t>80, est désormais affectée par les chocs internes et externes dont notamment les menaces sécuritaires, les fluctuations des différentes devises entrant dans les échanges et la chute des cours des matières premières</w:t>
      </w:r>
      <w:r w:rsidR="00D92925">
        <w:rPr>
          <w:lang w:eastAsia="fr-FR"/>
        </w:rPr>
        <w:t>. Cette situation est accentuée davantage, par l’impact négatif du changement climatique, engendrant des pertes énormes en habitation ou en cheptel suite aux inondations et à la sécheresse dans certaines zones géographiques</w:t>
      </w:r>
      <w:r w:rsidR="00F56B72">
        <w:rPr>
          <w:rStyle w:val="Appelnotedebasdep"/>
          <w:lang w:eastAsia="fr-FR"/>
        </w:rPr>
        <w:footnoteReference w:id="9"/>
      </w:r>
      <w:r w:rsidR="00C2578F">
        <w:rPr>
          <w:lang w:eastAsia="fr-FR"/>
        </w:rPr>
        <w:t xml:space="preserve"> du pays</w:t>
      </w:r>
      <w:r w:rsidR="00F56B72">
        <w:rPr>
          <w:lang w:eastAsia="fr-FR"/>
        </w:rPr>
        <w:t xml:space="preserve">. </w:t>
      </w:r>
    </w:p>
    <w:p w14:paraId="70013396" w14:textId="19462E89" w:rsidR="00D92925" w:rsidRDefault="00D92925" w:rsidP="006E0579">
      <w:pPr>
        <w:pStyle w:val="ParagrapheRapportPNIN"/>
        <w:rPr>
          <w:lang w:eastAsia="fr-FR"/>
        </w:rPr>
      </w:pPr>
      <w:r>
        <w:rPr>
          <w:lang w:eastAsia="fr-FR"/>
        </w:rPr>
        <w:t>Le revenu moyen par habitant du pays a nettement divergé par rapport à l’évolution du revenu moyen par habitant en Afrique subsaharienne et dans le monde au cours des 50</w:t>
      </w:r>
      <w:r w:rsidR="00C2578F">
        <w:rPr>
          <w:lang w:eastAsia="fr-FR"/>
        </w:rPr>
        <w:t> </w:t>
      </w:r>
      <w:r>
        <w:rPr>
          <w:lang w:eastAsia="fr-FR"/>
        </w:rPr>
        <w:t>dernières années. Alors que dans l’Afrique subsaharienne le revenu par habitant a augmenté de 40</w:t>
      </w:r>
      <w:r w:rsidR="00C2578F">
        <w:rPr>
          <w:lang w:eastAsia="fr-FR"/>
        </w:rPr>
        <w:t> </w:t>
      </w:r>
      <w:r>
        <w:rPr>
          <w:lang w:eastAsia="fr-FR"/>
        </w:rPr>
        <w:t xml:space="preserve">% entre 1965 et 2015, le revenu par habitant du Niger a diminué entre 1965 et 1985 et n’a dès lors connu qu’une très faible augmentation. </w:t>
      </w:r>
      <w:r w:rsidR="003C798F" w:rsidRPr="003C798F">
        <w:rPr>
          <w:lang w:eastAsia="fr-FR"/>
        </w:rPr>
        <w:t>Entre 1995 et 2015 le revenu par habitant au Niger a augmenté de 0,4% par an comparé à 2,2% par habitant en Afrique subsaharienne.</w:t>
      </w:r>
      <w:r w:rsidR="003C798F">
        <w:rPr>
          <w:lang w:eastAsia="fr-FR"/>
        </w:rPr>
        <w:t xml:space="preserve"> La</w:t>
      </w:r>
      <w:r>
        <w:rPr>
          <w:lang w:eastAsia="fr-FR"/>
        </w:rPr>
        <w:t xml:space="preserve"> raison </w:t>
      </w:r>
      <w:r w:rsidR="00C2578F">
        <w:rPr>
          <w:lang w:eastAsia="fr-FR"/>
        </w:rPr>
        <w:t xml:space="preserve">de cette situation </w:t>
      </w:r>
      <w:r>
        <w:rPr>
          <w:lang w:eastAsia="fr-FR"/>
        </w:rPr>
        <w:lastRenderedPageBreak/>
        <w:t>est l’ampleur de la croissance de la population et un taux de croissance économique plus lent</w:t>
      </w:r>
      <w:r>
        <w:rPr>
          <w:rStyle w:val="Appelnotedebasdep"/>
          <w:lang w:eastAsia="fr-FR"/>
        </w:rPr>
        <w:footnoteReference w:id="10"/>
      </w:r>
      <w:r>
        <w:rPr>
          <w:lang w:eastAsia="fr-FR"/>
        </w:rPr>
        <w:t>.</w:t>
      </w:r>
      <w:r w:rsidRPr="00D92925">
        <w:t xml:space="preserve"> </w:t>
      </w:r>
    </w:p>
    <w:p w14:paraId="1A4C0C2C" w14:textId="18031C37" w:rsidR="00AE687E" w:rsidRDefault="00AE687E" w:rsidP="006E0579">
      <w:pPr>
        <w:pStyle w:val="ParagrapheRapportPNIN"/>
      </w:pPr>
      <w:r>
        <w:t>La forte croissance démographique du Niger avec un indice de fécondité à 6</w:t>
      </w:r>
      <w:r w:rsidR="00C2578F">
        <w:t>,</w:t>
      </w:r>
      <w:r>
        <w:t>9</w:t>
      </w:r>
      <w:r w:rsidR="00C2578F">
        <w:t> </w:t>
      </w:r>
      <w:r>
        <w:t>enfant</w:t>
      </w:r>
      <w:r w:rsidR="00C2578F">
        <w:t>s</w:t>
      </w:r>
      <w:r>
        <w:t xml:space="preserve"> par femme accentue</w:t>
      </w:r>
      <w:r>
        <w:rPr>
          <w:rFonts w:cs="Arial"/>
          <w:szCs w:val="24"/>
        </w:rPr>
        <w:t xml:space="preserve"> </w:t>
      </w:r>
      <w:r>
        <w:t xml:space="preserve">une </w:t>
      </w:r>
      <w:r w:rsidRPr="00B80E0F">
        <w:t>demande critique pour les secteurs sociaux (éducation, santé, agriculture, emploi, habitat, eau potable, hygiène et assai</w:t>
      </w:r>
      <w:r>
        <w:t xml:space="preserve">nissement, etc.). Les disparités </w:t>
      </w:r>
      <w:r w:rsidR="00C2578F">
        <w:t xml:space="preserve">selon le </w:t>
      </w:r>
      <w:r>
        <w:t xml:space="preserve">sexe, </w:t>
      </w:r>
      <w:r w:rsidR="00C2578F">
        <w:t>l</w:t>
      </w:r>
      <w:r>
        <w:t xml:space="preserve">e genre, </w:t>
      </w:r>
      <w:r w:rsidR="00C2578F">
        <w:t>l</w:t>
      </w:r>
      <w:r>
        <w:t xml:space="preserve">’âge, </w:t>
      </w:r>
      <w:r w:rsidR="00C2578F">
        <w:t>l</w:t>
      </w:r>
      <w:r>
        <w:t xml:space="preserve">e statut socio-économique et culturel, sont fortes et limitent l’accès et l’utilisation aux services sociaux de base. </w:t>
      </w:r>
      <w:r w:rsidR="00C2578F">
        <w:t>L</w:t>
      </w:r>
      <w:r>
        <w:t>’indice de Gini mesur</w:t>
      </w:r>
      <w:r w:rsidR="00C2578F">
        <w:t>ant</w:t>
      </w:r>
      <w:r>
        <w:t xml:space="preserve"> les inégalités dans les dépenses des ménages est 0</w:t>
      </w:r>
      <w:r w:rsidR="00C2578F">
        <w:t>,</w:t>
      </w:r>
      <w:r>
        <w:t>325 au Niger en 2015</w:t>
      </w:r>
      <w:r w:rsidR="0019009A">
        <w:rPr>
          <w:rStyle w:val="Appelnotedebasdep"/>
        </w:rPr>
        <w:footnoteReference w:id="11"/>
      </w:r>
      <w:r>
        <w:t xml:space="preserve">. </w:t>
      </w:r>
    </w:p>
    <w:p w14:paraId="0E0A9D93" w14:textId="01DD0B80" w:rsidR="00A46938" w:rsidRDefault="00991657" w:rsidP="006E0579">
      <w:pPr>
        <w:pStyle w:val="ParagrapheRapportPNIN"/>
      </w:pPr>
      <w:r>
        <w:rPr>
          <w:szCs w:val="24"/>
          <w:lang w:eastAsia="fr-FR"/>
        </w:rPr>
        <w:t xml:space="preserve">Les trois quart de </w:t>
      </w:r>
      <w:r w:rsidR="00B5172D">
        <w:rPr>
          <w:rFonts w:cs="Arial"/>
          <w:szCs w:val="24"/>
        </w:rPr>
        <w:t xml:space="preserve">la population </w:t>
      </w:r>
      <w:r>
        <w:rPr>
          <w:rFonts w:cs="Arial"/>
          <w:szCs w:val="24"/>
        </w:rPr>
        <w:t>occupent</w:t>
      </w:r>
      <w:r w:rsidR="00B5172D">
        <w:rPr>
          <w:rFonts w:cs="Arial"/>
          <w:szCs w:val="24"/>
        </w:rPr>
        <w:t xml:space="preserve"> seulement un quart du territoire national entrainant une </w:t>
      </w:r>
      <w:r w:rsidR="00493B85">
        <w:rPr>
          <w:rFonts w:cs="Arial"/>
          <w:szCs w:val="24"/>
        </w:rPr>
        <w:t>forte pression sur les terres cultivables</w:t>
      </w:r>
      <w:r w:rsidR="00546212" w:rsidRPr="00546212">
        <w:rPr>
          <w:lang w:eastAsia="fr-FR"/>
        </w:rPr>
        <w:t xml:space="preserve"> </w:t>
      </w:r>
      <w:r w:rsidR="00546212">
        <w:rPr>
          <w:lang w:eastAsia="fr-FR"/>
        </w:rPr>
        <w:t>alors que l</w:t>
      </w:r>
      <w:r w:rsidR="00546212" w:rsidRPr="001513E3">
        <w:rPr>
          <w:szCs w:val="24"/>
          <w:lang w:eastAsia="fr-FR"/>
        </w:rPr>
        <w:t>es terres cultivables du Niger représentaient seulement 12,5</w:t>
      </w:r>
      <w:r w:rsidR="00665A5A">
        <w:rPr>
          <w:szCs w:val="24"/>
          <w:lang w:eastAsia="fr-FR"/>
        </w:rPr>
        <w:t> </w:t>
      </w:r>
      <w:r w:rsidR="00546212" w:rsidRPr="001513E3">
        <w:rPr>
          <w:szCs w:val="24"/>
          <w:lang w:eastAsia="fr-FR"/>
        </w:rPr>
        <w:t>% de la superficie du pays en 2013</w:t>
      </w:r>
      <w:r w:rsidR="00546212">
        <w:rPr>
          <w:szCs w:val="24"/>
          <w:lang w:eastAsia="fr-FR"/>
        </w:rPr>
        <w:t>.</w:t>
      </w:r>
      <w:r w:rsidR="00546212">
        <w:rPr>
          <w:rFonts w:cs="Arial"/>
          <w:szCs w:val="24"/>
        </w:rPr>
        <w:t xml:space="preserve"> </w:t>
      </w:r>
      <w:r w:rsidR="00B5172D">
        <w:rPr>
          <w:rFonts w:cs="Arial"/>
          <w:szCs w:val="24"/>
        </w:rPr>
        <w:t>Cette pression</w:t>
      </w:r>
      <w:r w:rsidR="00493B85">
        <w:rPr>
          <w:rFonts w:cs="Arial"/>
          <w:szCs w:val="24"/>
        </w:rPr>
        <w:t xml:space="preserve"> est aggravée par une recrudescence des </w:t>
      </w:r>
      <w:r w:rsidR="00493B85" w:rsidRPr="001513E3">
        <w:rPr>
          <w:rFonts w:cs="Arial"/>
          <w:szCs w:val="24"/>
        </w:rPr>
        <w:t>chocs climatiques</w:t>
      </w:r>
      <w:r w:rsidR="00B5172D">
        <w:rPr>
          <w:rFonts w:cs="Arial"/>
          <w:szCs w:val="24"/>
        </w:rPr>
        <w:t xml:space="preserve"> (</w:t>
      </w:r>
      <w:r w:rsidR="00493B85" w:rsidRPr="001513E3">
        <w:rPr>
          <w:rFonts w:cs="Arial"/>
          <w:szCs w:val="24"/>
        </w:rPr>
        <w:t>sécheresse persistante</w:t>
      </w:r>
      <w:r w:rsidR="00B5172D">
        <w:rPr>
          <w:rFonts w:cs="Arial"/>
          <w:szCs w:val="24"/>
        </w:rPr>
        <w:t>, inondation…)</w:t>
      </w:r>
      <w:r w:rsidR="00493B85" w:rsidRPr="001513E3">
        <w:rPr>
          <w:rFonts w:cs="Arial"/>
          <w:szCs w:val="24"/>
        </w:rPr>
        <w:t xml:space="preserve"> </w:t>
      </w:r>
      <w:r w:rsidR="00B5172D">
        <w:rPr>
          <w:rFonts w:cs="Arial"/>
          <w:szCs w:val="24"/>
        </w:rPr>
        <w:t xml:space="preserve">entrainant une </w:t>
      </w:r>
      <w:r w:rsidR="00B5172D" w:rsidRPr="00B80E0F">
        <w:t>pression sur les ressources naturelle</w:t>
      </w:r>
      <w:r w:rsidR="00B5172D">
        <w:t xml:space="preserve">s (eau, sol, végétation, faune). </w:t>
      </w:r>
    </w:p>
    <w:p w14:paraId="1FE5468C" w14:textId="1F3A3DCA" w:rsidR="00493B85" w:rsidRDefault="00234BB9" w:rsidP="006E0579">
      <w:pPr>
        <w:pStyle w:val="ParagrapheRapportPNIN"/>
      </w:pPr>
      <w:r w:rsidRPr="00B80E0F">
        <w:rPr>
          <w:lang w:eastAsia="fr-FR"/>
        </w:rPr>
        <w:t>L</w:t>
      </w:r>
      <w:r w:rsidRPr="00B80E0F">
        <w:t>e PIB par habitant</w:t>
      </w:r>
      <w:r>
        <w:t xml:space="preserve"> au Niger est l’un des plus faibles au monde et son évolution est très limitée</w:t>
      </w:r>
      <w:r w:rsidR="00665A5A">
        <w:t>. L</w:t>
      </w:r>
      <w:r>
        <w:t xml:space="preserve">e PIB par habitant est </w:t>
      </w:r>
      <w:r w:rsidRPr="00B80E0F">
        <w:t>passé de 144</w:t>
      </w:r>
      <w:r w:rsidR="00665A5A">
        <w:t> </w:t>
      </w:r>
      <w:r w:rsidRPr="00B80E0F">
        <w:t>098</w:t>
      </w:r>
      <w:r w:rsidR="00665A5A">
        <w:t> </w:t>
      </w:r>
      <w:r w:rsidRPr="00B80E0F">
        <w:t>FCFA</w:t>
      </w:r>
      <w:r>
        <w:t xml:space="preserve"> </w:t>
      </w:r>
      <w:r w:rsidRPr="00B80E0F">
        <w:t>en 2011 à 160 408</w:t>
      </w:r>
      <w:r w:rsidR="00665A5A">
        <w:t> </w:t>
      </w:r>
      <w:r w:rsidRPr="00B80E0F">
        <w:t>FCFA en 2014</w:t>
      </w:r>
      <w:r>
        <w:t xml:space="preserve">. </w:t>
      </w:r>
      <w:r w:rsidR="00665A5A">
        <w:t>En 2012, l</w:t>
      </w:r>
      <w:r>
        <w:t>e seuil de pauvreté monétaire est fixé à 110 348 F</w:t>
      </w:r>
      <w:r w:rsidR="00665A5A">
        <w:t> </w:t>
      </w:r>
      <w:r>
        <w:t>CFA par an en zone rural et 150</w:t>
      </w:r>
      <w:r w:rsidR="00665A5A">
        <w:t> </w:t>
      </w:r>
      <w:r>
        <w:t>933</w:t>
      </w:r>
      <w:r w:rsidR="00665A5A">
        <w:t> </w:t>
      </w:r>
      <w:r>
        <w:t>F</w:t>
      </w:r>
      <w:r w:rsidR="00665A5A">
        <w:t> </w:t>
      </w:r>
      <w:r>
        <w:t>CFA en zone urbaine.</w:t>
      </w:r>
      <w:r w:rsidR="00665A5A">
        <w:t xml:space="preserve"> En 2012, l</w:t>
      </w:r>
      <w:r>
        <w:rPr>
          <w:lang w:eastAsia="fr-FR"/>
        </w:rPr>
        <w:t xml:space="preserve">e profil de la pauvreté au Niger indique que </w:t>
      </w:r>
      <w:r w:rsidR="00665A5A">
        <w:rPr>
          <w:lang w:eastAsia="fr-FR"/>
        </w:rPr>
        <w:t>60 </w:t>
      </w:r>
      <w:r>
        <w:rPr>
          <w:lang w:eastAsia="fr-FR"/>
        </w:rPr>
        <w:t xml:space="preserve">% de Nigériens vivent en dessous du seuil de pauvreté. </w:t>
      </w:r>
    </w:p>
    <w:p w14:paraId="02C17F8D" w14:textId="65363DC2" w:rsidR="00C71AAB" w:rsidRDefault="00234BB9" w:rsidP="006E0579">
      <w:pPr>
        <w:pStyle w:val="ParagrapheRapportPNIN"/>
      </w:pPr>
      <w:r>
        <w:t>La situation sécuritaire préoccupante de la zone des grands lacs avec des intrusions terroristes répétées</w:t>
      </w:r>
      <w:r w:rsidR="00665A5A">
        <w:t xml:space="preserve"> </w:t>
      </w:r>
      <w:r>
        <w:t xml:space="preserve">ont des conséquences sur </w:t>
      </w:r>
      <w:r w:rsidRPr="00234BB9">
        <w:t>l’accès aux services sociaux de base, à l’agriculture et aux autres activités économiques</w:t>
      </w:r>
      <w:r w:rsidR="00C71AAB">
        <w:t xml:space="preserve"> et </w:t>
      </w:r>
      <w:r>
        <w:t xml:space="preserve">conduisent à </w:t>
      </w:r>
      <w:r w:rsidRPr="00234BB9">
        <w:t>d’importants déplacements de population</w:t>
      </w:r>
      <w:r w:rsidR="00C71AAB">
        <w:t>.</w:t>
      </w:r>
      <w:r w:rsidR="00AE687E">
        <w:t xml:space="preserve"> </w:t>
      </w:r>
    </w:p>
    <w:p w14:paraId="027B2F1E" w14:textId="6CEC171D" w:rsidR="00234BB9" w:rsidRDefault="00C71AAB" w:rsidP="006E0579">
      <w:pPr>
        <w:pStyle w:val="ParagrapheRapportPNIN"/>
      </w:pPr>
      <w:r>
        <w:rPr>
          <w:lang w:eastAsia="fr-FR"/>
        </w:rPr>
        <w:t>La vulnérabilité économique des populations, l</w:t>
      </w:r>
      <w:r w:rsidRPr="001513E3">
        <w:rPr>
          <w:szCs w:val="24"/>
        </w:rPr>
        <w:t xml:space="preserve">es effets des chocs </w:t>
      </w:r>
      <w:r>
        <w:rPr>
          <w:szCs w:val="24"/>
        </w:rPr>
        <w:t xml:space="preserve">climatiques et stress saisonniers </w:t>
      </w:r>
      <w:r w:rsidRPr="001513E3">
        <w:rPr>
          <w:szCs w:val="24"/>
        </w:rPr>
        <w:t>récurrents</w:t>
      </w:r>
      <w:r>
        <w:rPr>
          <w:szCs w:val="24"/>
        </w:rPr>
        <w:t>, les disparités et la situation sécuritaire préoccupante</w:t>
      </w:r>
      <w:r w:rsidRPr="001513E3">
        <w:rPr>
          <w:szCs w:val="24"/>
        </w:rPr>
        <w:t xml:space="preserve"> </w:t>
      </w:r>
      <w:r>
        <w:rPr>
          <w:szCs w:val="24"/>
        </w:rPr>
        <w:t>rendent les populations nigériennes vulnérables</w:t>
      </w:r>
      <w:r w:rsidR="00665A5A">
        <w:rPr>
          <w:szCs w:val="24"/>
        </w:rPr>
        <w:t xml:space="preserve"> à</w:t>
      </w:r>
      <w:r>
        <w:rPr>
          <w:szCs w:val="24"/>
        </w:rPr>
        <w:t xml:space="preserve"> </w:t>
      </w:r>
      <w:r>
        <w:t xml:space="preserve">l’insécurité nutritionnelle et diminuent leur </w:t>
      </w:r>
      <w:r w:rsidRPr="001513E3">
        <w:rPr>
          <w:szCs w:val="24"/>
        </w:rPr>
        <w:t>résilience</w:t>
      </w:r>
      <w:r w:rsidRPr="001513E3">
        <w:t>.</w:t>
      </w:r>
    </w:p>
    <w:p w14:paraId="4ACB3EC8" w14:textId="77777777" w:rsidR="00167451" w:rsidRDefault="00EA5CEC" w:rsidP="006551E1">
      <w:pPr>
        <w:pStyle w:val="Titre3PNIN"/>
      </w:pPr>
      <w:bookmarkStart w:id="14" w:name="_Toc528222325"/>
      <w:r>
        <w:t>La malnutrition</w:t>
      </w:r>
      <w:r w:rsidR="00C71AAB">
        <w:t xml:space="preserve"> au Niger</w:t>
      </w:r>
      <w:bookmarkEnd w:id="14"/>
      <w:r w:rsidR="00C71AAB">
        <w:t xml:space="preserve"> </w:t>
      </w:r>
    </w:p>
    <w:p w14:paraId="5C1195DF" w14:textId="27B6C938" w:rsidR="00C71AAB" w:rsidRPr="001F5367" w:rsidRDefault="00CB3846" w:rsidP="00EC23BF">
      <w:pPr>
        <w:pStyle w:val="Titre4PNIN"/>
      </w:pPr>
      <w:bookmarkStart w:id="15" w:name="_Toc528222326"/>
      <w:r w:rsidRPr="006F0573">
        <w:t>2.1.1</w:t>
      </w:r>
      <w:r w:rsidR="00665A5A">
        <w:t xml:space="preserve">. </w:t>
      </w:r>
      <w:r w:rsidR="000F37DE" w:rsidRPr="006F0573">
        <w:t>Le fardeau de la malnutrition</w:t>
      </w:r>
      <w:bookmarkEnd w:id="15"/>
    </w:p>
    <w:p w14:paraId="4C588609" w14:textId="0A2453B1" w:rsidR="002B68C0" w:rsidRDefault="00515001">
      <w:pPr>
        <w:pStyle w:val="ParagrapheRapportPNIN"/>
      </w:pPr>
      <w:r>
        <w:t xml:space="preserve">Malgré les efforts du Gouvernement du Niger et de l’appui des </w:t>
      </w:r>
      <w:r w:rsidR="00665A5A">
        <w:t>P</w:t>
      </w:r>
      <w:r>
        <w:t xml:space="preserve">artenaires </w:t>
      </w:r>
      <w:r w:rsidR="00665A5A">
        <w:t>T</w:t>
      </w:r>
      <w:r>
        <w:t xml:space="preserve">echniques et </w:t>
      </w:r>
      <w:r w:rsidR="00665A5A">
        <w:t>F</w:t>
      </w:r>
      <w:r>
        <w:t>inanciers</w:t>
      </w:r>
      <w:r w:rsidR="00665A5A">
        <w:t xml:space="preserve"> (PTFs)</w:t>
      </w:r>
      <w:r>
        <w:t xml:space="preserve"> intervenants dans la nutrition, le</w:t>
      </w:r>
      <w:r w:rsidR="00EA1C5C">
        <w:t xml:space="preserve"> Niger est touché par le tri</w:t>
      </w:r>
      <w:r>
        <w:t xml:space="preserve">ple fardeau de la malnutrition avec des prévalences dépassant souvent le seuil </w:t>
      </w:r>
      <w:r w:rsidR="00A22068">
        <w:t>d’alerte</w:t>
      </w:r>
      <w:r>
        <w:t xml:space="preserve"> de l’OMS</w:t>
      </w:r>
      <w:r w:rsidR="00A22068" w:rsidRPr="00A22068">
        <w:t xml:space="preserve"> </w:t>
      </w:r>
      <w:r w:rsidR="00A22068">
        <w:t>(</w:t>
      </w:r>
      <w:r w:rsidR="00A22068" w:rsidRPr="00A22068">
        <w:t>30 % pour la malnutrition chronique et de 10 % pour la malnutrition aiguë</w:t>
      </w:r>
      <w:r w:rsidR="00A22068">
        <w:t>)</w:t>
      </w:r>
      <w:r>
        <w:t>.</w:t>
      </w:r>
      <w:r w:rsidR="00296914" w:rsidRPr="00296914">
        <w:t xml:space="preserve"> </w:t>
      </w:r>
      <w:r w:rsidR="00BE7C50" w:rsidRPr="00BE7C50">
        <w:t>La prévalence élevée des diverses formes de malnutrition représente un frein au développement national</w:t>
      </w:r>
      <w:r w:rsidR="00BE7C50">
        <w:t>. Selon</w:t>
      </w:r>
      <w:r w:rsidR="00BE7C50" w:rsidRPr="00BE7C50">
        <w:t xml:space="preserve"> l’étude </w:t>
      </w:r>
      <w:r w:rsidR="00665A5A">
        <w:t>« </w:t>
      </w:r>
      <w:r w:rsidR="00BE7C50" w:rsidRPr="00BE7C50">
        <w:t>Coût de la Faim en Afrique</w:t>
      </w:r>
      <w:r w:rsidR="00665A5A">
        <w:t> »</w:t>
      </w:r>
      <w:r w:rsidR="00BE7C50" w:rsidRPr="00BE7C50">
        <w:t xml:space="preserve"> réalisée au Niger en 2018, le coût social et économique de la sous-nutrition chez l’enfant au Niger s’élève à environ 290</w:t>
      </w:r>
      <w:r w:rsidR="00665A5A">
        <w:t> </w:t>
      </w:r>
      <w:r w:rsidR="00BE7C50" w:rsidRPr="00BE7C50">
        <w:t>milliards de</w:t>
      </w:r>
      <w:r w:rsidR="00665A5A">
        <w:t> </w:t>
      </w:r>
      <w:r w:rsidR="00BE7C50" w:rsidRPr="00BE7C50">
        <w:t>F</w:t>
      </w:r>
      <w:r w:rsidR="00665A5A">
        <w:t> </w:t>
      </w:r>
      <w:r w:rsidR="00BE7C50" w:rsidRPr="00BE7C50">
        <w:t>CFA, soit 539,7</w:t>
      </w:r>
      <w:r w:rsidR="00665A5A">
        <w:t> </w:t>
      </w:r>
      <w:r w:rsidR="00BE7C50" w:rsidRPr="00BE7C50">
        <w:t>millions de dollars perdus au cours de l’année 2014 (année de référence de l’étude) suite aux conséquences de la sous-nutrition chez l’enfant</w:t>
      </w:r>
      <w:r w:rsidR="00665A5A">
        <w:t xml:space="preserve">, soit </w:t>
      </w:r>
      <w:r w:rsidR="00BE7C50" w:rsidRPr="00BE7C50">
        <w:t>7,1</w:t>
      </w:r>
      <w:r w:rsidR="00665A5A">
        <w:t> </w:t>
      </w:r>
      <w:r w:rsidR="00BE7C50" w:rsidRPr="00BE7C50">
        <w:t xml:space="preserve">% du PIB. Ce coût est essentiellement dû à la perte des capacités productives du fait de la mortalité induite </w:t>
      </w:r>
      <w:r w:rsidR="00BE7C50" w:rsidRPr="00BE7C50">
        <w:lastRenderedPageBreak/>
        <w:t>par la malnutrition, soit 6,</w:t>
      </w:r>
      <w:r w:rsidR="00665A5A" w:rsidRPr="00BE7C50">
        <w:t>3</w:t>
      </w:r>
      <w:r w:rsidR="00665A5A">
        <w:t> </w:t>
      </w:r>
      <w:r w:rsidR="00BE7C50" w:rsidRPr="00BE7C50">
        <w:t>% du PIB. En outre, le poids de cette sous-nutrition sur les secteurs de la santé (0,8</w:t>
      </w:r>
      <w:r w:rsidR="00665A5A">
        <w:t> </w:t>
      </w:r>
      <w:r w:rsidR="00BE7C50" w:rsidRPr="00BE7C50">
        <w:t>% du PIB) et de l’éducation (0,02</w:t>
      </w:r>
      <w:r w:rsidR="00665A5A">
        <w:t> </w:t>
      </w:r>
      <w:r w:rsidR="00BE7C50" w:rsidRPr="00BE7C50">
        <w:t>% du PIB) représente de lourds fardeaux pour les ménages et le système public.</w:t>
      </w:r>
    </w:p>
    <w:p w14:paraId="50AB074F" w14:textId="77777777" w:rsidR="00EA1C5C" w:rsidRPr="006F0573" w:rsidRDefault="00EA1C5C" w:rsidP="006E0579">
      <w:pPr>
        <w:pStyle w:val="pucetitrePNIN"/>
      </w:pPr>
      <w:r w:rsidRPr="006F0573">
        <w:t>La sous nutrition</w:t>
      </w:r>
    </w:p>
    <w:p w14:paraId="72BDD702" w14:textId="72202002" w:rsidR="00FD1F1A" w:rsidRDefault="00BE7C50" w:rsidP="006E0579">
      <w:pPr>
        <w:pStyle w:val="ParagrapheRapportPNIN"/>
      </w:pPr>
      <w:r>
        <w:t xml:space="preserve">En 2016, selon l’enquête nationale nutritionnelle, </w:t>
      </w:r>
      <w:r w:rsidR="009C7542">
        <w:t>1</w:t>
      </w:r>
      <w:r w:rsidR="00665A5A">
        <w:t> </w:t>
      </w:r>
      <w:r w:rsidR="00A424A3">
        <w:t>enfant de moins de 5</w:t>
      </w:r>
      <w:r w:rsidR="00665A5A">
        <w:t> </w:t>
      </w:r>
      <w:r w:rsidR="00A424A3">
        <w:t>ans sur 10 souffre de</w:t>
      </w:r>
      <w:r w:rsidR="00515001">
        <w:t xml:space="preserve"> </w:t>
      </w:r>
      <w:r w:rsidR="00A424A3">
        <w:t>malnutrition aiguë (1</w:t>
      </w:r>
      <w:r w:rsidR="00A424A3" w:rsidRPr="00FB54EC">
        <w:t>0,3</w:t>
      </w:r>
      <w:r w:rsidR="00665A5A">
        <w:t> </w:t>
      </w:r>
      <w:r w:rsidR="00A424A3" w:rsidRPr="00FB54EC">
        <w:t>%</w:t>
      </w:r>
      <w:r w:rsidR="00A424A3">
        <w:t xml:space="preserve">) et </w:t>
      </w:r>
      <w:r w:rsidR="009C7542">
        <w:t>1</w:t>
      </w:r>
      <w:r w:rsidR="00A424A3">
        <w:t xml:space="preserve"> enfant sur </w:t>
      </w:r>
      <w:r w:rsidR="009C7542">
        <w:t>2</w:t>
      </w:r>
      <w:r w:rsidR="00A424A3">
        <w:t xml:space="preserve"> souffre de malnutrition chronique (</w:t>
      </w:r>
      <w:r w:rsidR="00FB54EC" w:rsidRPr="00FB54EC">
        <w:t>42</w:t>
      </w:r>
      <w:r w:rsidR="00665A5A">
        <w:t>,</w:t>
      </w:r>
      <w:r w:rsidR="00FB54EC" w:rsidRPr="00FB54EC">
        <w:t>2</w:t>
      </w:r>
      <w:r w:rsidR="00665A5A">
        <w:t> </w:t>
      </w:r>
      <w:r w:rsidR="00FB54EC" w:rsidRPr="00FB54EC">
        <w:t>%</w:t>
      </w:r>
      <w:r w:rsidR="00A424A3">
        <w:t>)</w:t>
      </w:r>
      <w:r w:rsidR="00A424A3">
        <w:rPr>
          <w:rStyle w:val="Appelnotedebasdep"/>
        </w:rPr>
        <w:footnoteReference w:id="12"/>
      </w:r>
      <w:r w:rsidR="00A424A3">
        <w:t>.</w:t>
      </w:r>
      <w:r w:rsidR="00FB54EC">
        <w:t xml:space="preserve"> </w:t>
      </w:r>
      <w:r>
        <w:t>L</w:t>
      </w:r>
      <w:r w:rsidR="00AA2CBC">
        <w:t xml:space="preserve">a </w:t>
      </w:r>
      <w:r w:rsidR="00AA2CBC" w:rsidRPr="00AA2CBC">
        <w:t>malnutrition aiguë</w:t>
      </w:r>
      <w:r w:rsidR="00AA2CBC">
        <w:t xml:space="preserve"> et le retard de croissance </w:t>
      </w:r>
      <w:r>
        <w:t>provoquent une hausse du taux de mortalité</w:t>
      </w:r>
      <w:r w:rsidR="00AA2CBC">
        <w:t xml:space="preserve"> qui </w:t>
      </w:r>
      <w:r>
        <w:t>augmente avec le degré de gravité de</w:t>
      </w:r>
      <w:r w:rsidR="00AA2CBC">
        <w:t xml:space="preserve"> </w:t>
      </w:r>
      <w:r>
        <w:t xml:space="preserve">la sous-nutrition. </w:t>
      </w:r>
      <w:r w:rsidR="00103AC1">
        <w:t>L</w:t>
      </w:r>
      <w:r w:rsidR="00AA2CBC">
        <w:t xml:space="preserve">e risque de mortalité </w:t>
      </w:r>
      <w:r w:rsidR="00103AC1">
        <w:t xml:space="preserve">d’un enfant malnutri </w:t>
      </w:r>
      <w:r w:rsidR="00AA2CBC">
        <w:t xml:space="preserve">est estimé </w:t>
      </w:r>
      <w:r w:rsidR="00103AC1">
        <w:t>de 2</w:t>
      </w:r>
      <w:r w:rsidR="00665A5A">
        <w:t> </w:t>
      </w:r>
      <w:r w:rsidR="00103AC1">
        <w:t xml:space="preserve">fois </w:t>
      </w:r>
      <w:r w:rsidR="00A424A3">
        <w:t>à 12</w:t>
      </w:r>
      <w:r w:rsidR="00665A5A">
        <w:t> </w:t>
      </w:r>
      <w:r w:rsidR="00A424A3">
        <w:t>fois supérieur à celui d’un enfant non malnutri</w:t>
      </w:r>
      <w:r w:rsidR="00AA2CBC">
        <w:rPr>
          <w:rStyle w:val="Appelnotedebasdep"/>
        </w:rPr>
        <w:footnoteReference w:id="13"/>
      </w:r>
      <w:r w:rsidR="00A424A3">
        <w:t xml:space="preserve">. </w:t>
      </w:r>
    </w:p>
    <w:p w14:paraId="0B9DDAAF" w14:textId="709C599B" w:rsidR="00103AC1" w:rsidRDefault="00A424A3" w:rsidP="006E0579">
      <w:pPr>
        <w:pStyle w:val="ParagrapheRapportPNIN"/>
      </w:pPr>
      <w:r>
        <w:t>En 2018, l’étude</w:t>
      </w:r>
      <w:r w:rsidR="00103AC1" w:rsidRPr="00103AC1">
        <w:t xml:space="preserve"> </w:t>
      </w:r>
      <w:r w:rsidR="00665A5A">
        <w:t>« </w:t>
      </w:r>
      <w:r w:rsidR="00103AC1" w:rsidRPr="00103AC1">
        <w:t>Coût de la Faim en Afrique</w:t>
      </w:r>
      <w:r w:rsidR="00665A5A">
        <w:t> »</w:t>
      </w:r>
      <w:r w:rsidR="00103AC1" w:rsidRPr="00103AC1">
        <w:t xml:space="preserve"> réalisée au Niger</w:t>
      </w:r>
      <w:r>
        <w:rPr>
          <w:rStyle w:val="Appelnotedebasdep"/>
        </w:rPr>
        <w:footnoteReference w:id="14"/>
      </w:r>
      <w:r>
        <w:t xml:space="preserve"> estime que la sous</w:t>
      </w:r>
      <w:r w:rsidR="00665A5A">
        <w:t>-</w:t>
      </w:r>
      <w:r>
        <w:t xml:space="preserve">nutrition représente </w:t>
      </w:r>
      <w:r w:rsidR="00665A5A">
        <w:t>43 </w:t>
      </w:r>
      <w:r w:rsidRPr="00A424A3">
        <w:t>% de tous les cas de mortalité des enfants de moins de cinq</w:t>
      </w:r>
      <w:r w:rsidR="00665A5A">
        <w:t> </w:t>
      </w:r>
      <w:r w:rsidRPr="00A424A3">
        <w:t>ans</w:t>
      </w:r>
      <w:r>
        <w:t xml:space="preserve"> sur la période 2010-2014</w:t>
      </w:r>
      <w:r w:rsidR="00665A5A">
        <w:t>,</w:t>
      </w:r>
      <w:r w:rsidR="005E1AE4">
        <w:t xml:space="preserve"> </w:t>
      </w:r>
      <w:r w:rsidR="005E1AE4" w:rsidRPr="005E1AE4">
        <w:t>ce qui représente plus de 189</w:t>
      </w:r>
      <w:r w:rsidR="00665A5A">
        <w:t> </w:t>
      </w:r>
      <w:r w:rsidR="005E1AE4" w:rsidRPr="005E1AE4">
        <w:t>015</w:t>
      </w:r>
      <w:r w:rsidR="00665A5A">
        <w:t> </w:t>
      </w:r>
      <w:r w:rsidR="005E1AE4" w:rsidRPr="005E1AE4">
        <w:t xml:space="preserve">enfants décédés en 2014 </w:t>
      </w:r>
      <w:r w:rsidR="005E1AE4">
        <w:t>au Niger</w:t>
      </w:r>
      <w:r w:rsidR="009C7542">
        <w:t xml:space="preserve"> (année de référence de l’étude)</w:t>
      </w:r>
      <w:r>
        <w:t xml:space="preserve">. </w:t>
      </w:r>
      <w:r w:rsidR="00FD1F1A">
        <w:t>L</w:t>
      </w:r>
      <w:r w:rsidR="00FD1F1A" w:rsidRPr="00FD1F1A">
        <w:t>es enfants ayant souffert de sous-nutrition en 2014 ont connu un taux de redoublement de 19,8</w:t>
      </w:r>
      <w:r w:rsidR="00665A5A">
        <w:t> </w:t>
      </w:r>
      <w:r w:rsidR="00FD1F1A" w:rsidRPr="00FD1F1A">
        <w:t>% contre 8,1</w:t>
      </w:r>
      <w:r w:rsidR="00665A5A">
        <w:t> </w:t>
      </w:r>
      <w:r w:rsidR="00FD1F1A" w:rsidRPr="00FD1F1A">
        <w:t xml:space="preserve">% pour les enfants qui n’ont pas souffert de sous-nutrition. Ce risque supplémentaire </w:t>
      </w:r>
      <w:r w:rsidR="00665A5A">
        <w:t xml:space="preserve">est </w:t>
      </w:r>
      <w:r w:rsidR="00FD1F1A" w:rsidRPr="00FD1F1A">
        <w:t>de 11,7</w:t>
      </w:r>
      <w:r w:rsidR="00665A5A">
        <w:t> </w:t>
      </w:r>
      <w:r w:rsidR="00FD1F1A" w:rsidRPr="00FD1F1A">
        <w:t xml:space="preserve">points de pourcentage </w:t>
      </w:r>
      <w:r w:rsidR="00665A5A">
        <w:t xml:space="preserve">supérieur </w:t>
      </w:r>
      <w:r w:rsidR="00FD1F1A" w:rsidRPr="00FD1F1A">
        <w:t>pour les enfants souffrant de retard de croissance.</w:t>
      </w:r>
      <w:r w:rsidR="00FD1F1A">
        <w:t xml:space="preserve"> P</w:t>
      </w:r>
      <w:r w:rsidR="00FD1F1A" w:rsidRPr="00FD1F1A">
        <w:t>rès de 6</w:t>
      </w:r>
      <w:r w:rsidR="00665A5A">
        <w:t> </w:t>
      </w:r>
      <w:r w:rsidR="00FD1F1A" w:rsidRPr="00FD1F1A">
        <w:t xml:space="preserve">redoublements sur 10 </w:t>
      </w:r>
      <w:r w:rsidR="00FD1F1A">
        <w:t xml:space="preserve">sont </w:t>
      </w:r>
      <w:r w:rsidR="00FD1F1A" w:rsidRPr="00FD1F1A">
        <w:t xml:space="preserve">associés à un retard de croissance et se produisent au cours du cycle primaire. </w:t>
      </w:r>
      <w:r w:rsidR="00665A5A">
        <w:t xml:space="preserve">Il existe </w:t>
      </w:r>
      <w:r w:rsidR="00FD1F1A" w:rsidRPr="00FD1F1A">
        <w:t xml:space="preserve">un grand écart entre l’achèvement des études de ceux qui ont souffert de retard de croissance durant leur enfance et ceux ayant eu une enfance saine. </w:t>
      </w:r>
      <w:r w:rsidR="00665A5A">
        <w:t>P</w:t>
      </w:r>
      <w:r w:rsidR="00FD1F1A" w:rsidRPr="00FD1F1A">
        <w:t xml:space="preserve">armi la population adulte </w:t>
      </w:r>
      <w:r w:rsidR="00665A5A">
        <w:t>(</w:t>
      </w:r>
      <w:r w:rsidR="00FD1F1A" w:rsidRPr="00FD1F1A">
        <w:t>d’âge compris entre 20</w:t>
      </w:r>
      <w:r w:rsidR="00665A5A">
        <w:t> ans</w:t>
      </w:r>
      <w:r w:rsidR="00FD1F1A" w:rsidRPr="00FD1F1A">
        <w:t xml:space="preserve"> et 64</w:t>
      </w:r>
      <w:r w:rsidR="00665A5A">
        <w:t> </w:t>
      </w:r>
      <w:r w:rsidR="00FD1F1A" w:rsidRPr="00FD1F1A">
        <w:t>ans</w:t>
      </w:r>
      <w:r w:rsidR="00665A5A">
        <w:t>)</w:t>
      </w:r>
      <w:r w:rsidR="00FD1F1A" w:rsidRPr="00FD1F1A">
        <w:t>, 15</w:t>
      </w:r>
      <w:r w:rsidR="00665A5A">
        <w:t> </w:t>
      </w:r>
      <w:r w:rsidR="00FD1F1A" w:rsidRPr="00FD1F1A">
        <w:t>% n’ayant pas souffert de retard de croissance pendant leur enfance ont terminé l’école primaire, contre seulement 3,4</w:t>
      </w:r>
      <w:r w:rsidR="00F12786">
        <w:t> </w:t>
      </w:r>
      <w:r w:rsidR="00FD1F1A" w:rsidRPr="00FD1F1A">
        <w:t xml:space="preserve">% pour ceux ayant souffert de retard de croissance. </w:t>
      </w:r>
      <w:r w:rsidR="00F12786">
        <w:t xml:space="preserve">Enfin, </w:t>
      </w:r>
      <w:r w:rsidR="00FD1F1A" w:rsidRPr="00FD1F1A">
        <w:t>les personnes n’ayant pas souffert de retard de croissance ont en moyenne achevé 1,6</w:t>
      </w:r>
      <w:r w:rsidR="00F12786">
        <w:t> </w:t>
      </w:r>
      <w:r w:rsidR="00FD1F1A" w:rsidRPr="00FD1F1A">
        <w:t>années de scolarité contre 0,8</w:t>
      </w:r>
      <w:r w:rsidR="00F12786">
        <w:t> </w:t>
      </w:r>
      <w:r w:rsidR="00FD1F1A" w:rsidRPr="00FD1F1A">
        <w:t xml:space="preserve">année chez </w:t>
      </w:r>
      <w:r w:rsidR="00F12786">
        <w:t>les personnes</w:t>
      </w:r>
      <w:r w:rsidR="00F12786" w:rsidRPr="00FD1F1A">
        <w:t xml:space="preserve"> </w:t>
      </w:r>
      <w:r w:rsidR="00FD1F1A" w:rsidRPr="00FD1F1A">
        <w:t>qui en ont souffert, mettant en évidence un écart de près d’une année entre les deux catégories.</w:t>
      </w:r>
    </w:p>
    <w:p w14:paraId="0DD5CC50" w14:textId="77777777" w:rsidR="00EA1C5C" w:rsidRDefault="00EA1C5C" w:rsidP="006E0579">
      <w:pPr>
        <w:pStyle w:val="pucetitrePNIN"/>
      </w:pPr>
      <w:r>
        <w:t>La surnutrition et les maladies non transmissibles liées à la nutrition</w:t>
      </w:r>
    </w:p>
    <w:p w14:paraId="061A1727" w14:textId="53D87CFF" w:rsidR="00FD7096" w:rsidRDefault="00F12786" w:rsidP="006E0579">
      <w:pPr>
        <w:pStyle w:val="ParagrapheRapportPNIN"/>
      </w:pPr>
      <w:r>
        <w:t xml:space="preserve">Il existe </w:t>
      </w:r>
      <w:r w:rsidR="009C7542" w:rsidRPr="009C7542">
        <w:t xml:space="preserve">un risque élevé de </w:t>
      </w:r>
      <w:r w:rsidRPr="009C7542">
        <w:t>sur</w:t>
      </w:r>
      <w:r>
        <w:t>a</w:t>
      </w:r>
      <w:r w:rsidRPr="009C7542">
        <w:t>limentation</w:t>
      </w:r>
      <w:r w:rsidR="009C7542" w:rsidRPr="009C7542">
        <w:t xml:space="preserve"> dans une population adulte au sein de laquelle une proportion majoritaire a été victime de malnutrition chronique pendant l’enfance (notamment entre 6 et 23 mois)</w:t>
      </w:r>
      <w:r>
        <w:t xml:space="preserve"> (</w:t>
      </w:r>
      <w:r w:rsidRPr="009C7542">
        <w:t>séries du Lancet 2013</w:t>
      </w:r>
      <w:r>
        <w:t>)</w:t>
      </w:r>
      <w:r w:rsidR="009C7542" w:rsidRPr="009C7542">
        <w:t xml:space="preserve">. </w:t>
      </w:r>
      <w:r>
        <w:t xml:space="preserve">Ce comportement </w:t>
      </w:r>
      <w:r w:rsidR="009C7542" w:rsidRPr="009C7542">
        <w:t>est lié au fait que l’organisme s’est habitué à fonctionner avec peu de nutriments et s’adapte ensuite mal physiologiquement à une alimentation plus riche.</w:t>
      </w:r>
      <w:r w:rsidR="00FD7096" w:rsidRPr="00FD7096">
        <w:t xml:space="preserve"> </w:t>
      </w:r>
    </w:p>
    <w:p w14:paraId="4C79965B" w14:textId="341A31DF" w:rsidR="00F12786" w:rsidRDefault="00FD7096" w:rsidP="006E0579">
      <w:pPr>
        <w:pStyle w:val="ParagrapheRapportPNIN"/>
      </w:pPr>
      <w:r w:rsidRPr="009C7542">
        <w:t>L’émergence des problèmes de nutrition liés aux M</w:t>
      </w:r>
      <w:r w:rsidR="00F12786">
        <w:t xml:space="preserve">aladies </w:t>
      </w:r>
      <w:r w:rsidRPr="009C7542">
        <w:t>N</w:t>
      </w:r>
      <w:r w:rsidR="00F12786">
        <w:t xml:space="preserve">on </w:t>
      </w:r>
      <w:r w:rsidRPr="009C7542">
        <w:t>T</w:t>
      </w:r>
      <w:r w:rsidR="00F12786">
        <w:t>ransmissibles (MNT)</w:t>
      </w:r>
      <w:r w:rsidRPr="009C7542">
        <w:t xml:space="preserve"> crée un fardeau nutritionnel pour les populations au Niger. Cette nouvelle problématique, bien que très peu cernée du fait de la faible disponibilité de données actualisées et du faible investissement dans sa prise en charge, est un fléau latent. </w:t>
      </w:r>
      <w:r w:rsidR="00F12786">
        <w:t xml:space="preserve">Selon </w:t>
      </w:r>
      <w:r w:rsidR="00BE7C50" w:rsidRPr="00BE7C50">
        <w:t>la dernière enquête</w:t>
      </w:r>
      <w:r w:rsidR="000C3CEE">
        <w:t xml:space="preserve"> selon l’approche </w:t>
      </w:r>
      <w:r w:rsidR="00BE7C50" w:rsidRPr="00BE7C50">
        <w:t xml:space="preserve"> STEPS </w:t>
      </w:r>
      <w:r w:rsidR="00F12786">
        <w:t>(</w:t>
      </w:r>
      <w:r w:rsidR="00BE7C50" w:rsidRPr="00BE7C50">
        <w:t>2007</w:t>
      </w:r>
      <w:r w:rsidR="00F12786">
        <w:t>)</w:t>
      </w:r>
      <w:r w:rsidR="00BE7C50" w:rsidRPr="00BE7C50">
        <w:t xml:space="preserve">, les taux de prévalence pour les MNT et certains facteurs </w:t>
      </w:r>
      <w:r w:rsidR="00F12786">
        <w:t>sont de </w:t>
      </w:r>
      <w:r w:rsidR="00BE7C50" w:rsidRPr="00BE7C50">
        <w:t xml:space="preserve">: </w:t>
      </w:r>
    </w:p>
    <w:p w14:paraId="1BD57672" w14:textId="75453313" w:rsidR="00F12786" w:rsidRDefault="00BE7C50" w:rsidP="006E0579">
      <w:pPr>
        <w:pStyle w:val="PucesRapportPNIN"/>
      </w:pPr>
      <w:r w:rsidRPr="00BE7C50">
        <w:t>hypertension artérielle (36</w:t>
      </w:r>
      <w:r w:rsidR="00F12786">
        <w:t> </w:t>
      </w:r>
      <w:r w:rsidRPr="00BE7C50">
        <w:t>%);</w:t>
      </w:r>
      <w:r w:rsidR="00F12786">
        <w:t> </w:t>
      </w:r>
    </w:p>
    <w:p w14:paraId="5D7F4977" w14:textId="7D16AAD1" w:rsidR="00F12786" w:rsidRDefault="00BE7C50" w:rsidP="006E0579">
      <w:pPr>
        <w:pStyle w:val="PucesRapportPNIN"/>
      </w:pPr>
      <w:r w:rsidRPr="00BE7C50">
        <w:t>diabète (22,5</w:t>
      </w:r>
      <w:r w:rsidR="00F12786">
        <w:t> </w:t>
      </w:r>
      <w:r w:rsidRPr="00BE7C50">
        <w:t>%)</w:t>
      </w:r>
      <w:r w:rsidR="00F12786">
        <w:t> </w:t>
      </w:r>
      <w:r w:rsidRPr="00BE7C50">
        <w:t xml:space="preserve">; </w:t>
      </w:r>
    </w:p>
    <w:p w14:paraId="5CC21FAD" w14:textId="5551D6FF" w:rsidR="00F12786" w:rsidRDefault="00BE7C50" w:rsidP="006E0579">
      <w:pPr>
        <w:pStyle w:val="PucesRapportPNIN"/>
      </w:pPr>
      <w:r w:rsidRPr="00BE7C50">
        <w:t>surcharge pondérale (12,5</w:t>
      </w:r>
      <w:r w:rsidR="00F12786">
        <w:t> </w:t>
      </w:r>
      <w:r w:rsidRPr="00BE7C50">
        <w:t>%)</w:t>
      </w:r>
      <w:r w:rsidR="00F12786">
        <w:t> </w:t>
      </w:r>
      <w:r w:rsidRPr="00BE7C50">
        <w:t xml:space="preserve">; </w:t>
      </w:r>
    </w:p>
    <w:p w14:paraId="7F58FD55" w14:textId="2267DA36" w:rsidR="00F12786" w:rsidRDefault="00BE7C50" w:rsidP="006E0579">
      <w:pPr>
        <w:pStyle w:val="PucesRapportPNIN"/>
      </w:pPr>
      <w:r w:rsidRPr="00BE7C50">
        <w:lastRenderedPageBreak/>
        <w:t>tabagisme (4,6</w:t>
      </w:r>
      <w:r w:rsidR="00F12786">
        <w:t> </w:t>
      </w:r>
      <w:r w:rsidRPr="00BE7C50">
        <w:t>%)</w:t>
      </w:r>
      <w:r w:rsidR="00F12786">
        <w:t> </w:t>
      </w:r>
      <w:r w:rsidRPr="00BE7C50">
        <w:t xml:space="preserve">; </w:t>
      </w:r>
    </w:p>
    <w:p w14:paraId="73BD06E0" w14:textId="13FB95C0" w:rsidR="00F12786" w:rsidRDefault="00BE7C50" w:rsidP="006E0579">
      <w:pPr>
        <w:pStyle w:val="PucesRapportPNIN"/>
      </w:pPr>
      <w:r w:rsidRPr="00BE7C50">
        <w:t>obésité (3,2 %).</w:t>
      </w:r>
    </w:p>
    <w:p w14:paraId="68AD5198" w14:textId="4E0D40EB" w:rsidR="00FB54EC" w:rsidRDefault="00F12786" w:rsidP="006E0579">
      <w:pPr>
        <w:pStyle w:val="ParagrapheRapportPNIN"/>
      </w:pPr>
      <w:r>
        <w:t>P</w:t>
      </w:r>
      <w:r w:rsidR="00BE7C50" w:rsidRPr="00BE7C50">
        <w:t>lus de 17,5</w:t>
      </w:r>
      <w:r>
        <w:t> </w:t>
      </w:r>
      <w:r w:rsidR="00BE7C50" w:rsidRPr="00BE7C50">
        <w:t xml:space="preserve">% de la population adulte âgée de 25 à 44 ans </w:t>
      </w:r>
      <w:r>
        <w:t>présentent</w:t>
      </w:r>
      <w:r w:rsidRPr="00BE7C50">
        <w:t xml:space="preserve"> </w:t>
      </w:r>
      <w:r w:rsidR="00BE7C50" w:rsidRPr="00BE7C50">
        <w:t xml:space="preserve">au moins trois facteurs de MNT. </w:t>
      </w:r>
      <w:r>
        <w:t xml:space="preserve">Enfin, </w:t>
      </w:r>
      <w:r w:rsidR="00BE7C50" w:rsidRPr="00BE7C50">
        <w:t>28,5</w:t>
      </w:r>
      <w:r>
        <w:t> </w:t>
      </w:r>
      <w:r w:rsidR="00BE7C50" w:rsidRPr="00BE7C50">
        <w:t>% de la population de 15</w:t>
      </w:r>
      <w:r>
        <w:t xml:space="preserve"> ans</w:t>
      </w:r>
      <w:r w:rsidR="00BE7C50" w:rsidRPr="00BE7C50">
        <w:t xml:space="preserve"> à 65</w:t>
      </w:r>
      <w:r>
        <w:t> </w:t>
      </w:r>
      <w:r w:rsidR="00BE7C50" w:rsidRPr="00BE7C50">
        <w:t>ans avait des activités physiques de faible intensité et que 96</w:t>
      </w:r>
      <w:r>
        <w:t> </w:t>
      </w:r>
      <w:r w:rsidR="00BE7C50" w:rsidRPr="00BE7C50">
        <w:t>% de la même tranche d’âge mangeait moins de cinq portions de fruits et légumes par jour, ne respectant ainsi pas les recommandations de l’OMS relatives à une alimentation saine et diversifiée.</w:t>
      </w:r>
    </w:p>
    <w:p w14:paraId="56AB1165" w14:textId="77777777" w:rsidR="00EA1C5C" w:rsidRDefault="00EA1C5C" w:rsidP="006E0579">
      <w:pPr>
        <w:pStyle w:val="pucetitrePNIN"/>
      </w:pPr>
      <w:r>
        <w:t>Les carences en micronutriments</w:t>
      </w:r>
    </w:p>
    <w:p w14:paraId="223ADBF6" w14:textId="0546AFC3" w:rsidR="00295247" w:rsidRDefault="00133B63" w:rsidP="006E0579">
      <w:pPr>
        <w:pStyle w:val="ParagrapheRapportPNIN"/>
      </w:pPr>
      <w:r w:rsidRPr="00133B63">
        <w:t>Les carences en micronutriments sont souvent qualifiées de «</w:t>
      </w:r>
      <w:r w:rsidR="00F12786">
        <w:t> </w:t>
      </w:r>
      <w:r w:rsidRPr="00133B63">
        <w:t>faim invisible</w:t>
      </w:r>
      <w:r w:rsidR="00F12786">
        <w:t> </w:t>
      </w:r>
      <w:r w:rsidRPr="00133B63">
        <w:t xml:space="preserve">» car </w:t>
      </w:r>
      <w:r w:rsidR="00F12786">
        <w:t>ces carences</w:t>
      </w:r>
      <w:r w:rsidR="00F12786" w:rsidRPr="00133B63">
        <w:t xml:space="preserve"> </w:t>
      </w:r>
      <w:r w:rsidRPr="00133B63">
        <w:t>se développent progressivement dans le temps, leur impact dévastateur ne pouvant être observé qu’une fois subis des dommages ir</w:t>
      </w:r>
      <w:r w:rsidR="00295247">
        <w:t xml:space="preserve">réversibles. Les carences les plus rependues sont les carences en fer, en vitamine A et en iode. </w:t>
      </w:r>
    </w:p>
    <w:p w14:paraId="471527EF" w14:textId="03D1816B" w:rsidR="00295247" w:rsidRDefault="00295247" w:rsidP="006E0579">
      <w:pPr>
        <w:pStyle w:val="PucesRapportPNIN"/>
      </w:pPr>
      <w:r w:rsidRPr="00133B63">
        <w:t>La carence en fer peut provoquer l’anémie avec des risques accrus d’hémorragie et d’infection bactérienne pendant l’accouchement</w:t>
      </w:r>
      <w:r w:rsidR="00F12786">
        <w:t xml:space="preserve">. La carence en fer </w:t>
      </w:r>
      <w:r w:rsidRPr="00133B63">
        <w:t xml:space="preserve">est liée aux décès maternels. </w:t>
      </w:r>
      <w:r>
        <w:t>En raison de la carence en fer, des enfants</w:t>
      </w:r>
      <w:r w:rsidRPr="00133B63">
        <w:t xml:space="preserve"> peuvent naître prématurément et être victimes d’infections, de troubles des capacités d’apprentissage et de retard de développement.</w:t>
      </w:r>
      <w:r w:rsidRPr="00295247">
        <w:t xml:space="preserve"> </w:t>
      </w:r>
    </w:p>
    <w:p w14:paraId="11A9E52D" w14:textId="7FF2889D" w:rsidR="00133B63" w:rsidRDefault="00295247" w:rsidP="006E0579">
      <w:pPr>
        <w:pStyle w:val="PucesRapportPNIN"/>
      </w:pPr>
      <w:r>
        <w:t>L</w:t>
      </w:r>
      <w:r w:rsidRPr="00295247">
        <w:t xml:space="preserve">a carence </w:t>
      </w:r>
      <w:r>
        <w:t xml:space="preserve">en acide folique </w:t>
      </w:r>
      <w:r w:rsidRPr="00295247">
        <w:t>entraine un défaut de fermeture du tube neural et autres malformations congénitales (bec-de-lièvre, malformations cardiaques) et issues défavorables de la grossesse, taux élevé</w:t>
      </w:r>
      <w:r w:rsidR="008B6077">
        <w:t>s</w:t>
      </w:r>
      <w:r w:rsidRPr="00295247">
        <w:t xml:space="preserve"> d’homocystéine dans le plasma, cardiopathies et accidents vasculaires cérébraux, altération des fonctions cognitives , dépression.</w:t>
      </w:r>
    </w:p>
    <w:p w14:paraId="3DC9B1A9" w14:textId="175E947B" w:rsidR="00295247" w:rsidRDefault="00295247" w:rsidP="006E0579">
      <w:pPr>
        <w:pStyle w:val="PucesRapportPNIN"/>
      </w:pPr>
      <w:r>
        <w:t xml:space="preserve">La </w:t>
      </w:r>
      <w:r w:rsidRPr="00295247">
        <w:t xml:space="preserve">carence </w:t>
      </w:r>
      <w:r>
        <w:t xml:space="preserve">en vitamine A </w:t>
      </w:r>
      <w:r w:rsidRPr="00295247">
        <w:t xml:space="preserve">est la cause majeure de graves troubles visuels et de cécité évitables chez l’enfant, chez qui </w:t>
      </w:r>
      <w:r w:rsidR="008B6077">
        <w:t>la carence</w:t>
      </w:r>
      <w:r w:rsidR="008B6077" w:rsidRPr="00295247">
        <w:t xml:space="preserve"> </w:t>
      </w:r>
      <w:r w:rsidRPr="00295247">
        <w:t>augmente aussi de façon significative le risque de maladie grave et de décès, à la mortalité maternelle et à d’autres issues défavorables de la grossesse et de l’allaitement.</w:t>
      </w:r>
    </w:p>
    <w:p w14:paraId="1B3E11E5" w14:textId="2CD7C5DC" w:rsidR="00EA1C5C" w:rsidRDefault="00133B63" w:rsidP="006E0579">
      <w:pPr>
        <w:pStyle w:val="ParagrapheRapportPNIN"/>
      </w:pPr>
      <w:r>
        <w:t>Au Niger, t</w:t>
      </w:r>
      <w:r w:rsidR="00B332D3">
        <w:t>rois</w:t>
      </w:r>
      <w:r w:rsidR="00FD7096">
        <w:t xml:space="preserve"> quarts (73</w:t>
      </w:r>
      <w:r w:rsidR="008B6077">
        <w:t> </w:t>
      </w:r>
      <w:r w:rsidR="00FD7096">
        <w:t>%) des enfants de moins de cinq</w:t>
      </w:r>
      <w:r w:rsidR="008B6077">
        <w:t> </w:t>
      </w:r>
      <w:r w:rsidR="00FD7096">
        <w:t>ans souffrent d’anémie</w:t>
      </w:r>
      <w:r w:rsidR="00B332D3">
        <w:t xml:space="preserve"> ainsi que </w:t>
      </w:r>
      <w:r w:rsidR="00FD7096">
        <w:t>56</w:t>
      </w:r>
      <w:r w:rsidR="008B6077">
        <w:t> </w:t>
      </w:r>
      <w:r w:rsidR="00FD7096">
        <w:t>% des femmes nigériennes en âge de procréer</w:t>
      </w:r>
      <w:r w:rsidR="00B332D3">
        <w:rPr>
          <w:rStyle w:val="Appelnotedebasdep"/>
        </w:rPr>
        <w:footnoteReference w:id="15"/>
      </w:r>
      <w:r w:rsidR="00295247">
        <w:t>. L’ampleur des carences en vitamine A, en iode ou en zinc n’est pas connu car le Niger ne dispose</w:t>
      </w:r>
      <w:r w:rsidR="00B332D3">
        <w:t xml:space="preserve"> pas de statistiques récentes </w:t>
      </w:r>
      <w:r w:rsidR="00295247">
        <w:t xml:space="preserve">sur ces carences en micronutriments </w:t>
      </w:r>
      <w:r w:rsidR="00B332D3">
        <w:t>et à l’échelle du pays</w:t>
      </w:r>
      <w:r w:rsidR="00295247">
        <w:t xml:space="preserve">. </w:t>
      </w:r>
    </w:p>
    <w:p w14:paraId="5EBE94E4" w14:textId="0F91CA84" w:rsidR="000F37DE" w:rsidRPr="00CB3846" w:rsidRDefault="00CB3846" w:rsidP="00EC23BF">
      <w:pPr>
        <w:pStyle w:val="Titre4PNIN"/>
      </w:pPr>
      <w:bookmarkStart w:id="16" w:name="_Toc528222327"/>
      <w:r>
        <w:t xml:space="preserve">2.1.2 </w:t>
      </w:r>
      <w:r w:rsidR="000F37DE" w:rsidRPr="00CB3846">
        <w:t>Les tendances de la malnutrition</w:t>
      </w:r>
      <w:bookmarkEnd w:id="16"/>
    </w:p>
    <w:p w14:paraId="79C74DA2" w14:textId="3BAC3D6C" w:rsidR="0067549B" w:rsidRDefault="008B6077" w:rsidP="006E0579">
      <w:pPr>
        <w:pStyle w:val="ParagrapheRapportPNIN"/>
      </w:pPr>
      <w:r>
        <w:t>L</w:t>
      </w:r>
      <w:r w:rsidR="001A714B" w:rsidRPr="001A714B">
        <w:t xml:space="preserve">es </w:t>
      </w:r>
      <w:r w:rsidR="001A714B">
        <w:t xml:space="preserve">prévalences de la malnutrition du Niger sont toujours au-dessus </w:t>
      </w:r>
      <w:r w:rsidR="007B353D">
        <w:t>des</w:t>
      </w:r>
      <w:r w:rsidR="001A714B">
        <w:t xml:space="preserve"> seuil</w:t>
      </w:r>
      <w:r w:rsidR="007B353D">
        <w:t>s</w:t>
      </w:r>
      <w:r w:rsidR="001A714B">
        <w:t xml:space="preserve"> </w:t>
      </w:r>
      <w:r w:rsidR="007B353D">
        <w:t xml:space="preserve">sérieux </w:t>
      </w:r>
      <w:r w:rsidR="001A714B">
        <w:t xml:space="preserve">de l’OMS de </w:t>
      </w:r>
      <w:r w:rsidR="007B353D">
        <w:t>3</w:t>
      </w:r>
      <w:r w:rsidR="001A714B">
        <w:t>0</w:t>
      </w:r>
      <w:r>
        <w:t> </w:t>
      </w:r>
      <w:r w:rsidR="001A714B">
        <w:t>% pour la malnutrition chronique et de 10</w:t>
      </w:r>
      <w:r>
        <w:t> </w:t>
      </w:r>
      <w:r w:rsidR="001A714B">
        <w:t>% pour la malnutrition aiguë</w:t>
      </w:r>
      <w:r>
        <w:t xml:space="preserve"> (enquêtes nutritionnelles SMART entre 2006 et 2016)</w:t>
      </w:r>
      <w:r w:rsidR="001A714B">
        <w:t xml:space="preserve">. </w:t>
      </w:r>
      <w:r>
        <w:t>Entre 1992 et 2012, l</w:t>
      </w:r>
      <w:r w:rsidR="001A714B">
        <w:t>a même</w:t>
      </w:r>
      <w:r w:rsidR="0067549B">
        <w:t xml:space="preserve"> tendance est observée </w:t>
      </w:r>
      <w:r>
        <w:t>à travers</w:t>
      </w:r>
      <w:r w:rsidR="0067549B">
        <w:t xml:space="preserve"> les données des </w:t>
      </w:r>
      <w:r>
        <w:t>E</w:t>
      </w:r>
      <w:r w:rsidR="0067549B">
        <w:t xml:space="preserve">nquêtes </w:t>
      </w:r>
      <w:r>
        <w:t>D</w:t>
      </w:r>
      <w:r w:rsidR="00DB534C">
        <w:t>émographiques</w:t>
      </w:r>
      <w:r w:rsidR="0067549B">
        <w:t xml:space="preserve"> et de </w:t>
      </w:r>
      <w:r>
        <w:t>S</w:t>
      </w:r>
      <w:r w:rsidR="0067549B">
        <w:t>anté</w:t>
      </w:r>
      <w:r>
        <w:t xml:space="preserve"> du Niger (EDSN)</w:t>
      </w:r>
      <w:r w:rsidR="0067549B">
        <w:t>.</w:t>
      </w:r>
    </w:p>
    <w:p w14:paraId="33D73213" w14:textId="3D8F9871" w:rsidR="00674929" w:rsidRPr="00FD7096" w:rsidRDefault="00CB3846" w:rsidP="00EC23BF">
      <w:pPr>
        <w:pStyle w:val="Titre4PNIN"/>
      </w:pPr>
      <w:bookmarkStart w:id="17" w:name="_Toc528222328"/>
      <w:r>
        <w:t xml:space="preserve">2.1.3 </w:t>
      </w:r>
      <w:r w:rsidR="00674929" w:rsidRPr="00CB3846">
        <w:t>Les déterminants de la malnutrition au Niger</w:t>
      </w:r>
      <w:bookmarkEnd w:id="17"/>
    </w:p>
    <w:p w14:paraId="273D2A48" w14:textId="77777777" w:rsidR="005055D9" w:rsidRDefault="005055D9" w:rsidP="00DE1F61">
      <w:pPr>
        <w:pStyle w:val="ParagrapheRapportPNIN"/>
      </w:pPr>
      <w:r>
        <w:t xml:space="preserve">Les nombreuses manifestations de la malnutrition peuvent être attribuables non seulement à une nourriture insuffisante en quantité ou à un manque d’aliments nutritifs et sans danger, mais aussi à une foule de processus interdépendants qui </w:t>
      </w:r>
      <w:r>
        <w:lastRenderedPageBreak/>
        <w:t>mettent en jeu la santé, les soins, l’éducation, l’assainissement et l’hygiène, l’accès aux ressources, l’autonomisation des femmes et bien d’autres aspects</w:t>
      </w:r>
      <w:r w:rsidR="00DD4459">
        <w:rPr>
          <w:rStyle w:val="Appelnotedebasdep"/>
        </w:rPr>
        <w:footnoteReference w:id="16"/>
      </w:r>
      <w:r>
        <w:t>.</w:t>
      </w:r>
    </w:p>
    <w:p w14:paraId="40260EC7" w14:textId="77777777" w:rsidR="0067549B" w:rsidRPr="00C92FD1" w:rsidRDefault="00C92FD1" w:rsidP="00DE1F61">
      <w:pPr>
        <w:pStyle w:val="ParagrapheRapportPNIN"/>
      </w:pPr>
      <w:r>
        <w:t>L</w:t>
      </w:r>
      <w:r w:rsidR="00FD7125">
        <w:t>a P</w:t>
      </w:r>
      <w:r>
        <w:t xml:space="preserve">olitique Nationale de Sécurité Nutritionnelle </w:t>
      </w:r>
      <w:r w:rsidR="00FD7125">
        <w:t xml:space="preserve">(PNSN) </w:t>
      </w:r>
      <w:r>
        <w:t>2016-2025 a mis en exergue ces différents déterminants.</w:t>
      </w:r>
    </w:p>
    <w:p w14:paraId="3648EFEC" w14:textId="7FC9B4DD" w:rsidR="000F37DE" w:rsidRDefault="000F37DE" w:rsidP="00DE1F61">
      <w:pPr>
        <w:pStyle w:val="ParagrapheRapportPNIN"/>
      </w:pPr>
      <w:r w:rsidRPr="00C143DD">
        <w:rPr>
          <w:b/>
        </w:rPr>
        <w:t>L’al</w:t>
      </w:r>
      <w:r>
        <w:rPr>
          <w:b/>
        </w:rPr>
        <w:t>laitement maternel</w:t>
      </w:r>
      <w:r w:rsidR="008B6077">
        <w:rPr>
          <w:b/>
        </w:rPr>
        <w:t xml:space="preserve">. </w:t>
      </w:r>
      <w:r w:rsidR="00DB534C">
        <w:t>E</w:t>
      </w:r>
      <w:r w:rsidR="007B353D">
        <w:t>n 2016, s</w:t>
      </w:r>
      <w:r w:rsidR="000348C7">
        <w:t xml:space="preserve">eulement </w:t>
      </w:r>
      <w:r w:rsidR="000348C7" w:rsidRPr="000348C7">
        <w:t>23</w:t>
      </w:r>
      <w:r w:rsidR="008B6077">
        <w:t> </w:t>
      </w:r>
      <w:r w:rsidR="000348C7" w:rsidRPr="000348C7">
        <w:t>%</w:t>
      </w:r>
      <w:r>
        <w:t xml:space="preserve"> des enfants nigériens de moins de six mois sont</w:t>
      </w:r>
      <w:r w:rsidRPr="00C143DD">
        <w:t xml:space="preserve"> allaités </w:t>
      </w:r>
      <w:r>
        <w:t>exclusivement</w:t>
      </w:r>
      <w:r w:rsidR="00DB534C">
        <w:rPr>
          <w:rStyle w:val="Appelnotedebasdep"/>
        </w:rPr>
        <w:footnoteReference w:id="17"/>
      </w:r>
      <w:r w:rsidR="008B6077">
        <w:t>. P</w:t>
      </w:r>
      <w:r w:rsidRPr="00C143DD">
        <w:t>ar conséquent, les niveaux de malnutrition chez les enfants nigériens commencent à se détériorer immédiatement après la naissance</w:t>
      </w:r>
      <w:r w:rsidR="000348C7">
        <w:t xml:space="preserve">. </w:t>
      </w:r>
    </w:p>
    <w:p w14:paraId="272905A1" w14:textId="63CB8997" w:rsidR="000F37DE" w:rsidRDefault="000F37DE" w:rsidP="00DE1F61">
      <w:pPr>
        <w:pStyle w:val="ParagrapheRapportPNIN"/>
      </w:pPr>
      <w:r w:rsidRPr="00C143DD">
        <w:rPr>
          <w:b/>
        </w:rPr>
        <w:t xml:space="preserve">Des compléments </w:t>
      </w:r>
      <w:r>
        <w:rPr>
          <w:b/>
        </w:rPr>
        <w:t>alimentaires inadaptés</w:t>
      </w:r>
      <w:r w:rsidR="008B6077">
        <w:rPr>
          <w:b/>
        </w:rPr>
        <w:t xml:space="preserve">. </w:t>
      </w:r>
      <w:r w:rsidR="00DB534C">
        <w:t>Seulement 6</w:t>
      </w:r>
      <w:r w:rsidR="008B6077">
        <w:t> </w:t>
      </w:r>
      <w:r w:rsidR="00DB534C">
        <w:t>% des enfants de 6-24</w:t>
      </w:r>
      <w:r w:rsidR="008B6077">
        <w:t> </w:t>
      </w:r>
      <w:r w:rsidR="00DB534C">
        <w:t xml:space="preserve">mois </w:t>
      </w:r>
      <w:r w:rsidRPr="00C143DD">
        <w:t>reçoivent une alimentation complémentaire appropriée</w:t>
      </w:r>
      <w:r w:rsidR="00DB534C">
        <w:rPr>
          <w:rStyle w:val="Appelnotedebasdep"/>
        </w:rPr>
        <w:footnoteReference w:id="18"/>
      </w:r>
      <w:r w:rsidRPr="00C143DD">
        <w:t xml:space="preserve"> (alimentation fréquente avec des aliments </w:t>
      </w:r>
      <w:r>
        <w:t>diversifiés</w:t>
      </w:r>
      <w:r w:rsidRPr="00C143DD">
        <w:t xml:space="preserve">). </w:t>
      </w:r>
      <w:r w:rsidRPr="00D96A90">
        <w:t xml:space="preserve">La faible diversité alimentaire s’explique par les habitudes alimentaires et la priorisation des productions à haute valeur nutritive </w:t>
      </w:r>
      <w:r>
        <w:t xml:space="preserve">vers la vente. L’alimentation complémentaire inadaptée du jeune enfant </w:t>
      </w:r>
      <w:r w:rsidR="00697ECB">
        <w:t>est</w:t>
      </w:r>
      <w:r>
        <w:t xml:space="preserve"> clairement identifiée comme </w:t>
      </w:r>
      <w:r w:rsidRPr="00C143DD">
        <w:t xml:space="preserve">une raison majeure </w:t>
      </w:r>
      <w:r>
        <w:t>d</w:t>
      </w:r>
      <w:r w:rsidRPr="00C143DD">
        <w:t>es niveaux élevés de malnutrition chronique et aiguë dans le pays</w:t>
      </w:r>
      <w:r w:rsidR="00697ECB">
        <w:t>.</w:t>
      </w:r>
      <w:r>
        <w:t xml:space="preserve"> </w:t>
      </w:r>
    </w:p>
    <w:p w14:paraId="36621482" w14:textId="31BD8AA1" w:rsidR="000F37DE" w:rsidRPr="005909A4" w:rsidRDefault="000F37DE" w:rsidP="00DE1F61">
      <w:pPr>
        <w:pStyle w:val="ParagrapheRapportPNIN"/>
      </w:pPr>
      <w:r w:rsidRPr="000F569B">
        <w:rPr>
          <w:b/>
        </w:rPr>
        <w:t>Maladies infantiles menant à la malnutrition (exemples)</w:t>
      </w:r>
      <w:r w:rsidR="008B6077">
        <w:rPr>
          <w:b/>
        </w:rPr>
        <w:t> </w:t>
      </w:r>
      <w:r w:rsidRPr="000F569B">
        <w:rPr>
          <w:b/>
        </w:rPr>
        <w:t>:</w:t>
      </w:r>
    </w:p>
    <w:p w14:paraId="6BB99B29" w14:textId="2B8798F2" w:rsidR="000F37DE" w:rsidRPr="003849D5" w:rsidRDefault="00FD7125" w:rsidP="00DE1F61">
      <w:pPr>
        <w:pStyle w:val="PucesRapportPNIN"/>
      </w:pPr>
      <w:r w:rsidRPr="003849D5">
        <w:t>La</w:t>
      </w:r>
      <w:r w:rsidR="000F37DE" w:rsidRPr="003849D5">
        <w:t xml:space="preserve"> diarrhée est étroitement liée à la malnutrition et résulte également d’un environnement sanitaire déficient et des pratiques</w:t>
      </w:r>
      <w:r>
        <w:t xml:space="preserve"> hygiéniques limitées.</w:t>
      </w:r>
      <w:r w:rsidR="00287C9A">
        <w:t xml:space="preserve"> </w:t>
      </w:r>
      <w:r w:rsidR="008B6077">
        <w:t>En 2016, s</w:t>
      </w:r>
      <w:r w:rsidR="00287C9A">
        <w:t>elon le Ministère de la santé Publique, la diarrhée est la troisième cause de morbidité et mortalité</w:t>
      </w:r>
      <w:r w:rsidR="000A79E8">
        <w:rPr>
          <w:rStyle w:val="Appelnotedebasdep"/>
        </w:rPr>
        <w:footnoteReference w:id="19"/>
      </w:r>
      <w:r w:rsidR="008D1217">
        <w:t xml:space="preserve"> au Niger</w:t>
      </w:r>
      <w:r w:rsidR="00363B69">
        <w:t xml:space="preserve"> notamment chez les enfants de moins de 5</w:t>
      </w:r>
      <w:r w:rsidR="008B6077">
        <w:t> </w:t>
      </w:r>
      <w:r w:rsidR="00363B69">
        <w:t>ans</w:t>
      </w:r>
      <w:r w:rsidR="00287C9A">
        <w:t xml:space="preserve">. </w:t>
      </w:r>
    </w:p>
    <w:p w14:paraId="4A826F3A" w14:textId="763A2794" w:rsidR="000F37DE" w:rsidRPr="003849D5" w:rsidRDefault="000F37DE" w:rsidP="00DE1F61">
      <w:pPr>
        <w:pStyle w:val="PucesRapportPNIN"/>
      </w:pPr>
      <w:r w:rsidRPr="003849D5">
        <w:t>L</w:t>
      </w:r>
      <w:r w:rsidR="000A79E8">
        <w:t>e paludisme</w:t>
      </w:r>
      <w:r w:rsidRPr="003849D5">
        <w:t xml:space="preserve"> affecte à la fois les mères </w:t>
      </w:r>
      <w:r w:rsidR="008D1217">
        <w:t>et les enfants</w:t>
      </w:r>
      <w:r>
        <w:t xml:space="preserve"> </w:t>
      </w:r>
      <w:r w:rsidR="000A79E8" w:rsidRPr="000A79E8">
        <w:t xml:space="preserve">et constitue </w:t>
      </w:r>
      <w:r w:rsidR="008B6077">
        <w:t>l’</w:t>
      </w:r>
      <w:r w:rsidR="000A79E8" w:rsidRPr="000A79E8">
        <w:t>une des causes principales de la prévalence de l’anémie chez les femmes et les enfants</w:t>
      </w:r>
      <w:r w:rsidR="000A79E8">
        <w:t xml:space="preserve">. </w:t>
      </w:r>
      <w:r w:rsidR="008D1217" w:rsidRPr="008D1217">
        <w:t>Au Niger, le paludisme est la troisième cause de mortalité infanto-juvénile (1</w:t>
      </w:r>
      <w:r w:rsidR="00363B69">
        <w:t>6</w:t>
      </w:r>
      <w:r w:rsidR="008B6077">
        <w:t> </w:t>
      </w:r>
      <w:r w:rsidR="008D1217" w:rsidRPr="008D1217">
        <w:t>% des décès d’enfants sont dus au paludisme)</w:t>
      </w:r>
      <w:r w:rsidR="008D1217">
        <w:rPr>
          <w:rStyle w:val="Appelnotedebasdep"/>
        </w:rPr>
        <w:footnoteReference w:id="20"/>
      </w:r>
      <w:r w:rsidRPr="003849D5">
        <w:t xml:space="preserve">. </w:t>
      </w:r>
      <w:r w:rsidR="00212955">
        <w:t>Le paludisme</w:t>
      </w:r>
      <w:r w:rsidR="008D1217">
        <w:t xml:space="preserve"> représente 50,6</w:t>
      </w:r>
      <w:r w:rsidR="008B6077">
        <w:t> </w:t>
      </w:r>
      <w:r w:rsidR="008D1217">
        <w:t>% des cas de mortalité pour l’ensemble de la population</w:t>
      </w:r>
      <w:r w:rsidR="00363B69">
        <w:t xml:space="preserve"> en 2016</w:t>
      </w:r>
      <w:r w:rsidR="00363B69">
        <w:rPr>
          <w:rStyle w:val="Appelnotedebasdep"/>
        </w:rPr>
        <w:footnoteReference w:id="21"/>
      </w:r>
      <w:r w:rsidR="008D1217">
        <w:t>.</w:t>
      </w:r>
    </w:p>
    <w:p w14:paraId="08F1DD50" w14:textId="3477A30B" w:rsidR="000F37DE" w:rsidRPr="003849D5" w:rsidRDefault="000F37DE" w:rsidP="00DE1F61">
      <w:pPr>
        <w:pStyle w:val="PucesRapportPNIN"/>
      </w:pPr>
      <w:r>
        <w:t>Les infections r</w:t>
      </w:r>
      <w:r w:rsidRPr="003849D5">
        <w:t xml:space="preserve">espiratoires sont très </w:t>
      </w:r>
      <w:r>
        <w:t>répandues</w:t>
      </w:r>
      <w:r w:rsidRPr="003849D5">
        <w:t xml:space="preserve"> et conduisent à une diminution de l'ingestion de nourriture et à une réduction de l'utilisation des nutriments. </w:t>
      </w:r>
      <w:r w:rsidR="00363B69" w:rsidRPr="00363B69">
        <w:t>Au Niger, la proportion d’enfants de moins cinq</w:t>
      </w:r>
      <w:r w:rsidR="008B6077">
        <w:t> </w:t>
      </w:r>
      <w:r w:rsidR="00363B69" w:rsidRPr="00363B69">
        <w:t xml:space="preserve">ans mourant à cause de la pneumonie est </w:t>
      </w:r>
      <w:r w:rsidR="00363B69">
        <w:t xml:space="preserve">de </w:t>
      </w:r>
      <w:r w:rsidR="00363B69" w:rsidRPr="00363B69">
        <w:t>26</w:t>
      </w:r>
      <w:r w:rsidR="008B6077">
        <w:t> </w:t>
      </w:r>
      <w:r w:rsidR="00363B69" w:rsidRPr="00363B69">
        <w:t>%</w:t>
      </w:r>
      <w:r w:rsidR="00363B69">
        <w:rPr>
          <w:rStyle w:val="Appelnotedebasdep"/>
        </w:rPr>
        <w:footnoteReference w:id="22"/>
      </w:r>
      <w:r w:rsidR="00363B69" w:rsidRPr="00363B69">
        <w:t xml:space="preserve"> </w:t>
      </w:r>
      <w:r w:rsidR="00363B69">
        <w:t>.</w:t>
      </w:r>
    </w:p>
    <w:p w14:paraId="41C4065A" w14:textId="4B568333" w:rsidR="000F37DE" w:rsidRDefault="000F37DE" w:rsidP="00DE1F61">
      <w:pPr>
        <w:pStyle w:val="PucesRapportPNIN"/>
      </w:pPr>
      <w:r w:rsidRPr="003849D5">
        <w:t>L’amélioration de la couverture</w:t>
      </w:r>
      <w:r>
        <w:t xml:space="preserve"> de la vaccination contre la rougeole et d’</w:t>
      </w:r>
      <w:r w:rsidRPr="003849D5">
        <w:t xml:space="preserve">autres maladies </w:t>
      </w:r>
      <w:r>
        <w:t>évitables par la vaccination</w:t>
      </w:r>
      <w:r w:rsidRPr="003849D5">
        <w:t xml:space="preserve"> permettrait de réduire immédiatement le risque de malnutrition induite par</w:t>
      </w:r>
      <w:r>
        <w:t xml:space="preserve"> ces maladies.</w:t>
      </w:r>
      <w:bookmarkStart w:id="18" w:name="_Toc435009350"/>
      <w:r w:rsidR="001C2230" w:rsidRPr="001C2230">
        <w:t xml:space="preserve"> </w:t>
      </w:r>
      <w:r w:rsidR="001C2230">
        <w:t xml:space="preserve">En 2016, </w:t>
      </w:r>
      <w:r w:rsidR="001C2230">
        <w:lastRenderedPageBreak/>
        <w:t>un total cumulé de 2</w:t>
      </w:r>
      <w:r w:rsidR="008B6077">
        <w:t> </w:t>
      </w:r>
      <w:r w:rsidR="001C2230">
        <w:t>506</w:t>
      </w:r>
      <w:r w:rsidR="008B6077">
        <w:t> </w:t>
      </w:r>
      <w:r w:rsidR="001C2230">
        <w:t>cas suspects de rougeole dont 11</w:t>
      </w:r>
      <w:r w:rsidR="008B6077">
        <w:t> </w:t>
      </w:r>
      <w:r w:rsidR="001C2230">
        <w:t>décès (létalité 0</w:t>
      </w:r>
      <w:r w:rsidR="008B6077">
        <w:t>,</w:t>
      </w:r>
      <w:r w:rsidR="001C2230">
        <w:t>4%) a été notifié de la semaine n°1 à la semaine n°53</w:t>
      </w:r>
      <w:r w:rsidR="001C2230">
        <w:rPr>
          <w:rStyle w:val="Appelnotedebasdep"/>
        </w:rPr>
        <w:footnoteReference w:id="23"/>
      </w:r>
      <w:r w:rsidR="001C2230">
        <w:t>.</w:t>
      </w:r>
    </w:p>
    <w:p w14:paraId="30ED1788" w14:textId="32D8FBDB" w:rsidR="000F37DE" w:rsidRPr="005909A4" w:rsidRDefault="000F37DE" w:rsidP="00DE1F61">
      <w:pPr>
        <w:pStyle w:val="ParagrapheRapportPNIN"/>
      </w:pPr>
      <w:r w:rsidRPr="00DE1F61">
        <w:rPr>
          <w:b/>
        </w:rPr>
        <w:t>Les facteurs de santé associant maternité et malnutrition (exemples</w:t>
      </w:r>
      <w:bookmarkEnd w:id="18"/>
      <w:r w:rsidRPr="00DE1F61">
        <w:rPr>
          <w:b/>
        </w:rPr>
        <w:t>)</w:t>
      </w:r>
      <w:r w:rsidR="008B6077">
        <w:rPr>
          <w:b/>
        </w:rPr>
        <w:t> </w:t>
      </w:r>
      <w:r w:rsidRPr="000F569B">
        <w:t xml:space="preserve">: </w:t>
      </w:r>
    </w:p>
    <w:p w14:paraId="12AC7DF9" w14:textId="39400520" w:rsidR="00FD7125" w:rsidRDefault="000F37DE" w:rsidP="00DE1F61">
      <w:pPr>
        <w:pStyle w:val="PucesRapportPNIN"/>
        <w:rPr>
          <w:lang w:eastAsia="fr-FR"/>
        </w:rPr>
      </w:pPr>
      <w:r w:rsidRPr="006D41F1">
        <w:rPr>
          <w:b/>
          <w:bCs/>
          <w:lang w:eastAsia="fr-FR"/>
        </w:rPr>
        <w:t>De nombreuses mères adolescentes</w:t>
      </w:r>
      <w:r w:rsidR="008B6077">
        <w:rPr>
          <w:b/>
          <w:bCs/>
          <w:lang w:eastAsia="fr-FR"/>
        </w:rPr>
        <w:t xml:space="preserve">. </w:t>
      </w:r>
      <w:r w:rsidR="008B6077">
        <w:rPr>
          <w:lang w:eastAsia="fr-FR"/>
        </w:rPr>
        <w:t>L</w:t>
      </w:r>
      <w:r w:rsidR="00FD7125">
        <w:rPr>
          <w:lang w:eastAsia="fr-FR"/>
        </w:rPr>
        <w:t>es mères</w:t>
      </w:r>
      <w:r w:rsidRPr="005E7527">
        <w:rPr>
          <w:lang w:eastAsia="fr-FR"/>
        </w:rPr>
        <w:t xml:space="preserve"> sont</w:t>
      </w:r>
      <w:r>
        <w:rPr>
          <w:lang w:eastAsia="fr-FR"/>
        </w:rPr>
        <w:t xml:space="preserve"> souvent</w:t>
      </w:r>
      <w:r w:rsidRPr="005E7527">
        <w:rPr>
          <w:lang w:eastAsia="fr-FR"/>
        </w:rPr>
        <w:t xml:space="preserve"> trop</w:t>
      </w:r>
      <w:r>
        <w:rPr>
          <w:lang w:eastAsia="fr-FR"/>
        </w:rPr>
        <w:t xml:space="preserve"> jeunes, avec un </w:t>
      </w:r>
      <w:r w:rsidRPr="005E7527">
        <w:rPr>
          <w:lang w:eastAsia="fr-FR"/>
        </w:rPr>
        <w:t>statut nutritionnel précaire</w:t>
      </w:r>
      <w:r w:rsidR="008B6077">
        <w:rPr>
          <w:lang w:eastAsia="fr-FR"/>
        </w:rPr>
        <w:t>. Les jeunes mères adolescentes</w:t>
      </w:r>
      <w:r w:rsidRPr="005E7527">
        <w:rPr>
          <w:lang w:eastAsia="fr-FR"/>
        </w:rPr>
        <w:t xml:space="preserve"> ne bénéficient que d’un minimum d</w:t>
      </w:r>
      <w:r>
        <w:rPr>
          <w:lang w:eastAsia="fr-FR"/>
        </w:rPr>
        <w:t>e pouvoir décisionnel</w:t>
      </w:r>
      <w:r w:rsidRPr="005E7527">
        <w:rPr>
          <w:lang w:eastAsia="fr-FR"/>
        </w:rPr>
        <w:t>, de</w:t>
      </w:r>
      <w:r>
        <w:rPr>
          <w:lang w:eastAsia="fr-FR"/>
        </w:rPr>
        <w:t xml:space="preserve"> peu de</w:t>
      </w:r>
      <w:r w:rsidRPr="005E7527">
        <w:rPr>
          <w:lang w:eastAsia="fr-FR"/>
        </w:rPr>
        <w:t xml:space="preserve"> capacités et d’informations pour assurer une bonne nutrition pour elles-mêmes et leurs enfants. </w:t>
      </w:r>
      <w:r w:rsidR="00BD5A5D">
        <w:rPr>
          <w:lang w:eastAsia="fr-FR"/>
        </w:rPr>
        <w:t>Un quart (</w:t>
      </w:r>
      <w:r w:rsidR="00BD5A5D" w:rsidRPr="00BD5A5D">
        <w:rPr>
          <w:lang w:eastAsia="fr-FR"/>
        </w:rPr>
        <w:t>24</w:t>
      </w:r>
      <w:r w:rsidR="008B6077">
        <w:rPr>
          <w:lang w:eastAsia="fr-FR"/>
        </w:rPr>
        <w:t> </w:t>
      </w:r>
      <w:r w:rsidR="00BD5A5D" w:rsidRPr="00BD5A5D">
        <w:rPr>
          <w:lang w:eastAsia="fr-FR"/>
        </w:rPr>
        <w:t>%</w:t>
      </w:r>
      <w:r w:rsidR="00BD5A5D">
        <w:rPr>
          <w:lang w:eastAsia="fr-FR"/>
        </w:rPr>
        <w:t>)</w:t>
      </w:r>
      <w:r w:rsidR="00BD5A5D" w:rsidRPr="00BD5A5D">
        <w:rPr>
          <w:lang w:eastAsia="fr-FR"/>
        </w:rPr>
        <w:t xml:space="preserve"> des </w:t>
      </w:r>
      <w:r w:rsidR="006D41F1">
        <w:rPr>
          <w:lang w:eastAsia="fr-FR"/>
        </w:rPr>
        <w:t>adolescentes</w:t>
      </w:r>
      <w:r w:rsidR="00BD5A5D" w:rsidRPr="00BD5A5D">
        <w:rPr>
          <w:lang w:eastAsia="fr-FR"/>
        </w:rPr>
        <w:t xml:space="preserve"> de 15</w:t>
      </w:r>
      <w:r w:rsidR="008B6077">
        <w:rPr>
          <w:lang w:eastAsia="fr-FR"/>
        </w:rPr>
        <w:t xml:space="preserve"> ans</w:t>
      </w:r>
      <w:r w:rsidR="00BD5A5D" w:rsidRPr="00BD5A5D">
        <w:rPr>
          <w:lang w:eastAsia="fr-FR"/>
        </w:rPr>
        <w:t xml:space="preserve"> à 19</w:t>
      </w:r>
      <w:r w:rsidR="008B6077">
        <w:rPr>
          <w:lang w:eastAsia="fr-FR"/>
        </w:rPr>
        <w:t> </w:t>
      </w:r>
      <w:r w:rsidR="00BD5A5D" w:rsidRPr="00BD5A5D">
        <w:rPr>
          <w:lang w:eastAsia="fr-FR"/>
        </w:rPr>
        <w:t xml:space="preserve">ans se </w:t>
      </w:r>
      <w:r w:rsidR="00BD5A5D">
        <w:rPr>
          <w:lang w:eastAsia="fr-FR"/>
        </w:rPr>
        <w:t>marient</w:t>
      </w:r>
      <w:r w:rsidR="00BD5A5D" w:rsidRPr="00BD5A5D">
        <w:rPr>
          <w:lang w:eastAsia="fr-FR"/>
        </w:rPr>
        <w:t xml:space="preserve"> avant </w:t>
      </w:r>
      <w:r w:rsidR="00BD5A5D">
        <w:rPr>
          <w:lang w:eastAsia="fr-FR"/>
        </w:rPr>
        <w:t xml:space="preserve">l’âge de </w:t>
      </w:r>
      <w:r w:rsidR="00BD5A5D" w:rsidRPr="00BD5A5D">
        <w:rPr>
          <w:lang w:eastAsia="fr-FR"/>
        </w:rPr>
        <w:t>15 ans</w:t>
      </w:r>
      <w:r w:rsidR="006D41F1">
        <w:rPr>
          <w:lang w:eastAsia="fr-FR"/>
        </w:rPr>
        <w:t>.</w:t>
      </w:r>
      <w:r w:rsidR="00BD5A5D" w:rsidRPr="00BD5A5D">
        <w:rPr>
          <w:lang w:eastAsia="fr-FR"/>
        </w:rPr>
        <w:t xml:space="preserve"> </w:t>
      </w:r>
    </w:p>
    <w:p w14:paraId="7E696A75" w14:textId="464A4B10" w:rsidR="000F37DE" w:rsidRDefault="000F37DE" w:rsidP="00DE1F61">
      <w:pPr>
        <w:pStyle w:val="PucesRapportPNIN"/>
        <w:rPr>
          <w:lang w:eastAsia="fr-FR"/>
        </w:rPr>
      </w:pPr>
      <w:r w:rsidRPr="006D41F1">
        <w:rPr>
          <w:b/>
          <w:bCs/>
          <w:lang w:eastAsia="fr-FR"/>
        </w:rPr>
        <w:t>Un intervalle inter</w:t>
      </w:r>
      <w:r w:rsidR="00FD7125" w:rsidRPr="006D41F1">
        <w:rPr>
          <w:b/>
          <w:bCs/>
          <w:lang w:eastAsia="fr-FR"/>
        </w:rPr>
        <w:t>-</w:t>
      </w:r>
      <w:r w:rsidRPr="006D41F1">
        <w:rPr>
          <w:b/>
          <w:bCs/>
          <w:lang w:eastAsia="fr-FR"/>
        </w:rPr>
        <w:t>génésique trop court</w:t>
      </w:r>
      <w:r w:rsidR="008B6077">
        <w:rPr>
          <w:b/>
          <w:bCs/>
          <w:lang w:eastAsia="fr-FR"/>
        </w:rPr>
        <w:t xml:space="preserve">. </w:t>
      </w:r>
      <w:r w:rsidRPr="005E7527">
        <w:rPr>
          <w:lang w:eastAsia="fr-FR"/>
        </w:rPr>
        <w:t xml:space="preserve">Un court </w:t>
      </w:r>
      <w:r>
        <w:rPr>
          <w:lang w:eastAsia="fr-FR"/>
        </w:rPr>
        <w:t>intervalle</w:t>
      </w:r>
      <w:r w:rsidRPr="005E7527">
        <w:rPr>
          <w:lang w:eastAsia="fr-FR"/>
        </w:rPr>
        <w:t xml:space="preserve"> entre les naissances est un facteur de risque important pour la santé et le statut nutritionnel des mères et des enfants. Au Niger, </w:t>
      </w:r>
      <w:r w:rsidR="00FD7125">
        <w:rPr>
          <w:lang w:eastAsia="fr-FR"/>
        </w:rPr>
        <w:t>la plupart des</w:t>
      </w:r>
      <w:r w:rsidRPr="005E7527">
        <w:rPr>
          <w:lang w:eastAsia="fr-FR"/>
        </w:rPr>
        <w:t xml:space="preserve"> mères accouchent à nouveau après un intervalle de temps trop court (inférieur à 36</w:t>
      </w:r>
      <w:r w:rsidR="008B6077">
        <w:rPr>
          <w:lang w:eastAsia="fr-FR"/>
        </w:rPr>
        <w:t> </w:t>
      </w:r>
      <w:r w:rsidRPr="005E7527">
        <w:rPr>
          <w:lang w:eastAsia="fr-FR"/>
        </w:rPr>
        <w:t>mois)</w:t>
      </w:r>
      <w:r w:rsidR="002B5742">
        <w:rPr>
          <w:rStyle w:val="Appelnotedebasdep"/>
          <w:lang w:eastAsia="fr-FR"/>
        </w:rPr>
        <w:footnoteReference w:id="24"/>
      </w:r>
      <w:r w:rsidRPr="005E7527">
        <w:rPr>
          <w:lang w:eastAsia="fr-FR"/>
        </w:rPr>
        <w:t xml:space="preserve"> pour</w:t>
      </w:r>
      <w:r>
        <w:rPr>
          <w:lang w:eastAsia="fr-FR"/>
        </w:rPr>
        <w:t xml:space="preserve"> leur</w:t>
      </w:r>
      <w:r w:rsidRPr="005E7527">
        <w:rPr>
          <w:lang w:eastAsia="fr-FR"/>
        </w:rPr>
        <w:t xml:space="preserve"> permettre une pleine récupération de la naissance antérieure. </w:t>
      </w:r>
      <w:r w:rsidR="006D41F1" w:rsidRPr="006D41F1">
        <w:rPr>
          <w:lang w:eastAsia="fr-FR"/>
        </w:rPr>
        <w:t>C’est parmi les adolescentes que le pourcentage de naissances qui surviennent dans l’intervalle inter-génésique le plus court: 26,5</w:t>
      </w:r>
      <w:r w:rsidR="008B6077">
        <w:rPr>
          <w:lang w:eastAsia="fr-FR"/>
        </w:rPr>
        <w:t> </w:t>
      </w:r>
      <w:r w:rsidR="006D41F1" w:rsidRPr="006D41F1">
        <w:rPr>
          <w:lang w:eastAsia="fr-FR"/>
        </w:rPr>
        <w:t>mois pour les naissances de femmes de 15-19 ans</w:t>
      </w:r>
      <w:r w:rsidR="006D41F1">
        <w:rPr>
          <w:rStyle w:val="Appelnotedebasdep"/>
          <w:lang w:eastAsia="fr-FR"/>
        </w:rPr>
        <w:footnoteReference w:id="25"/>
      </w:r>
      <w:r w:rsidR="006D41F1">
        <w:rPr>
          <w:lang w:eastAsia="fr-FR"/>
        </w:rPr>
        <w:t>.</w:t>
      </w:r>
    </w:p>
    <w:p w14:paraId="2644E136" w14:textId="77777777" w:rsidR="00167451" w:rsidRDefault="00167451" w:rsidP="00DE1F61">
      <w:pPr>
        <w:pStyle w:val="ParagrapheRapportPNIN"/>
        <w:rPr>
          <w:lang w:eastAsia="fr-FR"/>
        </w:rPr>
      </w:pPr>
      <w:r w:rsidRPr="000F37DE">
        <w:rPr>
          <w:b/>
          <w:bCs/>
          <w:lang w:eastAsia="fr-FR"/>
        </w:rPr>
        <w:t>L’insécurité alimentaire</w:t>
      </w:r>
      <w:r>
        <w:t xml:space="preserve"> est une cause </w:t>
      </w:r>
      <w:r w:rsidRPr="00622B57">
        <w:t>important</w:t>
      </w:r>
      <w:r>
        <w:t>e</w:t>
      </w:r>
      <w:r w:rsidRPr="00622B57">
        <w:t xml:space="preserve"> de la malnutr</w:t>
      </w:r>
      <w:r>
        <w:t>ition au Niger</w:t>
      </w:r>
      <w:r w:rsidR="00EA5CEC">
        <w:t xml:space="preserve">. </w:t>
      </w:r>
      <w:r w:rsidRPr="00B80E0F">
        <w:t xml:space="preserve">Du fait de la pauvreté des sols et des changements climatiques, </w:t>
      </w:r>
      <w:r w:rsidRPr="00B80E0F">
        <w:rPr>
          <w:lang w:eastAsia="fr-FR"/>
        </w:rPr>
        <w:t>les bilans céréaliers bruts s</w:t>
      </w:r>
      <w:r>
        <w:rPr>
          <w:lang w:eastAsia="fr-FR"/>
        </w:rPr>
        <w:t>ont déficitaires une année sur trois</w:t>
      </w:r>
      <w:r w:rsidRPr="00B80E0F">
        <w:rPr>
          <w:lang w:eastAsia="fr-FR"/>
        </w:rPr>
        <w:t>. Ces déficits récurrents sont en grande partie liés à la forte croissance démographique et à la faible productivité agricole, indépendamment de toutes les autres causes structurelles et conjoncturelles connues (changements climatiques, sècheresse, inondations, etc.).</w:t>
      </w:r>
      <w:r>
        <w:rPr>
          <w:lang w:eastAsia="fr-FR"/>
        </w:rPr>
        <w:t xml:space="preserve"> </w:t>
      </w:r>
    </w:p>
    <w:p w14:paraId="50250D88" w14:textId="2B2E841F" w:rsidR="00FD7125" w:rsidRPr="001F5367" w:rsidRDefault="00167451" w:rsidP="00DE1F61">
      <w:pPr>
        <w:pStyle w:val="ParagrapheRapportPNIN"/>
      </w:pPr>
      <w:r w:rsidRPr="00DE1F61">
        <w:rPr>
          <w:b/>
        </w:rPr>
        <w:t>Un accès limité aux services de santé</w:t>
      </w:r>
      <w:r w:rsidR="001C2230" w:rsidRPr="00DE1F61">
        <w:rPr>
          <w:rStyle w:val="Appelnotedebasdep"/>
        </w:rPr>
        <w:footnoteReference w:id="26"/>
      </w:r>
      <w:r w:rsidR="001C2230" w:rsidRPr="006F0573">
        <w:t xml:space="preserve"> </w:t>
      </w:r>
      <w:r w:rsidR="001F604C" w:rsidRPr="00B215C3">
        <w:t>(</w:t>
      </w:r>
      <w:r w:rsidR="001C2230" w:rsidRPr="006F0573">
        <w:t>rapport 2016 du bureau pays de l’OMS au Nig</w:t>
      </w:r>
      <w:r w:rsidR="001C2230" w:rsidRPr="001F5367">
        <w:t>er :</w:t>
      </w:r>
    </w:p>
    <w:p w14:paraId="3885028F" w14:textId="23F2E1D5" w:rsidR="00FD7125" w:rsidRDefault="00167451" w:rsidP="00DE1F61">
      <w:pPr>
        <w:pStyle w:val="PucesRapportPNIN"/>
      </w:pPr>
      <w:r w:rsidRPr="00B80E0F">
        <w:t>La couverture sanitai</w:t>
      </w:r>
      <w:r>
        <w:t xml:space="preserve">re </w:t>
      </w:r>
      <w:r w:rsidR="00B90E52">
        <w:t>a</w:t>
      </w:r>
      <w:r>
        <w:t xml:space="preserve"> peu </w:t>
      </w:r>
      <w:r w:rsidR="00B90E52">
        <w:t>évoluée</w:t>
      </w:r>
      <w:r w:rsidR="001F604C">
        <w:t>. L</w:t>
      </w:r>
      <w:r w:rsidR="00B90E52">
        <w:t>a couverture sanitaire des populations par le Paquet Minium d’</w:t>
      </w:r>
      <w:r w:rsidR="001F604C">
        <w:t>A</w:t>
      </w:r>
      <w:r w:rsidR="00B90E52">
        <w:t>ctivités (PMA) offerts dans les Centres de Santé Intégrés (CSI) est de 48</w:t>
      </w:r>
      <w:r w:rsidR="001F604C">
        <w:t> </w:t>
      </w:r>
      <w:r w:rsidR="00B90E52">
        <w:t>% en 2016 contre 47</w:t>
      </w:r>
      <w:r w:rsidR="001F604C">
        <w:t> </w:t>
      </w:r>
      <w:r w:rsidR="00B90E52">
        <w:t>% en 2015.</w:t>
      </w:r>
    </w:p>
    <w:p w14:paraId="61BFEDDB" w14:textId="37CE697E" w:rsidR="00FD7125" w:rsidRDefault="00FD7125" w:rsidP="00DE1F61">
      <w:pPr>
        <w:pStyle w:val="PucesRapportPNIN"/>
      </w:pPr>
      <w:r>
        <w:t>L</w:t>
      </w:r>
      <w:r w:rsidR="00167451" w:rsidRPr="00B80E0F">
        <w:t xml:space="preserve">e taux d’accouchement assisté </w:t>
      </w:r>
      <w:r>
        <w:t>reste faible.</w:t>
      </w:r>
      <w:r w:rsidR="001C2230">
        <w:t xml:space="preserve"> Il est </w:t>
      </w:r>
      <w:r w:rsidR="001F604C">
        <w:t>40 </w:t>
      </w:r>
      <w:r w:rsidR="001C2230">
        <w:t>% en 2015 selon l’OMS.</w:t>
      </w:r>
    </w:p>
    <w:p w14:paraId="1B14D675" w14:textId="361FA2ED" w:rsidR="00FD7125" w:rsidRDefault="00FD7125" w:rsidP="00DE1F61">
      <w:pPr>
        <w:pStyle w:val="PucesRapportPNIN"/>
      </w:pPr>
      <w:r>
        <w:t xml:space="preserve">Le </w:t>
      </w:r>
      <w:r w:rsidR="00167451" w:rsidRPr="00B80E0F">
        <w:t>taux d’utilisation de la contraception moderne</w:t>
      </w:r>
      <w:r>
        <w:t xml:space="preserve"> est très bas</w:t>
      </w:r>
      <w:r w:rsidR="00167451">
        <w:t>.</w:t>
      </w:r>
      <w:r w:rsidR="00167451" w:rsidRPr="00435507">
        <w:t xml:space="preserve"> </w:t>
      </w:r>
      <w:r w:rsidR="001C2230">
        <w:t>Il n’est que de 13</w:t>
      </w:r>
      <w:r w:rsidR="001F604C">
        <w:t> </w:t>
      </w:r>
      <w:r w:rsidR="00B90E52">
        <w:t>% en 2015</w:t>
      </w:r>
      <w:r w:rsidR="001F604C">
        <w:t>.</w:t>
      </w:r>
    </w:p>
    <w:p w14:paraId="4485BE9C" w14:textId="47EB107A" w:rsidR="00FD7125" w:rsidRDefault="00167451" w:rsidP="00DE1F61">
      <w:pPr>
        <w:pStyle w:val="ParagrapheRapportPNIN"/>
      </w:pPr>
      <w:r>
        <w:rPr>
          <w:b/>
        </w:rPr>
        <w:t>Un faible accès à l’e</w:t>
      </w:r>
      <w:r w:rsidRPr="00235E24">
        <w:rPr>
          <w:b/>
        </w:rPr>
        <w:t>au potable, à l’hygiène et à l’assainissement</w:t>
      </w:r>
      <w:r w:rsidR="001F604C">
        <w:rPr>
          <w:b/>
        </w:rPr>
        <w:t xml:space="preserve">. </w:t>
      </w:r>
      <w:r w:rsidR="002B5742" w:rsidRPr="002B5742">
        <w:t>Le manque d’accès aux services d’eau d’hygiène et d’assainissement peut affecter l’état nutritionnel d’un enfant de nombreuses manières. Les données existantes confirment au moins trois voies directes</w:t>
      </w:r>
      <w:r w:rsidR="001F604C">
        <w:t> </w:t>
      </w:r>
      <w:r w:rsidR="002B5742" w:rsidRPr="002B5742">
        <w:t>: 1)</w:t>
      </w:r>
      <w:r w:rsidR="001F604C">
        <w:t> </w:t>
      </w:r>
      <w:r w:rsidR="002B5742" w:rsidRPr="002B5742">
        <w:t>les maladies diarrhéiques</w:t>
      </w:r>
      <w:r w:rsidR="001F604C">
        <w:t xml:space="preserve"> ; </w:t>
      </w:r>
      <w:r w:rsidR="002B5742" w:rsidRPr="002B5742">
        <w:t>2)</w:t>
      </w:r>
      <w:r w:rsidR="001F604C">
        <w:t> </w:t>
      </w:r>
      <w:r w:rsidR="002B5742" w:rsidRPr="002B5742">
        <w:t>les infections parasitaires intestinales</w:t>
      </w:r>
      <w:r w:rsidR="001F604C">
        <w:t xml:space="preserve"> ; </w:t>
      </w:r>
      <w:r w:rsidR="002B5742" w:rsidRPr="002B5742">
        <w:t>3)</w:t>
      </w:r>
      <w:r w:rsidR="001F604C">
        <w:t> </w:t>
      </w:r>
      <w:r w:rsidR="002B5742" w:rsidRPr="002B5742">
        <w:t xml:space="preserve">l'entéropathie environnementale. Ce manque peut également avoir un impact indirect sur l’état nutritionnel des femmes et des filles (très souvent) en les obligeant à parcourir de longues distances à la recherche d’alimentation en eau et d’assainissement et en détournant le temps dont dispose </w:t>
      </w:r>
      <w:r w:rsidR="002B5742" w:rsidRPr="002B5742">
        <w:lastRenderedPageBreak/>
        <w:t>les mères pour s'occuper des enfants</w:t>
      </w:r>
      <w:r w:rsidR="002B5742">
        <w:rPr>
          <w:rStyle w:val="Appelnotedebasdep"/>
        </w:rPr>
        <w:footnoteReference w:id="27"/>
      </w:r>
      <w:r w:rsidR="002B5742" w:rsidRPr="002B5742">
        <w:t>. Au Niger, u</w:t>
      </w:r>
      <w:r w:rsidR="00DB534C" w:rsidRPr="00DB534C">
        <w:t xml:space="preserve">n tiers des </w:t>
      </w:r>
      <w:r w:rsidR="00DB534C">
        <w:t>ménages</w:t>
      </w:r>
      <w:r w:rsidR="00C908BC">
        <w:t xml:space="preserve"> </w:t>
      </w:r>
      <w:r w:rsidR="001F604C">
        <w:t>(</w:t>
      </w:r>
      <w:r w:rsidR="00C908BC">
        <w:t>33</w:t>
      </w:r>
      <w:r w:rsidR="001F604C">
        <w:t> </w:t>
      </w:r>
      <w:r w:rsidR="00DB534C">
        <w:t>%</w:t>
      </w:r>
      <w:r w:rsidR="001F604C">
        <w:t>)</w:t>
      </w:r>
      <w:r w:rsidR="00DB534C">
        <w:t xml:space="preserve"> </w:t>
      </w:r>
      <w:r w:rsidR="00C908BC">
        <w:t>n’</w:t>
      </w:r>
      <w:r w:rsidR="00DB534C">
        <w:t xml:space="preserve">utilisent </w:t>
      </w:r>
      <w:r w:rsidR="00C908BC">
        <w:t xml:space="preserve">pas </w:t>
      </w:r>
      <w:r w:rsidR="00DB534C">
        <w:t>de l’eau provenant</w:t>
      </w:r>
      <w:r w:rsidR="00C908BC">
        <w:t xml:space="preserve"> </w:t>
      </w:r>
      <w:r w:rsidR="00DB534C">
        <w:t>d’une source améliorée.</w:t>
      </w:r>
      <w:r w:rsidR="00C908BC">
        <w:t xml:space="preserve"> </w:t>
      </w:r>
      <w:r w:rsidR="001F604C">
        <w:t xml:space="preserve">Il existe </w:t>
      </w:r>
      <w:r w:rsidRPr="00235E24">
        <w:t xml:space="preserve">de fortes </w:t>
      </w:r>
      <w:r>
        <w:t xml:space="preserve">disparités </w:t>
      </w:r>
      <w:r w:rsidR="001F604C">
        <w:t xml:space="preserve">de l’accès à l’eau potable </w:t>
      </w:r>
      <w:r>
        <w:t>selon le milieu de résidence</w:t>
      </w:r>
      <w:r w:rsidR="001F604C">
        <w:t xml:space="preserve"> : </w:t>
      </w:r>
      <w:r w:rsidR="00C908BC">
        <w:t>61</w:t>
      </w:r>
      <w:r w:rsidR="001F604C">
        <w:t> </w:t>
      </w:r>
      <w:r w:rsidR="00C908BC">
        <w:t>% en milieu rural contre 97</w:t>
      </w:r>
      <w:r w:rsidR="001F604C">
        <w:t> </w:t>
      </w:r>
      <w:r w:rsidR="00C908BC">
        <w:t>% en milieu urbain</w:t>
      </w:r>
      <w:r w:rsidR="00C908BC">
        <w:rPr>
          <w:rStyle w:val="Appelnotedebasdep"/>
        </w:rPr>
        <w:footnoteReference w:id="28"/>
      </w:r>
      <w:r w:rsidRPr="00235E24">
        <w:t>.</w:t>
      </w:r>
      <w:r w:rsidR="00C908BC" w:rsidRPr="00235E24">
        <w:t xml:space="preserve"> </w:t>
      </w:r>
      <w:r w:rsidR="00C908BC">
        <w:t>Seulement 9</w:t>
      </w:r>
      <w:r w:rsidR="001F604C">
        <w:t> </w:t>
      </w:r>
      <w:r w:rsidR="00C908BC">
        <w:t>% des ménages disposent de toilettes améliorées et non partagées. Cette proportion varie de 34</w:t>
      </w:r>
      <w:r w:rsidR="001F604C">
        <w:t> </w:t>
      </w:r>
      <w:r w:rsidR="00C908BC">
        <w:t>% en milieu urbain à 4</w:t>
      </w:r>
      <w:r w:rsidR="001F604C">
        <w:t> </w:t>
      </w:r>
      <w:r w:rsidR="00C908BC">
        <w:t xml:space="preserve">% en milieu rural. </w:t>
      </w:r>
    </w:p>
    <w:p w14:paraId="24786FE7" w14:textId="5A9DF1C7" w:rsidR="00167451" w:rsidRPr="00232A47" w:rsidRDefault="00167451" w:rsidP="00DE1F61">
      <w:pPr>
        <w:pStyle w:val="ParagrapheRapportPNIN"/>
        <w:rPr>
          <w:lang w:eastAsia="fr-FR"/>
        </w:rPr>
      </w:pPr>
      <w:r>
        <w:rPr>
          <w:b/>
          <w:lang w:eastAsia="fr-FR"/>
        </w:rPr>
        <w:t xml:space="preserve">Des </w:t>
      </w:r>
      <w:r w:rsidRPr="00232A47">
        <w:rPr>
          <w:b/>
          <w:lang w:eastAsia="fr-FR"/>
        </w:rPr>
        <w:t>capacité</w:t>
      </w:r>
      <w:r>
        <w:rPr>
          <w:b/>
          <w:lang w:eastAsia="fr-FR"/>
        </w:rPr>
        <w:t>s de soins et de conseil limitées</w:t>
      </w:r>
      <w:r w:rsidRPr="00232A47">
        <w:rPr>
          <w:b/>
          <w:lang w:eastAsia="fr-FR"/>
        </w:rPr>
        <w:t xml:space="preserve"> </w:t>
      </w:r>
      <w:r>
        <w:rPr>
          <w:b/>
          <w:lang w:eastAsia="fr-FR"/>
        </w:rPr>
        <w:t>pour les enfants et les</w:t>
      </w:r>
      <w:r w:rsidRPr="00232A47">
        <w:rPr>
          <w:b/>
          <w:lang w:eastAsia="fr-FR"/>
        </w:rPr>
        <w:t xml:space="preserve"> femmes enceintes / allaitantes</w:t>
      </w:r>
      <w:r w:rsidR="001F604C">
        <w:rPr>
          <w:b/>
          <w:lang w:eastAsia="fr-FR"/>
        </w:rPr>
        <w:t xml:space="preserve">. </w:t>
      </w:r>
      <w:r w:rsidRPr="00232A47">
        <w:rPr>
          <w:lang w:eastAsia="fr-FR"/>
        </w:rPr>
        <w:t xml:space="preserve">Les femmes sont </w:t>
      </w:r>
      <w:r>
        <w:rPr>
          <w:lang w:eastAsia="fr-FR"/>
        </w:rPr>
        <w:t xml:space="preserve">très majoritairement les personnes en charge </w:t>
      </w:r>
      <w:r w:rsidRPr="00232A47">
        <w:rPr>
          <w:lang w:eastAsia="fr-FR"/>
        </w:rPr>
        <w:t>des enfants au Niger</w:t>
      </w:r>
      <w:r w:rsidR="001F604C">
        <w:rPr>
          <w:lang w:eastAsia="fr-FR"/>
        </w:rPr>
        <w:t>. Les femmes</w:t>
      </w:r>
      <w:r>
        <w:rPr>
          <w:lang w:eastAsia="fr-FR"/>
        </w:rPr>
        <w:t xml:space="preserve"> doivent dans le même temps continuer à</w:t>
      </w:r>
      <w:r w:rsidRPr="00232A47">
        <w:rPr>
          <w:lang w:eastAsia="fr-FR"/>
        </w:rPr>
        <w:t xml:space="preserve"> subvenir à leurs</w:t>
      </w:r>
      <w:r>
        <w:rPr>
          <w:lang w:eastAsia="fr-FR"/>
        </w:rPr>
        <w:t xml:space="preserve"> propres</w:t>
      </w:r>
      <w:r w:rsidRPr="00232A47">
        <w:rPr>
          <w:lang w:eastAsia="fr-FR"/>
        </w:rPr>
        <w:t xml:space="preserve"> besoins </w:t>
      </w:r>
      <w:r>
        <w:rPr>
          <w:lang w:eastAsia="fr-FR"/>
        </w:rPr>
        <w:t xml:space="preserve">pendant la période où elles </w:t>
      </w:r>
      <w:r w:rsidRPr="00232A47">
        <w:rPr>
          <w:lang w:eastAsia="fr-FR"/>
        </w:rPr>
        <w:t xml:space="preserve">sont </w:t>
      </w:r>
      <w:r>
        <w:rPr>
          <w:lang w:eastAsia="fr-FR"/>
        </w:rPr>
        <w:t>enceintes, puis lorsqu’elles allaitent</w:t>
      </w:r>
      <w:r w:rsidRPr="00232A47">
        <w:rPr>
          <w:lang w:eastAsia="fr-FR"/>
        </w:rPr>
        <w:t>. Leur ca</w:t>
      </w:r>
      <w:r>
        <w:rPr>
          <w:lang w:eastAsia="fr-FR"/>
        </w:rPr>
        <w:t>pacité à fournir des soins et à</w:t>
      </w:r>
      <w:r w:rsidRPr="00232A47">
        <w:rPr>
          <w:lang w:eastAsia="fr-FR"/>
        </w:rPr>
        <w:t xml:space="preserve"> recevoir un soutien</w:t>
      </w:r>
      <w:r>
        <w:rPr>
          <w:lang w:eastAsia="fr-FR"/>
        </w:rPr>
        <w:t>/conseil</w:t>
      </w:r>
      <w:r w:rsidRPr="00232A47">
        <w:rPr>
          <w:lang w:eastAsia="fr-FR"/>
        </w:rPr>
        <w:t xml:space="preserve"> en cas de besoin est limitée en raison de</w:t>
      </w:r>
      <w:r w:rsidR="001F604C">
        <w:rPr>
          <w:lang w:eastAsia="fr-FR"/>
        </w:rPr>
        <w:t> </w:t>
      </w:r>
      <w:r w:rsidRPr="00232A47">
        <w:rPr>
          <w:lang w:eastAsia="fr-FR"/>
        </w:rPr>
        <w:t>:</w:t>
      </w:r>
    </w:p>
    <w:p w14:paraId="3B69ABE3" w14:textId="78513D8D" w:rsidR="00167451" w:rsidRDefault="00167451" w:rsidP="00B215C3">
      <w:pPr>
        <w:pStyle w:val="PucesRapportPNIN"/>
      </w:pPr>
      <w:r w:rsidRPr="00232A47">
        <w:t xml:space="preserve">La faible </w:t>
      </w:r>
      <w:r>
        <w:t>connaissance et compréhension</w:t>
      </w:r>
      <w:r w:rsidRPr="00232A47">
        <w:t xml:space="preserve"> </w:t>
      </w:r>
      <w:r>
        <w:t>des bonnes pratiques de soins concernant les principaux aspects liés au bien-être et à la santé de l’enfant, ainsi qu’à leur propre bien-être et au repos nécessaire durant leur grossesse</w:t>
      </w:r>
      <w:r w:rsidR="001F604C">
        <w:t>. Cette faible connaissance résulte à</w:t>
      </w:r>
      <w:r>
        <w:t xml:space="preserve"> leur faible niveau d’éducation et à l’existence de pratiques néfastes, principalement d’origines culturelles, malgré les efforts de sensibilisation des relais communautaires. </w:t>
      </w:r>
    </w:p>
    <w:p w14:paraId="5FF3FB6E" w14:textId="5FB33764" w:rsidR="00167451" w:rsidRPr="005C116F" w:rsidRDefault="00167451" w:rsidP="00B215C3">
      <w:pPr>
        <w:pStyle w:val="PucesRapportPNIN"/>
        <w:rPr>
          <w:rStyle w:val="Marquedecommentaire"/>
          <w:sz w:val="24"/>
          <w:szCs w:val="24"/>
        </w:rPr>
      </w:pPr>
      <w:r w:rsidRPr="005C116F">
        <w:t>L’importante charge de travail domestique et agricole à effectuer quotidiennement pour les femmes résidant en zo</w:t>
      </w:r>
      <w:r>
        <w:t>nes rurales (comprise entre 16</w:t>
      </w:r>
      <w:r w:rsidR="001F604C">
        <w:t xml:space="preserve"> heures</w:t>
      </w:r>
      <w:r>
        <w:t xml:space="preserve"> et</w:t>
      </w:r>
      <w:r w:rsidRPr="005C116F">
        <w:t xml:space="preserve"> 18</w:t>
      </w:r>
      <w:r w:rsidR="001F604C">
        <w:t> </w:t>
      </w:r>
      <w:r w:rsidRPr="005C116F">
        <w:t>heures par jour</w:t>
      </w:r>
      <w:r>
        <w:t xml:space="preserve"> selon les estimations</w:t>
      </w:r>
      <w:r w:rsidRPr="005C116F">
        <w:t>)</w:t>
      </w:r>
      <w:r>
        <w:t xml:space="preserve">, </w:t>
      </w:r>
      <w:r w:rsidRPr="005C116F">
        <w:t>constitue un facteur limitant pour les soins des enfants, la scolarisation des jeunes filles, l’alphabétisation des femmes et le développement des activités productives.</w:t>
      </w:r>
    </w:p>
    <w:p w14:paraId="2E018E3E" w14:textId="48FC883F" w:rsidR="00167451" w:rsidRPr="00A33833" w:rsidRDefault="00167451" w:rsidP="00B215C3">
      <w:pPr>
        <w:pStyle w:val="PucesRapportPNIN"/>
      </w:pPr>
      <w:r>
        <w:t>Le faible pouvoir de décision sur les dépenses</w:t>
      </w:r>
      <w:r w:rsidRPr="00A33833">
        <w:t xml:space="preserve"> des revenus du foyer</w:t>
      </w:r>
      <w:r w:rsidR="001F604C">
        <w:t>.</w:t>
      </w:r>
    </w:p>
    <w:p w14:paraId="0CBAADDA" w14:textId="7960EA31" w:rsidR="00167451" w:rsidRPr="00A33833" w:rsidRDefault="00167451" w:rsidP="00B215C3">
      <w:pPr>
        <w:pStyle w:val="PucesRapportPNIN"/>
      </w:pPr>
      <w:r>
        <w:t xml:space="preserve">Une perte de l’estime de soi et de confiance qui restreint l’accès des femmes à l’information et aux services. </w:t>
      </w:r>
    </w:p>
    <w:p w14:paraId="70AC490D" w14:textId="247CE669" w:rsidR="00167451" w:rsidRDefault="00167451" w:rsidP="00B215C3">
      <w:pPr>
        <w:pStyle w:val="ParagrapheRapportPNIN"/>
      </w:pPr>
      <w:r w:rsidRPr="003C1A4A">
        <w:rPr>
          <w:b/>
        </w:rPr>
        <w:t>Une population peu scolarisée</w:t>
      </w:r>
      <w:r w:rsidR="001F604C">
        <w:rPr>
          <w:b/>
        </w:rPr>
        <w:t xml:space="preserve">. </w:t>
      </w:r>
      <w:r w:rsidR="001F604C">
        <w:t xml:space="preserve">Il existe une </w:t>
      </w:r>
      <w:r>
        <w:t>évidence de</w:t>
      </w:r>
      <w:r w:rsidR="001F604C">
        <w:t>s</w:t>
      </w:r>
      <w:r w:rsidRPr="00B80E0F">
        <w:t xml:space="preserve"> liens entre</w:t>
      </w:r>
      <w:r w:rsidR="001F604C">
        <w:t xml:space="preserve"> </w:t>
      </w:r>
      <w:r w:rsidRPr="00B80E0F">
        <w:t>la grossesse des adolescentes, les risque</w:t>
      </w:r>
      <w:r>
        <w:t xml:space="preserve">s élevés de complications et de </w:t>
      </w:r>
      <w:r w:rsidRPr="00B80E0F">
        <w:t xml:space="preserve">résultats défavorables de </w:t>
      </w:r>
      <w:r w:rsidR="00D704C1">
        <w:t>l’accouchement</w:t>
      </w:r>
      <w:r w:rsidRPr="00B80E0F">
        <w:t>, la mortalité et la malnutrition c</w:t>
      </w:r>
      <w:r>
        <w:t>hronique</w:t>
      </w:r>
      <w:r w:rsidR="001F604C">
        <w:t xml:space="preserve"> (</w:t>
      </w:r>
      <w:r w:rsidR="001F604C" w:rsidRPr="006F5EBA">
        <w:rPr>
          <w:i/>
        </w:rPr>
        <w:t>Series</w:t>
      </w:r>
      <w:r w:rsidR="001F604C">
        <w:t xml:space="preserve"> du</w:t>
      </w:r>
      <w:r w:rsidR="001F604C" w:rsidRPr="00B80E0F">
        <w:t xml:space="preserve"> Lancet 2013 sur la nutrition maternelle et inf</w:t>
      </w:r>
      <w:r w:rsidR="001F604C">
        <w:t>antile confirment).</w:t>
      </w:r>
      <w:r w:rsidRPr="00B80E0F">
        <w:t xml:space="preserve"> </w:t>
      </w:r>
      <w:r w:rsidR="00934A84" w:rsidRPr="00934A84">
        <w:t>Le taux brut de scolarisation reste faible et très peu de femmes ont un niveau d’instruction secondaire ou supérieur</w:t>
      </w:r>
      <w:r w:rsidR="00934A84">
        <w:t xml:space="preserve">. </w:t>
      </w:r>
      <w:r w:rsidR="001F604C">
        <w:t xml:space="preserve">En 2012, </w:t>
      </w:r>
      <w:r w:rsidR="00AE687E">
        <w:t>36</w:t>
      </w:r>
      <w:r w:rsidR="001F604C">
        <w:t> </w:t>
      </w:r>
      <w:r w:rsidR="00AE687E">
        <w:t>% des enfants en âge d’école primaire et 78</w:t>
      </w:r>
      <w:r w:rsidR="001F604C">
        <w:t> </w:t>
      </w:r>
      <w:r w:rsidR="00AE687E">
        <w:t>% des enfants en âge du premier cycle du secondaire n’étaient pas scolarisés</w:t>
      </w:r>
      <w:r w:rsidR="001F604C">
        <w:t xml:space="preserve">. Enfin, </w:t>
      </w:r>
      <w:r w:rsidR="00BD5A5D" w:rsidRPr="00BD5A5D">
        <w:t>63</w:t>
      </w:r>
      <w:r w:rsidR="001F604C">
        <w:t> </w:t>
      </w:r>
      <w:r w:rsidR="00BD5A5D" w:rsidRPr="00BD5A5D">
        <w:t>% des filles et 37</w:t>
      </w:r>
      <w:r w:rsidR="001F604C">
        <w:t> </w:t>
      </w:r>
      <w:r w:rsidR="00BD5A5D" w:rsidRPr="00BD5A5D">
        <w:t>%</w:t>
      </w:r>
      <w:r w:rsidR="00AE687E">
        <w:t xml:space="preserve"> des garçons de 15</w:t>
      </w:r>
      <w:r w:rsidR="001F604C">
        <w:t xml:space="preserve"> ans</w:t>
      </w:r>
      <w:r w:rsidR="00AE687E">
        <w:t xml:space="preserve"> à 19 ans n’avaient</w:t>
      </w:r>
      <w:r w:rsidR="00BD5A5D" w:rsidRPr="00BD5A5D">
        <w:t xml:space="preserve"> aucune instruction</w:t>
      </w:r>
      <w:r w:rsidR="00BD5A5D">
        <w:rPr>
          <w:rStyle w:val="Appelnotedebasdep"/>
        </w:rPr>
        <w:footnoteReference w:id="29"/>
      </w:r>
      <w:r w:rsidR="00BD5A5D" w:rsidRPr="00BD5A5D">
        <w:t>.</w:t>
      </w:r>
      <w:r w:rsidR="006A5083">
        <w:t xml:space="preserve"> </w:t>
      </w:r>
      <w:r w:rsidR="006A5083" w:rsidRPr="006A5083">
        <w:t>Le taux d’achèvement au primaire est passé de 41,7</w:t>
      </w:r>
      <w:r w:rsidR="001F604C">
        <w:t> </w:t>
      </w:r>
      <w:r w:rsidR="006A5083" w:rsidRPr="006A5083">
        <w:t>% en 2010 à 75,2</w:t>
      </w:r>
      <w:r w:rsidR="001F604C">
        <w:t> </w:t>
      </w:r>
      <w:r w:rsidR="006A5083" w:rsidRPr="006A5083">
        <w:t>% en 2015</w:t>
      </w:r>
      <w:r w:rsidR="006A5083">
        <w:rPr>
          <w:rStyle w:val="Appelnotedebasdep"/>
        </w:rPr>
        <w:footnoteReference w:id="30"/>
      </w:r>
      <w:r w:rsidR="006A5083">
        <w:t>.</w:t>
      </w:r>
      <w:r w:rsidR="00934A84" w:rsidRPr="00934A84">
        <w:t xml:space="preserve"> </w:t>
      </w:r>
      <w:r w:rsidR="00934A84">
        <w:t>En 2015, le taux d’analphabétisme des femmes nigériennes de 15</w:t>
      </w:r>
      <w:r w:rsidR="001F604C">
        <w:t> ans</w:t>
      </w:r>
      <w:r w:rsidR="00934A84">
        <w:t xml:space="preserve"> à 24 ans était de 83</w:t>
      </w:r>
      <w:r w:rsidR="001F604C">
        <w:t> </w:t>
      </w:r>
      <w:r w:rsidR="00934A84">
        <w:t>% et de 92</w:t>
      </w:r>
      <w:r w:rsidR="001F604C">
        <w:t> </w:t>
      </w:r>
      <w:r w:rsidR="00934A84">
        <w:t>% chez les femmes de 25</w:t>
      </w:r>
      <w:r w:rsidR="001F604C">
        <w:t> </w:t>
      </w:r>
      <w:r w:rsidR="00934A84">
        <w:t>ans et plus, soit le plus élevé du monde (UNESCO 2015)</w:t>
      </w:r>
      <w:r w:rsidR="009660B3">
        <w:rPr>
          <w:rStyle w:val="Appelnotedebasdep"/>
        </w:rPr>
        <w:footnoteReference w:id="31"/>
      </w:r>
      <w:r w:rsidR="007C25F4">
        <w:t>.</w:t>
      </w:r>
    </w:p>
    <w:p w14:paraId="474A35B4" w14:textId="26DC5FE1" w:rsidR="00167451" w:rsidRDefault="00167451" w:rsidP="00B215C3">
      <w:pPr>
        <w:pStyle w:val="ParagrapheRapportPNIN"/>
      </w:pPr>
      <w:r>
        <w:rPr>
          <w:rStyle w:val="hps"/>
          <w:b/>
        </w:rPr>
        <w:lastRenderedPageBreak/>
        <w:t>Un</w:t>
      </w:r>
      <w:r w:rsidRPr="00B74164">
        <w:rPr>
          <w:rStyle w:val="hps"/>
          <w:b/>
        </w:rPr>
        <w:t xml:space="preserve"> système</w:t>
      </w:r>
      <w:r w:rsidRPr="00B74164">
        <w:rPr>
          <w:b/>
        </w:rPr>
        <w:t xml:space="preserve"> </w:t>
      </w:r>
      <w:r w:rsidRPr="00B74164">
        <w:rPr>
          <w:rStyle w:val="hps"/>
          <w:b/>
        </w:rPr>
        <w:t>de protection</w:t>
      </w:r>
      <w:r>
        <w:rPr>
          <w:rStyle w:val="hps"/>
          <w:b/>
        </w:rPr>
        <w:t xml:space="preserve"> </w:t>
      </w:r>
      <w:r w:rsidRPr="00B74164">
        <w:rPr>
          <w:rStyle w:val="hps"/>
          <w:b/>
        </w:rPr>
        <w:t>sociale</w:t>
      </w:r>
      <w:r>
        <w:rPr>
          <w:rStyle w:val="hps"/>
          <w:b/>
        </w:rPr>
        <w:t xml:space="preserve"> peu performant</w:t>
      </w:r>
      <w:r w:rsidR="001F604C">
        <w:rPr>
          <w:rStyle w:val="hps"/>
          <w:b/>
        </w:rPr>
        <w:t xml:space="preserve">. </w:t>
      </w:r>
      <w:r w:rsidR="00D704C1">
        <w:t xml:space="preserve">Une politique de sécurité sociale a été adoptée en </w:t>
      </w:r>
      <w:r w:rsidR="00D002B4">
        <w:t>2011</w:t>
      </w:r>
      <w:r w:rsidRPr="00D704C1">
        <w:t>. Leur</w:t>
      </w:r>
      <w:r w:rsidRPr="00862ED2">
        <w:t xml:space="preserve"> mise en œuvre</w:t>
      </w:r>
      <w:r>
        <w:t xml:space="preserve"> concertée</w:t>
      </w:r>
      <w:r w:rsidRPr="00D704C1">
        <w:t xml:space="preserve"> devrait</w:t>
      </w:r>
      <w:r w:rsidRPr="00862ED2">
        <w:t xml:space="preserve"> </w:t>
      </w:r>
      <w:r w:rsidRPr="00D704C1">
        <w:t>grandement contribuer à</w:t>
      </w:r>
      <w:r w:rsidRPr="00862ED2">
        <w:t xml:space="preserve"> </w:t>
      </w:r>
      <w:r w:rsidRPr="00D704C1">
        <w:t>la prévention de la</w:t>
      </w:r>
      <w:r w:rsidRPr="00862ED2">
        <w:t xml:space="preserve"> </w:t>
      </w:r>
      <w:r w:rsidRPr="00D704C1">
        <w:t>malnutrition</w:t>
      </w:r>
      <w:r w:rsidRPr="00862ED2">
        <w:t xml:space="preserve"> </w:t>
      </w:r>
      <w:r w:rsidRPr="00D704C1">
        <w:t>dans le futur.</w:t>
      </w:r>
    </w:p>
    <w:p w14:paraId="167BDFA8" w14:textId="77777777" w:rsidR="005E53E4" w:rsidRDefault="00C6448E" w:rsidP="00B215C3">
      <w:pPr>
        <w:pStyle w:val="ParagrapheRapportPNIN"/>
        <w:shd w:val="clear" w:color="auto" w:fill="F2F2F2" w:themeFill="background1" w:themeFillShade="F2"/>
        <w:rPr>
          <w:b/>
        </w:rPr>
      </w:pPr>
      <w:r w:rsidRPr="00C8173E">
        <w:rPr>
          <w:b/>
          <w:shd w:val="clear" w:color="auto" w:fill="F2F2F2" w:themeFill="background1" w:themeFillShade="F2"/>
        </w:rPr>
        <w:t>Constat</w:t>
      </w:r>
      <w:r w:rsidR="009D41A3">
        <w:rPr>
          <w:b/>
        </w:rPr>
        <w:t xml:space="preserve">. </w:t>
      </w:r>
    </w:p>
    <w:p w14:paraId="3123F782" w14:textId="293FE2D6" w:rsidR="00242670" w:rsidRDefault="00C6448E" w:rsidP="00B215C3">
      <w:pPr>
        <w:pStyle w:val="ParagrapheRapportPNIN"/>
        <w:shd w:val="clear" w:color="auto" w:fill="F2F2F2" w:themeFill="background1" w:themeFillShade="F2"/>
      </w:pPr>
      <w:r w:rsidRPr="00242670">
        <w:t>Depuis plus d’une dizaine d’années, les prévalences des différentes formes de malnutrition sont très élevées au Niger et dépassent les seuils d’alerte de l’OMS malgré tous les efforts faits par le gouvernement et ses nombreux partenaires et la connaissance des déterminants de la malnutrition.</w:t>
      </w:r>
    </w:p>
    <w:p w14:paraId="12EDE511" w14:textId="25059A66" w:rsidR="005E53E4" w:rsidRDefault="00C6448E" w:rsidP="005E53E4">
      <w:pPr>
        <w:pStyle w:val="ParagrapheRapportPNIN"/>
        <w:shd w:val="clear" w:color="auto" w:fill="F2F2F2" w:themeFill="background1" w:themeFillShade="F2"/>
        <w:rPr>
          <w:b/>
        </w:rPr>
      </w:pPr>
      <w:r w:rsidRPr="00C6448E">
        <w:rPr>
          <w:b/>
        </w:rPr>
        <w:t>Question</w:t>
      </w:r>
      <w:r w:rsidR="00344760">
        <w:rPr>
          <w:b/>
        </w:rPr>
        <w:t>s</w:t>
      </w:r>
      <w:r w:rsidRPr="00C6448E">
        <w:rPr>
          <w:b/>
        </w:rPr>
        <w:t>:</w:t>
      </w:r>
      <w:r w:rsidRPr="00242670">
        <w:rPr>
          <w:b/>
        </w:rPr>
        <w:t xml:space="preserve"> </w:t>
      </w:r>
    </w:p>
    <w:p w14:paraId="086840E2" w14:textId="77777777" w:rsidR="005E53E4" w:rsidRDefault="005E53E4" w:rsidP="005E53E4">
      <w:pPr>
        <w:pStyle w:val="ParagrapheRapportPNIN"/>
        <w:numPr>
          <w:ilvl w:val="0"/>
          <w:numId w:val="12"/>
        </w:numPr>
        <w:shd w:val="clear" w:color="auto" w:fill="F2F2F2" w:themeFill="background1" w:themeFillShade="F2"/>
      </w:pPr>
      <w:r w:rsidRPr="005E53E4">
        <w:t>Pourquoi</w:t>
      </w:r>
      <w:r>
        <w:rPr>
          <w:b/>
        </w:rPr>
        <w:t xml:space="preserve"> </w:t>
      </w:r>
      <w:r w:rsidRPr="005E53E4">
        <w:t xml:space="preserve">les tendances de malnutrition observées </w:t>
      </w:r>
      <w:r>
        <w:t xml:space="preserve">depuis une dizaine d’année </w:t>
      </w:r>
      <w:r w:rsidRPr="005E53E4">
        <w:t>ne s’inversent pas malgré les efforts du Gouvernement et de ses partenaires</w:t>
      </w:r>
      <w:r>
        <w:t> ?</w:t>
      </w:r>
    </w:p>
    <w:p w14:paraId="2E4C0A9E" w14:textId="228DDBC5" w:rsidR="00C6448E" w:rsidRDefault="006872B9" w:rsidP="005E53E4">
      <w:pPr>
        <w:pStyle w:val="ParagrapheRapportPNIN"/>
        <w:numPr>
          <w:ilvl w:val="0"/>
          <w:numId w:val="12"/>
        </w:numPr>
        <w:shd w:val="clear" w:color="auto" w:fill="F2F2F2" w:themeFill="background1" w:themeFillShade="F2"/>
      </w:pPr>
      <w:r>
        <w:t>Comment</w:t>
      </w:r>
      <w:r w:rsidR="006A5211" w:rsidRPr="006A5211">
        <w:t xml:space="preserve"> les déterminants</w:t>
      </w:r>
      <w:r>
        <w:t xml:space="preserve"> de la malnutrition influencent les </w:t>
      </w:r>
      <w:r w:rsidR="006A5211" w:rsidRPr="006A5211">
        <w:t xml:space="preserve">indicateurs des différentes formes de malnutrition </w:t>
      </w:r>
      <w:r>
        <w:t>au Niger</w:t>
      </w:r>
      <w:r w:rsidR="006A5211" w:rsidRPr="006A5211">
        <w:t xml:space="preserve"> ? </w:t>
      </w:r>
    </w:p>
    <w:p w14:paraId="5278A900" w14:textId="66809B98" w:rsidR="007E426D" w:rsidRDefault="007E426D" w:rsidP="00B215C3">
      <w:pPr>
        <w:pStyle w:val="Titre2situation"/>
      </w:pPr>
      <w:bookmarkStart w:id="19" w:name="_Toc528054590"/>
      <w:bookmarkStart w:id="20" w:name="_Toc528222329"/>
      <w:bookmarkEnd w:id="19"/>
      <w:r w:rsidRPr="007E426D">
        <w:t xml:space="preserve">Analyse </w:t>
      </w:r>
      <w:r>
        <w:t xml:space="preserve">de la nutrition dans les </w:t>
      </w:r>
      <w:r w:rsidRPr="007E426D">
        <w:t>politiques, programmes et stratégies</w:t>
      </w:r>
      <w:r w:rsidR="003C47C2">
        <w:t xml:space="preserve"> au niveau national</w:t>
      </w:r>
      <w:bookmarkEnd w:id="20"/>
    </w:p>
    <w:p w14:paraId="4580D967" w14:textId="776BBA20" w:rsidR="00DE68D8" w:rsidRDefault="006F0573" w:rsidP="00B215C3">
      <w:pPr>
        <w:pStyle w:val="ParagrapheRapportPNIN"/>
      </w:pPr>
      <w:r>
        <w:t>E</w:t>
      </w:r>
      <w:r w:rsidRPr="00D971D1">
        <w:t>n avril 2016</w:t>
      </w:r>
      <w:r>
        <w:t xml:space="preserve"> et e</w:t>
      </w:r>
      <w:r w:rsidR="00DE68D8" w:rsidRPr="00D971D1">
        <w:t xml:space="preserve">n proclamant la Décennie de la Nutrition, l'Assemblée </w:t>
      </w:r>
      <w:r>
        <w:t>G</w:t>
      </w:r>
      <w:r w:rsidR="00DE68D8" w:rsidRPr="00D971D1">
        <w:t>énérale des Nations Unies a également</w:t>
      </w:r>
      <w:r w:rsidR="00DE68D8">
        <w:t xml:space="preserve"> </w:t>
      </w:r>
      <w:r w:rsidR="00DE68D8" w:rsidRPr="00D971D1">
        <w:t xml:space="preserve">approuvé les deux documents finaux de la Deuxième Conférence internationale sur la nutrition </w:t>
      </w:r>
      <w:r w:rsidR="00DE68D8">
        <w:t>(CIN2) et</w:t>
      </w:r>
      <w:r w:rsidR="00DE68D8" w:rsidRPr="00D971D1">
        <w:t xml:space="preserve"> la Déclaration de Rome sur la nutrition</w:t>
      </w:r>
      <w:r w:rsidR="00DE68D8">
        <w:t xml:space="preserve"> et son cadre d'action</w:t>
      </w:r>
      <w:r w:rsidR="00DE68D8" w:rsidRPr="00D971D1">
        <w:t>. Ces documents fournis</w:t>
      </w:r>
      <w:r w:rsidR="00DE68D8">
        <w:t xml:space="preserve">sent les éléments essentiels et </w:t>
      </w:r>
      <w:r w:rsidR="00DE68D8" w:rsidRPr="00D971D1">
        <w:t>des orientations à partir desquelles les politiques et programmes nationaux peuvent être constitués</w:t>
      </w:r>
      <w:r w:rsidR="00DE68D8">
        <w:t xml:space="preserve">. </w:t>
      </w:r>
      <w:r w:rsidR="00DE68D8" w:rsidRPr="00DE68D8">
        <w:t>La cohérence des politiques est un aspect de l’intégration dont l’importance a été reconnue en matière de nutrition</w:t>
      </w:r>
      <w:r w:rsidR="00DE68D8">
        <w:t>.</w:t>
      </w:r>
      <w:r w:rsidR="00DE68D8" w:rsidRPr="00DE68D8">
        <w:t xml:space="preserve"> La recomman</w:t>
      </w:r>
      <w:r w:rsidR="00DE68D8">
        <w:t>dation</w:t>
      </w:r>
      <w:r>
        <w:t> </w:t>
      </w:r>
      <w:r w:rsidR="00DE68D8">
        <w:t xml:space="preserve">2 de la conférence est </w:t>
      </w:r>
      <w:r>
        <w:t>d’</w:t>
      </w:r>
      <w:r w:rsidR="00DE68D8">
        <w:t>«</w:t>
      </w:r>
      <w:r>
        <w:t> </w:t>
      </w:r>
      <w:r w:rsidR="00DE68D8" w:rsidRPr="00DE68D8">
        <w:t xml:space="preserve">Élaborer – ou réviser, le cas échéant – et chiffrer les plans nationaux pour la nutrition, harmoniser les politiques des différents ministères et organismes lorsque ces politiques ont des incidences sur la nutrition et renforcer les cadres juridiques et les capacités stratégiques </w:t>
      </w:r>
      <w:r w:rsidR="00DE68D8">
        <w:t>dans le domaine de la nutrition</w:t>
      </w:r>
      <w:r>
        <w:t> </w:t>
      </w:r>
      <w:r w:rsidR="00DE68D8" w:rsidRPr="00DE68D8">
        <w:t xml:space="preserve">». </w:t>
      </w:r>
    </w:p>
    <w:p w14:paraId="42E880C0" w14:textId="3C60961C" w:rsidR="00035340" w:rsidRDefault="00035340" w:rsidP="00B215C3">
      <w:pPr>
        <w:pStyle w:val="ParagrapheRapportPNIN"/>
      </w:pPr>
      <w:r>
        <w:t>Au Niger, l</w:t>
      </w:r>
      <w:r w:rsidRPr="007E426D">
        <w:t xml:space="preserve">a volonté politique de </w:t>
      </w:r>
      <w:r>
        <w:t xml:space="preserve">prendre en compte les recommandations de la CIN2 </w:t>
      </w:r>
      <w:r w:rsidRPr="007E426D">
        <w:t>s’est traduit</w:t>
      </w:r>
      <w:r>
        <w:t>e</w:t>
      </w:r>
      <w:r w:rsidRPr="007E426D">
        <w:t xml:space="preserve"> par l’élaboration de la </w:t>
      </w:r>
      <w:r w:rsidR="006F0573">
        <w:t>P</w:t>
      </w:r>
      <w:r w:rsidRPr="007E426D">
        <w:t xml:space="preserve">olitique Nationale de </w:t>
      </w:r>
      <w:r w:rsidR="006F0573">
        <w:t>S</w:t>
      </w:r>
      <w:r w:rsidRPr="007E426D">
        <w:t>écurité Nutritionnelle 2016-2025</w:t>
      </w:r>
      <w:r>
        <w:t xml:space="preserve"> et son </w:t>
      </w:r>
      <w:r w:rsidR="006F0573">
        <w:t>P</w:t>
      </w:r>
      <w:r>
        <w:t>lan d’</w:t>
      </w:r>
      <w:r w:rsidR="006F0573">
        <w:t>A</w:t>
      </w:r>
      <w:r>
        <w:t>ction 2017-2019</w:t>
      </w:r>
      <w:r w:rsidRPr="007E426D">
        <w:t xml:space="preserve"> et par la prise en compte de la nutrition dans les documents d’orientation stratégiques au niveau national et au niveau des différents secteurs ministériels. </w:t>
      </w:r>
    </w:p>
    <w:p w14:paraId="53E34CCE" w14:textId="77777777" w:rsidR="007E426D" w:rsidRPr="006F0573" w:rsidRDefault="007E426D" w:rsidP="006551E1">
      <w:pPr>
        <w:pStyle w:val="Titre3PNIN"/>
      </w:pPr>
      <w:bookmarkStart w:id="21" w:name="_Toc528054592"/>
      <w:bookmarkStart w:id="22" w:name="_Toc528222330"/>
      <w:bookmarkEnd w:id="21"/>
      <w:r w:rsidRPr="006F0573">
        <w:t>La prise en compte de la nutrition dans les politiques, programmes et stratégies nationales</w:t>
      </w:r>
      <w:bookmarkEnd w:id="22"/>
    </w:p>
    <w:p w14:paraId="731FAD0A" w14:textId="32013D64" w:rsidR="00CB7B5D" w:rsidRDefault="00F115F6" w:rsidP="00B215C3">
      <w:pPr>
        <w:pStyle w:val="ParagrapheRapportPNIN"/>
      </w:pPr>
      <w:r>
        <w:t xml:space="preserve">Pour </w:t>
      </w:r>
      <w:r w:rsidR="00CB7B5D">
        <w:t>l’</w:t>
      </w:r>
      <w:r>
        <w:t xml:space="preserve">analyse de la prise en compte de la nutrition dans </w:t>
      </w:r>
      <w:r w:rsidR="006F0573">
        <w:t>l</w:t>
      </w:r>
      <w:r>
        <w:t>es différents documents stratégiques et opérationnels, plusieurs critères ont été définis.</w:t>
      </w:r>
      <w:r w:rsidR="0045252E">
        <w:t xml:space="preserve"> </w:t>
      </w:r>
      <w:r w:rsidR="00CB7B5D">
        <w:t>Les documents de politiques, stratégies et plans ont été examinés en tenant compte de critères ci-dessous définis :</w:t>
      </w:r>
    </w:p>
    <w:p w14:paraId="71194D85" w14:textId="73C9A945" w:rsidR="00B97637" w:rsidRDefault="0045252E" w:rsidP="00B215C3">
      <w:pPr>
        <w:pStyle w:val="PucesRapportPNIN"/>
      </w:pPr>
      <w:r>
        <w:t>Prise en compte de la nutrition</w:t>
      </w:r>
      <w:r w:rsidR="00B97637">
        <w:t xml:space="preserve"> dans l’analyse situationnelle</w:t>
      </w:r>
      <w:r w:rsidR="006F0573">
        <w:t> ;</w:t>
      </w:r>
    </w:p>
    <w:p w14:paraId="72BFD6F5" w14:textId="47CAE086" w:rsidR="00421088" w:rsidRDefault="00421088" w:rsidP="00B215C3">
      <w:pPr>
        <w:pStyle w:val="PucesRapportPNIN"/>
      </w:pPr>
      <w:r>
        <w:t>Prise en compte de la nutrition dans les objectifs</w:t>
      </w:r>
      <w:r w:rsidR="006F0573">
        <w:t> ;</w:t>
      </w:r>
    </w:p>
    <w:p w14:paraId="44A667B8" w14:textId="21D5564E" w:rsidR="00B97637" w:rsidRDefault="00B97637" w:rsidP="00B215C3">
      <w:pPr>
        <w:pStyle w:val="PucesRapportPNIN"/>
      </w:pPr>
      <w:r>
        <w:t xml:space="preserve">Identification des </w:t>
      </w:r>
      <w:r w:rsidR="00F115F6">
        <w:t>axes stratégiques/actions/</w:t>
      </w:r>
      <w:r>
        <w:t xml:space="preserve">interventions </w:t>
      </w:r>
      <w:r w:rsidR="00F115F6">
        <w:t xml:space="preserve">en lien avec </w:t>
      </w:r>
      <w:r>
        <w:t>la nutrition</w:t>
      </w:r>
      <w:r w:rsidR="006F0573">
        <w:t> ;</w:t>
      </w:r>
    </w:p>
    <w:p w14:paraId="3EE5DB48" w14:textId="749CFBDE" w:rsidR="00B97637" w:rsidRDefault="00B97637" w:rsidP="00B215C3">
      <w:pPr>
        <w:pStyle w:val="PucesRapportPNIN"/>
      </w:pPr>
      <w:r>
        <w:t>Identification d’</w:t>
      </w:r>
      <w:r w:rsidRPr="00B97637">
        <w:t>indicateurs ou des cibles</w:t>
      </w:r>
      <w:r>
        <w:t xml:space="preserve"> </w:t>
      </w:r>
      <w:r w:rsidR="0045252E">
        <w:t>en lien avec la</w:t>
      </w:r>
      <w:r>
        <w:t xml:space="preserve"> nutrition</w:t>
      </w:r>
      <w:r w:rsidR="006F0573">
        <w:t> ;</w:t>
      </w:r>
    </w:p>
    <w:p w14:paraId="131A200B" w14:textId="42354A89" w:rsidR="00B97637" w:rsidRDefault="00B97637" w:rsidP="00B215C3">
      <w:pPr>
        <w:pStyle w:val="PucesRapportPNIN"/>
      </w:pPr>
      <w:r>
        <w:t>Budgétisation des interven</w:t>
      </w:r>
      <w:r w:rsidR="0045252E">
        <w:t>tions/</w:t>
      </w:r>
      <w:r>
        <w:t xml:space="preserve"> actions</w:t>
      </w:r>
      <w:r w:rsidR="002D673C">
        <w:t xml:space="preserve"> </w:t>
      </w:r>
      <w:r w:rsidR="0045252E">
        <w:t>en lien avec la nutrition</w:t>
      </w:r>
      <w:r w:rsidR="006F0573">
        <w:t>.</w:t>
      </w:r>
    </w:p>
    <w:p w14:paraId="38B733C0" w14:textId="77777777" w:rsidR="002D673C" w:rsidRDefault="00371AA8" w:rsidP="00B215C3">
      <w:pPr>
        <w:pStyle w:val="ParagrapheRapportPNIN"/>
      </w:pPr>
      <w:r>
        <w:lastRenderedPageBreak/>
        <w:t>L</w:t>
      </w:r>
      <w:r w:rsidR="00CB7B5D">
        <w:t xml:space="preserve">es documents </w:t>
      </w:r>
      <w:r>
        <w:t xml:space="preserve">nationaux </w:t>
      </w:r>
      <w:r w:rsidR="00CB7B5D">
        <w:t>sont :</w:t>
      </w:r>
    </w:p>
    <w:p w14:paraId="67492F47" w14:textId="769BECE4" w:rsidR="00CB7B5D" w:rsidRDefault="00CB7B5D" w:rsidP="00B215C3">
      <w:pPr>
        <w:pStyle w:val="PucesRapportPNIN"/>
      </w:pPr>
      <w:r>
        <w:t>La Stratégie de Développement Durable et de Croissance Inclusive (SDDCI) Niger 2035</w:t>
      </w:r>
      <w:r w:rsidR="006F0573">
        <w:t> ;</w:t>
      </w:r>
    </w:p>
    <w:p w14:paraId="7DA7B186" w14:textId="49865A55" w:rsidR="00CB7B5D" w:rsidRDefault="00CB7B5D" w:rsidP="00B215C3">
      <w:pPr>
        <w:pStyle w:val="PucesRapportPNIN"/>
      </w:pPr>
      <w:r>
        <w:t>Le Plan de Développement Economique et Social (PDES) 2017-2021</w:t>
      </w:r>
      <w:r w:rsidR="006F0573">
        <w:t> ;</w:t>
      </w:r>
    </w:p>
    <w:p w14:paraId="25524FC0" w14:textId="4E7605BC" w:rsidR="00CB7B5D" w:rsidRDefault="00CB7B5D" w:rsidP="00B215C3">
      <w:pPr>
        <w:pStyle w:val="PucesRapportPNIN"/>
      </w:pPr>
      <w:r>
        <w:t xml:space="preserve">Le </w:t>
      </w:r>
      <w:r w:rsidRPr="00DF19CA">
        <w:t>Plan d’Actions Prioritaires (PAP) 2017-2021</w:t>
      </w:r>
      <w:r>
        <w:t xml:space="preserve"> du PDES</w:t>
      </w:r>
      <w:r w:rsidR="006F0573">
        <w:t> ;</w:t>
      </w:r>
    </w:p>
    <w:p w14:paraId="61CA4C25" w14:textId="11767199" w:rsidR="00CB7B5D" w:rsidRDefault="00CB7B5D" w:rsidP="00B215C3">
      <w:pPr>
        <w:pStyle w:val="PucesRapportPNIN"/>
      </w:pPr>
      <w:r>
        <w:t xml:space="preserve">Le </w:t>
      </w:r>
      <w:r w:rsidR="00F260D1">
        <w:t>C</w:t>
      </w:r>
      <w:r>
        <w:t xml:space="preserve">adre </w:t>
      </w:r>
      <w:r w:rsidR="00F260D1">
        <w:t>S</w:t>
      </w:r>
      <w:r>
        <w:t>tratégique de l’Initiative 3N 2012-2035</w:t>
      </w:r>
      <w:r w:rsidR="006F0573">
        <w:t> ;</w:t>
      </w:r>
    </w:p>
    <w:p w14:paraId="28D807A7" w14:textId="07F0C643" w:rsidR="00CB7B5D" w:rsidRDefault="00CB7B5D" w:rsidP="00B215C3">
      <w:pPr>
        <w:pStyle w:val="PucesRapportPNIN"/>
      </w:pPr>
      <w:r w:rsidRPr="007426C6">
        <w:t xml:space="preserve">Le Document de Programmation Pluriannuel des Dépenses 2018-2020 </w:t>
      </w:r>
      <w:r>
        <w:t>du H</w:t>
      </w:r>
      <w:r w:rsidRPr="007426C6">
        <w:t>aut-commissariat</w:t>
      </w:r>
      <w:r>
        <w:t xml:space="preserve"> à l’I</w:t>
      </w:r>
      <w:r w:rsidRPr="007426C6">
        <w:t>nitiative</w:t>
      </w:r>
      <w:r>
        <w:t xml:space="preserve"> 3N</w:t>
      </w:r>
      <w:r w:rsidR="006F0573">
        <w:t> ;</w:t>
      </w:r>
    </w:p>
    <w:p w14:paraId="02AA4DD7" w14:textId="3AF2BD59" w:rsidR="00CB7B5D" w:rsidRDefault="00CB7B5D" w:rsidP="00B215C3">
      <w:pPr>
        <w:pStyle w:val="PucesRapportPNIN"/>
      </w:pPr>
      <w:r>
        <w:t xml:space="preserve">Le </w:t>
      </w:r>
      <w:r w:rsidR="00F260D1">
        <w:t>P</w:t>
      </w:r>
      <w:r>
        <w:t>lan d’action</w:t>
      </w:r>
      <w:r w:rsidR="00F260D1">
        <w:t>s</w:t>
      </w:r>
      <w:r>
        <w:t xml:space="preserve"> de l’I3N</w:t>
      </w:r>
      <w:r w:rsidRPr="0045252E">
        <w:t xml:space="preserve"> </w:t>
      </w:r>
      <w:r>
        <w:t>2016-2020</w:t>
      </w:r>
      <w:r w:rsidR="006F0573">
        <w:t> ;</w:t>
      </w:r>
    </w:p>
    <w:p w14:paraId="5A78DF1C" w14:textId="34CF111D" w:rsidR="00CB7B5D" w:rsidRDefault="00CB7B5D" w:rsidP="00B215C3">
      <w:pPr>
        <w:pStyle w:val="PucesRapportPNIN"/>
      </w:pPr>
      <w:r>
        <w:t>La P</w:t>
      </w:r>
      <w:r w:rsidRPr="00EE0F16">
        <w:t xml:space="preserve">olitique </w:t>
      </w:r>
      <w:r>
        <w:t>N</w:t>
      </w:r>
      <w:r w:rsidRPr="00EE0F16">
        <w:t xml:space="preserve">ationale de </w:t>
      </w:r>
      <w:r>
        <w:t>Sécurité N</w:t>
      </w:r>
      <w:r w:rsidRPr="00EE0F16">
        <w:t>utritionnelle (PNSN)</w:t>
      </w:r>
      <w:r>
        <w:t xml:space="preserve"> 2016-2025</w:t>
      </w:r>
      <w:r w:rsidR="006F0573">
        <w:t> ;</w:t>
      </w:r>
    </w:p>
    <w:p w14:paraId="6A14233E" w14:textId="0D56E457" w:rsidR="00CB7B5D" w:rsidRDefault="00CB7B5D" w:rsidP="00B215C3">
      <w:pPr>
        <w:pStyle w:val="PucesRapportPNIN"/>
      </w:pPr>
      <w:r>
        <w:t>Le plan d’action multisectoriel de la PNSN</w:t>
      </w:r>
      <w:r w:rsidRPr="00EE0F16">
        <w:t xml:space="preserve"> </w:t>
      </w:r>
      <w:r>
        <w:t>2017-2019</w:t>
      </w:r>
      <w:r w:rsidR="006F0573">
        <w:t>.</w:t>
      </w:r>
    </w:p>
    <w:p w14:paraId="2198EBD9" w14:textId="77777777" w:rsidR="00CB7B5D" w:rsidRDefault="00CB7B5D" w:rsidP="006979A6">
      <w:pPr>
        <w:jc w:val="both"/>
      </w:pPr>
    </w:p>
    <w:p w14:paraId="029CB402" w14:textId="77777777" w:rsidR="00480178" w:rsidRDefault="0088764F" w:rsidP="00B215C3">
      <w:pPr>
        <w:pStyle w:val="ParagrapheRapportPNIN"/>
      </w:pPr>
      <w:r>
        <w:t>L</w:t>
      </w:r>
      <w:r w:rsidRPr="0088764F">
        <w:t xml:space="preserve">es documents </w:t>
      </w:r>
      <w:r w:rsidR="002D673C">
        <w:t xml:space="preserve">opérationnels </w:t>
      </w:r>
      <w:r w:rsidRPr="0088764F">
        <w:t>sectoriels en lien avec la nutrition</w:t>
      </w:r>
      <w:r>
        <w:t xml:space="preserve"> </w:t>
      </w:r>
      <w:r w:rsidR="00371AA8">
        <w:t>sont</w:t>
      </w:r>
      <w:r>
        <w:t> :</w:t>
      </w:r>
    </w:p>
    <w:p w14:paraId="68C61906" w14:textId="59828B63" w:rsidR="00DA1AD6" w:rsidRDefault="00DA1AD6" w:rsidP="00B215C3">
      <w:pPr>
        <w:pStyle w:val="pucetitrePNIN"/>
      </w:pPr>
      <w:r>
        <w:t>Pour le secteur de la santé publique</w:t>
      </w:r>
    </w:p>
    <w:p w14:paraId="12BAFCCF" w14:textId="1578EAB4" w:rsidR="00DA1AD6" w:rsidRDefault="00AD75C0" w:rsidP="00B215C3">
      <w:pPr>
        <w:pStyle w:val="PucesRapportPNIN"/>
      </w:pPr>
      <w:r>
        <w:t>L</w:t>
      </w:r>
      <w:r w:rsidR="00DA1AD6" w:rsidRPr="00D6438F">
        <w:t>a Politique Nationale de Santé (PNS)</w:t>
      </w:r>
      <w:r w:rsidR="006F0573">
        <w:t> ;</w:t>
      </w:r>
    </w:p>
    <w:p w14:paraId="2A814DD1" w14:textId="16D93DE5" w:rsidR="00DA1AD6" w:rsidRDefault="00DA1AD6" w:rsidP="00B215C3">
      <w:pPr>
        <w:pStyle w:val="PucesRapportPNIN"/>
      </w:pPr>
      <w:r>
        <w:t>Le</w:t>
      </w:r>
      <w:r w:rsidRPr="00D6438F">
        <w:t xml:space="preserve"> Plan de Développ</w:t>
      </w:r>
      <w:r>
        <w:t>ement Sanitaire (PDS) 2017-2021</w:t>
      </w:r>
      <w:r w:rsidR="006F0573">
        <w:t> ;</w:t>
      </w:r>
    </w:p>
    <w:p w14:paraId="3D9322BE" w14:textId="4DDC8EBB" w:rsidR="00DA1AD6" w:rsidRDefault="00DA1AD6" w:rsidP="00B215C3">
      <w:pPr>
        <w:pStyle w:val="PucesRapportPNIN"/>
      </w:pPr>
      <w:r>
        <w:t xml:space="preserve">Le </w:t>
      </w:r>
      <w:r w:rsidRPr="00065B79">
        <w:t>guide de suivi-évaluation du plan de développement sanitaire 2017-2021</w:t>
      </w:r>
      <w:r w:rsidR="006F0573">
        <w:t> ;</w:t>
      </w:r>
    </w:p>
    <w:p w14:paraId="50A8A85E" w14:textId="491C1DD6" w:rsidR="00DA1AD6" w:rsidRDefault="00DA1AD6" w:rsidP="00B215C3">
      <w:pPr>
        <w:pStyle w:val="PucesRapportPNIN"/>
      </w:pPr>
      <w:r w:rsidRPr="00CB7B5D">
        <w:t>Le Document de Programmation Pluriannuel des Dépenses</w:t>
      </w:r>
      <w:r w:rsidR="00B215C3">
        <w:t xml:space="preserve"> (DPPD)</w:t>
      </w:r>
      <w:r w:rsidRPr="00CB7B5D">
        <w:t xml:space="preserve"> 201</w:t>
      </w:r>
      <w:r>
        <w:t>9-2021</w:t>
      </w:r>
      <w:r w:rsidRPr="00CB7B5D">
        <w:t xml:space="preserve"> du Ministère de l</w:t>
      </w:r>
      <w:r>
        <w:t>a santé Publique</w:t>
      </w:r>
      <w:r w:rsidR="006F0573">
        <w:t>.</w:t>
      </w:r>
    </w:p>
    <w:p w14:paraId="23459DF5" w14:textId="002A2E22" w:rsidR="001821BF" w:rsidRDefault="001821BF" w:rsidP="00B215C3">
      <w:pPr>
        <w:pStyle w:val="pucetitrePNIN"/>
      </w:pPr>
      <w:r>
        <w:t>Pour le secteur de l’agriculture et les systèmes alimentaires</w:t>
      </w:r>
    </w:p>
    <w:p w14:paraId="40C977D3" w14:textId="4603A291" w:rsidR="004B6A00" w:rsidRDefault="004B6A00" w:rsidP="00B215C3">
      <w:pPr>
        <w:pStyle w:val="PucesRapportPNIN"/>
      </w:pPr>
      <w:r>
        <w:t xml:space="preserve">La </w:t>
      </w:r>
      <w:r w:rsidR="006F0573">
        <w:t>S</w:t>
      </w:r>
      <w:r>
        <w:t xml:space="preserve">tratégie de </w:t>
      </w:r>
      <w:r w:rsidR="006F0573">
        <w:t>D</w:t>
      </w:r>
      <w:r>
        <w:t xml:space="preserve">éveloppement </w:t>
      </w:r>
      <w:r w:rsidR="006F0573">
        <w:t>D</w:t>
      </w:r>
      <w:r>
        <w:t>urable de l’</w:t>
      </w:r>
      <w:r w:rsidR="006F0573">
        <w:t>E</w:t>
      </w:r>
      <w:r>
        <w:t>levage (SDDEL</w:t>
      </w:r>
      <w:r w:rsidR="00D6438F">
        <w:t>)</w:t>
      </w:r>
      <w:r>
        <w:t xml:space="preserve"> 2013-2035</w:t>
      </w:r>
      <w:r w:rsidR="006F0573">
        <w:t> ;</w:t>
      </w:r>
    </w:p>
    <w:p w14:paraId="0C06BFDC" w14:textId="56B16CA3" w:rsidR="00864206" w:rsidRDefault="006F0573" w:rsidP="00B215C3">
      <w:pPr>
        <w:pStyle w:val="PucesRapportPNIN"/>
      </w:pPr>
      <w:r>
        <w:t>Le p</w:t>
      </w:r>
      <w:r w:rsidR="008C65F3">
        <w:t xml:space="preserve">rojet Annuel de Performance </w:t>
      </w:r>
      <w:r w:rsidR="008C65F3" w:rsidRPr="008C65F3">
        <w:t>2019</w:t>
      </w:r>
      <w:r w:rsidR="00B215C3">
        <w:t xml:space="preserve"> (PAP)</w:t>
      </w:r>
      <w:r w:rsidR="008C65F3">
        <w:t xml:space="preserve"> </w:t>
      </w:r>
      <w:r w:rsidR="00864206">
        <w:t>du M</w:t>
      </w:r>
      <w:r w:rsidR="00864206" w:rsidRPr="00864206">
        <w:t>inistère</w:t>
      </w:r>
      <w:r w:rsidR="00864206">
        <w:t xml:space="preserve"> de l’A</w:t>
      </w:r>
      <w:r w:rsidR="00864206" w:rsidRPr="00864206">
        <w:t>griculture et de l’</w:t>
      </w:r>
      <w:r w:rsidR="00864206">
        <w:t>E</w:t>
      </w:r>
      <w:r w:rsidR="00864206" w:rsidRPr="00864206">
        <w:t>levage</w:t>
      </w:r>
      <w:r>
        <w:t>.</w:t>
      </w:r>
    </w:p>
    <w:p w14:paraId="2DFFC0C4" w14:textId="6FA19782" w:rsidR="001821BF" w:rsidRDefault="001821BF" w:rsidP="00B215C3">
      <w:pPr>
        <w:pStyle w:val="pucetitrePNIN"/>
      </w:pPr>
      <w:r>
        <w:t>Pour le secteur de l’eau, l’hygiène et assainissement</w:t>
      </w:r>
    </w:p>
    <w:p w14:paraId="4792DEAB" w14:textId="64FBD83A" w:rsidR="004B6A00" w:rsidRDefault="00864206" w:rsidP="00B215C3">
      <w:pPr>
        <w:pStyle w:val="PucesRapportPNIN"/>
      </w:pPr>
      <w:r>
        <w:t>L</w:t>
      </w:r>
      <w:r w:rsidR="004B6A00">
        <w:t>a Stratégie Opérationnelle de Promotion de l’Hygiène et de l’Assainissement de Base (SOPHAB) au Niger 2014-2018</w:t>
      </w:r>
      <w:r w:rsidR="006F0573">
        <w:t> ;</w:t>
      </w:r>
    </w:p>
    <w:p w14:paraId="68751A30" w14:textId="081A6F22" w:rsidR="004B6A00" w:rsidRDefault="00D6438F" w:rsidP="00B215C3">
      <w:pPr>
        <w:pStyle w:val="PucesRapportPNIN"/>
      </w:pPr>
      <w:r>
        <w:t>Le Programme Sectoriel Eau Hygiène et Assainissement (</w:t>
      </w:r>
      <w:r w:rsidR="004B6A00">
        <w:t>PROSEHA</w:t>
      </w:r>
      <w:r>
        <w:t>)</w:t>
      </w:r>
      <w:r w:rsidR="004B6A00">
        <w:t xml:space="preserve"> 2016-2030</w:t>
      </w:r>
      <w:r w:rsidR="006F0573">
        <w:t> ;</w:t>
      </w:r>
    </w:p>
    <w:p w14:paraId="6F7A9BFF" w14:textId="49003F97" w:rsidR="009154C2" w:rsidRDefault="009154C2" w:rsidP="00B215C3">
      <w:pPr>
        <w:pStyle w:val="PucesRapportPNIN"/>
      </w:pPr>
      <w:r>
        <w:t>Le Plan d’Action National de Gestion Intégrée des Ressources en Eau (PANGIRE) 2017-</w:t>
      </w:r>
      <w:r w:rsidRPr="009154C2">
        <w:t>2030</w:t>
      </w:r>
      <w:r w:rsidR="006F0573">
        <w:t> ;</w:t>
      </w:r>
    </w:p>
    <w:p w14:paraId="4DBF6971" w14:textId="77335A40" w:rsidR="00864206" w:rsidRDefault="00864206" w:rsidP="00B215C3">
      <w:pPr>
        <w:pStyle w:val="PucesRapportPNIN"/>
      </w:pPr>
      <w:r>
        <w:t xml:space="preserve">Le </w:t>
      </w:r>
      <w:r w:rsidRPr="00864206">
        <w:t>Document de Programmation Pluriannuel des Dépenses 2018-2020</w:t>
      </w:r>
      <w:r w:rsidR="007426C6">
        <w:t xml:space="preserve"> </w:t>
      </w:r>
      <w:r w:rsidR="006F0573">
        <w:t xml:space="preserve">(DPPD) </w:t>
      </w:r>
      <w:r w:rsidR="007426C6">
        <w:t>du M</w:t>
      </w:r>
      <w:r w:rsidR="007426C6" w:rsidRPr="007426C6">
        <w:t>inistère de l‘hydraulique et de l’assainissement</w:t>
      </w:r>
    </w:p>
    <w:p w14:paraId="7DB513F3" w14:textId="253E3E74" w:rsidR="001821BF" w:rsidRDefault="001821BF" w:rsidP="00B215C3">
      <w:pPr>
        <w:pStyle w:val="pucetitrePNIN"/>
      </w:pPr>
      <w:r>
        <w:t>Pour le secteur de l’éducation</w:t>
      </w:r>
    </w:p>
    <w:p w14:paraId="7DC9EABD" w14:textId="718F4D6B" w:rsidR="004E47FE" w:rsidRDefault="001E1395" w:rsidP="00B215C3">
      <w:pPr>
        <w:pStyle w:val="PucesRapportPNIN"/>
      </w:pPr>
      <w:r>
        <w:t>Le Programme Sectoriel de l’Education et de la Formation (2014-2024)</w:t>
      </w:r>
      <w:r w:rsidR="006F0573">
        <w:t> ;</w:t>
      </w:r>
    </w:p>
    <w:p w14:paraId="05404FB5" w14:textId="219A0513" w:rsidR="001821BF" w:rsidRDefault="004E47FE" w:rsidP="00B215C3">
      <w:pPr>
        <w:pStyle w:val="PucesRapportPNIN"/>
      </w:pPr>
      <w:r w:rsidRPr="004E47FE">
        <w:t>La stratégie conjointe et intégrée d’alimentation scolaire à base communautaire</w:t>
      </w:r>
      <w:r w:rsidR="006F0573">
        <w:t>.</w:t>
      </w:r>
    </w:p>
    <w:p w14:paraId="0F3E7F31" w14:textId="5FEEB517" w:rsidR="001821BF" w:rsidRDefault="001821BF" w:rsidP="00B215C3">
      <w:pPr>
        <w:pStyle w:val="pucetitrePNIN"/>
      </w:pPr>
      <w:r>
        <w:t>Pour le secteur de la protection sociale</w:t>
      </w:r>
    </w:p>
    <w:p w14:paraId="6BA22342" w14:textId="63A62219" w:rsidR="00F115F6" w:rsidRDefault="00F115F6" w:rsidP="00B215C3">
      <w:pPr>
        <w:pStyle w:val="PucesRapportPNIN"/>
      </w:pPr>
      <w:r>
        <w:t>La Politique Nationale de Protection S</w:t>
      </w:r>
      <w:r w:rsidRPr="00F115F6">
        <w:t>ocia</w:t>
      </w:r>
      <w:r>
        <w:t>le au N</w:t>
      </w:r>
      <w:r w:rsidRPr="00F115F6">
        <w:t>iger</w:t>
      </w:r>
      <w:r>
        <w:t xml:space="preserve"> (PNPS) de 2011</w:t>
      </w:r>
      <w:r w:rsidR="000B1AD6">
        <w:t> ;</w:t>
      </w:r>
    </w:p>
    <w:p w14:paraId="462F9E7A" w14:textId="531BF626" w:rsidR="00D6525F" w:rsidRDefault="00D6525F" w:rsidP="00B215C3">
      <w:pPr>
        <w:pStyle w:val="PucesRapportPNIN"/>
      </w:pPr>
      <w:r>
        <w:t>L</w:t>
      </w:r>
      <w:r w:rsidRPr="00D6525F">
        <w:t xml:space="preserve">e </w:t>
      </w:r>
      <w:r w:rsidR="000B1AD6">
        <w:t>P</w:t>
      </w:r>
      <w:r w:rsidRPr="00D6525F">
        <w:t xml:space="preserve">lan de </w:t>
      </w:r>
      <w:r w:rsidR="000B1AD6">
        <w:t>S</w:t>
      </w:r>
      <w:r w:rsidRPr="00D6525F">
        <w:t xml:space="preserve">outien aux </w:t>
      </w:r>
      <w:r w:rsidR="000B1AD6">
        <w:t>P</w:t>
      </w:r>
      <w:r w:rsidRPr="00D6525F">
        <w:t>opulations vulnérables</w:t>
      </w:r>
      <w:r>
        <w:t xml:space="preserve"> 2018</w:t>
      </w:r>
      <w:r w:rsidR="009F64E1">
        <w:t>.</w:t>
      </w:r>
    </w:p>
    <w:p w14:paraId="7D060874" w14:textId="77777777" w:rsidR="009E1F97" w:rsidRDefault="009E1F97" w:rsidP="009E1F97">
      <w:pPr>
        <w:pStyle w:val="PucesRapportPNIN"/>
        <w:numPr>
          <w:ilvl w:val="0"/>
          <w:numId w:val="0"/>
        </w:numPr>
        <w:ind w:left="2421"/>
      </w:pPr>
    </w:p>
    <w:p w14:paraId="0852D5B2" w14:textId="72BEEA77" w:rsidR="001821BF" w:rsidRDefault="001821BF" w:rsidP="00B215C3">
      <w:pPr>
        <w:pStyle w:val="pucetitrePNIN"/>
      </w:pPr>
      <w:r>
        <w:t>Pour le secteur de l’environnement</w:t>
      </w:r>
    </w:p>
    <w:p w14:paraId="6CDCBDD7" w14:textId="072249A3" w:rsidR="00BC1197" w:rsidRDefault="00990E49" w:rsidP="00B215C3">
      <w:pPr>
        <w:pStyle w:val="PucesRapportPNIN"/>
      </w:pPr>
      <w:r>
        <w:lastRenderedPageBreak/>
        <w:t>Le Cadre Stratégique de la Gestion Durable des Terres (GS-GDT) au Niger</w:t>
      </w:r>
      <w:r w:rsidR="009F64E1">
        <w:t> ;</w:t>
      </w:r>
    </w:p>
    <w:p w14:paraId="6B6BD970" w14:textId="2135CF31" w:rsidR="00990E49" w:rsidRDefault="00BC1197" w:rsidP="00B215C3">
      <w:pPr>
        <w:pStyle w:val="PucesRapportPNIN"/>
      </w:pPr>
      <w:r>
        <w:t>P</w:t>
      </w:r>
      <w:r w:rsidR="00990E49">
        <w:t>lan d’investissement 2015</w:t>
      </w:r>
      <w:r w:rsidR="009F64E1">
        <w:t>-</w:t>
      </w:r>
      <w:r w:rsidR="00990E49">
        <w:t>2029</w:t>
      </w:r>
      <w:r w:rsidR="00CB7B5D">
        <w:t xml:space="preserve"> du Ministère de </w:t>
      </w:r>
      <w:r w:rsidR="00CB7B5D" w:rsidRPr="00CB7B5D">
        <w:t>l’Environnement et du Développement Durable</w:t>
      </w:r>
      <w:r w:rsidR="009F64E1">
        <w:t> ;</w:t>
      </w:r>
    </w:p>
    <w:p w14:paraId="2381931A" w14:textId="285A5D4C" w:rsidR="007426C6" w:rsidRDefault="007426C6" w:rsidP="00B215C3">
      <w:pPr>
        <w:pStyle w:val="PucesRapportPNIN"/>
      </w:pPr>
      <w:r>
        <w:t xml:space="preserve">Le </w:t>
      </w:r>
      <w:r w:rsidRPr="00864206">
        <w:t>Document de Programmation Pluriannuel des Dépenses</w:t>
      </w:r>
      <w:r w:rsidR="00B215C3">
        <w:t xml:space="preserve"> (DPPD)</w:t>
      </w:r>
      <w:r w:rsidRPr="00864206">
        <w:t xml:space="preserve"> 2018-2020</w:t>
      </w:r>
      <w:r>
        <w:t xml:space="preserve"> du M</w:t>
      </w:r>
      <w:r w:rsidRPr="007426C6">
        <w:t>inistère</w:t>
      </w:r>
      <w:r>
        <w:t xml:space="preserve"> de l’E</w:t>
      </w:r>
      <w:r w:rsidRPr="007426C6">
        <w:t xml:space="preserve">nvironnement et du </w:t>
      </w:r>
      <w:r>
        <w:t>D</w:t>
      </w:r>
      <w:r w:rsidRPr="007426C6">
        <w:t xml:space="preserve">éveloppement </w:t>
      </w:r>
      <w:r>
        <w:t>D</w:t>
      </w:r>
      <w:r w:rsidRPr="007426C6">
        <w:t>urable</w:t>
      </w:r>
      <w:r w:rsidR="009F64E1">
        <w:t>.</w:t>
      </w:r>
    </w:p>
    <w:p w14:paraId="3154BDBF" w14:textId="5DBA22A1" w:rsidR="00E90DE3" w:rsidRPr="004F5A11" w:rsidRDefault="009F64E1" w:rsidP="00EC23BF">
      <w:pPr>
        <w:pStyle w:val="Titre4PNIN"/>
      </w:pPr>
      <w:bookmarkStart w:id="23" w:name="_Toc528222331"/>
      <w:r w:rsidRPr="001F5367">
        <w:t>3.1.1</w:t>
      </w:r>
      <w:r w:rsidRPr="00890B49">
        <w:t xml:space="preserve">. </w:t>
      </w:r>
      <w:r w:rsidR="00E90DE3" w:rsidRPr="00890B49">
        <w:t>La nutrition dans la Stratégie de Développement Durable et de Croissance Inclusive (S</w:t>
      </w:r>
      <w:r w:rsidR="00E90DE3" w:rsidRPr="004F5A11">
        <w:t>DDCI) Niger 2035</w:t>
      </w:r>
      <w:bookmarkEnd w:id="23"/>
    </w:p>
    <w:p w14:paraId="6E61C5EC" w14:textId="36427BB4" w:rsidR="00E7343C" w:rsidRDefault="00DF19CA" w:rsidP="00B215C3">
      <w:pPr>
        <w:pStyle w:val="ParagrapheRapportPNIN"/>
      </w:pPr>
      <w:r>
        <w:t xml:space="preserve">La SDDCI Niger 2035 </w:t>
      </w:r>
      <w:r w:rsidR="00CA5D2A">
        <w:t>traduit la vision du Niger à l’horizon 2035</w:t>
      </w:r>
      <w:r w:rsidR="009F64E1">
        <w:t xml:space="preserve"> : </w:t>
      </w:r>
      <w:r w:rsidR="00CA5D2A">
        <w:t>«</w:t>
      </w:r>
      <w:r w:rsidR="009F64E1">
        <w:t> </w:t>
      </w:r>
      <w:r w:rsidR="00CA5D2A">
        <w:t>un pays uni, démocratique et moderne, paisible, prospère et fier de ses valeurs culturelles, sous-tendu par un développement durable, éthique, équitable et équilibré dans une Afrique unie et solidaire</w:t>
      </w:r>
      <w:r w:rsidR="009F64E1">
        <w:t> </w:t>
      </w:r>
      <w:r w:rsidR="00CA5D2A">
        <w:t xml:space="preserve">». </w:t>
      </w:r>
      <w:r w:rsidR="009F64E1">
        <w:t xml:space="preserve">Cette vision </w:t>
      </w:r>
      <w:r w:rsidRPr="00DF19CA">
        <w:t>offre aux exercices de prévisions, de programmation et d’élaboration des politiques, le cadre</w:t>
      </w:r>
      <w:r w:rsidR="00CA5D2A">
        <w:t xml:space="preserve"> </w:t>
      </w:r>
      <w:r w:rsidRPr="00DF19CA">
        <w:t>d’un futur voulu assis sur des orientations stratégiques largement partagées et accessibles</w:t>
      </w:r>
      <w:r w:rsidR="00CA5D2A">
        <w:rPr>
          <w:rStyle w:val="Appelnotedebasdep"/>
        </w:rPr>
        <w:footnoteReference w:id="32"/>
      </w:r>
      <w:r w:rsidRPr="00DF19CA">
        <w:t xml:space="preserve">. </w:t>
      </w:r>
      <w:r w:rsidR="009F64E1">
        <w:t>Il s’agit du</w:t>
      </w:r>
      <w:r w:rsidR="00CA5D2A">
        <w:t xml:space="preserve"> cadre référentiel pour la planification à long terme pour anticiper et préparer les transformations structurelles du Niger.</w:t>
      </w:r>
      <w:r w:rsidR="00151681">
        <w:t xml:space="preserve"> </w:t>
      </w:r>
      <w:r w:rsidR="00CA5D2A" w:rsidRPr="00CA5D2A">
        <w:t xml:space="preserve">La </w:t>
      </w:r>
      <w:r w:rsidR="00CA5D2A">
        <w:t>SDDCI a été élaboré par le gouvernemen</w:t>
      </w:r>
      <w:r w:rsidR="00A3547A">
        <w:t>t en mai</w:t>
      </w:r>
      <w:r w:rsidR="009F64E1">
        <w:t> </w:t>
      </w:r>
      <w:r w:rsidR="00A3547A">
        <w:t xml:space="preserve">2017 </w:t>
      </w:r>
      <w:r w:rsidR="00ED748E">
        <w:t>dans un processus qui a mobilisé largement les différents acteurs de l’</w:t>
      </w:r>
      <w:r w:rsidR="00ED748E" w:rsidRPr="00ED748E">
        <w:t xml:space="preserve">administration publique, </w:t>
      </w:r>
      <w:r w:rsidR="00ED748E">
        <w:t xml:space="preserve">de la </w:t>
      </w:r>
      <w:r w:rsidR="00ED748E" w:rsidRPr="00ED748E">
        <w:t xml:space="preserve">société civile, </w:t>
      </w:r>
      <w:r w:rsidR="00ED748E">
        <w:t xml:space="preserve">du secteur privé et des </w:t>
      </w:r>
      <w:r w:rsidR="00ED748E" w:rsidRPr="00ED748E">
        <w:t>P</w:t>
      </w:r>
      <w:r w:rsidR="00ED748E">
        <w:t xml:space="preserve">artenaires </w:t>
      </w:r>
      <w:r w:rsidR="00ED748E" w:rsidRPr="00ED748E">
        <w:t>T</w:t>
      </w:r>
      <w:r w:rsidR="00ED748E">
        <w:t xml:space="preserve">echniques et </w:t>
      </w:r>
      <w:r w:rsidR="00ED748E" w:rsidRPr="00ED748E">
        <w:t>F</w:t>
      </w:r>
      <w:r w:rsidR="00ED748E">
        <w:t>inanciers</w:t>
      </w:r>
      <w:r w:rsidR="001F5367">
        <w:t xml:space="preserve"> (PTFs)</w:t>
      </w:r>
      <w:r w:rsidR="00ED748E">
        <w:t>.</w:t>
      </w:r>
      <w:r w:rsidR="00AB3094">
        <w:t xml:space="preserve"> </w:t>
      </w:r>
      <w:r w:rsidR="001F5367">
        <w:t xml:space="preserve">LA SDDCI </w:t>
      </w:r>
      <w:r w:rsidR="00AB3094">
        <w:t>est actuellement en cours de mise en œuvre et repose essentiellement sur les Plans Nationaux de Développement, les documents stratégiques sectoriels, régionaux et locaux.</w:t>
      </w:r>
      <w:r w:rsidR="00E7343C" w:rsidRPr="00E7343C">
        <w:t xml:space="preserve"> </w:t>
      </w:r>
    </w:p>
    <w:p w14:paraId="36DF9A98" w14:textId="2016B6C0" w:rsidR="00A3547A" w:rsidRDefault="00CA5D2A" w:rsidP="00B215C3">
      <w:pPr>
        <w:pStyle w:val="ParagrapheRapportPNIN"/>
      </w:pPr>
      <w:r w:rsidRPr="00B215C3">
        <w:rPr>
          <w:b/>
        </w:rPr>
        <w:t>Prise en compte de la nutrition dans l’analyse situationnelle</w:t>
      </w:r>
      <w:r w:rsidR="001F5367">
        <w:rPr>
          <w:b/>
        </w:rPr>
        <w:t>.</w:t>
      </w:r>
    </w:p>
    <w:p w14:paraId="3B3A8246" w14:textId="77777777" w:rsidR="00A3547A" w:rsidRDefault="00A3547A" w:rsidP="00B215C3">
      <w:pPr>
        <w:pStyle w:val="ParagrapheRapportPNIN"/>
      </w:pPr>
      <w:r w:rsidRPr="00A3547A">
        <w:t xml:space="preserve">La nutrition est prise en compte dans l’analyse situationnelle de la SDDCI </w:t>
      </w:r>
      <w:r>
        <w:t>comme axe du développement du capital humain dans le volet de la santé.</w:t>
      </w:r>
      <w:r w:rsidR="00977D4E">
        <w:t xml:space="preserve"> </w:t>
      </w:r>
    </w:p>
    <w:p w14:paraId="1AF86F25" w14:textId="4D7C2B8F" w:rsidR="00421088" w:rsidRDefault="00421088" w:rsidP="00B215C3">
      <w:pPr>
        <w:pStyle w:val="ParagrapheRapportPNIN"/>
      </w:pPr>
      <w:r w:rsidRPr="00B215C3">
        <w:rPr>
          <w:b/>
        </w:rPr>
        <w:t>Prise en compte de la nutrition dans les objectifs</w:t>
      </w:r>
      <w:r w:rsidR="001F5367">
        <w:t>.</w:t>
      </w:r>
    </w:p>
    <w:p w14:paraId="10F4F44B" w14:textId="226DAE28" w:rsidR="00E7343C" w:rsidRPr="00CA5D2A" w:rsidRDefault="000D0DFA" w:rsidP="00B215C3">
      <w:pPr>
        <w:pStyle w:val="ParagrapheRapportPNIN"/>
      </w:pPr>
      <w:r w:rsidRPr="000D0DFA">
        <w:t>La nutrition n’est pas prise en compte parmi les prin</w:t>
      </w:r>
      <w:r>
        <w:t>cipaux objectifs de la SDDCI</w:t>
      </w:r>
      <w:r w:rsidRPr="000D0DFA">
        <w:t>.</w:t>
      </w:r>
      <w:r>
        <w:t xml:space="preserve"> </w:t>
      </w:r>
      <w:r w:rsidR="00E7343C" w:rsidRPr="00E7343C">
        <w:t>Les différents objectifs stratégiques de la SDDCI sont en cohérence avec les engagements internationaux pris par le Niger dans le cadre du programme post 2015 pris par les Nations-Unies (ODD), de l’Agenda 2063 de l’Union Africaine ainsi que les engagements du Document d’Orientations Economiques (DOE).</w:t>
      </w:r>
    </w:p>
    <w:p w14:paraId="34AA721D" w14:textId="342689F7" w:rsidR="00EE2A97" w:rsidRDefault="00421088" w:rsidP="00B215C3">
      <w:pPr>
        <w:pStyle w:val="ParagrapheRapportPNIN"/>
      </w:pPr>
      <w:r w:rsidRPr="00977D4E">
        <w:t xml:space="preserve">Dans le scénario de rupture proposé par la SDDCI pour l’atteinte de ses objectifs de développement d'ici 2035, </w:t>
      </w:r>
      <w:r w:rsidR="000D0DFA">
        <w:t>la</w:t>
      </w:r>
      <w:r w:rsidRPr="00977D4E">
        <w:t xml:space="preserve"> dimension multisectorielle </w:t>
      </w:r>
      <w:r w:rsidR="000D0DFA">
        <w:t>dans la lutte contre la malnutrition est énoncée</w:t>
      </w:r>
      <w:r w:rsidR="001F5367">
        <w:t> </w:t>
      </w:r>
      <w:r w:rsidRPr="00977D4E">
        <w:t>: «</w:t>
      </w:r>
      <w:r w:rsidR="001F5367">
        <w:t> </w:t>
      </w:r>
      <w:r w:rsidRPr="00977D4E">
        <w:t>Grâce à une meilleure éducation, une alimentation adéquate, un accès à l’eau, à l’assainissement et à des services de santé de qualité, le Niger enregistrerait enfin un déclin constant des taux de malnutrition et de retard de croissance en milieu rural</w:t>
      </w:r>
      <w:r w:rsidR="001F5367">
        <w:t> </w:t>
      </w:r>
      <w:r w:rsidRPr="00977D4E">
        <w:t>».</w:t>
      </w:r>
      <w:r>
        <w:t xml:space="preserve"> </w:t>
      </w:r>
    </w:p>
    <w:p w14:paraId="39E3D625" w14:textId="77777777" w:rsidR="00CA5D2A" w:rsidRPr="00A3547A" w:rsidRDefault="00CA5D2A" w:rsidP="00B215C3">
      <w:pPr>
        <w:pStyle w:val="ParagrapheRapportPNIN"/>
        <w:rPr>
          <w:b/>
        </w:rPr>
      </w:pPr>
      <w:r w:rsidRPr="00A3547A">
        <w:rPr>
          <w:b/>
        </w:rPr>
        <w:t>Identification des axes stratégiques/actions/interventions en lien avec la nutrition</w:t>
      </w:r>
    </w:p>
    <w:p w14:paraId="7E3AF79C" w14:textId="45878725" w:rsidR="00977D4E" w:rsidRDefault="00FE4760" w:rsidP="00B215C3">
      <w:pPr>
        <w:pStyle w:val="ParagrapheRapportPNIN"/>
      </w:pPr>
      <w:r w:rsidRPr="00FE4760">
        <w:t xml:space="preserve">La nutrition est prise en compte dans </w:t>
      </w:r>
      <w:r w:rsidR="00BF5405">
        <w:t xml:space="preserve">le troisième axe stratégique </w:t>
      </w:r>
      <w:r w:rsidR="001F5367">
        <w:t xml:space="preserve">de </w:t>
      </w:r>
      <w:r w:rsidR="00BF5405">
        <w:t xml:space="preserve">développement </w:t>
      </w:r>
      <w:r w:rsidR="00BF5405" w:rsidRPr="00FE4760">
        <w:t>de la SDDCI qui est</w:t>
      </w:r>
      <w:r w:rsidR="001F5367">
        <w:t xml:space="preserve"> </w:t>
      </w:r>
      <w:r w:rsidR="00BF5405">
        <w:t>le développement du capital humain</w:t>
      </w:r>
      <w:r w:rsidR="00EE2A97">
        <w:t xml:space="preserve"> et dans le secteur de la santé</w:t>
      </w:r>
      <w:r w:rsidR="00BF5405">
        <w:t xml:space="preserve">. Une ambition claire est noté d’adresser les enjeux de la nutrition afin de bénéficier de leurs effets multiplicateurs sur le capital humain. </w:t>
      </w:r>
    </w:p>
    <w:p w14:paraId="4B187473" w14:textId="77777777" w:rsidR="00786B4B" w:rsidRDefault="0029707E" w:rsidP="00B215C3">
      <w:pPr>
        <w:pStyle w:val="ParagrapheRapportPNIN"/>
        <w:rPr>
          <w:b/>
        </w:rPr>
      </w:pPr>
      <w:r w:rsidRPr="00786B4B">
        <w:rPr>
          <w:b/>
        </w:rPr>
        <w:t xml:space="preserve">Malgré une prise en compte dans la SDDCI, </w:t>
      </w:r>
      <w:r w:rsidR="00006C5B" w:rsidRPr="00786B4B">
        <w:rPr>
          <w:b/>
        </w:rPr>
        <w:t>la nutrition</w:t>
      </w:r>
      <w:r w:rsidRPr="00786B4B">
        <w:rPr>
          <w:b/>
        </w:rPr>
        <w:t xml:space="preserve"> reste malheureusement </w:t>
      </w:r>
      <w:r w:rsidR="00736390" w:rsidRPr="00786B4B">
        <w:rPr>
          <w:b/>
        </w:rPr>
        <w:t>confinée au secteur de la santé.</w:t>
      </w:r>
    </w:p>
    <w:p w14:paraId="7C9F8D36" w14:textId="7B587C0A" w:rsidR="007E426D" w:rsidRPr="00780F34" w:rsidRDefault="001F5367" w:rsidP="00EC23BF">
      <w:pPr>
        <w:pStyle w:val="Titre4PNIN"/>
      </w:pPr>
      <w:bookmarkStart w:id="24" w:name="_Toc528222332"/>
      <w:r>
        <w:lastRenderedPageBreak/>
        <w:t xml:space="preserve">3.1.2. </w:t>
      </w:r>
      <w:r w:rsidR="007E426D" w:rsidRPr="00780F34">
        <w:t>La nutrition dans le Plan de Développement Economique et Social (PDES) 2017-2021 et dans son Plan d’Actions Prioritaires (PAP) 2017-2021</w:t>
      </w:r>
      <w:bookmarkEnd w:id="24"/>
    </w:p>
    <w:p w14:paraId="6C506695" w14:textId="209D2967" w:rsidR="0001459A" w:rsidRDefault="00E90DE3" w:rsidP="00B215C3">
      <w:pPr>
        <w:pStyle w:val="ParagrapheRapportPNIN"/>
      </w:pPr>
      <w:r w:rsidRPr="007E426D">
        <w:t xml:space="preserve">Le Plan de Développement Economique et Social (PDES) 2017-2021 est le </w:t>
      </w:r>
      <w:r w:rsidR="006A5211">
        <w:t xml:space="preserve">premier </w:t>
      </w:r>
      <w:r w:rsidRPr="007E426D">
        <w:t>plan quinquennal de l’opérationnalisation de la Stratégie de Développement Durable et de Croissance Inclusi</w:t>
      </w:r>
      <w:r w:rsidR="00151681">
        <w:t xml:space="preserve">ve (SDDCI) Niger 2035. </w:t>
      </w:r>
      <w:r w:rsidR="00006C5B" w:rsidRPr="00006C5B">
        <w:t xml:space="preserve">La </w:t>
      </w:r>
      <w:r w:rsidR="00006C5B">
        <w:t xml:space="preserve">PDES </w:t>
      </w:r>
      <w:r w:rsidR="00006C5B" w:rsidRPr="00006C5B">
        <w:t xml:space="preserve">a été élaboré par le gouvernement en </w:t>
      </w:r>
      <w:r w:rsidR="00851C3E">
        <w:t>septembre</w:t>
      </w:r>
      <w:r w:rsidR="001F5367">
        <w:t> </w:t>
      </w:r>
      <w:r w:rsidR="00006C5B" w:rsidRPr="00006C5B">
        <w:t xml:space="preserve">2017 suite à de larges consultations avec tous les secteurs ministériels et les </w:t>
      </w:r>
      <w:r w:rsidR="001F5367">
        <w:t>P</w:t>
      </w:r>
      <w:r w:rsidR="00006C5B" w:rsidRPr="00006C5B">
        <w:t xml:space="preserve">artenaires </w:t>
      </w:r>
      <w:r w:rsidR="001F5367">
        <w:t>T</w:t>
      </w:r>
      <w:r w:rsidR="00006C5B" w:rsidRPr="00006C5B">
        <w:t xml:space="preserve">echniques et </w:t>
      </w:r>
      <w:r w:rsidR="001F5367">
        <w:t>F</w:t>
      </w:r>
      <w:r w:rsidR="00006C5B" w:rsidRPr="00006C5B">
        <w:t>inanciers.</w:t>
      </w:r>
      <w:r w:rsidR="00E7343C">
        <w:t xml:space="preserve"> Le PDES est articulé autour des ambitions profondes du Programme de Renaissance Acte 2 dont il constitue le principal instrument de mise en œuvre. Il s’appuie également sur la Déclaration de Politique Générale (DPG) du Premier Ministre dont il tire ses principales orientations et axes stratégiques.</w:t>
      </w:r>
    </w:p>
    <w:p w14:paraId="30D60240" w14:textId="03A4202E" w:rsidR="004D583B" w:rsidRDefault="0001459A" w:rsidP="00B215C3">
      <w:pPr>
        <w:pStyle w:val="ParagrapheRapportPNIN"/>
      </w:pPr>
      <w:r>
        <w:t xml:space="preserve">La disponibilité de la Politique Nationale de Sécurité Nutritionnelle 2016-2025 (PNSN) </w:t>
      </w:r>
      <w:r w:rsidR="00A75CFB">
        <w:t xml:space="preserve">et de son plan d’action 2017-2019 </w:t>
      </w:r>
      <w:r>
        <w:t xml:space="preserve">lors de l’élaboration du PDES </w:t>
      </w:r>
      <w:r w:rsidR="00A75CFB">
        <w:t xml:space="preserve">2017-2021 </w:t>
      </w:r>
      <w:r>
        <w:t xml:space="preserve">a fortement contribué à meilleure une prise en compte </w:t>
      </w:r>
      <w:r w:rsidR="00926AB8" w:rsidRPr="00926AB8">
        <w:t>de la nutrition</w:t>
      </w:r>
      <w:r w:rsidR="00926AB8">
        <w:t xml:space="preserve"> </w:t>
      </w:r>
      <w:r w:rsidR="00926AB8" w:rsidRPr="00926AB8">
        <w:t>compar</w:t>
      </w:r>
      <w:r w:rsidR="00926AB8">
        <w:t>ativement au PDES 2012-2015. En effet, l</w:t>
      </w:r>
      <w:r w:rsidR="00926AB8" w:rsidRPr="00926AB8">
        <w:t>’évaluation du PDES 2012-2015 a révélé un taux de réalisation des objectifs-cibles des indicateurs d’effet sur la sécurité alimentaire et nutritionnelle «</w:t>
      </w:r>
      <w:r w:rsidR="001F5367">
        <w:t> </w:t>
      </w:r>
      <w:r w:rsidR="00926AB8" w:rsidRPr="00926AB8">
        <w:t xml:space="preserve">assez moyen du fait essentiellement du résultat </w:t>
      </w:r>
      <w:r w:rsidR="0085446C">
        <w:t>médiocre</w:t>
      </w:r>
      <w:r w:rsidR="00926AB8" w:rsidRPr="00926AB8">
        <w:t xml:space="preserve"> enregistré pour la réducti</w:t>
      </w:r>
      <w:r w:rsidR="0085446C">
        <w:t>on de la malnutrition infantile</w:t>
      </w:r>
      <w:r w:rsidR="001F5367">
        <w:t> </w:t>
      </w:r>
      <w:r w:rsidR="00926AB8" w:rsidRPr="00926AB8">
        <w:t>»</w:t>
      </w:r>
      <w:r w:rsidR="0085446C">
        <w:rPr>
          <w:rStyle w:val="Appelnotedebasdep"/>
        </w:rPr>
        <w:footnoteReference w:id="33"/>
      </w:r>
      <w:r w:rsidR="00926AB8" w:rsidRPr="00926AB8">
        <w:t>.</w:t>
      </w:r>
      <w:r w:rsidR="00123B96">
        <w:t xml:space="preserve"> </w:t>
      </w:r>
    </w:p>
    <w:p w14:paraId="1D61F8D0" w14:textId="77777777" w:rsidR="00123B96" w:rsidRPr="00006C5B" w:rsidRDefault="00123B96" w:rsidP="00B215C3">
      <w:pPr>
        <w:pStyle w:val="ParagrapheRapportPNIN"/>
      </w:pPr>
      <w:r>
        <w:t xml:space="preserve">Le PDES </w:t>
      </w:r>
      <w:r w:rsidRPr="00123B96">
        <w:t>en matière de sécurité alimentaire et nutritionnelle et du développement agricole durable</w:t>
      </w:r>
      <w:r>
        <w:t xml:space="preserve"> est décliné à travers la</w:t>
      </w:r>
      <w:r w:rsidRPr="00123B96">
        <w:t xml:space="preserve"> stratégie de l’Initiative 3N</w:t>
      </w:r>
      <w:r>
        <w:t>.</w:t>
      </w:r>
      <w:r w:rsidRPr="00123B96">
        <w:t xml:space="preserve"> </w:t>
      </w:r>
    </w:p>
    <w:p w14:paraId="6DFECB11" w14:textId="77777777" w:rsidR="00E90DE3" w:rsidRPr="00BF5405" w:rsidRDefault="00E90DE3" w:rsidP="00B215C3">
      <w:pPr>
        <w:pStyle w:val="ParagrapheRapportPNIN"/>
      </w:pPr>
      <w:r w:rsidRPr="00B215C3">
        <w:rPr>
          <w:b/>
        </w:rPr>
        <w:t>Prise en compte de la nutrition dans l’analyse situationnelle</w:t>
      </w:r>
    </w:p>
    <w:p w14:paraId="28E6630F" w14:textId="3451387E" w:rsidR="00866F52" w:rsidRDefault="00866F52" w:rsidP="00DE1F61">
      <w:pPr>
        <w:pStyle w:val="ParagrapheRapportPNIN"/>
      </w:pPr>
      <w:r w:rsidRPr="00866F52">
        <w:t>Le PDES 2017-2021 a identifié 8</w:t>
      </w:r>
      <w:r w:rsidR="001F5367">
        <w:t> </w:t>
      </w:r>
      <w:r w:rsidRPr="00866F52">
        <w:t>défis majeurs dont 3</w:t>
      </w:r>
      <w:r w:rsidR="001F5367">
        <w:t xml:space="preserve"> défis </w:t>
      </w:r>
      <w:r w:rsidRPr="00866F52">
        <w:t>principaux sont en lien direct avec l’amélioration de la nutrition</w:t>
      </w:r>
      <w:r w:rsidR="001F5367">
        <w:t> </w:t>
      </w:r>
      <w:r w:rsidRPr="00866F52">
        <w:t xml:space="preserve">: </w:t>
      </w:r>
      <w:r w:rsidR="001F5367">
        <w:t>1</w:t>
      </w:r>
      <w:r w:rsidRPr="00866F52">
        <w:t>)</w:t>
      </w:r>
      <w:r w:rsidR="001F5367">
        <w:t> </w:t>
      </w:r>
      <w:r w:rsidRPr="00866F52">
        <w:t>relever le capital humain</w:t>
      </w:r>
      <w:r w:rsidR="001F5367">
        <w:t> </w:t>
      </w:r>
      <w:r w:rsidRPr="00866F52">
        <w:t xml:space="preserve">; </w:t>
      </w:r>
      <w:r w:rsidR="001F5367">
        <w:t>2</w:t>
      </w:r>
      <w:r w:rsidRPr="00866F52">
        <w:t>)</w:t>
      </w:r>
      <w:r w:rsidR="001F5367">
        <w:t> </w:t>
      </w:r>
      <w:r w:rsidRPr="00866F52">
        <w:t>renforcer la sécurité alimentaire et nutritionnelle</w:t>
      </w:r>
      <w:r w:rsidR="001F5367">
        <w:t> </w:t>
      </w:r>
      <w:r w:rsidRPr="00866F52">
        <w:t xml:space="preserve">; </w:t>
      </w:r>
      <w:r w:rsidR="001F5367">
        <w:t>3</w:t>
      </w:r>
      <w:r w:rsidRPr="00866F52">
        <w:t>)</w:t>
      </w:r>
      <w:r w:rsidR="001F5367">
        <w:t> </w:t>
      </w:r>
      <w:r w:rsidRPr="00866F52">
        <w:t xml:space="preserve">adapter les systèmes de production aux changements climatiques. </w:t>
      </w:r>
    </w:p>
    <w:p w14:paraId="3AD80000" w14:textId="2AF0FF89" w:rsidR="00006C5B" w:rsidRPr="00DF19CA" w:rsidRDefault="00006C5B" w:rsidP="00DE1F61">
      <w:pPr>
        <w:pStyle w:val="ParagrapheRapportPNIN"/>
      </w:pPr>
      <w:r w:rsidRPr="007E426D">
        <w:t>La nutrition est clairement mentionnée dans l</w:t>
      </w:r>
      <w:r w:rsidR="00851C3E">
        <w:t>’analyse</w:t>
      </w:r>
      <w:r w:rsidR="001F5367">
        <w:t xml:space="preserve"> de la</w:t>
      </w:r>
      <w:r w:rsidR="00851C3E">
        <w:t xml:space="preserve"> situation du</w:t>
      </w:r>
      <w:r w:rsidRPr="007E426D">
        <w:t xml:space="preserve"> PDES </w:t>
      </w:r>
      <w:r>
        <w:t>et fait</w:t>
      </w:r>
      <w:r w:rsidRPr="007E426D">
        <w:t xml:space="preserve"> référence à la PNSN</w:t>
      </w:r>
      <w:r w:rsidR="001F5367">
        <w:t xml:space="preserve"> </w:t>
      </w:r>
      <w:r w:rsidRPr="007E426D">
        <w:t>2016</w:t>
      </w:r>
      <w:r>
        <w:t>.</w:t>
      </w:r>
      <w:r w:rsidR="00851C3E">
        <w:t xml:space="preserve"> </w:t>
      </w:r>
      <w:r w:rsidR="00D06D24" w:rsidRPr="00D06D24">
        <w:t>Dans l’analyse diagnostique, la nutrition est présenté</w:t>
      </w:r>
      <w:r w:rsidR="001F5367">
        <w:t>e</w:t>
      </w:r>
      <w:r w:rsidR="00D06D24" w:rsidRPr="00D06D24">
        <w:t xml:space="preserve"> en lien avec la santé dans la section santé et nutrition et la PNSN est mentionné comme la nouvelle politique pour orienter les interventions de nutrition. La nutrition est prise en compte dans le PDES comme un sous-programme. Les aspects multisectoriels de la nutrition sont clairement énoncés</w:t>
      </w:r>
      <w:r w:rsidR="00866F52">
        <w:t>.</w:t>
      </w:r>
    </w:p>
    <w:p w14:paraId="0138CF35" w14:textId="77777777" w:rsidR="005C5F81" w:rsidRDefault="005C5F81" w:rsidP="00DE1F61">
      <w:pPr>
        <w:pStyle w:val="ParagrapheRapportPNIN"/>
      </w:pPr>
      <w:r w:rsidRPr="00DE1F61">
        <w:rPr>
          <w:b/>
        </w:rPr>
        <w:t>Prise en compte de la nutrition dans les objectifs</w:t>
      </w:r>
    </w:p>
    <w:p w14:paraId="574EAB0C" w14:textId="77777777" w:rsidR="005B1589" w:rsidRDefault="005B1589" w:rsidP="00DE1F61">
      <w:pPr>
        <w:pStyle w:val="ParagrapheRapportPNIN"/>
      </w:pPr>
      <w:r w:rsidRPr="005B1589">
        <w:t>La nutrition n’est pas pris</w:t>
      </w:r>
      <w:r>
        <w:t>e</w:t>
      </w:r>
      <w:r w:rsidRPr="005B1589">
        <w:t xml:space="preserve"> en compte parmi les principaux objectifs stratégiques</w:t>
      </w:r>
      <w:r>
        <w:t xml:space="preserve"> du PDES.</w:t>
      </w:r>
    </w:p>
    <w:p w14:paraId="5577DFE2" w14:textId="77777777" w:rsidR="00E90DE3" w:rsidRPr="00D06D24" w:rsidRDefault="00E90DE3" w:rsidP="00DE1F61">
      <w:pPr>
        <w:pStyle w:val="ParagrapheRapportPNIN"/>
      </w:pPr>
      <w:r w:rsidRPr="00DE1F61">
        <w:rPr>
          <w:b/>
        </w:rPr>
        <w:t>Identification des axes stratégiques/actions/interventions en lien avec la nutrition</w:t>
      </w:r>
    </w:p>
    <w:p w14:paraId="67FD3919" w14:textId="4A040172" w:rsidR="00D06D24" w:rsidRPr="00D06D24" w:rsidRDefault="00D06D24" w:rsidP="00DE1F61">
      <w:pPr>
        <w:pStyle w:val="ParagrapheRapportPNIN"/>
      </w:pPr>
      <w:r w:rsidRPr="00D06D24">
        <w:t>Le PDES 2017-2021 comporte cinq (5)</w:t>
      </w:r>
      <w:r w:rsidR="001F5367">
        <w:t> </w:t>
      </w:r>
      <w:r w:rsidRPr="00D06D24">
        <w:t>résultats stratégiques et la nutrition est prise en compte dans :</w:t>
      </w:r>
    </w:p>
    <w:p w14:paraId="78845AA8" w14:textId="5A51ADE6" w:rsidR="00D06D24" w:rsidRPr="00D06D24" w:rsidRDefault="00D06D24" w:rsidP="00DE1F61">
      <w:pPr>
        <w:pStyle w:val="PucesRapportPNIN"/>
      </w:pPr>
      <w:r w:rsidRPr="00D06D24">
        <w:t xml:space="preserve">L’axe stratégique 2 : Développement social et transition démographique, programme </w:t>
      </w:r>
      <w:r>
        <w:t xml:space="preserve">3 </w:t>
      </w:r>
      <w:r w:rsidR="00FE2E1D">
        <w:t>« </w:t>
      </w:r>
      <w:r w:rsidRPr="00D06D24">
        <w:t>Développement du capital humain</w:t>
      </w:r>
      <w:r w:rsidR="00FE2E1D">
        <w:t> »</w:t>
      </w:r>
      <w:r w:rsidRPr="00D06D24">
        <w:t xml:space="preserve"> et sous-programme </w:t>
      </w:r>
      <w:r>
        <w:t>3.3</w:t>
      </w:r>
      <w:r w:rsidRPr="00D06D24">
        <w:t> « Amélioration de l’état nutritionnel » ;</w:t>
      </w:r>
    </w:p>
    <w:p w14:paraId="0896D26D" w14:textId="37CAE5DB" w:rsidR="00D06D24" w:rsidRPr="00D06D24" w:rsidRDefault="00D06D24" w:rsidP="00DE1F61">
      <w:pPr>
        <w:pStyle w:val="PucesRapportPNIN"/>
      </w:pPr>
      <w:r w:rsidRPr="00D06D24">
        <w:lastRenderedPageBreak/>
        <w:t>L’axe stratégique  3 : Accélération de la croissance économique, programme</w:t>
      </w:r>
      <w:r>
        <w:t xml:space="preserve"> 6</w:t>
      </w:r>
      <w:r w:rsidRPr="00D06D24">
        <w:t> </w:t>
      </w:r>
      <w:r w:rsidR="00FE2E1D">
        <w:t>« </w:t>
      </w:r>
      <w:r w:rsidRPr="00D06D24">
        <w:t>Sécurité alimentaire et développement agricole durable</w:t>
      </w:r>
      <w:r w:rsidR="00FE2E1D">
        <w:t> »</w:t>
      </w:r>
      <w:r w:rsidRPr="00D06D24">
        <w:t xml:space="preserve">, sous-programme </w:t>
      </w:r>
      <w:r>
        <w:t xml:space="preserve">6.6 </w:t>
      </w:r>
      <w:r w:rsidRPr="00D06D24">
        <w:t>« Renforcement de la résilience à l’insécurité alimentaire des plus vulnérables face aux chocs et aux crises » ;</w:t>
      </w:r>
    </w:p>
    <w:p w14:paraId="1D134896" w14:textId="3371A963" w:rsidR="00D06D24" w:rsidRPr="00D06D24" w:rsidRDefault="00D06D24" w:rsidP="00DE1F61">
      <w:pPr>
        <w:pStyle w:val="PucesRapportPNIN"/>
      </w:pPr>
      <w:r w:rsidRPr="00D06D24">
        <w:t>L’axe stratégique 5</w:t>
      </w:r>
      <w:r w:rsidR="00FE2E1D">
        <w:t> </w:t>
      </w:r>
      <w:r w:rsidRPr="00D06D24">
        <w:t xml:space="preserve">: Gestion durable de l’environnement, programme </w:t>
      </w:r>
      <w:r>
        <w:t xml:space="preserve">10 </w:t>
      </w:r>
      <w:r w:rsidR="00FE2E1D">
        <w:t>« </w:t>
      </w:r>
      <w:r w:rsidRPr="00D06D24">
        <w:t>gestion durable des terres, des eaux et de la diversité biologique</w:t>
      </w:r>
      <w:r w:rsidR="00FE2E1D">
        <w:t> »</w:t>
      </w:r>
      <w:r w:rsidRPr="00D06D24">
        <w:t>.</w:t>
      </w:r>
    </w:p>
    <w:p w14:paraId="7A00E519" w14:textId="4154182C" w:rsidR="00D06D24" w:rsidRPr="00D06D24" w:rsidRDefault="00D06D24" w:rsidP="00DE1F61">
      <w:pPr>
        <w:pStyle w:val="ParagrapheRapportPNIN"/>
      </w:pPr>
      <w:r w:rsidRPr="00D06D24">
        <w:t>Les actions majeures de</w:t>
      </w:r>
      <w:r w:rsidR="00FE2E1D">
        <w:t xml:space="preserve"> la</w:t>
      </w:r>
      <w:r w:rsidRPr="00D06D24">
        <w:t xml:space="preserve"> nutrition identifiées dans le PDES sont</w:t>
      </w:r>
      <w:r w:rsidR="00FE2E1D">
        <w:t> </w:t>
      </w:r>
      <w:r w:rsidRPr="00D06D24">
        <w:t>: i)</w:t>
      </w:r>
      <w:r w:rsidR="00FE2E1D">
        <w:t> </w:t>
      </w:r>
      <w:r w:rsidRPr="00D06D24">
        <w:t>renforcer la gouvernance nutritionnelle</w:t>
      </w:r>
      <w:r w:rsidR="00FE2E1D">
        <w:t xml:space="preserve"> ; </w:t>
      </w:r>
      <w:r w:rsidRPr="00D06D24">
        <w:t>(ii)</w:t>
      </w:r>
      <w:r w:rsidR="00FE2E1D">
        <w:t> </w:t>
      </w:r>
      <w:r w:rsidRPr="00D06D24">
        <w:t>accroitre l’offre des services de promotion et de prévention nutritionnelle</w:t>
      </w:r>
      <w:r w:rsidR="00FE2E1D">
        <w:t xml:space="preserve"> ; </w:t>
      </w:r>
      <w:r w:rsidRPr="00D06D24">
        <w:t>(iii)</w:t>
      </w:r>
      <w:r w:rsidR="00FE2E1D">
        <w:t> </w:t>
      </w:r>
      <w:r w:rsidRPr="00D06D24">
        <w:t>assurer la fourniture des services adéquats de prise en charge nutritionnelle</w:t>
      </w:r>
      <w:r w:rsidR="00FE2E1D">
        <w:t xml:space="preserve"> ; </w:t>
      </w:r>
      <w:r w:rsidRPr="00D06D24">
        <w:t>(iv)</w:t>
      </w:r>
      <w:r w:rsidR="00FE2E1D">
        <w:t> </w:t>
      </w:r>
      <w:r w:rsidRPr="00D06D24">
        <w:t>renforcer la sensibilité à la nutrition des interventions sectorielles</w:t>
      </w:r>
      <w:r w:rsidR="00FE2E1D">
        <w:t xml:space="preserve"> ; </w:t>
      </w:r>
      <w:r w:rsidRPr="00D06D24">
        <w:t>(v)</w:t>
      </w:r>
      <w:r w:rsidR="00FE2E1D">
        <w:t> </w:t>
      </w:r>
      <w:r w:rsidRPr="00D06D24">
        <w:t>mettre en œuvre la stratégie multisectorielle de communication pour la sécurité nutritionnelle.</w:t>
      </w:r>
    </w:p>
    <w:p w14:paraId="3771FE8D" w14:textId="52301990" w:rsidR="00E90DE3" w:rsidRPr="00A658EB" w:rsidRDefault="00E90DE3" w:rsidP="00DE1F61">
      <w:pPr>
        <w:pStyle w:val="ParagrapheRapportPNIN"/>
        <w:rPr>
          <w:b/>
        </w:rPr>
      </w:pPr>
      <w:r w:rsidRPr="00A658EB">
        <w:rPr>
          <w:b/>
        </w:rPr>
        <w:t xml:space="preserve">Identification d’indicateurs ou des cibles en lien avec la </w:t>
      </w:r>
      <w:r w:rsidR="00DF19CA" w:rsidRPr="00A658EB">
        <w:rPr>
          <w:b/>
        </w:rPr>
        <w:t>nutrition</w:t>
      </w:r>
    </w:p>
    <w:p w14:paraId="33BB7F7A" w14:textId="46436845" w:rsidR="00D06D24" w:rsidRPr="00D06D24" w:rsidRDefault="00D06D24" w:rsidP="00DE1F61">
      <w:pPr>
        <w:pStyle w:val="ParagrapheRapportPNIN"/>
      </w:pPr>
      <w:r>
        <w:t>L’</w:t>
      </w:r>
      <w:r w:rsidRPr="00D06D24">
        <w:t xml:space="preserve">amélioration </w:t>
      </w:r>
      <w:r>
        <w:t xml:space="preserve">de la prise en compte de la nutrition dans le PDES </w:t>
      </w:r>
      <w:r w:rsidRPr="00D06D24">
        <w:t xml:space="preserve">ne s’est cependant pas traduite fortement car les indicateurs de nutrition ne ressortent que comme indicateurs d’effets sectoriels sous l’effet sectoriel « L’état de santé de la population est amélioré ». </w:t>
      </w:r>
      <w:r w:rsidR="005B1589">
        <w:t>L</w:t>
      </w:r>
      <w:r w:rsidR="005C5F81">
        <w:t>es indicateurs</w:t>
      </w:r>
      <w:r w:rsidR="005B1589">
        <w:t xml:space="preserve"> de nutrition ne sont pas pris</w:t>
      </w:r>
      <w:r w:rsidR="005C5F81">
        <w:t xml:space="preserve"> en compte dans</w:t>
      </w:r>
      <w:r w:rsidR="00FE2E1D">
        <w:t xml:space="preserve"> les</w:t>
      </w:r>
      <w:r w:rsidR="005C5F81">
        <w:t xml:space="preserve"> </w:t>
      </w:r>
      <w:r w:rsidR="005C5F81" w:rsidRPr="005C5F81">
        <w:t>indicateurs de mesure des résultats stratégiques</w:t>
      </w:r>
      <w:r w:rsidR="005B1589">
        <w:t xml:space="preserve"> du PDES</w:t>
      </w:r>
      <w:r w:rsidR="00FE2E1D">
        <w:t>.</w:t>
      </w:r>
    </w:p>
    <w:p w14:paraId="61175FAD" w14:textId="77777777" w:rsidR="007E426D" w:rsidRPr="007E426D" w:rsidRDefault="007E426D" w:rsidP="00DE1F61">
      <w:pPr>
        <w:pStyle w:val="ParagrapheRapportPNIN"/>
      </w:pPr>
      <w:r w:rsidRPr="00DE1F61">
        <w:rPr>
          <w:b/>
        </w:rPr>
        <w:t>Le niveau de prise en compte de la nutrition dans le PDES 2017-2021 reste faible malgré les avancées</w:t>
      </w:r>
      <w:r w:rsidRPr="007E426D">
        <w:t>.</w:t>
      </w:r>
    </w:p>
    <w:p w14:paraId="199EB9C6" w14:textId="77777777" w:rsidR="008240D2" w:rsidRPr="00DE1F61" w:rsidRDefault="008240D2" w:rsidP="00B215C3">
      <w:pPr>
        <w:pStyle w:val="ParagrapheRapportPNIN"/>
        <w:rPr>
          <w:b/>
        </w:rPr>
      </w:pPr>
      <w:r w:rsidRPr="00DE1F61">
        <w:rPr>
          <w:b/>
        </w:rPr>
        <w:t>Budgétisation des interventions/ actions en lien avec la nutrition</w:t>
      </w:r>
    </w:p>
    <w:p w14:paraId="17000942" w14:textId="4155E85A" w:rsidR="007E426D" w:rsidRPr="007E426D" w:rsidRDefault="007E426D" w:rsidP="00DE1F61">
      <w:pPr>
        <w:pStyle w:val="ParagrapheRapportPNIN"/>
      </w:pPr>
      <w:r w:rsidRPr="007E426D">
        <w:t>Le coût de mise en œuvre du PDES a été évalué à 19</w:t>
      </w:r>
      <w:r w:rsidR="0068054C">
        <w:t> </w:t>
      </w:r>
      <w:r w:rsidRPr="007E426D">
        <w:t>819</w:t>
      </w:r>
      <w:r w:rsidR="0068054C">
        <w:t> </w:t>
      </w:r>
      <w:r w:rsidRPr="007E426D">
        <w:t>milliards de F</w:t>
      </w:r>
      <w:r w:rsidR="0068054C">
        <w:t> </w:t>
      </w:r>
      <w:r w:rsidRPr="007E426D">
        <w:t xml:space="preserve">CFA. </w:t>
      </w:r>
      <w:r w:rsidR="0068054C">
        <w:t>L</w:t>
      </w:r>
      <w:r w:rsidRPr="007E426D">
        <w:t xml:space="preserve">es actions et les programmes hiérarchisées et priorisés ont été ordonnés dans un ensemble de programmes appelé Programme d’Action Prioritaire (PAP). </w:t>
      </w:r>
      <w:r w:rsidR="008240D2">
        <w:t>Le cout estimatif du PAP est de 5 319,022</w:t>
      </w:r>
      <w:r w:rsidR="0068054C">
        <w:t> </w:t>
      </w:r>
      <w:r w:rsidR="008240D2">
        <w:t>milliards de F</w:t>
      </w:r>
      <w:r w:rsidR="0068054C">
        <w:t> </w:t>
      </w:r>
      <w:r w:rsidR="008240D2">
        <w:t xml:space="preserve">CFA. </w:t>
      </w:r>
      <w:r w:rsidR="0068054C">
        <w:t>Dans</w:t>
      </w:r>
      <w:r w:rsidRPr="007E426D">
        <w:t xml:space="preserve"> ce plan d’actions prioritaire</w:t>
      </w:r>
      <w:r w:rsidR="0068054C">
        <w:t xml:space="preserve">, </w:t>
      </w:r>
      <w:r w:rsidRPr="007E426D">
        <w:t>le sous-programme</w:t>
      </w:r>
      <w:r w:rsidR="0068054C">
        <w:t xml:space="preserve"> </w:t>
      </w:r>
      <w:r w:rsidRPr="007E426D">
        <w:t xml:space="preserve">« Amélioration de l’état nutritionnel » représente </w:t>
      </w:r>
      <w:r w:rsidR="0029317E">
        <w:t>1</w:t>
      </w:r>
      <w:r w:rsidR="0068054C">
        <w:t> </w:t>
      </w:r>
      <w:r w:rsidR="0029317E">
        <w:t xml:space="preserve">% du budget du PDES et </w:t>
      </w:r>
      <w:r w:rsidR="00835EB1">
        <w:t>4</w:t>
      </w:r>
      <w:r w:rsidR="0068054C">
        <w:t> </w:t>
      </w:r>
      <w:r w:rsidRPr="007E426D">
        <w:t>% du PAP reparti comme suit</w:t>
      </w:r>
      <w:r w:rsidRPr="007E426D">
        <w:rPr>
          <w:vertAlign w:val="superscript"/>
        </w:rPr>
        <w:footnoteReference w:id="34"/>
      </w:r>
      <w:r w:rsidRPr="007E426D">
        <w:t> :</w:t>
      </w:r>
    </w:p>
    <w:p w14:paraId="1A5A94F4" w14:textId="17BFA26F" w:rsidR="007E426D" w:rsidRPr="00DE1F61" w:rsidRDefault="007E426D" w:rsidP="00DE1F61">
      <w:pPr>
        <w:pStyle w:val="TitreillustrationPNIN"/>
        <w:rPr>
          <w:bCs w:val="0"/>
        </w:rPr>
      </w:pPr>
      <w:bookmarkStart w:id="25" w:name="_Toc510333373"/>
      <w:bookmarkStart w:id="26" w:name="_Toc510333487"/>
      <w:bookmarkStart w:id="27" w:name="_Toc510333533"/>
      <w:bookmarkStart w:id="28" w:name="_Toc528222369"/>
      <w:r w:rsidRPr="00890B49">
        <w:t xml:space="preserve">Tableau </w:t>
      </w:r>
      <w:r w:rsidR="00B23782">
        <w:fldChar w:fldCharType="begin"/>
      </w:r>
      <w:r w:rsidR="00B23782">
        <w:instrText xml:space="preserve"> SEQ Tableau \* ARABIC </w:instrText>
      </w:r>
      <w:r w:rsidR="00B23782">
        <w:fldChar w:fldCharType="separate"/>
      </w:r>
      <w:r w:rsidR="00540DAE">
        <w:rPr>
          <w:noProof/>
        </w:rPr>
        <w:t>1</w:t>
      </w:r>
      <w:r w:rsidR="00B23782">
        <w:rPr>
          <w:noProof/>
        </w:rPr>
        <w:fldChar w:fldCharType="end"/>
      </w:r>
      <w:r w:rsidR="0068054C" w:rsidRPr="00DE1F61">
        <w:t> </w:t>
      </w:r>
      <w:r w:rsidRPr="00DE1F61">
        <w:t>: Budget estimatif du sous-programme amélioration de l’état nutritionnel du PAP du PDES pour la période 2017-2021</w:t>
      </w:r>
      <w:bookmarkEnd w:id="25"/>
      <w:bookmarkEnd w:id="26"/>
      <w:bookmarkEnd w:id="27"/>
      <w:bookmarkEnd w:id="28"/>
    </w:p>
    <w:tbl>
      <w:tblPr>
        <w:tblStyle w:val="TableauListe4-Accentuation1"/>
        <w:tblW w:w="8074" w:type="dxa"/>
        <w:jc w:val="right"/>
        <w:tblLayout w:type="fixed"/>
        <w:tblLook w:val="04A0" w:firstRow="1" w:lastRow="0" w:firstColumn="1" w:lastColumn="0" w:noHBand="0" w:noVBand="1"/>
      </w:tblPr>
      <w:tblGrid>
        <w:gridCol w:w="2263"/>
        <w:gridCol w:w="1201"/>
        <w:gridCol w:w="1417"/>
        <w:gridCol w:w="1067"/>
        <w:gridCol w:w="1134"/>
        <w:gridCol w:w="992"/>
      </w:tblGrid>
      <w:tr w:rsidR="0068054C" w:rsidRPr="0068054C" w14:paraId="68DC4B18" w14:textId="77777777" w:rsidTr="0068054C">
        <w:trPr>
          <w:cnfStyle w:val="100000000000" w:firstRow="1" w:lastRow="0" w:firstColumn="0" w:lastColumn="0" w:oddVBand="0" w:evenVBand="0" w:oddHBand="0" w:evenHBand="0" w:firstRowFirstColumn="0" w:firstRowLastColumn="0" w:lastRowFirstColumn="0" w:lastRowLastColumn="0"/>
          <w:trHeight w:val="1050"/>
          <w:jc w:val="right"/>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201106EB" w14:textId="4101C746" w:rsidR="007E426D" w:rsidRPr="00DE1F61" w:rsidRDefault="007E426D" w:rsidP="00DE1F61">
            <w:pPr>
              <w:jc w:val="center"/>
              <w:rPr>
                <w:rFonts w:ascii="Arial" w:eastAsia="Times New Roman" w:hAnsi="Arial" w:cs="Arial"/>
                <w:bCs w:val="0"/>
                <w:sz w:val="18"/>
                <w:lang w:eastAsia="fr-FR"/>
              </w:rPr>
            </w:pPr>
            <w:r w:rsidRPr="00DE1F61">
              <w:rPr>
                <w:rFonts w:ascii="Arial" w:eastAsia="Times New Roman" w:hAnsi="Arial" w:cs="Arial"/>
                <w:color w:val="auto"/>
                <w:sz w:val="18"/>
                <w:lang w:eastAsia="fr-FR"/>
              </w:rPr>
              <w:t>Actions majeures</w:t>
            </w:r>
          </w:p>
        </w:tc>
        <w:tc>
          <w:tcPr>
            <w:tcW w:w="1201" w:type="dxa"/>
            <w:noWrap/>
            <w:vAlign w:val="center"/>
            <w:hideMark/>
          </w:tcPr>
          <w:p w14:paraId="48433AA4" w14:textId="77777777"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lang w:eastAsia="fr-FR"/>
              </w:rPr>
            </w:pPr>
            <w:r w:rsidRPr="00DE1F61">
              <w:rPr>
                <w:rFonts w:ascii="Arial" w:eastAsia="Times New Roman" w:hAnsi="Arial" w:cs="Arial"/>
                <w:color w:val="auto"/>
                <w:sz w:val="18"/>
                <w:lang w:eastAsia="fr-FR"/>
              </w:rPr>
              <w:t>Coût Total</w:t>
            </w:r>
          </w:p>
          <w:p w14:paraId="562D742D" w14:textId="5111ECF9"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lang w:eastAsia="fr-FR"/>
              </w:rPr>
            </w:pPr>
            <w:r w:rsidRPr="00DE1F61">
              <w:rPr>
                <w:rFonts w:ascii="Arial" w:eastAsia="Times New Roman" w:hAnsi="Arial" w:cs="Arial"/>
                <w:color w:val="auto"/>
                <w:sz w:val="14"/>
                <w:lang w:eastAsia="fr-FR"/>
              </w:rPr>
              <w:t>(milli</w:t>
            </w:r>
            <w:r w:rsidR="007C622B" w:rsidRPr="00DE1F61">
              <w:rPr>
                <w:rFonts w:ascii="Arial" w:eastAsia="Times New Roman" w:hAnsi="Arial" w:cs="Arial"/>
                <w:color w:val="auto"/>
                <w:sz w:val="14"/>
                <w:lang w:eastAsia="fr-FR"/>
              </w:rPr>
              <w:t>ons</w:t>
            </w:r>
            <w:r w:rsidRPr="00DE1F61">
              <w:rPr>
                <w:rFonts w:ascii="Arial" w:eastAsia="Times New Roman" w:hAnsi="Arial" w:cs="Arial"/>
                <w:color w:val="auto"/>
                <w:sz w:val="14"/>
                <w:lang w:eastAsia="fr-FR"/>
              </w:rPr>
              <w:t xml:space="preserve"> de F</w:t>
            </w:r>
            <w:r w:rsidR="0068054C">
              <w:rPr>
                <w:rFonts w:ascii="Arial" w:eastAsia="Times New Roman" w:hAnsi="Arial" w:cs="Arial"/>
                <w:bCs w:val="0"/>
                <w:sz w:val="14"/>
                <w:lang w:eastAsia="fr-FR"/>
              </w:rPr>
              <w:t> </w:t>
            </w:r>
            <w:r w:rsidRPr="00DE1F61">
              <w:rPr>
                <w:rFonts w:ascii="Arial" w:eastAsia="Times New Roman" w:hAnsi="Arial" w:cs="Arial"/>
                <w:color w:val="auto"/>
                <w:sz w:val="14"/>
                <w:lang w:eastAsia="fr-FR"/>
              </w:rPr>
              <w:t>CFA)</w:t>
            </w:r>
          </w:p>
        </w:tc>
        <w:tc>
          <w:tcPr>
            <w:tcW w:w="1417" w:type="dxa"/>
            <w:vAlign w:val="center"/>
            <w:hideMark/>
          </w:tcPr>
          <w:p w14:paraId="28CED0F2" w14:textId="634395A5"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lang w:eastAsia="fr-FR"/>
              </w:rPr>
            </w:pPr>
            <w:r w:rsidRPr="00DE1F61">
              <w:rPr>
                <w:rFonts w:ascii="Arial" w:eastAsia="Times New Roman" w:hAnsi="Arial" w:cs="Arial"/>
                <w:color w:val="auto"/>
                <w:sz w:val="18"/>
                <w:lang w:eastAsia="fr-FR"/>
              </w:rPr>
              <w:t>Financ</w:t>
            </w:r>
            <w:r w:rsidR="007C622B" w:rsidRPr="00DE1F61">
              <w:rPr>
                <w:rFonts w:ascii="Arial" w:eastAsia="Times New Roman" w:hAnsi="Arial" w:cs="Arial"/>
                <w:color w:val="auto"/>
                <w:sz w:val="18"/>
                <w:lang w:eastAsia="fr-FR"/>
              </w:rPr>
              <w:t xml:space="preserve">ement Budget national </w:t>
            </w:r>
            <w:r w:rsidR="0068054C" w:rsidRPr="00DE3C4E">
              <w:rPr>
                <w:rFonts w:ascii="Arial" w:eastAsia="Times New Roman" w:hAnsi="Arial" w:cs="Arial"/>
                <w:bCs w:val="0"/>
                <w:sz w:val="14"/>
                <w:lang w:eastAsia="fr-FR"/>
              </w:rPr>
              <w:t>(millions de F</w:t>
            </w:r>
            <w:r w:rsidR="0068054C">
              <w:rPr>
                <w:rFonts w:ascii="Arial" w:eastAsia="Times New Roman" w:hAnsi="Arial" w:cs="Arial"/>
                <w:bCs w:val="0"/>
                <w:sz w:val="14"/>
                <w:lang w:eastAsia="fr-FR"/>
              </w:rPr>
              <w:t> </w:t>
            </w:r>
            <w:r w:rsidR="0068054C" w:rsidRPr="00DE3C4E">
              <w:rPr>
                <w:rFonts w:ascii="Arial" w:eastAsia="Times New Roman" w:hAnsi="Arial" w:cs="Arial"/>
                <w:bCs w:val="0"/>
                <w:sz w:val="14"/>
                <w:lang w:eastAsia="fr-FR"/>
              </w:rPr>
              <w:t>CFA)</w:t>
            </w:r>
            <w:r w:rsidR="0068054C" w:rsidRPr="00890B49" w:rsidDel="0068054C">
              <w:rPr>
                <w:rFonts w:ascii="Arial" w:eastAsia="Times New Roman" w:hAnsi="Arial" w:cs="Arial"/>
                <w:bCs w:val="0"/>
                <w:sz w:val="18"/>
                <w:lang w:eastAsia="fr-FR"/>
              </w:rPr>
              <w:t xml:space="preserve"> </w:t>
            </w:r>
          </w:p>
        </w:tc>
        <w:tc>
          <w:tcPr>
            <w:tcW w:w="1067" w:type="dxa"/>
            <w:vAlign w:val="center"/>
            <w:hideMark/>
          </w:tcPr>
          <w:p w14:paraId="21328B4A" w14:textId="0D189E4C" w:rsidR="007E426D" w:rsidRPr="00DE1F61" w:rsidRDefault="007C622B" w:rsidP="00DE1F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lang w:eastAsia="fr-FR"/>
              </w:rPr>
            </w:pPr>
            <w:r w:rsidRPr="00DE1F61">
              <w:rPr>
                <w:rFonts w:ascii="Arial" w:eastAsia="Times New Roman" w:hAnsi="Arial" w:cs="Arial"/>
                <w:color w:val="auto"/>
                <w:sz w:val="18"/>
                <w:lang w:eastAsia="fr-FR"/>
              </w:rPr>
              <w:t>Finance</w:t>
            </w:r>
            <w:r w:rsidR="0068054C" w:rsidRPr="00DE1F61">
              <w:rPr>
                <w:rFonts w:ascii="Arial" w:eastAsia="Times New Roman" w:hAnsi="Arial" w:cs="Arial"/>
                <w:sz w:val="18"/>
                <w:lang w:eastAsia="fr-FR"/>
              </w:rPr>
              <w:t>-</w:t>
            </w:r>
            <w:r w:rsidRPr="00DE1F61">
              <w:rPr>
                <w:rFonts w:ascii="Arial" w:eastAsia="Times New Roman" w:hAnsi="Arial" w:cs="Arial"/>
                <w:color w:val="auto"/>
                <w:sz w:val="18"/>
                <w:lang w:eastAsia="fr-FR"/>
              </w:rPr>
              <w:t xml:space="preserve">ment PTF </w:t>
            </w:r>
            <w:r w:rsidR="0068054C" w:rsidRPr="00DE3C4E">
              <w:rPr>
                <w:rFonts w:ascii="Arial" w:eastAsia="Times New Roman" w:hAnsi="Arial" w:cs="Arial"/>
                <w:bCs w:val="0"/>
                <w:sz w:val="14"/>
                <w:lang w:eastAsia="fr-FR"/>
              </w:rPr>
              <w:t>(millions de F</w:t>
            </w:r>
            <w:r w:rsidR="0068054C">
              <w:rPr>
                <w:rFonts w:ascii="Arial" w:eastAsia="Times New Roman" w:hAnsi="Arial" w:cs="Arial"/>
                <w:bCs w:val="0"/>
                <w:sz w:val="14"/>
                <w:lang w:eastAsia="fr-FR"/>
              </w:rPr>
              <w:t> </w:t>
            </w:r>
            <w:r w:rsidR="0068054C" w:rsidRPr="00DE3C4E">
              <w:rPr>
                <w:rFonts w:ascii="Arial" w:eastAsia="Times New Roman" w:hAnsi="Arial" w:cs="Arial"/>
                <w:bCs w:val="0"/>
                <w:sz w:val="14"/>
                <w:lang w:eastAsia="fr-FR"/>
              </w:rPr>
              <w:t>CFA)</w:t>
            </w:r>
            <w:r w:rsidR="0068054C" w:rsidRPr="00890B49" w:rsidDel="0068054C">
              <w:rPr>
                <w:rFonts w:ascii="Arial" w:eastAsia="Times New Roman" w:hAnsi="Arial" w:cs="Arial"/>
                <w:bCs w:val="0"/>
                <w:sz w:val="18"/>
                <w:lang w:eastAsia="fr-FR"/>
              </w:rPr>
              <w:t xml:space="preserve"> </w:t>
            </w:r>
          </w:p>
        </w:tc>
        <w:tc>
          <w:tcPr>
            <w:tcW w:w="1134" w:type="dxa"/>
            <w:vAlign w:val="center"/>
            <w:hideMark/>
          </w:tcPr>
          <w:p w14:paraId="2B165247" w14:textId="5B4BDCA6"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lang w:eastAsia="fr-FR"/>
              </w:rPr>
            </w:pPr>
            <w:r w:rsidRPr="00DE1F61">
              <w:rPr>
                <w:rFonts w:ascii="Arial" w:eastAsia="Times New Roman" w:hAnsi="Arial" w:cs="Arial"/>
                <w:color w:val="auto"/>
                <w:sz w:val="18"/>
                <w:lang w:eastAsia="fr-FR"/>
              </w:rPr>
              <w:t>Fin</w:t>
            </w:r>
            <w:r w:rsidR="007C622B" w:rsidRPr="00DE1F61">
              <w:rPr>
                <w:rFonts w:ascii="Arial" w:eastAsia="Times New Roman" w:hAnsi="Arial" w:cs="Arial"/>
                <w:color w:val="auto"/>
                <w:sz w:val="18"/>
                <w:lang w:eastAsia="fr-FR"/>
              </w:rPr>
              <w:t>ance</w:t>
            </w:r>
            <w:r w:rsidR="0068054C" w:rsidRPr="00DE1F61">
              <w:rPr>
                <w:rFonts w:ascii="Arial" w:eastAsia="Times New Roman" w:hAnsi="Arial" w:cs="Arial"/>
                <w:sz w:val="18"/>
                <w:lang w:eastAsia="fr-FR"/>
              </w:rPr>
              <w:t>-</w:t>
            </w:r>
            <w:r w:rsidR="007C622B" w:rsidRPr="00DE1F61">
              <w:rPr>
                <w:rFonts w:ascii="Arial" w:eastAsia="Times New Roman" w:hAnsi="Arial" w:cs="Arial"/>
                <w:color w:val="auto"/>
                <w:sz w:val="18"/>
                <w:lang w:eastAsia="fr-FR"/>
              </w:rPr>
              <w:t xml:space="preserve">ment total acquis </w:t>
            </w:r>
            <w:r w:rsidR="0068054C" w:rsidRPr="00DE3C4E">
              <w:rPr>
                <w:rFonts w:ascii="Arial" w:eastAsia="Times New Roman" w:hAnsi="Arial" w:cs="Arial"/>
                <w:bCs w:val="0"/>
                <w:sz w:val="14"/>
                <w:lang w:eastAsia="fr-FR"/>
              </w:rPr>
              <w:t>(millions de F</w:t>
            </w:r>
            <w:r w:rsidR="0068054C">
              <w:rPr>
                <w:rFonts w:ascii="Arial" w:eastAsia="Times New Roman" w:hAnsi="Arial" w:cs="Arial"/>
                <w:bCs w:val="0"/>
                <w:sz w:val="14"/>
                <w:lang w:eastAsia="fr-FR"/>
              </w:rPr>
              <w:t> </w:t>
            </w:r>
            <w:r w:rsidR="0068054C" w:rsidRPr="00DE3C4E">
              <w:rPr>
                <w:rFonts w:ascii="Arial" w:eastAsia="Times New Roman" w:hAnsi="Arial" w:cs="Arial"/>
                <w:bCs w:val="0"/>
                <w:sz w:val="14"/>
                <w:lang w:eastAsia="fr-FR"/>
              </w:rPr>
              <w:t>CFA)</w:t>
            </w:r>
          </w:p>
        </w:tc>
        <w:tc>
          <w:tcPr>
            <w:tcW w:w="992" w:type="dxa"/>
            <w:vAlign w:val="center"/>
            <w:hideMark/>
          </w:tcPr>
          <w:p w14:paraId="125F30B5" w14:textId="66CE9A8F" w:rsidR="007E426D" w:rsidRPr="00DE1F61" w:rsidRDefault="007C622B" w:rsidP="00DE1F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lang w:eastAsia="fr-FR"/>
              </w:rPr>
            </w:pPr>
            <w:r w:rsidRPr="00DE1F61">
              <w:rPr>
                <w:rFonts w:ascii="Arial" w:eastAsia="Times New Roman" w:hAnsi="Arial" w:cs="Arial"/>
                <w:color w:val="auto"/>
                <w:sz w:val="18"/>
                <w:lang w:eastAsia="fr-FR"/>
              </w:rPr>
              <w:t xml:space="preserve">Gap </w:t>
            </w:r>
            <w:r w:rsidR="0068054C" w:rsidRPr="00DE3C4E">
              <w:rPr>
                <w:rFonts w:ascii="Arial" w:eastAsia="Times New Roman" w:hAnsi="Arial" w:cs="Arial"/>
                <w:bCs w:val="0"/>
                <w:sz w:val="14"/>
                <w:lang w:eastAsia="fr-FR"/>
              </w:rPr>
              <w:t>(millions de F</w:t>
            </w:r>
            <w:r w:rsidR="0068054C">
              <w:rPr>
                <w:rFonts w:ascii="Arial" w:eastAsia="Times New Roman" w:hAnsi="Arial" w:cs="Arial"/>
                <w:bCs w:val="0"/>
                <w:sz w:val="14"/>
                <w:lang w:eastAsia="fr-FR"/>
              </w:rPr>
              <w:t> </w:t>
            </w:r>
            <w:r w:rsidR="0068054C" w:rsidRPr="00DE3C4E">
              <w:rPr>
                <w:rFonts w:ascii="Arial" w:eastAsia="Times New Roman" w:hAnsi="Arial" w:cs="Arial"/>
                <w:bCs w:val="0"/>
                <w:sz w:val="14"/>
                <w:lang w:eastAsia="fr-FR"/>
              </w:rPr>
              <w:t>CFA)</w:t>
            </w:r>
          </w:p>
        </w:tc>
      </w:tr>
      <w:tr w:rsidR="0068054C" w:rsidRPr="0068054C" w14:paraId="46AED32C" w14:textId="77777777" w:rsidTr="00DE1F61">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639D286" w14:textId="7C469A79" w:rsidR="007E426D" w:rsidRPr="00DE1F61" w:rsidRDefault="007E426D" w:rsidP="00DE1F61">
            <w:pPr>
              <w:rPr>
                <w:rFonts w:ascii="Arial" w:eastAsia="Times New Roman" w:hAnsi="Arial" w:cs="Arial"/>
                <w:b w:val="0"/>
                <w:bCs w:val="0"/>
                <w:color w:val="000000"/>
                <w:sz w:val="18"/>
                <w:lang w:eastAsia="fr-FR"/>
              </w:rPr>
            </w:pPr>
            <w:r w:rsidRPr="00DE1F61">
              <w:rPr>
                <w:rFonts w:ascii="Arial" w:eastAsia="Times New Roman" w:hAnsi="Arial" w:cs="Arial"/>
                <w:color w:val="000000"/>
                <w:sz w:val="18"/>
                <w:lang w:eastAsia="fr-FR"/>
              </w:rPr>
              <w:t>Renforcer la gouvernance nutritionnelle</w:t>
            </w:r>
          </w:p>
        </w:tc>
        <w:tc>
          <w:tcPr>
            <w:tcW w:w="1201" w:type="dxa"/>
            <w:noWrap/>
            <w:vAlign w:val="center"/>
            <w:hideMark/>
          </w:tcPr>
          <w:p w14:paraId="534E53B8" w14:textId="1F0C42EF"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10</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164</w:t>
            </w:r>
          </w:p>
        </w:tc>
        <w:tc>
          <w:tcPr>
            <w:tcW w:w="1417" w:type="dxa"/>
            <w:noWrap/>
            <w:vAlign w:val="center"/>
            <w:hideMark/>
          </w:tcPr>
          <w:p w14:paraId="7EEE890A" w14:textId="77777777"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680</w:t>
            </w:r>
          </w:p>
        </w:tc>
        <w:tc>
          <w:tcPr>
            <w:tcW w:w="1067" w:type="dxa"/>
            <w:noWrap/>
            <w:vAlign w:val="center"/>
            <w:hideMark/>
          </w:tcPr>
          <w:p w14:paraId="200C449D" w14:textId="34707C47"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2</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564</w:t>
            </w:r>
          </w:p>
        </w:tc>
        <w:tc>
          <w:tcPr>
            <w:tcW w:w="1134" w:type="dxa"/>
            <w:noWrap/>
            <w:vAlign w:val="center"/>
            <w:hideMark/>
          </w:tcPr>
          <w:p w14:paraId="11B0F7CE" w14:textId="5A5C8523"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3</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244</w:t>
            </w:r>
          </w:p>
        </w:tc>
        <w:tc>
          <w:tcPr>
            <w:tcW w:w="992" w:type="dxa"/>
            <w:noWrap/>
            <w:vAlign w:val="center"/>
            <w:hideMark/>
          </w:tcPr>
          <w:p w14:paraId="4D1F593A" w14:textId="2A6C6549"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6</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920</w:t>
            </w:r>
          </w:p>
        </w:tc>
      </w:tr>
      <w:tr w:rsidR="0068054C" w:rsidRPr="0068054C" w14:paraId="0A789DAC" w14:textId="77777777" w:rsidTr="00DE1F61">
        <w:trPr>
          <w:trHeight w:val="300"/>
          <w:jc w:val="right"/>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3BE8154D" w14:textId="3BA11030" w:rsidR="007E426D" w:rsidRPr="00DE1F61" w:rsidRDefault="007E426D" w:rsidP="00DE1F61">
            <w:pPr>
              <w:rPr>
                <w:rFonts w:ascii="Arial" w:eastAsia="Times New Roman" w:hAnsi="Arial" w:cs="Arial"/>
                <w:b w:val="0"/>
                <w:bCs w:val="0"/>
                <w:color w:val="000000"/>
                <w:sz w:val="18"/>
                <w:lang w:eastAsia="fr-FR"/>
              </w:rPr>
            </w:pPr>
            <w:r w:rsidRPr="00DE1F61">
              <w:rPr>
                <w:rFonts w:ascii="Arial" w:eastAsia="Times New Roman" w:hAnsi="Arial" w:cs="Arial"/>
                <w:color w:val="000000"/>
                <w:sz w:val="18"/>
                <w:lang w:eastAsia="fr-FR"/>
              </w:rPr>
              <w:t>Accroitre l’offre des services de promotion et de prévention nutritionnelle</w:t>
            </w:r>
          </w:p>
        </w:tc>
        <w:tc>
          <w:tcPr>
            <w:tcW w:w="1201" w:type="dxa"/>
            <w:noWrap/>
            <w:vAlign w:val="center"/>
            <w:hideMark/>
          </w:tcPr>
          <w:p w14:paraId="51860E67" w14:textId="1B7665A2"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71</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366</w:t>
            </w:r>
          </w:p>
        </w:tc>
        <w:tc>
          <w:tcPr>
            <w:tcW w:w="1417" w:type="dxa"/>
            <w:noWrap/>
            <w:vAlign w:val="center"/>
            <w:hideMark/>
          </w:tcPr>
          <w:p w14:paraId="1EE360AF" w14:textId="2825AF9A"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18</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749</w:t>
            </w:r>
          </w:p>
        </w:tc>
        <w:tc>
          <w:tcPr>
            <w:tcW w:w="1067" w:type="dxa"/>
            <w:noWrap/>
            <w:vAlign w:val="center"/>
            <w:hideMark/>
          </w:tcPr>
          <w:p w14:paraId="1400D632" w14:textId="48CE5FD1"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30</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651</w:t>
            </w:r>
          </w:p>
        </w:tc>
        <w:tc>
          <w:tcPr>
            <w:tcW w:w="1134" w:type="dxa"/>
            <w:noWrap/>
            <w:vAlign w:val="center"/>
            <w:hideMark/>
          </w:tcPr>
          <w:p w14:paraId="7F25ED9D" w14:textId="303EA999"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49</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399</w:t>
            </w:r>
          </w:p>
        </w:tc>
        <w:tc>
          <w:tcPr>
            <w:tcW w:w="992" w:type="dxa"/>
            <w:noWrap/>
            <w:vAlign w:val="center"/>
            <w:hideMark/>
          </w:tcPr>
          <w:p w14:paraId="6D199BBD" w14:textId="6EFD0FCC"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21</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967</w:t>
            </w:r>
          </w:p>
        </w:tc>
      </w:tr>
      <w:tr w:rsidR="0068054C" w:rsidRPr="0068054C" w14:paraId="52EF9425" w14:textId="77777777" w:rsidTr="00DE1F61">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50457446" w14:textId="2CF6E192" w:rsidR="007E426D" w:rsidRPr="00DE1F61" w:rsidRDefault="007E426D" w:rsidP="00DE1F61">
            <w:pPr>
              <w:rPr>
                <w:rFonts w:ascii="Arial" w:eastAsia="Times New Roman" w:hAnsi="Arial" w:cs="Arial"/>
                <w:b w:val="0"/>
                <w:bCs w:val="0"/>
                <w:color w:val="000000"/>
                <w:sz w:val="18"/>
                <w:lang w:eastAsia="fr-FR"/>
              </w:rPr>
            </w:pPr>
            <w:r w:rsidRPr="00DE1F61">
              <w:rPr>
                <w:rFonts w:ascii="Arial" w:eastAsia="Times New Roman" w:hAnsi="Arial" w:cs="Arial"/>
                <w:color w:val="000000"/>
                <w:sz w:val="18"/>
                <w:lang w:eastAsia="fr-FR"/>
              </w:rPr>
              <w:t>Assurer la fourniture des services adéquats de prise en charge nutritionnelle</w:t>
            </w:r>
          </w:p>
        </w:tc>
        <w:tc>
          <w:tcPr>
            <w:tcW w:w="1201" w:type="dxa"/>
            <w:noWrap/>
            <w:vAlign w:val="center"/>
            <w:hideMark/>
          </w:tcPr>
          <w:p w14:paraId="138A8264" w14:textId="7D53EE4E" w:rsidR="007E426D" w:rsidRPr="00DE1F61" w:rsidRDefault="00835EB1"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113</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164</w:t>
            </w:r>
          </w:p>
        </w:tc>
        <w:tc>
          <w:tcPr>
            <w:tcW w:w="1417" w:type="dxa"/>
            <w:noWrap/>
            <w:vAlign w:val="center"/>
            <w:hideMark/>
          </w:tcPr>
          <w:p w14:paraId="43B8EB74" w14:textId="17EA2771"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7</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177</w:t>
            </w:r>
          </w:p>
        </w:tc>
        <w:tc>
          <w:tcPr>
            <w:tcW w:w="1067" w:type="dxa"/>
            <w:noWrap/>
            <w:vAlign w:val="center"/>
            <w:hideMark/>
          </w:tcPr>
          <w:p w14:paraId="282D92AA" w14:textId="0CF7CC55"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26</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110</w:t>
            </w:r>
          </w:p>
        </w:tc>
        <w:tc>
          <w:tcPr>
            <w:tcW w:w="1134" w:type="dxa"/>
            <w:noWrap/>
            <w:vAlign w:val="center"/>
            <w:hideMark/>
          </w:tcPr>
          <w:p w14:paraId="77604F35" w14:textId="196687C9"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33</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287</w:t>
            </w:r>
          </w:p>
        </w:tc>
        <w:tc>
          <w:tcPr>
            <w:tcW w:w="992" w:type="dxa"/>
            <w:noWrap/>
            <w:vAlign w:val="center"/>
            <w:hideMark/>
          </w:tcPr>
          <w:p w14:paraId="44CBA116" w14:textId="0D73F89F" w:rsidR="007E426D" w:rsidRPr="00DE1F61" w:rsidRDefault="00835EB1"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79</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876</w:t>
            </w:r>
          </w:p>
        </w:tc>
      </w:tr>
      <w:tr w:rsidR="0068054C" w:rsidRPr="0068054C" w14:paraId="2A57DF07" w14:textId="77777777" w:rsidTr="00DE1F61">
        <w:trPr>
          <w:trHeight w:val="300"/>
          <w:jc w:val="right"/>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4C133066" w14:textId="1638799B" w:rsidR="007E426D" w:rsidRPr="00DE1F61" w:rsidRDefault="007E426D" w:rsidP="00DE1F61">
            <w:pPr>
              <w:rPr>
                <w:rFonts w:ascii="Arial" w:eastAsia="Times New Roman" w:hAnsi="Arial" w:cs="Arial"/>
                <w:b w:val="0"/>
                <w:bCs w:val="0"/>
                <w:color w:val="000000"/>
                <w:sz w:val="18"/>
                <w:lang w:eastAsia="fr-FR"/>
              </w:rPr>
            </w:pPr>
            <w:r w:rsidRPr="00DE1F61">
              <w:rPr>
                <w:rFonts w:ascii="Arial" w:eastAsia="Times New Roman" w:hAnsi="Arial" w:cs="Arial"/>
                <w:color w:val="000000"/>
                <w:sz w:val="18"/>
                <w:lang w:eastAsia="fr-FR"/>
              </w:rPr>
              <w:t>Renforcer la sensibilité à la nutrition des interventions sectorielles</w:t>
            </w:r>
          </w:p>
        </w:tc>
        <w:tc>
          <w:tcPr>
            <w:tcW w:w="1201" w:type="dxa"/>
            <w:noWrap/>
            <w:vAlign w:val="center"/>
            <w:hideMark/>
          </w:tcPr>
          <w:p w14:paraId="1734948C" w14:textId="3515B3FE" w:rsidR="007E426D" w:rsidRPr="00DE1F61" w:rsidRDefault="007E426D"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20</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824</w:t>
            </w:r>
          </w:p>
        </w:tc>
        <w:tc>
          <w:tcPr>
            <w:tcW w:w="1417" w:type="dxa"/>
            <w:noWrap/>
            <w:vAlign w:val="center"/>
            <w:hideMark/>
          </w:tcPr>
          <w:p w14:paraId="57336A04" w14:textId="1CA6F503" w:rsidR="007E426D" w:rsidRPr="00DE1F61" w:rsidRDefault="007E426D"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14</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850</w:t>
            </w:r>
          </w:p>
        </w:tc>
        <w:tc>
          <w:tcPr>
            <w:tcW w:w="1067" w:type="dxa"/>
            <w:noWrap/>
            <w:vAlign w:val="center"/>
            <w:hideMark/>
          </w:tcPr>
          <w:p w14:paraId="6A770D44" w14:textId="4C12307B" w:rsidR="007E426D" w:rsidRPr="00DE1F61" w:rsidRDefault="007E426D"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3</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613</w:t>
            </w:r>
          </w:p>
        </w:tc>
        <w:tc>
          <w:tcPr>
            <w:tcW w:w="1134" w:type="dxa"/>
            <w:noWrap/>
            <w:vAlign w:val="center"/>
            <w:hideMark/>
          </w:tcPr>
          <w:p w14:paraId="7444E688" w14:textId="70DAC7F5" w:rsidR="007E426D" w:rsidRPr="00DE1F61" w:rsidRDefault="007E426D"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18</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463</w:t>
            </w:r>
          </w:p>
        </w:tc>
        <w:tc>
          <w:tcPr>
            <w:tcW w:w="992" w:type="dxa"/>
            <w:noWrap/>
            <w:vAlign w:val="center"/>
            <w:hideMark/>
          </w:tcPr>
          <w:p w14:paraId="124CE0C7" w14:textId="1435E3B7" w:rsidR="007E426D" w:rsidRPr="00DE1F61" w:rsidRDefault="007E426D"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2</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361</w:t>
            </w:r>
          </w:p>
        </w:tc>
      </w:tr>
      <w:tr w:rsidR="0068054C" w:rsidRPr="0068054C" w14:paraId="05A3A6E5" w14:textId="77777777" w:rsidTr="00DE1F61">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813D3E2" w14:textId="0F9DE170" w:rsidR="007E426D" w:rsidRPr="00DE1F61" w:rsidRDefault="007E426D" w:rsidP="00DE1F61">
            <w:pPr>
              <w:rPr>
                <w:rFonts w:ascii="Arial" w:eastAsia="Times New Roman" w:hAnsi="Arial" w:cs="Arial"/>
                <w:b w:val="0"/>
                <w:bCs w:val="0"/>
                <w:color w:val="000000"/>
                <w:sz w:val="18"/>
                <w:lang w:eastAsia="fr-FR"/>
              </w:rPr>
            </w:pPr>
            <w:r w:rsidRPr="00DE1F61">
              <w:rPr>
                <w:rFonts w:ascii="Arial" w:eastAsia="Times New Roman" w:hAnsi="Arial" w:cs="Arial"/>
                <w:color w:val="000000"/>
                <w:sz w:val="18"/>
                <w:lang w:eastAsia="fr-FR"/>
              </w:rPr>
              <w:lastRenderedPageBreak/>
              <w:t>Mettre en œuvre la stratégie multisectorielle de communication pour la sécurité nutritionnelle.</w:t>
            </w:r>
          </w:p>
        </w:tc>
        <w:tc>
          <w:tcPr>
            <w:tcW w:w="1201" w:type="dxa"/>
            <w:noWrap/>
            <w:vAlign w:val="center"/>
            <w:hideMark/>
          </w:tcPr>
          <w:p w14:paraId="7BB42B63" w14:textId="726D918F"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10</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448</w:t>
            </w:r>
          </w:p>
        </w:tc>
        <w:tc>
          <w:tcPr>
            <w:tcW w:w="1417" w:type="dxa"/>
            <w:noWrap/>
            <w:vAlign w:val="center"/>
            <w:hideMark/>
          </w:tcPr>
          <w:p w14:paraId="49F16E33" w14:textId="77777777"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612</w:t>
            </w:r>
          </w:p>
        </w:tc>
        <w:tc>
          <w:tcPr>
            <w:tcW w:w="1067" w:type="dxa"/>
            <w:noWrap/>
            <w:vAlign w:val="center"/>
            <w:hideMark/>
          </w:tcPr>
          <w:p w14:paraId="4E1D7078" w14:textId="70760FFC"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1</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586</w:t>
            </w:r>
          </w:p>
        </w:tc>
        <w:tc>
          <w:tcPr>
            <w:tcW w:w="1134" w:type="dxa"/>
            <w:noWrap/>
            <w:vAlign w:val="center"/>
            <w:hideMark/>
          </w:tcPr>
          <w:p w14:paraId="5A70928B" w14:textId="7C502C42"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2</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198</w:t>
            </w:r>
          </w:p>
        </w:tc>
        <w:tc>
          <w:tcPr>
            <w:tcW w:w="992" w:type="dxa"/>
            <w:noWrap/>
            <w:vAlign w:val="center"/>
            <w:hideMark/>
          </w:tcPr>
          <w:p w14:paraId="2BB2CE5E" w14:textId="2ABEC79B" w:rsidR="007E426D" w:rsidRPr="00DE1F61" w:rsidRDefault="007E426D" w:rsidP="00DE1F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8</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250</w:t>
            </w:r>
          </w:p>
        </w:tc>
      </w:tr>
      <w:tr w:rsidR="0068054C" w:rsidRPr="0068054C" w14:paraId="3CD0D9CF" w14:textId="77777777" w:rsidTr="00DE1F61">
        <w:trPr>
          <w:trHeight w:val="300"/>
          <w:jc w:val="right"/>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72466240" w14:textId="77777777" w:rsidR="007E426D" w:rsidRPr="00DE1F61" w:rsidRDefault="007E426D" w:rsidP="00DE1F61">
            <w:pPr>
              <w:rPr>
                <w:rFonts w:ascii="Arial" w:eastAsia="Times New Roman" w:hAnsi="Arial" w:cs="Arial"/>
                <w:b w:val="0"/>
                <w:bCs w:val="0"/>
                <w:color w:val="000000"/>
                <w:sz w:val="18"/>
                <w:lang w:eastAsia="fr-FR"/>
              </w:rPr>
            </w:pPr>
            <w:r w:rsidRPr="00DE1F61">
              <w:rPr>
                <w:rFonts w:ascii="Arial" w:eastAsia="Times New Roman" w:hAnsi="Arial" w:cs="Arial"/>
                <w:color w:val="000000"/>
                <w:sz w:val="18"/>
                <w:lang w:eastAsia="fr-FR"/>
              </w:rPr>
              <w:t>Total</w:t>
            </w:r>
          </w:p>
        </w:tc>
        <w:tc>
          <w:tcPr>
            <w:tcW w:w="1201" w:type="dxa"/>
            <w:noWrap/>
            <w:vAlign w:val="center"/>
            <w:hideMark/>
          </w:tcPr>
          <w:p w14:paraId="113420E5" w14:textId="73FC40E0"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225</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965</w:t>
            </w:r>
          </w:p>
        </w:tc>
        <w:tc>
          <w:tcPr>
            <w:tcW w:w="1417" w:type="dxa"/>
            <w:noWrap/>
            <w:vAlign w:val="center"/>
            <w:hideMark/>
          </w:tcPr>
          <w:p w14:paraId="17DEBD8C" w14:textId="2F51BABA"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42</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067</w:t>
            </w:r>
          </w:p>
        </w:tc>
        <w:tc>
          <w:tcPr>
            <w:tcW w:w="1067" w:type="dxa"/>
            <w:noWrap/>
            <w:vAlign w:val="center"/>
            <w:hideMark/>
          </w:tcPr>
          <w:p w14:paraId="571A5ADB" w14:textId="6D753407"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64</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523</w:t>
            </w:r>
          </w:p>
        </w:tc>
        <w:tc>
          <w:tcPr>
            <w:tcW w:w="1134" w:type="dxa"/>
            <w:noWrap/>
            <w:vAlign w:val="center"/>
            <w:hideMark/>
          </w:tcPr>
          <w:p w14:paraId="291C69D6" w14:textId="4459F52B"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106</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591</w:t>
            </w:r>
          </w:p>
        </w:tc>
        <w:tc>
          <w:tcPr>
            <w:tcW w:w="992" w:type="dxa"/>
            <w:noWrap/>
            <w:vAlign w:val="center"/>
            <w:hideMark/>
          </w:tcPr>
          <w:p w14:paraId="42150E42" w14:textId="4A1F3994" w:rsidR="007E426D" w:rsidRPr="00DE1F61" w:rsidRDefault="00835EB1" w:rsidP="00DE1F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fr-FR"/>
              </w:rPr>
            </w:pPr>
            <w:r w:rsidRPr="00DE1F61">
              <w:rPr>
                <w:rFonts w:ascii="Arial" w:eastAsia="Times New Roman" w:hAnsi="Arial" w:cs="Arial"/>
                <w:color w:val="000000"/>
                <w:sz w:val="18"/>
                <w:lang w:eastAsia="fr-FR"/>
              </w:rPr>
              <w:t>119</w:t>
            </w:r>
            <w:r w:rsidR="0068054C" w:rsidRPr="00DE1F61">
              <w:rPr>
                <w:rFonts w:ascii="Arial" w:eastAsia="Times New Roman" w:hAnsi="Arial" w:cs="Arial"/>
                <w:color w:val="000000"/>
                <w:sz w:val="18"/>
                <w:lang w:eastAsia="fr-FR"/>
              </w:rPr>
              <w:t> </w:t>
            </w:r>
            <w:r w:rsidRPr="00DE1F61">
              <w:rPr>
                <w:rFonts w:ascii="Arial" w:eastAsia="Times New Roman" w:hAnsi="Arial" w:cs="Arial"/>
                <w:color w:val="000000"/>
                <w:sz w:val="18"/>
                <w:lang w:eastAsia="fr-FR"/>
              </w:rPr>
              <w:t>375</w:t>
            </w:r>
          </w:p>
        </w:tc>
      </w:tr>
    </w:tbl>
    <w:p w14:paraId="561C4039" w14:textId="0F11340D" w:rsidR="00F62BCF" w:rsidRDefault="007E426D" w:rsidP="00DE1F61">
      <w:pPr>
        <w:pStyle w:val="ParagrapheRapportPNIN"/>
      </w:pPr>
      <w:r w:rsidRPr="007E426D">
        <w:t xml:space="preserve">Le </w:t>
      </w:r>
      <w:r w:rsidR="007C622B" w:rsidRPr="007C622B">
        <w:t>sous-programme «</w:t>
      </w:r>
      <w:r w:rsidR="0068054C">
        <w:t> </w:t>
      </w:r>
      <w:r w:rsidR="007C622B" w:rsidRPr="007C622B">
        <w:t>Amélioration de l’état nutritionnel</w:t>
      </w:r>
      <w:r w:rsidR="0068054C">
        <w:t> </w:t>
      </w:r>
      <w:r w:rsidR="007C622B" w:rsidRPr="007C622B">
        <w:t>»</w:t>
      </w:r>
      <w:r w:rsidR="007C622B">
        <w:t xml:space="preserve"> du </w:t>
      </w:r>
      <w:r w:rsidRPr="007E426D">
        <w:t xml:space="preserve">PAP annonce un gap financier de </w:t>
      </w:r>
      <w:r w:rsidR="007C622B">
        <w:t>53</w:t>
      </w:r>
      <w:r w:rsidR="0068054C">
        <w:t> </w:t>
      </w:r>
      <w:r w:rsidRPr="007E426D">
        <w:t xml:space="preserve">% et un financement acquis </w:t>
      </w:r>
      <w:r w:rsidR="007C622B">
        <w:t>à 47</w:t>
      </w:r>
      <w:r w:rsidR="0068054C">
        <w:t> </w:t>
      </w:r>
      <w:r w:rsidR="007C622B">
        <w:t xml:space="preserve">%. </w:t>
      </w:r>
      <w:r w:rsidR="00E12FD3">
        <w:t xml:space="preserve">Le budget reste fortement orienté vers les activités de fourniture de services de </w:t>
      </w:r>
      <w:r w:rsidR="00F62BCF">
        <w:t>prise en charge nutritionnelle à 50</w:t>
      </w:r>
      <w:r w:rsidR="0068054C">
        <w:t> </w:t>
      </w:r>
      <w:r w:rsidR="00F62BCF">
        <w:t xml:space="preserve">%. Le renforcement de la sensibilité à la nutrition des interventions sectorielles reste peu planifié </w:t>
      </w:r>
      <w:r w:rsidR="0068054C">
        <w:t>(</w:t>
      </w:r>
      <w:r w:rsidR="00F62BCF">
        <w:t>9</w:t>
      </w:r>
      <w:r w:rsidR="0068054C">
        <w:t> </w:t>
      </w:r>
      <w:r w:rsidR="00F62BCF">
        <w:t>%</w:t>
      </w:r>
      <w:r w:rsidR="0068054C">
        <w:t>)</w:t>
      </w:r>
      <w:r w:rsidR="00F62BCF">
        <w:t xml:space="preserve">. </w:t>
      </w:r>
    </w:p>
    <w:p w14:paraId="4D62EA4A" w14:textId="57426953" w:rsidR="0068054C" w:rsidRPr="00DE1F61" w:rsidRDefault="0068054C" w:rsidP="00B215C3">
      <w:pPr>
        <w:pStyle w:val="TitreillustrationPNIN"/>
      </w:pPr>
      <w:bookmarkStart w:id="29" w:name="_Toc528222374"/>
      <w:r>
        <w:t xml:space="preserve">Figure </w:t>
      </w:r>
      <w:r w:rsidR="00B23782">
        <w:fldChar w:fldCharType="begin"/>
      </w:r>
      <w:r w:rsidR="00B23782">
        <w:instrText xml:space="preserve"> SEQ Figure \* ARAB</w:instrText>
      </w:r>
      <w:r w:rsidR="00B23782">
        <w:instrText xml:space="preserve">IC </w:instrText>
      </w:r>
      <w:r w:rsidR="00B23782">
        <w:fldChar w:fldCharType="separate"/>
      </w:r>
      <w:r w:rsidR="00540DAE">
        <w:rPr>
          <w:noProof/>
        </w:rPr>
        <w:t>1</w:t>
      </w:r>
      <w:r w:rsidR="00B23782">
        <w:rPr>
          <w:noProof/>
        </w:rPr>
        <w:fldChar w:fldCharType="end"/>
      </w:r>
      <w:r>
        <w:t> </w:t>
      </w:r>
      <w:r w:rsidRPr="00DE1F61">
        <w:t>: Répartition du coût du sous-programme amélioration de l'état nutritionnel  dans le PAP du PDES en fonction des actions majeurs 2017-2021</w:t>
      </w:r>
      <w:bookmarkEnd w:id="29"/>
    </w:p>
    <w:p w14:paraId="15FB6E7A" w14:textId="77777777" w:rsidR="00B95E86" w:rsidRDefault="0029317E" w:rsidP="006551E1">
      <w:pPr>
        <w:pStyle w:val="LegendeetsourcePNIN"/>
        <w:rPr>
          <w:b/>
        </w:rPr>
      </w:pPr>
      <w:r>
        <w:rPr>
          <w:b/>
          <w:noProof/>
          <w:color w:val="0070C0"/>
          <w:lang w:eastAsia="fr-FR"/>
        </w:rPr>
        <w:drawing>
          <wp:inline distT="0" distB="0" distL="0" distR="0" wp14:anchorId="6D7F88D5" wp14:editId="03C69BB4">
            <wp:extent cx="5438775" cy="4057650"/>
            <wp:effectExtent l="0" t="0" r="9525"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629403" w14:textId="69C9F876" w:rsidR="00C23186" w:rsidRPr="00890B49" w:rsidRDefault="00C23186" w:rsidP="006551E1">
      <w:pPr>
        <w:pStyle w:val="LegendeetsourcePNIN"/>
      </w:pPr>
      <w:r w:rsidRPr="00DE1F61">
        <w:rPr>
          <w:b/>
        </w:rPr>
        <w:t>Source</w:t>
      </w:r>
      <w:r w:rsidRPr="00890B49">
        <w:t> : Assistance technique de la Plateforme d’information Nutritionnelle au Niger</w:t>
      </w:r>
    </w:p>
    <w:p w14:paraId="6FC922B0" w14:textId="35C45E7A" w:rsidR="006143B4" w:rsidRPr="00F62BCF" w:rsidRDefault="006143B4" w:rsidP="00DE1F61">
      <w:pPr>
        <w:pStyle w:val="ParagrapheRapportPNIN"/>
      </w:pPr>
      <w:r w:rsidRPr="00F62BCF">
        <w:t xml:space="preserve">Le financement de la nutrition dans le PAP du PDES </w:t>
      </w:r>
      <w:r w:rsidRPr="00DE1F61">
        <w:rPr>
          <w:b/>
        </w:rPr>
        <w:t>reste fortement dépendant des PTF</w:t>
      </w:r>
      <w:r w:rsidR="0068054C">
        <w:t>s</w:t>
      </w:r>
      <w:r w:rsidRPr="00F62BCF">
        <w:t xml:space="preserve"> (61</w:t>
      </w:r>
      <w:r w:rsidR="0068054C">
        <w:t> </w:t>
      </w:r>
      <w:r w:rsidRPr="00F62BCF">
        <w:t>%) et très axé sur les interventions de prise en charge nutritionnelle.</w:t>
      </w:r>
    </w:p>
    <w:p w14:paraId="727D5F33" w14:textId="73BA6310" w:rsidR="007E426D" w:rsidRPr="00F6247C" w:rsidRDefault="0068054C" w:rsidP="00EC23BF">
      <w:pPr>
        <w:pStyle w:val="Titre4PNIN"/>
      </w:pPr>
      <w:bookmarkStart w:id="30" w:name="_Toc528222333"/>
      <w:r w:rsidRPr="00890B49">
        <w:t xml:space="preserve">3.1.3. </w:t>
      </w:r>
      <w:r w:rsidR="007E426D" w:rsidRPr="00890B49">
        <w:t xml:space="preserve">La nutrition dans </w:t>
      </w:r>
      <w:r w:rsidR="00A0393A" w:rsidRPr="004F5A11">
        <w:t xml:space="preserve">le cadre stratégique de l’Initiative 3N 2012-2035, </w:t>
      </w:r>
      <w:r w:rsidR="007E426D" w:rsidRPr="00F42C6B">
        <w:t>le plan d’action 2016-2020 du HC3N</w:t>
      </w:r>
      <w:r w:rsidR="00A57DCD" w:rsidRPr="00007766">
        <w:t xml:space="preserve"> et</w:t>
      </w:r>
      <w:r w:rsidR="00A0393A" w:rsidRPr="005C017F">
        <w:t xml:space="preserve"> le Document de Programmation Pluriannuel des Dépenses 2018-2020 </w:t>
      </w:r>
      <w:r w:rsidR="00A0393A" w:rsidRPr="00540DAE">
        <w:t xml:space="preserve">du </w:t>
      </w:r>
      <w:r w:rsidR="00A0393A" w:rsidRPr="00504670">
        <w:t>Ha</w:t>
      </w:r>
      <w:r w:rsidR="00A0393A" w:rsidRPr="0093089E">
        <w:t>ut-commissariat à l’Initiative 3N</w:t>
      </w:r>
      <w:bookmarkEnd w:id="30"/>
    </w:p>
    <w:p w14:paraId="52855171" w14:textId="391275EF" w:rsidR="00D26F7F" w:rsidRPr="007E426D" w:rsidRDefault="00C96638" w:rsidP="00DE1F61">
      <w:pPr>
        <w:pStyle w:val="ParagrapheRapportPNIN"/>
      </w:pPr>
      <w:r w:rsidRPr="00C96638">
        <w:t xml:space="preserve">La stratégie de l’Initiative 3N </w:t>
      </w:r>
      <w:r w:rsidR="00806378">
        <w:t xml:space="preserve">vise </w:t>
      </w:r>
      <w:r w:rsidR="00652F3F" w:rsidRPr="00652F3F">
        <w:t>à «</w:t>
      </w:r>
      <w:r w:rsidR="0068054C">
        <w:t> </w:t>
      </w:r>
      <w:r w:rsidR="00652F3F" w:rsidRPr="00652F3F">
        <w:t xml:space="preserve">contribuer à mettre durablement les populations nigériennes à l’abri de la faim et de la malnutrition et leur garantir les conditions d’une pleine participation à la production nationale et à </w:t>
      </w:r>
      <w:r w:rsidR="00806378">
        <w:t>l’amélioration de leurs revenus</w:t>
      </w:r>
      <w:r w:rsidR="0068054C">
        <w:t> </w:t>
      </w:r>
      <w:r w:rsidR="00652F3F" w:rsidRPr="00652F3F">
        <w:t xml:space="preserve">». </w:t>
      </w:r>
      <w:r w:rsidR="0068054C">
        <w:t xml:space="preserve">La stratégie </w:t>
      </w:r>
      <w:r w:rsidR="00652F3F" w:rsidRPr="00652F3F">
        <w:t xml:space="preserve">veut ainsi s’attaquer aux causes profondes de l’insécurité </w:t>
      </w:r>
      <w:r w:rsidR="00652F3F" w:rsidRPr="00652F3F">
        <w:lastRenderedPageBreak/>
        <w:t>alimentaire et nutritionnelle à travers la mise en œuvre d’un ensemble cohérent de reformes et d’actions d’investissements</w:t>
      </w:r>
      <w:r>
        <w:t xml:space="preserve">. </w:t>
      </w:r>
      <w:r w:rsidR="002B2C12" w:rsidRPr="002B2C12">
        <w:t>Cette stratégie est basée sur les acquis de la Stratégie du Développement Rural</w:t>
      </w:r>
      <w:r w:rsidR="0068054C">
        <w:t xml:space="preserve"> (SDR)</w:t>
      </w:r>
      <w:r w:rsidR="002B2C12" w:rsidRPr="002B2C12">
        <w:t xml:space="preserve"> et s’inscrit dans le processus de mise en œuvre du Plan de Développement pour l’Agriculture en Afrique (PDDAA), de la politique agricole commune de la Communauté Economique Des Etats d’Afrique de l’Ouest (CEDEAO) et de la politique agricole de l’Union Economique et Monétaire Ouest Africaine (UEMOA).</w:t>
      </w:r>
      <w:r w:rsidR="009D53A3">
        <w:t xml:space="preserve"> </w:t>
      </w:r>
      <w:r>
        <w:t>Elle constitue le principal cadre de référence pour les interventions actuelles et futures en matière de sécurité alimentaire et nutritionnelle des administrations publiques, des collectivités territoriales et des acteurs non étatiques à l’horizon 2035</w:t>
      </w:r>
      <w:r w:rsidR="00806378">
        <w:rPr>
          <w:rStyle w:val="Appelnotedebasdep"/>
        </w:rPr>
        <w:footnoteReference w:id="35"/>
      </w:r>
      <w:r w:rsidR="00652F3F" w:rsidRPr="00652F3F">
        <w:t>.</w:t>
      </w:r>
    </w:p>
    <w:p w14:paraId="5F923AE9" w14:textId="5940FC3B" w:rsidR="00652F3F" w:rsidRDefault="001C6587" w:rsidP="00DE1F61">
      <w:pPr>
        <w:pStyle w:val="ParagrapheRapportPNIN"/>
      </w:pPr>
      <w:r w:rsidRPr="001C6587">
        <w:t>L’initiative 3N s’est dotée</w:t>
      </w:r>
      <w:r w:rsidR="00F260D1">
        <w:t xml:space="preserve"> de : 1) Un</w:t>
      </w:r>
      <w:r w:rsidR="00FA6C5B" w:rsidRPr="00FA6C5B">
        <w:t xml:space="preserve"> P</w:t>
      </w:r>
      <w:r w:rsidR="00FA6C5B">
        <w:t>rogramme d’Urgence 2011-2012</w:t>
      </w:r>
      <w:r w:rsidR="00F260D1">
        <w:t> ; 2) </w:t>
      </w:r>
      <w:r w:rsidR="00CB657D">
        <w:t xml:space="preserve">un </w:t>
      </w:r>
      <w:r w:rsidR="00CB657D" w:rsidRPr="00CB657D">
        <w:t>P</w:t>
      </w:r>
      <w:r w:rsidR="00CB657D">
        <w:t>lan d’Investissement 2012-2015</w:t>
      </w:r>
      <w:r w:rsidR="00F260D1">
        <w:t> ; 3) </w:t>
      </w:r>
      <w:r w:rsidR="00CB657D">
        <w:t>un Plan d’Accélération 2014-2015</w:t>
      </w:r>
      <w:r w:rsidR="00F260D1">
        <w:t> ; 4) </w:t>
      </w:r>
      <w:r w:rsidR="00FA6C5B">
        <w:t xml:space="preserve">un </w:t>
      </w:r>
      <w:r w:rsidR="00F260D1">
        <w:t>P</w:t>
      </w:r>
      <w:r w:rsidRPr="001C6587">
        <w:t>lan d’</w:t>
      </w:r>
      <w:r w:rsidR="00F260D1">
        <w:t>A</w:t>
      </w:r>
      <w:r w:rsidRPr="001C6587">
        <w:t>ction</w:t>
      </w:r>
      <w:r w:rsidR="00F260D1">
        <w:t>s</w:t>
      </w:r>
      <w:r w:rsidRPr="001C6587">
        <w:t xml:space="preserve"> 2016-2020</w:t>
      </w:r>
      <w:r w:rsidR="00F260D1">
        <w:t> ; 5) U</w:t>
      </w:r>
      <w:r w:rsidRPr="001C6587">
        <w:t>n Document de Programmation Plu</w:t>
      </w:r>
      <w:r w:rsidR="00A57DCD">
        <w:t xml:space="preserve">riannuelle des Dépenses (DPPD) </w:t>
      </w:r>
      <w:r w:rsidRPr="001C6587">
        <w:t>2018-2020.</w:t>
      </w:r>
      <w:r w:rsidR="00800D9C" w:rsidRPr="00800D9C">
        <w:t xml:space="preserve"> </w:t>
      </w:r>
      <w:r w:rsidR="00F260D1">
        <w:t>L’</w:t>
      </w:r>
      <w:r w:rsidR="00800D9C" w:rsidRPr="00800D9C">
        <w:t xml:space="preserve">objectif principal </w:t>
      </w:r>
      <w:r w:rsidR="00F260D1">
        <w:t xml:space="preserve">du </w:t>
      </w:r>
      <w:r w:rsidR="00F260D1" w:rsidRPr="00800D9C">
        <w:t xml:space="preserve">Plan d’Action 2016-2020 </w:t>
      </w:r>
      <w:r w:rsidR="00800D9C" w:rsidRPr="00800D9C">
        <w:t>est la «</w:t>
      </w:r>
      <w:r w:rsidR="00F260D1">
        <w:t> </w:t>
      </w:r>
      <w:r w:rsidR="00800D9C" w:rsidRPr="00800D9C">
        <w:t>faim zéro au Niger</w:t>
      </w:r>
      <w:r w:rsidR="00F260D1">
        <w:t> </w:t>
      </w:r>
      <w:r w:rsidR="00800D9C" w:rsidRPr="00800D9C">
        <w:t>».</w:t>
      </w:r>
      <w:r w:rsidR="006471F2">
        <w:t xml:space="preserve"> </w:t>
      </w:r>
      <w:r w:rsidR="00F260D1">
        <w:t xml:space="preserve">Ce plan </w:t>
      </w:r>
      <w:r w:rsidR="006471F2">
        <w:t>prend en compte la nutrition à travers sa dimension multisectorielle</w:t>
      </w:r>
      <w:r w:rsidR="00F260D1">
        <w:t xml:space="preserve"> et </w:t>
      </w:r>
      <w:r w:rsidR="006471F2">
        <w:t xml:space="preserve">marque une nouvelle avancée </w:t>
      </w:r>
      <w:r w:rsidR="00D409B6">
        <w:t>dans la prise en compte de la dimension multisectorielle de</w:t>
      </w:r>
      <w:r w:rsidR="006471F2">
        <w:t xml:space="preserve"> la nutrition</w:t>
      </w:r>
      <w:r w:rsidR="00D409B6">
        <w:t>.</w:t>
      </w:r>
      <w:r w:rsidR="004D583B" w:rsidRPr="004D583B">
        <w:t xml:space="preserve"> En effet, </w:t>
      </w:r>
      <w:r w:rsidR="00F260D1">
        <w:t>sur la période</w:t>
      </w:r>
      <w:r w:rsidR="004D583B" w:rsidRPr="004D583B">
        <w:t xml:space="preserve"> 2012-2015</w:t>
      </w:r>
      <w:r w:rsidR="00F260D1">
        <w:t xml:space="preserve">, </w:t>
      </w:r>
      <w:r w:rsidR="00F260D1" w:rsidRPr="004D583B">
        <w:t xml:space="preserve">les efforts </w:t>
      </w:r>
      <w:r w:rsidR="00F260D1">
        <w:t>du P</w:t>
      </w:r>
      <w:r w:rsidR="004D583B" w:rsidRPr="004D583B">
        <w:t xml:space="preserve">lan d’Investissement de l’I3N </w:t>
      </w:r>
      <w:r w:rsidR="00F260D1">
        <w:t xml:space="preserve">dans le domaine de la nutrition </w:t>
      </w:r>
      <w:r w:rsidR="004D583B" w:rsidRPr="004D583B">
        <w:t>ont principalement concerné la prise en charge de la malnutrition aiguë et la réponse aux pics en période de soudure</w:t>
      </w:r>
      <w:r w:rsidR="004D583B">
        <w:t>.</w:t>
      </w:r>
      <w:r w:rsidR="004D583B" w:rsidRPr="004D583B">
        <w:t xml:space="preserve"> </w:t>
      </w:r>
    </w:p>
    <w:p w14:paraId="56F3E790" w14:textId="2D19449E" w:rsidR="00652F3F" w:rsidRPr="00A3547A" w:rsidRDefault="00652F3F" w:rsidP="00DE1F61">
      <w:pPr>
        <w:pStyle w:val="ParagrapheRapportPNIN"/>
        <w:rPr>
          <w:b/>
        </w:rPr>
      </w:pPr>
      <w:r w:rsidRPr="00A3547A">
        <w:rPr>
          <w:b/>
        </w:rPr>
        <w:t>Prise en compte de la nutrition dans l’analyse situationnelle</w:t>
      </w:r>
    </w:p>
    <w:p w14:paraId="44F96790" w14:textId="77777777" w:rsidR="00800D9C" w:rsidRDefault="00611024" w:rsidP="00DE1F61">
      <w:pPr>
        <w:pStyle w:val="ParagrapheRapportPNIN"/>
      </w:pPr>
      <w:r>
        <w:t>La nutrition est prise en compte dans l’analyse de situation</w:t>
      </w:r>
    </w:p>
    <w:p w14:paraId="32C5D5DC" w14:textId="77777777" w:rsidR="008605AB" w:rsidRDefault="008605AB" w:rsidP="00DE1F61">
      <w:pPr>
        <w:pStyle w:val="ParagrapheRapportPNIN"/>
      </w:pPr>
      <w:r w:rsidRPr="00DE1F61">
        <w:rPr>
          <w:b/>
        </w:rPr>
        <w:t>Prise en compte de la nutrition dans les objectifs</w:t>
      </w:r>
    </w:p>
    <w:p w14:paraId="1F0B2D46" w14:textId="1ED124A0" w:rsidR="00611024" w:rsidRDefault="00611024" w:rsidP="00DE1F61">
      <w:pPr>
        <w:pStyle w:val="ParagrapheRapportPNIN"/>
      </w:pPr>
      <w:r>
        <w:t>La nutrition est prise en compte dans la stratégie de l’Initiative</w:t>
      </w:r>
      <w:r w:rsidR="00F260D1">
        <w:t xml:space="preserve"> </w:t>
      </w:r>
      <w:r>
        <w:t>3N</w:t>
      </w:r>
      <w:r w:rsidR="00F260D1">
        <w:t xml:space="preserve"> qui </w:t>
      </w:r>
      <w:r>
        <w:t xml:space="preserve">a pour objectif principal de </w:t>
      </w:r>
      <w:r w:rsidRPr="00611024">
        <w:t>«</w:t>
      </w:r>
      <w:r w:rsidR="00F260D1">
        <w:t> </w:t>
      </w:r>
      <w:r w:rsidRPr="00611024">
        <w:t>c</w:t>
      </w:r>
      <w:r>
        <w:t>ontribuer à mettre durablement les populations nigériennes à</w:t>
      </w:r>
      <w:r w:rsidR="00F260D1">
        <w:t xml:space="preserve"> </w:t>
      </w:r>
      <w:r>
        <w:t>l’abri de la faim</w:t>
      </w:r>
      <w:r w:rsidR="00F260D1">
        <w:t xml:space="preserve"> </w:t>
      </w:r>
      <w:r>
        <w:t xml:space="preserve">et de </w:t>
      </w:r>
      <w:r w:rsidRPr="00611024">
        <w:t>la</w:t>
      </w:r>
      <w:r w:rsidR="00F260D1">
        <w:t xml:space="preserve"> </w:t>
      </w:r>
      <w:r w:rsidRPr="00611024">
        <w:t>malnutrition</w:t>
      </w:r>
      <w:r>
        <w:t xml:space="preserve"> et </w:t>
      </w:r>
      <w:r w:rsidRPr="00611024">
        <w:t>leur</w:t>
      </w:r>
      <w:r w:rsidR="00F260D1">
        <w:t xml:space="preserve"> </w:t>
      </w:r>
      <w:r w:rsidRPr="00611024">
        <w:t>garantir</w:t>
      </w:r>
      <w:r w:rsidR="00F260D1">
        <w:t xml:space="preserve"> </w:t>
      </w:r>
      <w:r>
        <w:t xml:space="preserve">les </w:t>
      </w:r>
      <w:r w:rsidRPr="00611024">
        <w:t>condit</w:t>
      </w:r>
      <w:r>
        <w:t>ions d’une pleine participation à la production nationale et à</w:t>
      </w:r>
      <w:r w:rsidR="00F260D1">
        <w:t xml:space="preserve"> </w:t>
      </w:r>
      <w:r w:rsidRPr="00611024">
        <w:t>l’amélioration</w:t>
      </w:r>
      <w:r>
        <w:t xml:space="preserve"> de leurs </w:t>
      </w:r>
      <w:r w:rsidRPr="00611024">
        <w:t>revenus</w:t>
      </w:r>
      <w:r w:rsidR="00F260D1">
        <w:t> </w:t>
      </w:r>
      <w:r w:rsidRPr="00611024">
        <w:t>»</w:t>
      </w:r>
      <w:r w:rsidR="00F260D1">
        <w:t xml:space="preserve">. </w:t>
      </w:r>
    </w:p>
    <w:p w14:paraId="16931CC4" w14:textId="147C12CD" w:rsidR="008605AB" w:rsidRDefault="008605AB" w:rsidP="00DE1F61">
      <w:pPr>
        <w:pStyle w:val="ParagrapheRapportPNIN"/>
      </w:pPr>
      <w:r w:rsidRPr="008605AB">
        <w:t>La nutri</w:t>
      </w:r>
      <w:r>
        <w:t>ti</w:t>
      </w:r>
      <w:r w:rsidRPr="008605AB">
        <w:t xml:space="preserve">on est </w:t>
      </w:r>
      <w:r w:rsidR="00F260D1">
        <w:t xml:space="preserve">également </w:t>
      </w:r>
      <w:r w:rsidRPr="008605AB">
        <w:t>prise en compte dans l’Objectif</w:t>
      </w:r>
      <w:r w:rsidR="00F260D1">
        <w:t xml:space="preserve"> </w:t>
      </w:r>
      <w:r w:rsidRPr="008605AB">
        <w:t>spécifique</w:t>
      </w:r>
      <w:r>
        <w:t xml:space="preserve"> 3</w:t>
      </w:r>
      <w:r w:rsidR="00F260D1">
        <w:t> </w:t>
      </w:r>
      <w:r>
        <w:t xml:space="preserve">: </w:t>
      </w:r>
      <w:r w:rsidR="00F260D1">
        <w:t>« </w:t>
      </w:r>
      <w:r>
        <w:t xml:space="preserve">Améliorer </w:t>
      </w:r>
      <w:r w:rsidRPr="008605AB">
        <w:t>l’accès</w:t>
      </w:r>
      <w:r w:rsidR="00F260D1">
        <w:t xml:space="preserve"> </w:t>
      </w:r>
      <w:r w:rsidRPr="008605AB">
        <w:t>à</w:t>
      </w:r>
      <w:r>
        <w:t xml:space="preserve"> l’alimentation, </w:t>
      </w:r>
      <w:r w:rsidRPr="008605AB">
        <w:t>la</w:t>
      </w:r>
      <w:r>
        <w:t xml:space="preserve"> nutrition et renforcer la</w:t>
      </w:r>
      <w:r w:rsidR="00F260D1">
        <w:t xml:space="preserve"> </w:t>
      </w:r>
      <w:r>
        <w:t xml:space="preserve">résilience des </w:t>
      </w:r>
      <w:r w:rsidRPr="008605AB">
        <w:t>populations</w:t>
      </w:r>
      <w:r>
        <w:t xml:space="preserve"> </w:t>
      </w:r>
      <w:r w:rsidRPr="008605AB">
        <w:t>vulnérables</w:t>
      </w:r>
      <w:r w:rsidR="00F260D1">
        <w:t> »</w:t>
      </w:r>
      <w:r w:rsidR="00FC39CC">
        <w:t xml:space="preserve"> du plan d’action 2016-2020.</w:t>
      </w:r>
    </w:p>
    <w:p w14:paraId="741CCA4A" w14:textId="77777777" w:rsidR="00652F3F" w:rsidRDefault="00652F3F" w:rsidP="00DE1F61">
      <w:pPr>
        <w:pStyle w:val="ParagrapheRapportPNIN"/>
        <w:rPr>
          <w:b/>
        </w:rPr>
      </w:pPr>
      <w:r w:rsidRPr="00D06D24">
        <w:rPr>
          <w:b/>
        </w:rPr>
        <w:t>Identification des axes stratégiques/actions/interventions en lien avec la nutrition</w:t>
      </w:r>
    </w:p>
    <w:p w14:paraId="3A514872" w14:textId="088D3CF4" w:rsidR="00F260D1" w:rsidRDefault="001C6587" w:rsidP="00DE1F61">
      <w:pPr>
        <w:pStyle w:val="ParagrapheRapportPNIN"/>
      </w:pPr>
      <w:r w:rsidRPr="001C6587">
        <w:t>L’Initiative 3N est conçue autour de cinq (5)</w:t>
      </w:r>
      <w:r w:rsidR="00F260D1">
        <w:t> </w:t>
      </w:r>
      <w:r w:rsidRPr="001C6587">
        <w:t>axes stratégiques</w:t>
      </w:r>
      <w:r w:rsidR="00F260D1">
        <w:t> </w:t>
      </w:r>
      <w:r w:rsidRPr="001C6587">
        <w:t xml:space="preserve">: </w:t>
      </w:r>
    </w:p>
    <w:p w14:paraId="70E47386" w14:textId="33B7B2DE" w:rsidR="00F260D1" w:rsidRDefault="001C6587" w:rsidP="00DE1F61">
      <w:pPr>
        <w:pStyle w:val="PucesRapportPNIN"/>
      </w:pPr>
      <w:r w:rsidRPr="001C6587">
        <w:t>(</w:t>
      </w:r>
      <w:r w:rsidR="00F260D1">
        <w:t>1</w:t>
      </w:r>
      <w:r w:rsidRPr="001C6587">
        <w:t>)</w:t>
      </w:r>
      <w:r w:rsidR="00F260D1">
        <w:t> A</w:t>
      </w:r>
      <w:r w:rsidRPr="001C6587">
        <w:t>ccroissement et diversification des productions agro-sylvo-pastorales et halieutiques</w:t>
      </w:r>
      <w:r w:rsidR="00F260D1">
        <w:t> ;</w:t>
      </w:r>
    </w:p>
    <w:p w14:paraId="34AF569D" w14:textId="0357FA90" w:rsidR="00F260D1" w:rsidRDefault="001C6587" w:rsidP="00DE1F61">
      <w:pPr>
        <w:pStyle w:val="PucesRapportPNIN"/>
      </w:pPr>
      <w:r w:rsidRPr="001C6587">
        <w:t>(</w:t>
      </w:r>
      <w:r w:rsidR="00F260D1">
        <w:t>2</w:t>
      </w:r>
      <w:r w:rsidRPr="001C6587">
        <w:t>)</w:t>
      </w:r>
      <w:r w:rsidR="00F260D1">
        <w:t> A</w:t>
      </w:r>
      <w:r w:rsidRPr="001C6587">
        <w:t>pprovisionnement régulier des marchés ruraux et urbains en produits agricoles et agroalimentaires</w:t>
      </w:r>
      <w:r w:rsidR="00F260D1">
        <w:t xml:space="preserve"> : </w:t>
      </w:r>
    </w:p>
    <w:p w14:paraId="5E08244F" w14:textId="09DAD16D" w:rsidR="00F260D1" w:rsidRDefault="001C6587" w:rsidP="00DE1F61">
      <w:pPr>
        <w:pStyle w:val="PucesRapportPNIN"/>
      </w:pPr>
      <w:r w:rsidRPr="001C6587">
        <w:t>(</w:t>
      </w:r>
      <w:r w:rsidR="00F260D1">
        <w:t>3</w:t>
      </w:r>
      <w:r w:rsidRPr="001C6587">
        <w:t>)</w:t>
      </w:r>
      <w:r w:rsidR="00F260D1">
        <w:t> A</w:t>
      </w:r>
      <w:r w:rsidRPr="001C6587">
        <w:t>mélioration de la résilience des populations face aux changements climatiques, crises et catastrophes</w:t>
      </w:r>
      <w:r w:rsidR="00F260D1">
        <w:t xml:space="preserve"> ; </w:t>
      </w:r>
    </w:p>
    <w:p w14:paraId="796CF206" w14:textId="2AA0FD1E" w:rsidR="00F260D1" w:rsidRDefault="00F260D1" w:rsidP="00DE1F61">
      <w:pPr>
        <w:pStyle w:val="PucesRapportPNIN"/>
      </w:pPr>
      <w:r>
        <w:t>(4) A</w:t>
      </w:r>
      <w:r w:rsidR="001C6587" w:rsidRPr="001C6587">
        <w:t>mélioration de l’Etat nutritionnel des nigériens</w:t>
      </w:r>
      <w:r>
        <w:t xml:space="preserve"> ; </w:t>
      </w:r>
    </w:p>
    <w:p w14:paraId="277E582C" w14:textId="18E9AA84" w:rsidR="00652F3F" w:rsidRDefault="00F260D1" w:rsidP="00DE1F61">
      <w:pPr>
        <w:pStyle w:val="PucesRapportPNIN"/>
      </w:pPr>
      <w:r>
        <w:t>(5) C</w:t>
      </w:r>
      <w:r w:rsidR="001C6587" w:rsidRPr="001C6587">
        <w:t>réation d’un environnement favorable à la mise en œuvre de l’Initiative 3N</w:t>
      </w:r>
      <w:r w:rsidR="004863C6">
        <w:rPr>
          <w:rStyle w:val="Appelnotedebasdep"/>
          <w:rFonts w:cs="Calibri"/>
        </w:rPr>
        <w:footnoteReference w:id="36"/>
      </w:r>
      <w:r w:rsidR="001C6587" w:rsidRPr="001C6587">
        <w:t>.</w:t>
      </w:r>
    </w:p>
    <w:p w14:paraId="43590A68" w14:textId="2FF6901B" w:rsidR="00FC39CC" w:rsidRPr="00FC39CC" w:rsidRDefault="00FC39CC" w:rsidP="00DE1F61">
      <w:pPr>
        <w:pStyle w:val="ParagrapheRapportPNIN"/>
      </w:pPr>
      <w:r w:rsidRPr="00FC39CC">
        <w:lastRenderedPageBreak/>
        <w:t xml:space="preserve">Dans le </w:t>
      </w:r>
      <w:r w:rsidR="00F260D1">
        <w:t>P</w:t>
      </w:r>
      <w:r w:rsidRPr="00FC39CC">
        <w:t>lan d’</w:t>
      </w:r>
      <w:r w:rsidR="00F260D1">
        <w:t>A</w:t>
      </w:r>
      <w:r w:rsidRPr="00FC39CC">
        <w:t>ction</w:t>
      </w:r>
      <w:r w:rsidR="00F260D1">
        <w:t>s</w:t>
      </w:r>
      <w:r w:rsidRPr="00FC39CC">
        <w:t xml:space="preserve"> 2016-2020, </w:t>
      </w:r>
      <w:r w:rsidR="00F260D1">
        <w:t>la nutrition</w:t>
      </w:r>
      <w:r w:rsidR="00F260D1" w:rsidRPr="00FC39CC">
        <w:t xml:space="preserve"> </w:t>
      </w:r>
      <w:r w:rsidRPr="00FC39CC">
        <w:t>est prise en compte dans le domaine d’intervention 4</w:t>
      </w:r>
      <w:r w:rsidR="00F260D1">
        <w:t xml:space="preserve"> sur la</w:t>
      </w:r>
      <w:r w:rsidRPr="00FC39CC">
        <w:t xml:space="preserve"> réduction de la vulnérabilité à l’insécurité alimentaire et nutritionnelle et ses trois Programmes Stratégiques</w:t>
      </w:r>
      <w:r w:rsidR="00F260D1">
        <w:t> </w:t>
      </w:r>
      <w:r w:rsidRPr="00FC39CC">
        <w:t>:</w:t>
      </w:r>
    </w:p>
    <w:p w14:paraId="49F0FE5D" w14:textId="21033247" w:rsidR="00FC39CC" w:rsidRPr="00FC39CC" w:rsidRDefault="00FC39CC" w:rsidP="00DE1F61">
      <w:pPr>
        <w:pStyle w:val="PucesRapportPNIN"/>
      </w:pPr>
      <w:r w:rsidRPr="00FC39CC">
        <w:t>PS 9</w:t>
      </w:r>
      <w:r w:rsidR="00EB6370">
        <w:t> </w:t>
      </w:r>
      <w:r w:rsidRPr="00FC39CC">
        <w:t>: Réduction de l’insécurité alimentaire chronique par des mécanismes durables de protection sociale et d’accès aux moyens d’existence</w:t>
      </w:r>
      <w:r w:rsidR="00EB6370">
        <w:t> ;</w:t>
      </w:r>
    </w:p>
    <w:p w14:paraId="3D5B13AC" w14:textId="12AC98CD" w:rsidR="00FC39CC" w:rsidRPr="00FC39CC" w:rsidRDefault="00FC39CC" w:rsidP="00DE1F61">
      <w:pPr>
        <w:pStyle w:val="PucesRapportPNIN"/>
      </w:pPr>
      <w:r w:rsidRPr="00FC39CC">
        <w:t>PS 10</w:t>
      </w:r>
      <w:r w:rsidR="00EB6370">
        <w:t> </w:t>
      </w:r>
      <w:r w:rsidRPr="00FC39CC">
        <w:t>: Gestion de l’insécurité alimentaire conjoncturelle et des situations de crises</w:t>
      </w:r>
      <w:r w:rsidR="00EB6370">
        <w:t> ;</w:t>
      </w:r>
    </w:p>
    <w:p w14:paraId="6A0E77D0" w14:textId="026E9D22" w:rsidR="00FC39CC" w:rsidRPr="00FC39CC" w:rsidRDefault="00FC39CC" w:rsidP="00DE1F61">
      <w:pPr>
        <w:pStyle w:val="PucesRapportPNIN"/>
      </w:pPr>
      <w:r w:rsidRPr="00FC39CC">
        <w:t>PS11</w:t>
      </w:r>
      <w:r w:rsidR="00EB6370">
        <w:t> </w:t>
      </w:r>
      <w:r w:rsidRPr="00FC39CC">
        <w:t>: Amélioration de l’état nutritionnel des nigériens à travers la prévention et la prise en charge de la malnutrition.</w:t>
      </w:r>
    </w:p>
    <w:p w14:paraId="73D2218B" w14:textId="07E6FE4C" w:rsidR="00EB6370" w:rsidRDefault="00800D9C" w:rsidP="00DE1F61">
      <w:pPr>
        <w:pStyle w:val="ParagrapheRapportPNIN"/>
      </w:pPr>
      <w:r w:rsidRPr="00800D9C">
        <w:t xml:space="preserve">Le Plan d’Action 2016-2020 fait le lien avec la PNSN et ses huit engagements, les priorités résilience pays </w:t>
      </w:r>
      <w:r w:rsidR="00093782">
        <w:t>de l’</w:t>
      </w:r>
      <w:r w:rsidRPr="00800D9C">
        <w:t>A</w:t>
      </w:r>
      <w:r w:rsidR="00093782">
        <w:t xml:space="preserve">lliance </w:t>
      </w:r>
      <w:r w:rsidR="00093782" w:rsidRPr="00093782">
        <w:t xml:space="preserve">Globale pour la Résilience </w:t>
      </w:r>
      <w:r w:rsidR="00093782">
        <w:t>(A</w:t>
      </w:r>
      <w:r w:rsidRPr="00800D9C">
        <w:t>GIR</w:t>
      </w:r>
      <w:r w:rsidR="00093782">
        <w:t>)</w:t>
      </w:r>
      <w:r w:rsidRPr="00800D9C">
        <w:t xml:space="preserve"> et la Politique Nationale de Protection Sociale (PNPS) à travers son Axe</w:t>
      </w:r>
      <w:r w:rsidR="00EB6370">
        <w:t> </w:t>
      </w:r>
      <w:r w:rsidRPr="00800D9C">
        <w:t>1 « Sécurité alimentaire et nutrition ».</w:t>
      </w:r>
      <w:r>
        <w:t xml:space="preserve"> </w:t>
      </w:r>
    </w:p>
    <w:p w14:paraId="0A25A2A2" w14:textId="5A6B6B9F" w:rsidR="00EB6370" w:rsidRDefault="009D76F9" w:rsidP="00DE1F61">
      <w:pPr>
        <w:pStyle w:val="ParagrapheRapportPNIN"/>
      </w:pPr>
      <w:r w:rsidRPr="009D76F9">
        <w:t xml:space="preserve">Le Plan d’Action 2016-2020 </w:t>
      </w:r>
      <w:r w:rsidR="001C6587" w:rsidRPr="001C6587">
        <w:t>est articulé autour de 5</w:t>
      </w:r>
      <w:r w:rsidR="00EB6370">
        <w:t> </w:t>
      </w:r>
      <w:r w:rsidR="001C6587" w:rsidRPr="001C6587">
        <w:t xml:space="preserve">axes stratégiques déclinés </w:t>
      </w:r>
      <w:r w:rsidR="00A72DAC">
        <w:t>en 5</w:t>
      </w:r>
      <w:r w:rsidR="00EB6370">
        <w:t> </w:t>
      </w:r>
      <w:r w:rsidR="00A72DAC">
        <w:t xml:space="preserve">domaines d’interventions et </w:t>
      </w:r>
      <w:r w:rsidR="001C6587" w:rsidRPr="001C6587">
        <w:t>11</w:t>
      </w:r>
      <w:r w:rsidR="00EB6370">
        <w:t> </w:t>
      </w:r>
      <w:r w:rsidR="00EE1E34">
        <w:t>Programmes S</w:t>
      </w:r>
      <w:r w:rsidR="001C6587" w:rsidRPr="001C6587">
        <w:t>tratégiques (PS).</w:t>
      </w:r>
      <w:r w:rsidR="001C6587">
        <w:t xml:space="preserve"> </w:t>
      </w:r>
      <w:r>
        <w:t>L</w:t>
      </w:r>
      <w:r w:rsidRPr="009D76F9">
        <w:t>es cinq</w:t>
      </w:r>
      <w:r w:rsidR="00EB6370">
        <w:t> </w:t>
      </w:r>
      <w:r w:rsidRPr="009D76F9">
        <w:t>(5)</w:t>
      </w:r>
      <w:r w:rsidR="00EB6370">
        <w:t> </w:t>
      </w:r>
      <w:r w:rsidRPr="009D76F9">
        <w:t>domaines d’intervention</w:t>
      </w:r>
      <w:r w:rsidR="00EB6370">
        <w:t xml:space="preserve"> sont : </w:t>
      </w:r>
    </w:p>
    <w:p w14:paraId="313A116C" w14:textId="41E8EAC6" w:rsidR="00EB6370" w:rsidRDefault="00EB6370" w:rsidP="00DE1F61">
      <w:pPr>
        <w:pStyle w:val="PucesRapportPNIN"/>
      </w:pPr>
      <w:r>
        <w:t>1</w:t>
      </w:r>
      <w:r w:rsidR="009D76F9" w:rsidRPr="009D76F9">
        <w:t>)</w:t>
      </w:r>
      <w:r>
        <w:t> L</w:t>
      </w:r>
      <w:r w:rsidR="009D76F9" w:rsidRPr="009D76F9">
        <w:t>a maîtrise de l’eau pour les productions agro sylvo pastorales et halieutiques</w:t>
      </w:r>
      <w:r>
        <w:t xml:space="preserve"> ; </w:t>
      </w:r>
    </w:p>
    <w:p w14:paraId="3E5AE5F1" w14:textId="6BCE27BA" w:rsidR="00EB6370" w:rsidRDefault="00EB6370" w:rsidP="00DE1F61">
      <w:pPr>
        <w:pStyle w:val="PucesRapportPNIN"/>
      </w:pPr>
      <w:r>
        <w:t>2</w:t>
      </w:r>
      <w:r w:rsidR="009D76F9" w:rsidRPr="009D76F9">
        <w:t>)</w:t>
      </w:r>
      <w:r>
        <w:t> </w:t>
      </w:r>
      <w:r w:rsidR="009D76F9" w:rsidRPr="009D76F9">
        <w:t>la promotion des filières agro-sylvo-pastorales et halieutiques et les chaînes de valeur</w:t>
      </w:r>
      <w:r>
        <w:t> </w:t>
      </w:r>
      <w:r w:rsidR="009D76F9" w:rsidRPr="009D76F9">
        <w:t>;</w:t>
      </w:r>
    </w:p>
    <w:p w14:paraId="2A074CA2" w14:textId="331238EF" w:rsidR="00EB6370" w:rsidRDefault="00EB6370" w:rsidP="00DE1F61">
      <w:pPr>
        <w:pStyle w:val="PucesRapportPNIN"/>
      </w:pPr>
      <w:r>
        <w:t>3</w:t>
      </w:r>
      <w:r w:rsidR="009D76F9" w:rsidRPr="009D76F9">
        <w:t>)</w:t>
      </w:r>
      <w:r>
        <w:t> L</w:t>
      </w:r>
      <w:r w:rsidR="009D76F9" w:rsidRPr="009D76F9">
        <w:t>a gestion</w:t>
      </w:r>
      <w:r w:rsidR="009D76F9">
        <w:t xml:space="preserve"> </w:t>
      </w:r>
      <w:r w:rsidR="009D76F9" w:rsidRPr="009D76F9">
        <w:t>intégrée et durable des ressources naturelles et la protection de l’environnement</w:t>
      </w:r>
      <w:r>
        <w:t> </w:t>
      </w:r>
      <w:r w:rsidR="009D76F9" w:rsidRPr="009D76F9">
        <w:t xml:space="preserve">; </w:t>
      </w:r>
    </w:p>
    <w:p w14:paraId="10015213" w14:textId="57614E57" w:rsidR="00EB6370" w:rsidRDefault="00EB6370" w:rsidP="00DE1F61">
      <w:pPr>
        <w:pStyle w:val="PucesRapportPNIN"/>
      </w:pPr>
      <w:r>
        <w:t>4</w:t>
      </w:r>
      <w:r w:rsidR="009D76F9" w:rsidRPr="009D76F9">
        <w:t>)</w:t>
      </w:r>
      <w:r>
        <w:t> L</w:t>
      </w:r>
      <w:r w:rsidR="009D76F9" w:rsidRPr="009D76F9">
        <w:t>a réduction de la</w:t>
      </w:r>
      <w:r w:rsidR="009D76F9">
        <w:t xml:space="preserve"> </w:t>
      </w:r>
      <w:r w:rsidR="009D76F9" w:rsidRPr="009D76F9">
        <w:t>vulnérabilité à l’insécurité alimentaire et nutritionnelle</w:t>
      </w:r>
      <w:r>
        <w:t xml:space="preserve"> ; </w:t>
      </w:r>
    </w:p>
    <w:p w14:paraId="402274AD" w14:textId="6EAF6208" w:rsidR="00A72DAC" w:rsidRDefault="00EB6370" w:rsidP="00DE1F61">
      <w:pPr>
        <w:pStyle w:val="PucesRapportPNIN"/>
      </w:pPr>
      <w:r>
        <w:t>5</w:t>
      </w:r>
      <w:r w:rsidR="009D76F9" w:rsidRPr="009D76F9">
        <w:t>)</w:t>
      </w:r>
      <w:r>
        <w:t> L</w:t>
      </w:r>
      <w:r w:rsidR="009D76F9" w:rsidRPr="009D76F9">
        <w:t>a création d’un environnement favorable à la</w:t>
      </w:r>
      <w:r w:rsidR="009D76F9">
        <w:t xml:space="preserve"> </w:t>
      </w:r>
      <w:r w:rsidR="009D76F9" w:rsidRPr="009D76F9">
        <w:t>mise en œuvre de l’Initiative 3N.</w:t>
      </w:r>
    </w:p>
    <w:p w14:paraId="0E750915" w14:textId="5DE1C85D" w:rsidR="001C6587" w:rsidRDefault="001C6587" w:rsidP="00DE1F61">
      <w:pPr>
        <w:pStyle w:val="ParagrapheRapportPNIN"/>
      </w:pPr>
      <w:r>
        <w:t xml:space="preserve">Les </w:t>
      </w:r>
      <w:r w:rsidR="007E426D" w:rsidRPr="007E426D">
        <w:t xml:space="preserve">objectifs du domaine d’intervention 4 </w:t>
      </w:r>
      <w:r>
        <w:t>sont</w:t>
      </w:r>
      <w:r w:rsidR="00EB6370">
        <w:t xml:space="preserve"> de</w:t>
      </w:r>
      <w:r>
        <w:t> :</w:t>
      </w:r>
    </w:p>
    <w:p w14:paraId="3AEA1736" w14:textId="0B720194" w:rsidR="00A72DAC" w:rsidRPr="00A72DAC" w:rsidRDefault="00EB6370" w:rsidP="00DE1F61">
      <w:pPr>
        <w:pStyle w:val="PucesRapportPNIN"/>
      </w:pPr>
      <w:r>
        <w:t>R</w:t>
      </w:r>
      <w:r w:rsidR="00A72DAC" w:rsidRPr="00A72DAC">
        <w:t>éduire la vulnérabilité chronique à travers des actions multisectorielles convergeant vers les groupes les plus fragiles (appuis ciblés aux moyens d’existence, mécanismes de protection sociale…)</w:t>
      </w:r>
      <w:r>
        <w:t> </w:t>
      </w:r>
      <w:r w:rsidR="00A72DAC" w:rsidRPr="00A72DAC">
        <w:t>;</w:t>
      </w:r>
    </w:p>
    <w:p w14:paraId="41894F61" w14:textId="0A9E3FBE" w:rsidR="00A72DAC" w:rsidRPr="00A72DAC" w:rsidRDefault="00EB6370" w:rsidP="00DE1F61">
      <w:pPr>
        <w:pStyle w:val="PucesRapportPNIN"/>
      </w:pPr>
      <w:r>
        <w:t>A</w:t>
      </w:r>
      <w:r w:rsidR="00A72DAC" w:rsidRPr="00A72DAC">
        <w:t>nticiper et répondre ponctuellement à des chocs de production ou d’autres chocs (effets des conflits etc.) nécessitant une assistance d’urgence dans le domaine de la sécurité alimentaire</w:t>
      </w:r>
      <w:r>
        <w:t> </w:t>
      </w:r>
      <w:r w:rsidR="00A72DAC" w:rsidRPr="00A72DAC">
        <w:t>;</w:t>
      </w:r>
    </w:p>
    <w:p w14:paraId="4BB71122" w14:textId="4111D6AA" w:rsidR="00A72DAC" w:rsidRPr="00A72DAC" w:rsidRDefault="00EB6370" w:rsidP="00DE1F61">
      <w:pPr>
        <w:pStyle w:val="PucesRapportPNIN"/>
      </w:pPr>
      <w:r>
        <w:t>R</w:t>
      </w:r>
      <w:r w:rsidR="00A72DAC" w:rsidRPr="00A72DAC">
        <w:t>éduire les prévalences des différentes formes de malnutrition en particulier la malnutrition chronique, en améliorant l’impact des interventions des acteurs de l’Initiative 3N associés à celles des autres secteurs, sur le statut nutritionnel de la population</w:t>
      </w:r>
      <w:r>
        <w:t> </w:t>
      </w:r>
      <w:r w:rsidR="00A72DAC" w:rsidRPr="00A72DAC">
        <w:t>;</w:t>
      </w:r>
    </w:p>
    <w:p w14:paraId="49191779" w14:textId="64650D66" w:rsidR="00A72DAC" w:rsidRDefault="00EB6370" w:rsidP="00DE1F61">
      <w:pPr>
        <w:pStyle w:val="PucesRapportPNIN"/>
      </w:pPr>
      <w:r>
        <w:t>P</w:t>
      </w:r>
      <w:r w:rsidR="00A72DAC" w:rsidRPr="00A72DAC">
        <w:t>oursuivre les efforts de prise en charge médicale de la malnutrition aigüe en particulier pendant les pics liés à la période de soudure</w:t>
      </w:r>
      <w:r>
        <w:t>.</w:t>
      </w:r>
    </w:p>
    <w:p w14:paraId="22CF9C9C" w14:textId="255D1EF2" w:rsidR="004627BA" w:rsidRDefault="004627BA" w:rsidP="00DE1F61">
      <w:pPr>
        <w:pStyle w:val="ParagrapheRapportPNIN"/>
      </w:pPr>
      <w:r>
        <w:t xml:space="preserve">Dans le plan d’action 2016-2020, </w:t>
      </w:r>
      <w:r w:rsidR="00B87188" w:rsidRPr="004627BA">
        <w:t xml:space="preserve">le Dispositif National de Prévention et de Gestion des Crises Alimentaires (DNPGCA) </w:t>
      </w:r>
      <w:r w:rsidR="00B87188">
        <w:t>est</w:t>
      </w:r>
      <w:r w:rsidR="00B87188" w:rsidRPr="004627BA">
        <w:t xml:space="preserve"> désigné comme le maitre d’œuvre des PS</w:t>
      </w:r>
      <w:r w:rsidR="00EB6370">
        <w:t> </w:t>
      </w:r>
      <w:r w:rsidR="00B87188" w:rsidRPr="004627BA">
        <w:t xml:space="preserve">9 et </w:t>
      </w:r>
      <w:r w:rsidR="00EB6370">
        <w:t>du PS </w:t>
      </w:r>
      <w:r w:rsidR="00B87188" w:rsidRPr="004627BA">
        <w:t>10</w:t>
      </w:r>
      <w:r w:rsidR="00B87188">
        <w:t xml:space="preserve"> et </w:t>
      </w:r>
      <w:r>
        <w:t>l</w:t>
      </w:r>
      <w:r w:rsidR="00E41F73">
        <w:t xml:space="preserve">e </w:t>
      </w:r>
      <w:r w:rsidRPr="004627BA">
        <w:t xml:space="preserve">MSP à travers la </w:t>
      </w:r>
      <w:r w:rsidR="00EB6370">
        <w:t>D</w:t>
      </w:r>
      <w:r w:rsidRPr="004627BA">
        <w:t xml:space="preserve">irection de la </w:t>
      </w:r>
      <w:r w:rsidR="00EB6370">
        <w:t>N</w:t>
      </w:r>
      <w:r w:rsidRPr="004627BA">
        <w:t>utrition est mentionné comme maître d’ouvrage du PS</w:t>
      </w:r>
      <w:r w:rsidR="00EB6370">
        <w:t> </w:t>
      </w:r>
      <w:r>
        <w:t>11</w:t>
      </w:r>
      <w:r w:rsidRPr="004627BA">
        <w:t>.</w:t>
      </w:r>
    </w:p>
    <w:p w14:paraId="554CD5B2" w14:textId="0078F8E5" w:rsidR="004627BA" w:rsidRPr="007E426D" w:rsidRDefault="004627BA" w:rsidP="00DE1F61">
      <w:pPr>
        <w:pStyle w:val="ParagrapheRapportPNIN"/>
      </w:pPr>
      <w:r w:rsidRPr="007E426D">
        <w:rPr>
          <w:b/>
        </w:rPr>
        <w:t xml:space="preserve">Les orientations pour la nutrition dans le plan d’action 2016-2020 du HC3N restent fortement tournées vers les interventions spécifiques </w:t>
      </w:r>
      <w:r w:rsidR="00D37E4A">
        <w:rPr>
          <w:b/>
        </w:rPr>
        <w:t xml:space="preserve">de nutrition </w:t>
      </w:r>
      <w:r w:rsidRPr="007E426D">
        <w:rPr>
          <w:b/>
        </w:rPr>
        <w:t>et l’urgence nutritionnelle malgré des ambitions énoncées d’une meilleure prise en compte des interventions sensibles</w:t>
      </w:r>
      <w:r w:rsidRPr="007E426D">
        <w:t xml:space="preserve">. </w:t>
      </w:r>
    </w:p>
    <w:p w14:paraId="73BA941E" w14:textId="28BB0244" w:rsidR="004627BA" w:rsidRPr="004627BA" w:rsidRDefault="00A57DCD" w:rsidP="00DE1F61">
      <w:pPr>
        <w:pStyle w:val="ParagrapheRapportPNIN"/>
      </w:pPr>
      <w:r>
        <w:lastRenderedPageBreak/>
        <w:t xml:space="preserve">Le </w:t>
      </w:r>
      <w:r w:rsidRPr="00A57DCD">
        <w:t>Document de Programmation Pluriannuelle des Dépenses (DPPD) 2018-2020</w:t>
      </w:r>
      <w:r>
        <w:t xml:space="preserve"> </w:t>
      </w:r>
      <w:r w:rsidR="009D76F9" w:rsidRPr="009D76F9">
        <w:t>traduit les prévisions budgétaires des trois prochaines années du Haut-Commissariat à l’Initiative 3N (HC3N) pour mettre en œuvre l’axe</w:t>
      </w:r>
      <w:r w:rsidR="00EB6370">
        <w:t> </w:t>
      </w:r>
      <w:r w:rsidR="009D76F9" w:rsidRPr="009D76F9">
        <w:t>5 de l’Initiative 3N visant la création d’un environnement favorable à la mise en œuvre de la stratégie.</w:t>
      </w:r>
      <w:r w:rsidR="00A56F06">
        <w:t xml:space="preserve"> De ce fait, il ne prend pas en compte les aspects de nutrition qui se retrouvent dans l’axe</w:t>
      </w:r>
      <w:r w:rsidR="00EB6370">
        <w:t> </w:t>
      </w:r>
      <w:r w:rsidR="00A56F06">
        <w:t>4 de</w:t>
      </w:r>
      <w:r w:rsidR="00A56F06" w:rsidRPr="00A56F06">
        <w:t xml:space="preserve"> l’Initiative 3N</w:t>
      </w:r>
      <w:r w:rsidR="00A56F06">
        <w:t>.</w:t>
      </w:r>
    </w:p>
    <w:p w14:paraId="12D704E2" w14:textId="2952B46F" w:rsidR="00652F3F" w:rsidRPr="00A658EB" w:rsidRDefault="00652F3F" w:rsidP="00DE1F61">
      <w:pPr>
        <w:pStyle w:val="ParagrapheRapportPNIN"/>
        <w:rPr>
          <w:b/>
        </w:rPr>
      </w:pPr>
      <w:r w:rsidRPr="00A658EB">
        <w:rPr>
          <w:b/>
        </w:rPr>
        <w:t>Identification d’indicateurs ou des cibles en lien avec la nutrition</w:t>
      </w:r>
    </w:p>
    <w:p w14:paraId="6BDAD398" w14:textId="207D8E85" w:rsidR="007E426D" w:rsidRDefault="004627BA" w:rsidP="00DE1F61">
      <w:pPr>
        <w:pStyle w:val="ParagrapheRapportPNIN"/>
      </w:pPr>
      <w:r w:rsidRPr="004627BA">
        <w:t>La prévalence de la malnutrition chronique chez les enfants de moins de cinq</w:t>
      </w:r>
      <w:r w:rsidR="00EB6370">
        <w:t> </w:t>
      </w:r>
      <w:r w:rsidRPr="004627BA">
        <w:t xml:space="preserve">ans est un indicateur d’impact du plan d’action 2016-2020. </w:t>
      </w:r>
      <w:r w:rsidR="00F44ACA">
        <w:t>Plusieurs</w:t>
      </w:r>
      <w:r w:rsidRPr="004627BA">
        <w:t xml:space="preserve"> indicateurs </w:t>
      </w:r>
      <w:r w:rsidR="00F44ACA">
        <w:t xml:space="preserve">d’effets en lien avec la nutrition sont définis. </w:t>
      </w:r>
    </w:p>
    <w:p w14:paraId="706DD4B4" w14:textId="0BD14EB9" w:rsidR="00CC53BF" w:rsidRDefault="00CC53BF" w:rsidP="00DE1F61">
      <w:pPr>
        <w:pStyle w:val="ParagrapheRapportPNIN"/>
      </w:pPr>
      <w:r w:rsidRPr="00CC53BF">
        <w:t xml:space="preserve">Les indicateurs de nutrition suivis par le HC3N sont </w:t>
      </w:r>
      <w:r w:rsidR="00DD15E4">
        <w:t xml:space="preserve">régulièrement </w:t>
      </w:r>
      <w:r w:rsidRPr="00CC53BF">
        <w:t>rapportés et présentés au Conseil Interministériel d’Orientation</w:t>
      </w:r>
      <w:r w:rsidR="00EB6370">
        <w:t xml:space="preserve"> (CIO)</w:t>
      </w:r>
      <w:r w:rsidRPr="00CC53BF">
        <w:t xml:space="preserve"> présidé par le Président de la République du Niger.</w:t>
      </w:r>
    </w:p>
    <w:p w14:paraId="0E24DD96" w14:textId="3FA02350" w:rsidR="003C47C2" w:rsidRDefault="003C47C2">
      <w:pPr>
        <w:spacing w:after="200" w:line="276" w:lineRule="auto"/>
        <w:rPr>
          <w:rFonts w:ascii="Arial" w:eastAsia="Calibri" w:hAnsi="Arial" w:cs="Calibri"/>
          <w:sz w:val="20"/>
        </w:rPr>
      </w:pPr>
      <w:r>
        <w:br w:type="page"/>
      </w:r>
    </w:p>
    <w:p w14:paraId="704D174E" w14:textId="77777777" w:rsidR="00652F3F" w:rsidRPr="008240D2" w:rsidRDefault="00652F3F" w:rsidP="00DE1F61">
      <w:pPr>
        <w:pStyle w:val="ParagrapheRapportPNIN"/>
        <w:rPr>
          <w:b/>
        </w:rPr>
      </w:pPr>
      <w:r w:rsidRPr="008240D2">
        <w:rPr>
          <w:b/>
        </w:rPr>
        <w:lastRenderedPageBreak/>
        <w:t>Budgétisation des interventions/ actions en lien avec la nutrition</w:t>
      </w:r>
    </w:p>
    <w:p w14:paraId="597CC454" w14:textId="44365EB4" w:rsidR="007E426D" w:rsidRPr="00DE1F61" w:rsidRDefault="007E426D" w:rsidP="00DE1F61">
      <w:pPr>
        <w:pStyle w:val="TitreillustrationPNIN"/>
        <w:rPr>
          <w:bCs w:val="0"/>
        </w:rPr>
      </w:pPr>
      <w:bookmarkStart w:id="31" w:name="_Toc528222370"/>
      <w:r w:rsidRPr="00DE1F61">
        <w:t xml:space="preserve">Tableau </w:t>
      </w:r>
      <w:r w:rsidR="00B23782">
        <w:fldChar w:fldCharType="begin"/>
      </w:r>
      <w:r w:rsidR="00B23782">
        <w:instrText xml:space="preserve"> SEQ Tableau \* ARABIC </w:instrText>
      </w:r>
      <w:r w:rsidR="00B23782">
        <w:fldChar w:fldCharType="separate"/>
      </w:r>
      <w:r w:rsidR="00540DAE">
        <w:rPr>
          <w:noProof/>
        </w:rPr>
        <w:t>2</w:t>
      </w:r>
      <w:r w:rsidR="00B23782">
        <w:rPr>
          <w:noProof/>
        </w:rPr>
        <w:fldChar w:fldCharType="end"/>
      </w:r>
      <w:r w:rsidR="00EB6370" w:rsidRPr="00DE1F61">
        <w:t> </w:t>
      </w:r>
      <w:r w:rsidRPr="00DE1F61">
        <w:t xml:space="preserve">: Répartition du budget du </w:t>
      </w:r>
      <w:r w:rsidR="002B16D3" w:rsidRPr="00DE1F61">
        <w:t>domaine d’intervention n°4 «</w:t>
      </w:r>
      <w:r w:rsidR="00EB6370" w:rsidRPr="00DE1F61">
        <w:t> R</w:t>
      </w:r>
      <w:r w:rsidR="002B16D3" w:rsidRPr="00DE1F61">
        <w:t>éduction de la vulnérabilité à l’insécurité alimentaire et nutritionnelle</w:t>
      </w:r>
      <w:r w:rsidR="00EB6370" w:rsidRPr="00DE1F61">
        <w:t> </w:t>
      </w:r>
      <w:r w:rsidR="002B16D3" w:rsidRPr="00DE1F61">
        <w:t>»</w:t>
      </w:r>
      <w:r w:rsidRPr="00DE1F61">
        <w:t xml:space="preserve"> du plan d’action du HC3N 2016-2020 par année</w:t>
      </w:r>
      <w:bookmarkEnd w:id="31"/>
    </w:p>
    <w:tbl>
      <w:tblPr>
        <w:tblStyle w:val="TableauGrille4-Accentuation1"/>
        <w:tblW w:w="4131" w:type="pct"/>
        <w:jc w:val="right"/>
        <w:tblLayout w:type="fixed"/>
        <w:tblLook w:val="04A0" w:firstRow="1" w:lastRow="0" w:firstColumn="1" w:lastColumn="0" w:noHBand="0" w:noVBand="1"/>
      </w:tblPr>
      <w:tblGrid>
        <w:gridCol w:w="2264"/>
        <w:gridCol w:w="981"/>
        <w:gridCol w:w="844"/>
        <w:gridCol w:w="849"/>
        <w:gridCol w:w="849"/>
        <w:gridCol w:w="849"/>
        <w:gridCol w:w="849"/>
      </w:tblGrid>
      <w:tr w:rsidR="00EB6370" w:rsidRPr="00EB6370" w14:paraId="0F0E82C4" w14:textId="77777777" w:rsidTr="00DE1F61">
        <w:trPr>
          <w:cnfStyle w:val="100000000000" w:firstRow="1" w:lastRow="0" w:firstColumn="0" w:lastColumn="0" w:oddVBand="0" w:evenVBand="0" w:oddHBand="0" w:evenHBand="0" w:firstRowFirstColumn="0" w:firstRowLastColumn="0" w:lastRowFirstColumn="0" w:lastRowLastColumn="0"/>
          <w:trHeight w:val="1050"/>
          <w:jc w:val="right"/>
        </w:trPr>
        <w:tc>
          <w:tcPr>
            <w:cnfStyle w:val="001000000000" w:firstRow="0" w:lastRow="0" w:firstColumn="1" w:lastColumn="0" w:oddVBand="0" w:evenVBand="0" w:oddHBand="0" w:evenHBand="0" w:firstRowFirstColumn="0" w:firstRowLastColumn="0" w:lastRowFirstColumn="0" w:lastRowLastColumn="0"/>
            <w:tcW w:w="1512" w:type="pct"/>
            <w:noWrap/>
            <w:vAlign w:val="center"/>
            <w:hideMark/>
          </w:tcPr>
          <w:p w14:paraId="2284B391" w14:textId="77777777" w:rsidR="007E426D" w:rsidRPr="00DE1F61" w:rsidRDefault="002B16D3" w:rsidP="00DE1F61">
            <w:pPr>
              <w:jc w:val="center"/>
              <w:rPr>
                <w:rFonts w:ascii="Arial" w:hAnsi="Arial" w:cs="Arial"/>
                <w:bCs w:val="0"/>
                <w:sz w:val="18"/>
              </w:rPr>
            </w:pPr>
            <w:r w:rsidRPr="00DE1F61">
              <w:rPr>
                <w:rFonts w:ascii="Arial" w:hAnsi="Arial" w:cs="Arial"/>
                <w:sz w:val="18"/>
              </w:rPr>
              <w:t>Domaine d’intervention n° 4 « réduction de la vulnérabilité à l’insécurité alimentaire et nutritionnelle »</w:t>
            </w:r>
          </w:p>
        </w:tc>
        <w:tc>
          <w:tcPr>
            <w:tcW w:w="655" w:type="pct"/>
            <w:noWrap/>
            <w:vAlign w:val="center"/>
            <w:hideMark/>
          </w:tcPr>
          <w:p w14:paraId="57E98E7A" w14:textId="74DBF1F5"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rPr>
            </w:pPr>
            <w:r w:rsidRPr="00DE1F61">
              <w:rPr>
                <w:rFonts w:ascii="Arial" w:hAnsi="Arial" w:cs="Arial"/>
                <w:sz w:val="18"/>
              </w:rPr>
              <w:t xml:space="preserve">Coût total </w:t>
            </w:r>
            <w:r w:rsidRPr="00DE1F61">
              <w:rPr>
                <w:rFonts w:ascii="Arial" w:hAnsi="Arial" w:cs="Arial"/>
                <w:sz w:val="14"/>
              </w:rPr>
              <w:t>(millions de F</w:t>
            </w:r>
            <w:r w:rsidR="00EB6370" w:rsidRPr="00DE1F61">
              <w:rPr>
                <w:rFonts w:ascii="Arial" w:hAnsi="Arial" w:cs="Arial"/>
                <w:sz w:val="14"/>
              </w:rPr>
              <w:t> </w:t>
            </w:r>
            <w:r w:rsidRPr="00DE1F61">
              <w:rPr>
                <w:rFonts w:ascii="Arial" w:hAnsi="Arial" w:cs="Arial"/>
                <w:sz w:val="14"/>
              </w:rPr>
              <w:t>CFA)</w:t>
            </w:r>
          </w:p>
        </w:tc>
        <w:tc>
          <w:tcPr>
            <w:tcW w:w="564" w:type="pct"/>
            <w:noWrap/>
            <w:vAlign w:val="center"/>
            <w:hideMark/>
          </w:tcPr>
          <w:p w14:paraId="360BBF21" w14:textId="77777777"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rPr>
            </w:pPr>
            <w:r w:rsidRPr="00DE1F61">
              <w:rPr>
                <w:rFonts w:ascii="Arial" w:hAnsi="Arial" w:cs="Arial"/>
                <w:sz w:val="18"/>
              </w:rPr>
              <w:t>Coût 2016</w:t>
            </w:r>
          </w:p>
          <w:p w14:paraId="7BB02289" w14:textId="34DE4AA7" w:rsidR="007E426D" w:rsidRPr="00DE1F61" w:rsidRDefault="00EB6370"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rPr>
            </w:pPr>
            <w:r w:rsidRPr="00DE3C4E">
              <w:rPr>
                <w:rFonts w:ascii="Arial" w:hAnsi="Arial" w:cs="Arial"/>
                <w:bCs w:val="0"/>
                <w:sz w:val="14"/>
              </w:rPr>
              <w:t>(millions de F CFA)</w:t>
            </w:r>
          </w:p>
        </w:tc>
        <w:tc>
          <w:tcPr>
            <w:tcW w:w="567" w:type="pct"/>
            <w:noWrap/>
            <w:vAlign w:val="center"/>
            <w:hideMark/>
          </w:tcPr>
          <w:p w14:paraId="2F29E1E6" w14:textId="4EE2ABE1"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rPr>
            </w:pPr>
            <w:r w:rsidRPr="00DE1F61">
              <w:rPr>
                <w:rFonts w:ascii="Arial" w:hAnsi="Arial" w:cs="Arial"/>
                <w:sz w:val="18"/>
              </w:rPr>
              <w:t xml:space="preserve">Coût 2017 </w:t>
            </w:r>
            <w:r w:rsidR="00EB6370" w:rsidRPr="00DE3C4E">
              <w:rPr>
                <w:rFonts w:ascii="Arial" w:hAnsi="Arial" w:cs="Arial"/>
                <w:bCs w:val="0"/>
                <w:sz w:val="14"/>
              </w:rPr>
              <w:t>(millions de F CFA)</w:t>
            </w:r>
          </w:p>
        </w:tc>
        <w:tc>
          <w:tcPr>
            <w:tcW w:w="567" w:type="pct"/>
            <w:noWrap/>
            <w:vAlign w:val="center"/>
            <w:hideMark/>
          </w:tcPr>
          <w:p w14:paraId="74CBFF68" w14:textId="68E8ADF4"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rPr>
            </w:pPr>
            <w:r w:rsidRPr="00DE1F61">
              <w:rPr>
                <w:rFonts w:ascii="Arial" w:hAnsi="Arial" w:cs="Arial"/>
                <w:sz w:val="18"/>
              </w:rPr>
              <w:t xml:space="preserve">Coût 2018 </w:t>
            </w:r>
            <w:r w:rsidR="00EB6370" w:rsidRPr="00DE3C4E">
              <w:rPr>
                <w:rFonts w:ascii="Arial" w:hAnsi="Arial" w:cs="Arial"/>
                <w:bCs w:val="0"/>
                <w:sz w:val="14"/>
              </w:rPr>
              <w:t>(millions de F CFA)</w:t>
            </w:r>
          </w:p>
        </w:tc>
        <w:tc>
          <w:tcPr>
            <w:tcW w:w="567" w:type="pct"/>
            <w:noWrap/>
            <w:vAlign w:val="center"/>
            <w:hideMark/>
          </w:tcPr>
          <w:p w14:paraId="5112243A" w14:textId="416653F7"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rPr>
            </w:pPr>
            <w:r w:rsidRPr="00DE1F61">
              <w:rPr>
                <w:rFonts w:ascii="Arial" w:hAnsi="Arial" w:cs="Arial"/>
                <w:sz w:val="18"/>
              </w:rPr>
              <w:t xml:space="preserve">Coût 2019 </w:t>
            </w:r>
            <w:r w:rsidR="00EB6370" w:rsidRPr="00DE3C4E">
              <w:rPr>
                <w:rFonts w:ascii="Arial" w:hAnsi="Arial" w:cs="Arial"/>
                <w:bCs w:val="0"/>
                <w:sz w:val="14"/>
              </w:rPr>
              <w:t>(millions de F CFA)</w:t>
            </w:r>
          </w:p>
        </w:tc>
        <w:tc>
          <w:tcPr>
            <w:tcW w:w="567" w:type="pct"/>
            <w:noWrap/>
            <w:vAlign w:val="center"/>
            <w:hideMark/>
          </w:tcPr>
          <w:p w14:paraId="4004B131" w14:textId="0DAFFAE8" w:rsidR="007E426D" w:rsidRPr="00DE1F61" w:rsidRDefault="007E426D"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rPr>
            </w:pPr>
            <w:r w:rsidRPr="00DE1F61">
              <w:rPr>
                <w:rFonts w:ascii="Arial" w:hAnsi="Arial" w:cs="Arial"/>
                <w:sz w:val="18"/>
              </w:rPr>
              <w:t xml:space="preserve">Coût 2020 </w:t>
            </w:r>
            <w:r w:rsidR="00EB6370" w:rsidRPr="00DE3C4E">
              <w:rPr>
                <w:rFonts w:ascii="Arial" w:hAnsi="Arial" w:cs="Arial"/>
                <w:bCs w:val="0"/>
                <w:sz w:val="14"/>
              </w:rPr>
              <w:t>(millions de F CFA)</w:t>
            </w:r>
          </w:p>
        </w:tc>
      </w:tr>
      <w:tr w:rsidR="00EB6370" w:rsidRPr="00EB6370" w14:paraId="3FFC2872" w14:textId="77777777" w:rsidTr="00DE1F61">
        <w:trPr>
          <w:cnfStyle w:val="000000100000" w:firstRow="0" w:lastRow="0" w:firstColumn="0" w:lastColumn="0" w:oddVBand="0" w:evenVBand="0" w:oddHBand="1" w:evenHBand="0" w:firstRowFirstColumn="0" w:firstRowLastColumn="0" w:lastRowFirstColumn="0" w:lastRowLastColumn="0"/>
          <w:trHeight w:val="966"/>
          <w:jc w:val="right"/>
        </w:trPr>
        <w:tc>
          <w:tcPr>
            <w:cnfStyle w:val="001000000000" w:firstRow="0" w:lastRow="0" w:firstColumn="1" w:lastColumn="0" w:oddVBand="0" w:evenVBand="0" w:oddHBand="0" w:evenHBand="0" w:firstRowFirstColumn="0" w:firstRowLastColumn="0" w:lastRowFirstColumn="0" w:lastRowLastColumn="0"/>
            <w:tcW w:w="1512" w:type="pct"/>
            <w:noWrap/>
            <w:vAlign w:val="center"/>
            <w:hideMark/>
          </w:tcPr>
          <w:p w14:paraId="3ABB4423" w14:textId="33395765" w:rsidR="007E426D" w:rsidRPr="00DE1F61" w:rsidRDefault="002B16D3" w:rsidP="00DE1F61">
            <w:pPr>
              <w:rPr>
                <w:rFonts w:ascii="Arial" w:hAnsi="Arial" w:cs="Arial"/>
                <w:b w:val="0"/>
                <w:bCs w:val="0"/>
                <w:sz w:val="18"/>
              </w:rPr>
            </w:pPr>
            <w:r w:rsidRPr="00DE1F61">
              <w:rPr>
                <w:rFonts w:ascii="Arial" w:hAnsi="Arial" w:cs="Arial"/>
                <w:sz w:val="18"/>
              </w:rPr>
              <w:t>PS</w:t>
            </w:r>
            <w:r w:rsidR="00EB6370">
              <w:rPr>
                <w:rFonts w:ascii="Arial" w:hAnsi="Arial" w:cs="Arial"/>
                <w:b w:val="0"/>
                <w:bCs w:val="0"/>
                <w:sz w:val="18"/>
              </w:rPr>
              <w:t> </w:t>
            </w:r>
            <w:r w:rsidRPr="00DE1F61">
              <w:rPr>
                <w:rFonts w:ascii="Arial" w:hAnsi="Arial" w:cs="Arial"/>
                <w:sz w:val="18"/>
              </w:rPr>
              <w:t>9</w:t>
            </w:r>
            <w:r w:rsidR="00EB6370">
              <w:rPr>
                <w:rFonts w:ascii="Arial" w:hAnsi="Arial" w:cs="Arial"/>
                <w:b w:val="0"/>
                <w:bCs w:val="0"/>
                <w:sz w:val="18"/>
              </w:rPr>
              <w:t> </w:t>
            </w:r>
            <w:r w:rsidRPr="00DE1F61">
              <w:rPr>
                <w:rFonts w:ascii="Arial" w:hAnsi="Arial" w:cs="Arial"/>
                <w:sz w:val="18"/>
              </w:rPr>
              <w:t>: Réduction de l’insécurité alimentaire chronique par des mécanismes durables de protection sociale et d’accès aux moyens d’existence</w:t>
            </w:r>
          </w:p>
        </w:tc>
        <w:tc>
          <w:tcPr>
            <w:tcW w:w="655" w:type="pct"/>
            <w:noWrap/>
            <w:vAlign w:val="center"/>
            <w:hideMark/>
          </w:tcPr>
          <w:p w14:paraId="3D31CFA0" w14:textId="39DA919D" w:rsidR="007E426D" w:rsidRPr="00DE1F61" w:rsidRDefault="002B16D3"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89</w:t>
            </w:r>
            <w:r w:rsidR="00EB6370">
              <w:rPr>
                <w:rFonts w:ascii="Arial" w:hAnsi="Arial" w:cs="Arial"/>
                <w:sz w:val="18"/>
              </w:rPr>
              <w:t> </w:t>
            </w:r>
            <w:r w:rsidRPr="00DE1F61">
              <w:rPr>
                <w:rFonts w:ascii="Arial" w:hAnsi="Arial" w:cs="Arial"/>
                <w:sz w:val="18"/>
              </w:rPr>
              <w:t>533</w:t>
            </w:r>
          </w:p>
        </w:tc>
        <w:tc>
          <w:tcPr>
            <w:tcW w:w="564" w:type="pct"/>
            <w:noWrap/>
            <w:vAlign w:val="center"/>
          </w:tcPr>
          <w:p w14:paraId="3AF70FF5" w14:textId="1110F84C" w:rsidR="007E426D" w:rsidRPr="00DE1F61" w:rsidRDefault="002B16D3"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10</w:t>
            </w:r>
            <w:r w:rsidR="00EB6370">
              <w:rPr>
                <w:rFonts w:ascii="Arial" w:hAnsi="Arial" w:cs="Arial"/>
                <w:sz w:val="18"/>
              </w:rPr>
              <w:t> </w:t>
            </w:r>
            <w:r w:rsidRPr="00DE1F61">
              <w:rPr>
                <w:rFonts w:ascii="Arial" w:hAnsi="Arial" w:cs="Arial"/>
                <w:sz w:val="18"/>
              </w:rPr>
              <w:t>360</w:t>
            </w:r>
          </w:p>
        </w:tc>
        <w:tc>
          <w:tcPr>
            <w:tcW w:w="567" w:type="pct"/>
            <w:noWrap/>
            <w:vAlign w:val="center"/>
          </w:tcPr>
          <w:p w14:paraId="332BF3E2" w14:textId="5312414B" w:rsidR="007E426D" w:rsidRPr="00DE1F61" w:rsidRDefault="002B16D3"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17</w:t>
            </w:r>
            <w:r w:rsidR="00EB6370">
              <w:rPr>
                <w:rFonts w:ascii="Arial" w:hAnsi="Arial" w:cs="Arial"/>
                <w:sz w:val="18"/>
              </w:rPr>
              <w:t> </w:t>
            </w:r>
            <w:r w:rsidRPr="00DE1F61">
              <w:rPr>
                <w:rFonts w:ascii="Arial" w:hAnsi="Arial" w:cs="Arial"/>
                <w:sz w:val="18"/>
              </w:rPr>
              <w:t>509</w:t>
            </w:r>
          </w:p>
        </w:tc>
        <w:tc>
          <w:tcPr>
            <w:tcW w:w="567" w:type="pct"/>
            <w:noWrap/>
            <w:vAlign w:val="center"/>
          </w:tcPr>
          <w:p w14:paraId="383802B0" w14:textId="7E5FB13C" w:rsidR="007E426D" w:rsidRPr="00DE1F61" w:rsidRDefault="002B16D3"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21</w:t>
            </w:r>
            <w:r w:rsidR="00EB6370">
              <w:rPr>
                <w:rFonts w:ascii="Arial" w:hAnsi="Arial" w:cs="Arial"/>
                <w:sz w:val="18"/>
              </w:rPr>
              <w:t> </w:t>
            </w:r>
            <w:r w:rsidRPr="00DE1F61">
              <w:rPr>
                <w:rFonts w:ascii="Arial" w:hAnsi="Arial" w:cs="Arial"/>
                <w:sz w:val="18"/>
              </w:rPr>
              <w:t>045</w:t>
            </w:r>
          </w:p>
        </w:tc>
        <w:tc>
          <w:tcPr>
            <w:tcW w:w="567" w:type="pct"/>
            <w:noWrap/>
            <w:vAlign w:val="center"/>
          </w:tcPr>
          <w:p w14:paraId="57CBEEC1" w14:textId="381F4694" w:rsidR="007E426D" w:rsidRPr="00DE1F61" w:rsidRDefault="001452E8"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20</w:t>
            </w:r>
            <w:r w:rsidR="00EB6370">
              <w:rPr>
                <w:rFonts w:ascii="Arial" w:hAnsi="Arial" w:cs="Arial"/>
                <w:sz w:val="18"/>
              </w:rPr>
              <w:t> </w:t>
            </w:r>
            <w:r w:rsidRPr="00DE1F61">
              <w:rPr>
                <w:rFonts w:ascii="Arial" w:hAnsi="Arial" w:cs="Arial"/>
                <w:sz w:val="18"/>
              </w:rPr>
              <w:t>665</w:t>
            </w:r>
          </w:p>
        </w:tc>
        <w:tc>
          <w:tcPr>
            <w:tcW w:w="567" w:type="pct"/>
            <w:noWrap/>
            <w:vAlign w:val="center"/>
          </w:tcPr>
          <w:p w14:paraId="459353A1" w14:textId="22E3784E" w:rsidR="007E426D" w:rsidRPr="00DE1F61" w:rsidRDefault="001452E8"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19</w:t>
            </w:r>
            <w:r w:rsidR="00EB6370">
              <w:rPr>
                <w:rFonts w:ascii="Arial" w:hAnsi="Arial" w:cs="Arial"/>
                <w:sz w:val="18"/>
              </w:rPr>
              <w:t> </w:t>
            </w:r>
            <w:r w:rsidRPr="00DE1F61">
              <w:rPr>
                <w:rFonts w:ascii="Arial" w:hAnsi="Arial" w:cs="Arial"/>
                <w:sz w:val="18"/>
              </w:rPr>
              <w:t>954</w:t>
            </w:r>
          </w:p>
        </w:tc>
      </w:tr>
      <w:tr w:rsidR="00EB6370" w:rsidRPr="00EB6370" w14:paraId="22AE4AF0" w14:textId="77777777" w:rsidTr="00DE1F61">
        <w:trPr>
          <w:trHeight w:val="842"/>
          <w:jc w:val="right"/>
        </w:trPr>
        <w:tc>
          <w:tcPr>
            <w:cnfStyle w:val="001000000000" w:firstRow="0" w:lastRow="0" w:firstColumn="1" w:lastColumn="0" w:oddVBand="0" w:evenVBand="0" w:oddHBand="0" w:evenHBand="0" w:firstRowFirstColumn="0" w:firstRowLastColumn="0" w:lastRowFirstColumn="0" w:lastRowLastColumn="0"/>
            <w:tcW w:w="1512" w:type="pct"/>
            <w:noWrap/>
            <w:vAlign w:val="center"/>
            <w:hideMark/>
          </w:tcPr>
          <w:p w14:paraId="47A878E7" w14:textId="0B8B0854" w:rsidR="007E426D" w:rsidRPr="00DE1F61" w:rsidRDefault="001452E8" w:rsidP="00DE1F61">
            <w:pPr>
              <w:rPr>
                <w:rFonts w:ascii="Arial" w:hAnsi="Arial" w:cs="Arial"/>
                <w:b w:val="0"/>
                <w:bCs w:val="0"/>
                <w:sz w:val="18"/>
              </w:rPr>
            </w:pPr>
            <w:r w:rsidRPr="00DE1F61">
              <w:rPr>
                <w:rFonts w:ascii="Arial" w:hAnsi="Arial" w:cs="Arial"/>
                <w:sz w:val="18"/>
              </w:rPr>
              <w:t>PS</w:t>
            </w:r>
            <w:r w:rsidR="00EB6370">
              <w:rPr>
                <w:rFonts w:ascii="Arial" w:hAnsi="Arial" w:cs="Arial"/>
                <w:b w:val="0"/>
                <w:bCs w:val="0"/>
                <w:sz w:val="18"/>
              </w:rPr>
              <w:t> </w:t>
            </w:r>
            <w:r w:rsidRPr="00DE1F61">
              <w:rPr>
                <w:rFonts w:ascii="Arial" w:hAnsi="Arial" w:cs="Arial"/>
                <w:sz w:val="18"/>
              </w:rPr>
              <w:t>10</w:t>
            </w:r>
            <w:r w:rsidR="00EB6370">
              <w:rPr>
                <w:rFonts w:ascii="Arial" w:hAnsi="Arial" w:cs="Arial"/>
                <w:b w:val="0"/>
                <w:bCs w:val="0"/>
                <w:sz w:val="18"/>
              </w:rPr>
              <w:t> </w:t>
            </w:r>
            <w:r w:rsidRPr="00DE1F61">
              <w:rPr>
                <w:rFonts w:ascii="Arial" w:hAnsi="Arial" w:cs="Arial"/>
                <w:sz w:val="18"/>
              </w:rPr>
              <w:t>: Gestion de l’insécurité alimentaire conjoncturelle et des situations de crise</w:t>
            </w:r>
          </w:p>
        </w:tc>
        <w:tc>
          <w:tcPr>
            <w:tcW w:w="655" w:type="pct"/>
            <w:noWrap/>
            <w:vAlign w:val="center"/>
          </w:tcPr>
          <w:p w14:paraId="25330771" w14:textId="6FCB36A2" w:rsidR="007E426D"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DE1F61">
              <w:rPr>
                <w:rFonts w:ascii="Arial" w:hAnsi="Arial" w:cs="Arial"/>
                <w:sz w:val="18"/>
              </w:rPr>
              <w:t>169</w:t>
            </w:r>
            <w:r w:rsidR="00EB6370">
              <w:rPr>
                <w:rFonts w:ascii="Arial" w:hAnsi="Arial" w:cs="Arial"/>
                <w:sz w:val="18"/>
              </w:rPr>
              <w:t> </w:t>
            </w:r>
            <w:r w:rsidRPr="00DE1F61">
              <w:rPr>
                <w:rFonts w:ascii="Arial" w:hAnsi="Arial" w:cs="Arial"/>
                <w:sz w:val="18"/>
              </w:rPr>
              <w:t>060</w:t>
            </w:r>
          </w:p>
        </w:tc>
        <w:tc>
          <w:tcPr>
            <w:tcW w:w="564" w:type="pct"/>
            <w:noWrap/>
            <w:vAlign w:val="center"/>
          </w:tcPr>
          <w:p w14:paraId="31B14581" w14:textId="61FBE6ED" w:rsidR="007E426D"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DE1F61">
              <w:rPr>
                <w:rFonts w:ascii="Arial" w:hAnsi="Arial" w:cs="Arial"/>
                <w:sz w:val="18"/>
              </w:rPr>
              <w:t>34</w:t>
            </w:r>
            <w:r w:rsidR="00EB6370">
              <w:rPr>
                <w:rFonts w:ascii="Arial" w:hAnsi="Arial" w:cs="Arial"/>
                <w:sz w:val="18"/>
              </w:rPr>
              <w:t> </w:t>
            </w:r>
            <w:r w:rsidRPr="00DE1F61">
              <w:rPr>
                <w:rFonts w:ascii="Arial" w:hAnsi="Arial" w:cs="Arial"/>
                <w:sz w:val="18"/>
              </w:rPr>
              <w:t>717</w:t>
            </w:r>
          </w:p>
        </w:tc>
        <w:tc>
          <w:tcPr>
            <w:tcW w:w="567" w:type="pct"/>
            <w:noWrap/>
            <w:vAlign w:val="center"/>
          </w:tcPr>
          <w:p w14:paraId="78C43C54" w14:textId="17D6F887" w:rsidR="007E426D"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DE1F61">
              <w:rPr>
                <w:rFonts w:ascii="Arial" w:hAnsi="Arial" w:cs="Arial"/>
                <w:sz w:val="18"/>
              </w:rPr>
              <w:t>34</w:t>
            </w:r>
            <w:r w:rsidR="00EB6370">
              <w:rPr>
                <w:rFonts w:ascii="Arial" w:hAnsi="Arial" w:cs="Arial"/>
                <w:sz w:val="18"/>
              </w:rPr>
              <w:t> </w:t>
            </w:r>
            <w:r w:rsidRPr="00DE1F61">
              <w:rPr>
                <w:rFonts w:ascii="Arial" w:hAnsi="Arial" w:cs="Arial"/>
                <w:sz w:val="18"/>
              </w:rPr>
              <w:t>717</w:t>
            </w:r>
          </w:p>
        </w:tc>
        <w:tc>
          <w:tcPr>
            <w:tcW w:w="567" w:type="pct"/>
            <w:noWrap/>
            <w:vAlign w:val="center"/>
          </w:tcPr>
          <w:p w14:paraId="1B4B53E2" w14:textId="2D091222" w:rsidR="007E426D"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DE1F61">
              <w:rPr>
                <w:rFonts w:ascii="Arial" w:hAnsi="Arial" w:cs="Arial"/>
                <w:sz w:val="18"/>
              </w:rPr>
              <w:t>34</w:t>
            </w:r>
            <w:r w:rsidR="00EB6370">
              <w:rPr>
                <w:rFonts w:ascii="Arial" w:hAnsi="Arial" w:cs="Arial"/>
                <w:sz w:val="18"/>
              </w:rPr>
              <w:t> </w:t>
            </w:r>
            <w:r w:rsidRPr="00DE1F61">
              <w:rPr>
                <w:rFonts w:ascii="Arial" w:hAnsi="Arial" w:cs="Arial"/>
                <w:sz w:val="18"/>
              </w:rPr>
              <w:t>717</w:t>
            </w:r>
          </w:p>
        </w:tc>
        <w:tc>
          <w:tcPr>
            <w:tcW w:w="567" w:type="pct"/>
            <w:noWrap/>
            <w:vAlign w:val="center"/>
          </w:tcPr>
          <w:p w14:paraId="33DDD833" w14:textId="500979F1" w:rsidR="007E426D"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DE1F61">
              <w:rPr>
                <w:rFonts w:ascii="Arial" w:hAnsi="Arial" w:cs="Arial"/>
                <w:sz w:val="18"/>
              </w:rPr>
              <w:t>33</w:t>
            </w:r>
            <w:r w:rsidR="00EB6370">
              <w:rPr>
                <w:rFonts w:ascii="Arial" w:hAnsi="Arial" w:cs="Arial"/>
                <w:sz w:val="18"/>
              </w:rPr>
              <w:t> </w:t>
            </w:r>
            <w:r w:rsidRPr="00DE1F61">
              <w:rPr>
                <w:rFonts w:ascii="Arial" w:hAnsi="Arial" w:cs="Arial"/>
                <w:sz w:val="18"/>
              </w:rPr>
              <w:t>183</w:t>
            </w:r>
          </w:p>
        </w:tc>
        <w:tc>
          <w:tcPr>
            <w:tcW w:w="567" w:type="pct"/>
            <w:noWrap/>
            <w:vAlign w:val="center"/>
          </w:tcPr>
          <w:p w14:paraId="60BBE0DC" w14:textId="1697F95B" w:rsidR="007E426D"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DE1F61">
              <w:rPr>
                <w:rFonts w:ascii="Arial" w:hAnsi="Arial" w:cs="Arial"/>
                <w:sz w:val="18"/>
              </w:rPr>
              <w:t>31</w:t>
            </w:r>
            <w:r w:rsidR="00EB6370">
              <w:rPr>
                <w:rFonts w:ascii="Arial" w:hAnsi="Arial" w:cs="Arial"/>
                <w:sz w:val="18"/>
              </w:rPr>
              <w:t> </w:t>
            </w:r>
            <w:r w:rsidRPr="00DE1F61">
              <w:rPr>
                <w:rFonts w:ascii="Arial" w:hAnsi="Arial" w:cs="Arial"/>
                <w:sz w:val="18"/>
              </w:rPr>
              <w:t>727</w:t>
            </w:r>
          </w:p>
        </w:tc>
      </w:tr>
      <w:tr w:rsidR="00EB6370" w:rsidRPr="00EB6370" w14:paraId="1B4D3422" w14:textId="77777777" w:rsidTr="00DE1F61">
        <w:trPr>
          <w:cnfStyle w:val="000000100000" w:firstRow="0" w:lastRow="0" w:firstColumn="0" w:lastColumn="0" w:oddVBand="0" w:evenVBand="0" w:oddHBand="1" w:evenHBand="0" w:firstRowFirstColumn="0" w:firstRowLastColumn="0" w:lastRowFirstColumn="0" w:lastRowLastColumn="0"/>
          <w:trHeight w:val="720"/>
          <w:jc w:val="right"/>
        </w:trPr>
        <w:tc>
          <w:tcPr>
            <w:cnfStyle w:val="001000000000" w:firstRow="0" w:lastRow="0" w:firstColumn="1" w:lastColumn="0" w:oddVBand="0" w:evenVBand="0" w:oddHBand="0" w:evenHBand="0" w:firstRowFirstColumn="0" w:firstRowLastColumn="0" w:lastRowFirstColumn="0" w:lastRowLastColumn="0"/>
            <w:tcW w:w="1512" w:type="pct"/>
            <w:vAlign w:val="center"/>
            <w:hideMark/>
          </w:tcPr>
          <w:p w14:paraId="137DAC10" w14:textId="5F45D3A0" w:rsidR="007E426D" w:rsidRPr="00DE1F61" w:rsidRDefault="001452E8" w:rsidP="00DE1F61">
            <w:pPr>
              <w:rPr>
                <w:rFonts w:ascii="Arial" w:hAnsi="Arial" w:cs="Arial"/>
                <w:b w:val="0"/>
                <w:bCs w:val="0"/>
                <w:sz w:val="18"/>
              </w:rPr>
            </w:pPr>
            <w:r w:rsidRPr="00DE1F61">
              <w:rPr>
                <w:rFonts w:ascii="Arial" w:hAnsi="Arial" w:cs="Arial"/>
                <w:sz w:val="18"/>
              </w:rPr>
              <w:t>PS</w:t>
            </w:r>
            <w:r w:rsidR="00EB6370">
              <w:rPr>
                <w:rFonts w:ascii="Arial" w:hAnsi="Arial" w:cs="Arial"/>
                <w:b w:val="0"/>
                <w:bCs w:val="0"/>
                <w:sz w:val="18"/>
              </w:rPr>
              <w:t> </w:t>
            </w:r>
            <w:r w:rsidRPr="00DE1F61">
              <w:rPr>
                <w:rFonts w:ascii="Arial" w:hAnsi="Arial" w:cs="Arial"/>
                <w:sz w:val="18"/>
              </w:rPr>
              <w:t>11</w:t>
            </w:r>
            <w:r w:rsidR="00EB6370">
              <w:rPr>
                <w:rFonts w:ascii="Arial" w:hAnsi="Arial" w:cs="Arial"/>
                <w:b w:val="0"/>
                <w:bCs w:val="0"/>
                <w:sz w:val="18"/>
              </w:rPr>
              <w:t> </w:t>
            </w:r>
            <w:r w:rsidRPr="00DE1F61">
              <w:rPr>
                <w:rFonts w:ascii="Arial" w:hAnsi="Arial" w:cs="Arial"/>
                <w:sz w:val="18"/>
              </w:rPr>
              <w:t>: Amélioration de l’état nutritionnel des nigériennes et des nigériens</w:t>
            </w:r>
          </w:p>
        </w:tc>
        <w:tc>
          <w:tcPr>
            <w:tcW w:w="655" w:type="pct"/>
            <w:noWrap/>
            <w:vAlign w:val="center"/>
          </w:tcPr>
          <w:p w14:paraId="573E913E" w14:textId="14D48A7A" w:rsidR="007E426D" w:rsidRPr="00DE1F61" w:rsidRDefault="001452E8"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18</w:t>
            </w:r>
            <w:r w:rsidR="00EB6370">
              <w:rPr>
                <w:rFonts w:ascii="Arial" w:hAnsi="Arial" w:cs="Arial"/>
                <w:sz w:val="18"/>
              </w:rPr>
              <w:t> </w:t>
            </w:r>
            <w:r w:rsidRPr="00DE1F61">
              <w:rPr>
                <w:rFonts w:ascii="Arial" w:hAnsi="Arial" w:cs="Arial"/>
                <w:sz w:val="18"/>
              </w:rPr>
              <w:t>275</w:t>
            </w:r>
          </w:p>
        </w:tc>
        <w:tc>
          <w:tcPr>
            <w:tcW w:w="564" w:type="pct"/>
            <w:noWrap/>
            <w:vAlign w:val="center"/>
          </w:tcPr>
          <w:p w14:paraId="1656D08B" w14:textId="77777777" w:rsidR="007E426D" w:rsidRPr="00DE1F61" w:rsidRDefault="001452E8"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750</w:t>
            </w:r>
          </w:p>
        </w:tc>
        <w:tc>
          <w:tcPr>
            <w:tcW w:w="567" w:type="pct"/>
            <w:noWrap/>
            <w:vAlign w:val="center"/>
          </w:tcPr>
          <w:p w14:paraId="1B8B0FE2" w14:textId="38D12CA2" w:rsidR="007E426D" w:rsidRPr="00DE1F61" w:rsidRDefault="001452E8"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2</w:t>
            </w:r>
            <w:r w:rsidR="00EB6370">
              <w:rPr>
                <w:rFonts w:ascii="Arial" w:hAnsi="Arial" w:cs="Arial"/>
                <w:sz w:val="18"/>
              </w:rPr>
              <w:t> </w:t>
            </w:r>
            <w:r w:rsidRPr="00DE1F61">
              <w:rPr>
                <w:rFonts w:ascii="Arial" w:hAnsi="Arial" w:cs="Arial"/>
                <w:sz w:val="18"/>
              </w:rPr>
              <w:t>527</w:t>
            </w:r>
          </w:p>
        </w:tc>
        <w:tc>
          <w:tcPr>
            <w:tcW w:w="567" w:type="pct"/>
            <w:noWrap/>
            <w:vAlign w:val="center"/>
          </w:tcPr>
          <w:p w14:paraId="40ED0B19" w14:textId="4BAA132D" w:rsidR="007E426D" w:rsidRPr="00DE1F61" w:rsidRDefault="001452E8"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5</w:t>
            </w:r>
            <w:r w:rsidR="00EB6370">
              <w:rPr>
                <w:rFonts w:ascii="Arial" w:hAnsi="Arial" w:cs="Arial"/>
                <w:sz w:val="18"/>
              </w:rPr>
              <w:t> </w:t>
            </w:r>
            <w:r w:rsidRPr="00DE1F61">
              <w:rPr>
                <w:rFonts w:ascii="Arial" w:hAnsi="Arial" w:cs="Arial"/>
                <w:sz w:val="18"/>
              </w:rPr>
              <w:t>345</w:t>
            </w:r>
          </w:p>
        </w:tc>
        <w:tc>
          <w:tcPr>
            <w:tcW w:w="567" w:type="pct"/>
            <w:noWrap/>
            <w:vAlign w:val="center"/>
          </w:tcPr>
          <w:p w14:paraId="60CF882F" w14:textId="56AE7465" w:rsidR="007E426D" w:rsidRPr="00DE1F61" w:rsidRDefault="001452E8"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7</w:t>
            </w:r>
            <w:r w:rsidR="00EB6370">
              <w:rPr>
                <w:rFonts w:ascii="Arial" w:hAnsi="Arial" w:cs="Arial"/>
                <w:sz w:val="18"/>
              </w:rPr>
              <w:t> </w:t>
            </w:r>
            <w:r w:rsidRPr="00DE1F61">
              <w:rPr>
                <w:rFonts w:ascii="Arial" w:hAnsi="Arial" w:cs="Arial"/>
                <w:sz w:val="18"/>
              </w:rPr>
              <w:t>903</w:t>
            </w:r>
          </w:p>
        </w:tc>
        <w:tc>
          <w:tcPr>
            <w:tcW w:w="567" w:type="pct"/>
            <w:noWrap/>
            <w:vAlign w:val="center"/>
          </w:tcPr>
          <w:p w14:paraId="14A86591" w14:textId="7DB438BB" w:rsidR="007E426D" w:rsidRPr="00DE1F61" w:rsidRDefault="001452E8"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E1F61">
              <w:rPr>
                <w:rFonts w:ascii="Arial" w:hAnsi="Arial" w:cs="Arial"/>
                <w:sz w:val="18"/>
              </w:rPr>
              <w:t>1</w:t>
            </w:r>
            <w:r w:rsidR="00EB6370">
              <w:rPr>
                <w:rFonts w:ascii="Arial" w:hAnsi="Arial" w:cs="Arial"/>
                <w:sz w:val="18"/>
              </w:rPr>
              <w:t> </w:t>
            </w:r>
            <w:r w:rsidRPr="00DE1F61">
              <w:rPr>
                <w:rFonts w:ascii="Arial" w:hAnsi="Arial" w:cs="Arial"/>
                <w:sz w:val="18"/>
              </w:rPr>
              <w:t>750</w:t>
            </w:r>
          </w:p>
        </w:tc>
      </w:tr>
      <w:tr w:rsidR="00EB6370" w:rsidRPr="00EB6370" w14:paraId="276A9DFE" w14:textId="77777777" w:rsidTr="00DE1F61">
        <w:trPr>
          <w:trHeight w:val="397"/>
          <w:jc w:val="right"/>
        </w:trPr>
        <w:tc>
          <w:tcPr>
            <w:cnfStyle w:val="001000000000" w:firstRow="0" w:lastRow="0" w:firstColumn="1" w:lastColumn="0" w:oddVBand="0" w:evenVBand="0" w:oddHBand="0" w:evenHBand="0" w:firstRowFirstColumn="0" w:firstRowLastColumn="0" w:lastRowFirstColumn="0" w:lastRowLastColumn="0"/>
            <w:tcW w:w="1512" w:type="pct"/>
            <w:vAlign w:val="center"/>
          </w:tcPr>
          <w:p w14:paraId="7BD5C8A0" w14:textId="77777777" w:rsidR="002B16D3" w:rsidRPr="00DE1F61" w:rsidRDefault="002B16D3" w:rsidP="00DE1F61">
            <w:pPr>
              <w:rPr>
                <w:rFonts w:ascii="Arial" w:hAnsi="Arial" w:cs="Arial"/>
                <w:bCs w:val="0"/>
                <w:sz w:val="18"/>
              </w:rPr>
            </w:pPr>
            <w:r w:rsidRPr="00DE1F61">
              <w:rPr>
                <w:rFonts w:ascii="Arial" w:hAnsi="Arial" w:cs="Arial"/>
                <w:sz w:val="18"/>
              </w:rPr>
              <w:t>Total</w:t>
            </w:r>
          </w:p>
        </w:tc>
        <w:tc>
          <w:tcPr>
            <w:tcW w:w="655" w:type="pct"/>
            <w:noWrap/>
            <w:vAlign w:val="center"/>
          </w:tcPr>
          <w:p w14:paraId="537E9EE1" w14:textId="05F1494F" w:rsidR="002B16D3"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DE1F61">
              <w:rPr>
                <w:rFonts w:ascii="Arial" w:hAnsi="Arial" w:cs="Arial"/>
                <w:b/>
                <w:sz w:val="18"/>
              </w:rPr>
              <w:t>276</w:t>
            </w:r>
            <w:r w:rsidR="00EB6370" w:rsidRPr="00DE1F61">
              <w:rPr>
                <w:rFonts w:ascii="Arial" w:hAnsi="Arial" w:cs="Arial"/>
                <w:b/>
                <w:sz w:val="18"/>
              </w:rPr>
              <w:t> </w:t>
            </w:r>
            <w:r w:rsidRPr="00DE1F61">
              <w:rPr>
                <w:rFonts w:ascii="Arial" w:hAnsi="Arial" w:cs="Arial"/>
                <w:b/>
                <w:sz w:val="18"/>
              </w:rPr>
              <w:t>868</w:t>
            </w:r>
          </w:p>
        </w:tc>
        <w:tc>
          <w:tcPr>
            <w:tcW w:w="564" w:type="pct"/>
            <w:noWrap/>
            <w:vAlign w:val="center"/>
          </w:tcPr>
          <w:p w14:paraId="3BA20836" w14:textId="14961A6B" w:rsidR="002B16D3"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DE1F61">
              <w:rPr>
                <w:rFonts w:ascii="Arial" w:hAnsi="Arial" w:cs="Arial"/>
                <w:b/>
                <w:sz w:val="18"/>
              </w:rPr>
              <w:t>45</w:t>
            </w:r>
            <w:r w:rsidR="00EB6370" w:rsidRPr="00DE1F61">
              <w:rPr>
                <w:rFonts w:ascii="Arial" w:hAnsi="Arial" w:cs="Arial"/>
                <w:b/>
                <w:sz w:val="18"/>
              </w:rPr>
              <w:t> </w:t>
            </w:r>
            <w:r w:rsidRPr="00DE1F61">
              <w:rPr>
                <w:rFonts w:ascii="Arial" w:hAnsi="Arial" w:cs="Arial"/>
                <w:b/>
                <w:sz w:val="18"/>
              </w:rPr>
              <w:t>827</w:t>
            </w:r>
          </w:p>
        </w:tc>
        <w:tc>
          <w:tcPr>
            <w:tcW w:w="567" w:type="pct"/>
            <w:noWrap/>
            <w:vAlign w:val="center"/>
          </w:tcPr>
          <w:p w14:paraId="5221DDBA" w14:textId="5D802F9E" w:rsidR="002B16D3"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DE1F61">
              <w:rPr>
                <w:rFonts w:ascii="Arial" w:hAnsi="Arial" w:cs="Arial"/>
                <w:b/>
                <w:sz w:val="18"/>
              </w:rPr>
              <w:t>54</w:t>
            </w:r>
            <w:r w:rsidR="00EB6370" w:rsidRPr="00DE1F61">
              <w:rPr>
                <w:rFonts w:ascii="Arial" w:hAnsi="Arial" w:cs="Arial"/>
                <w:b/>
                <w:sz w:val="18"/>
              </w:rPr>
              <w:t> </w:t>
            </w:r>
            <w:r w:rsidRPr="00DE1F61">
              <w:rPr>
                <w:rFonts w:ascii="Arial" w:hAnsi="Arial" w:cs="Arial"/>
                <w:b/>
                <w:sz w:val="18"/>
              </w:rPr>
              <w:t>753</w:t>
            </w:r>
          </w:p>
        </w:tc>
        <w:tc>
          <w:tcPr>
            <w:tcW w:w="567" w:type="pct"/>
            <w:noWrap/>
            <w:vAlign w:val="center"/>
          </w:tcPr>
          <w:p w14:paraId="784407CD" w14:textId="19AFBBCF" w:rsidR="002B16D3"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DE1F61">
              <w:rPr>
                <w:rFonts w:ascii="Arial" w:hAnsi="Arial" w:cs="Arial"/>
                <w:b/>
                <w:sz w:val="18"/>
              </w:rPr>
              <w:t>61</w:t>
            </w:r>
            <w:r w:rsidR="00EB6370" w:rsidRPr="00DE1F61">
              <w:rPr>
                <w:rFonts w:ascii="Arial" w:hAnsi="Arial" w:cs="Arial"/>
                <w:b/>
                <w:sz w:val="18"/>
              </w:rPr>
              <w:t> </w:t>
            </w:r>
            <w:r w:rsidRPr="00DE1F61">
              <w:rPr>
                <w:rFonts w:ascii="Arial" w:hAnsi="Arial" w:cs="Arial"/>
                <w:b/>
                <w:sz w:val="18"/>
              </w:rPr>
              <w:t>107</w:t>
            </w:r>
          </w:p>
        </w:tc>
        <w:tc>
          <w:tcPr>
            <w:tcW w:w="567" w:type="pct"/>
            <w:noWrap/>
            <w:vAlign w:val="center"/>
          </w:tcPr>
          <w:p w14:paraId="64EC3E81" w14:textId="05C4ADE6" w:rsidR="002B16D3"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DE1F61">
              <w:rPr>
                <w:rFonts w:ascii="Arial" w:hAnsi="Arial" w:cs="Arial"/>
                <w:b/>
                <w:sz w:val="18"/>
              </w:rPr>
              <w:t>61</w:t>
            </w:r>
            <w:r w:rsidR="00EB6370" w:rsidRPr="00DE1F61">
              <w:rPr>
                <w:rFonts w:ascii="Arial" w:hAnsi="Arial" w:cs="Arial"/>
                <w:b/>
                <w:sz w:val="18"/>
              </w:rPr>
              <w:t> </w:t>
            </w:r>
            <w:r w:rsidRPr="00DE1F61">
              <w:rPr>
                <w:rFonts w:ascii="Arial" w:hAnsi="Arial" w:cs="Arial"/>
                <w:b/>
                <w:sz w:val="18"/>
              </w:rPr>
              <w:t>751</w:t>
            </w:r>
          </w:p>
        </w:tc>
        <w:tc>
          <w:tcPr>
            <w:tcW w:w="567" w:type="pct"/>
            <w:noWrap/>
            <w:vAlign w:val="center"/>
          </w:tcPr>
          <w:p w14:paraId="5626BE98" w14:textId="654FFEC9" w:rsidR="002B16D3" w:rsidRPr="00DE1F61" w:rsidRDefault="001452E8"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DE1F61">
              <w:rPr>
                <w:rFonts w:ascii="Arial" w:hAnsi="Arial" w:cs="Arial"/>
                <w:b/>
                <w:sz w:val="18"/>
              </w:rPr>
              <w:t>53</w:t>
            </w:r>
            <w:r w:rsidR="00EB6370" w:rsidRPr="00DE1F61">
              <w:rPr>
                <w:rFonts w:ascii="Arial" w:hAnsi="Arial" w:cs="Arial"/>
                <w:b/>
                <w:sz w:val="18"/>
              </w:rPr>
              <w:t> </w:t>
            </w:r>
            <w:r w:rsidRPr="00DE1F61">
              <w:rPr>
                <w:rFonts w:ascii="Arial" w:hAnsi="Arial" w:cs="Arial"/>
                <w:b/>
                <w:sz w:val="18"/>
              </w:rPr>
              <w:t>431</w:t>
            </w:r>
          </w:p>
        </w:tc>
      </w:tr>
    </w:tbl>
    <w:p w14:paraId="403BEBC5" w14:textId="081D03A5" w:rsidR="007E426D" w:rsidRPr="007E426D" w:rsidRDefault="00EB6370" w:rsidP="006551E1">
      <w:pPr>
        <w:pStyle w:val="LegendeetsourcePNIN"/>
      </w:pPr>
      <w:r w:rsidRPr="00DE1F61">
        <w:rPr>
          <w:b/>
        </w:rPr>
        <w:t>Source</w:t>
      </w:r>
      <w:r>
        <w:t xml:space="preserve"> : </w:t>
      </w:r>
      <w:r w:rsidR="00DE1F61">
        <w:t>P</w:t>
      </w:r>
      <w:r w:rsidR="00DE1F61" w:rsidRPr="00DE1F61">
        <w:t>lan d’action du HC3N 2016-2020</w:t>
      </w:r>
    </w:p>
    <w:p w14:paraId="55D0BDE1" w14:textId="06D5E8F9" w:rsidR="00C23186" w:rsidRDefault="00C23186" w:rsidP="00DE1F61">
      <w:pPr>
        <w:pStyle w:val="ParagrapheRapportPNIN"/>
      </w:pPr>
      <w:r w:rsidRPr="007E426D">
        <w:t>Le coût de mise en œuvre du Plan d’action est estimé à 1</w:t>
      </w:r>
      <w:r w:rsidR="00890B49">
        <w:t> </w:t>
      </w:r>
      <w:r w:rsidRPr="007E426D">
        <w:t>546</w:t>
      </w:r>
      <w:r w:rsidR="00890B49">
        <w:t> </w:t>
      </w:r>
      <w:r w:rsidRPr="007E426D">
        <w:t>627</w:t>
      </w:r>
      <w:r w:rsidR="00890B49">
        <w:t> </w:t>
      </w:r>
      <w:r w:rsidRPr="007E426D">
        <w:t>millions de F</w:t>
      </w:r>
      <w:r w:rsidR="00890B49">
        <w:t> </w:t>
      </w:r>
      <w:r w:rsidRPr="007E426D">
        <w:t>CFA.</w:t>
      </w:r>
      <w:r w:rsidRPr="007E426D">
        <w:rPr>
          <w:rFonts w:ascii="Calibri" w:eastAsia="Times New Roman" w:hAnsi="Calibri"/>
          <w:b/>
          <w:bCs/>
          <w:sz w:val="18"/>
          <w:szCs w:val="18"/>
        </w:rPr>
        <w:t xml:space="preserve"> </w:t>
      </w:r>
      <w:r w:rsidRPr="007E426D">
        <w:t>Le cout estimé pour la mise en œuvre d</w:t>
      </w:r>
      <w:r>
        <w:t>es actions en lien avec la nutrition contenu dans le domaine d’intervention 4</w:t>
      </w:r>
      <w:r w:rsidRPr="007E426D">
        <w:t xml:space="preserve"> </w:t>
      </w:r>
      <w:r w:rsidR="00890B49">
        <w:t>« R</w:t>
      </w:r>
      <w:r w:rsidRPr="007E426D">
        <w:t>éduction de la vulnérabilité à l’insécurité alimentaire et nutritionnelle</w:t>
      </w:r>
      <w:r w:rsidR="00890B49">
        <w:t> »</w:t>
      </w:r>
      <w:r w:rsidRPr="007E426D">
        <w:t xml:space="preserve"> est de </w:t>
      </w:r>
      <w:r w:rsidRPr="00AA4EAF">
        <w:t>276</w:t>
      </w:r>
      <w:r w:rsidR="00890B49">
        <w:t> </w:t>
      </w:r>
      <w:r w:rsidRPr="00AA4EAF">
        <w:t>868</w:t>
      </w:r>
      <w:r w:rsidR="00890B49">
        <w:t> </w:t>
      </w:r>
      <w:r w:rsidRPr="007E426D">
        <w:t>millions</w:t>
      </w:r>
      <w:r w:rsidR="00890B49">
        <w:t xml:space="preserve"> F CFA </w:t>
      </w:r>
      <w:r w:rsidRPr="007E426D">
        <w:t>et représente 1</w:t>
      </w:r>
      <w:r>
        <w:t>8</w:t>
      </w:r>
      <w:r w:rsidR="00890B49">
        <w:t> </w:t>
      </w:r>
      <w:r w:rsidRPr="007E426D">
        <w:t>% du cout total du plan d’action.</w:t>
      </w:r>
      <w:r>
        <w:t xml:space="preserve"> </w:t>
      </w:r>
    </w:p>
    <w:p w14:paraId="66F7EF4B" w14:textId="77777777" w:rsidR="00C23186" w:rsidRDefault="00C23186" w:rsidP="00DE1F61">
      <w:pPr>
        <w:pStyle w:val="ParagrapheRapportPNIN"/>
        <w:rPr>
          <w:b/>
        </w:rPr>
      </w:pPr>
      <w:r w:rsidRPr="00C23186">
        <w:rPr>
          <w:b/>
        </w:rPr>
        <w:t>Les aspects de nutrition restent faiblement financés dans le plan d’action 2016-2020 de l’Initiative 3N.</w:t>
      </w:r>
    </w:p>
    <w:p w14:paraId="3EF5B606" w14:textId="4A22EBD8" w:rsidR="00C23186" w:rsidRPr="00C23186" w:rsidRDefault="00C23186" w:rsidP="00540DAE">
      <w:pPr>
        <w:pStyle w:val="TitreillustrationPNIN"/>
        <w:rPr>
          <w:color w:val="0070C0"/>
          <w:u w:val="single"/>
        </w:rPr>
      </w:pPr>
      <w:bookmarkStart w:id="32" w:name="_Toc528222371"/>
      <w:r w:rsidRPr="00C23186">
        <w:t xml:space="preserve">Tableau </w:t>
      </w:r>
      <w:r w:rsidR="00B23782">
        <w:fldChar w:fldCharType="begin"/>
      </w:r>
      <w:r w:rsidR="00B23782">
        <w:instrText xml:space="preserve"> SEQ Tableau \* ARABIC </w:instrText>
      </w:r>
      <w:r w:rsidR="00B23782">
        <w:fldChar w:fldCharType="separate"/>
      </w:r>
      <w:r w:rsidR="00540DAE">
        <w:rPr>
          <w:noProof/>
        </w:rPr>
        <w:t>3</w:t>
      </w:r>
      <w:r w:rsidR="00B23782">
        <w:rPr>
          <w:noProof/>
        </w:rPr>
        <w:fldChar w:fldCharType="end"/>
      </w:r>
      <w:r>
        <w:rPr>
          <w:noProof/>
        </w:rPr>
        <w:t> </w:t>
      </w:r>
      <w:r w:rsidRPr="00C23186">
        <w:t>: Répartition du budget du PS</w:t>
      </w:r>
      <w:r w:rsidR="00890B49">
        <w:t> </w:t>
      </w:r>
      <w:r w:rsidRPr="00C23186">
        <w:t>11 amélioration de l’état nutritionnel des nigériennes et des nigériens du plan d’action du HC3N 2016-2020 par année</w:t>
      </w:r>
      <w:bookmarkEnd w:id="32"/>
    </w:p>
    <w:tbl>
      <w:tblPr>
        <w:tblStyle w:val="TableauListe4-Accentuation1"/>
        <w:tblW w:w="4054" w:type="pct"/>
        <w:jc w:val="right"/>
        <w:tblLayout w:type="fixed"/>
        <w:tblLook w:val="04A0" w:firstRow="1" w:lastRow="0" w:firstColumn="1" w:lastColumn="0" w:noHBand="0" w:noVBand="1"/>
      </w:tblPr>
      <w:tblGrid>
        <w:gridCol w:w="2262"/>
        <w:gridCol w:w="829"/>
        <w:gridCol w:w="854"/>
        <w:gridCol w:w="854"/>
        <w:gridCol w:w="851"/>
        <w:gridCol w:w="848"/>
        <w:gridCol w:w="848"/>
      </w:tblGrid>
      <w:tr w:rsidR="00890B49" w:rsidRPr="00890B49" w14:paraId="02E0A427" w14:textId="77777777" w:rsidTr="00DE1F61">
        <w:trPr>
          <w:cnfStyle w:val="100000000000" w:firstRow="1" w:lastRow="0" w:firstColumn="0" w:lastColumn="0" w:oddVBand="0" w:evenVBand="0" w:oddHBand="0" w:evenHBand="0" w:firstRowFirstColumn="0" w:firstRowLastColumn="0" w:lastRowFirstColumn="0" w:lastRowLastColumn="0"/>
          <w:trHeight w:val="728"/>
          <w:jc w:val="right"/>
        </w:trPr>
        <w:tc>
          <w:tcPr>
            <w:cnfStyle w:val="001000000000" w:firstRow="0" w:lastRow="0" w:firstColumn="1" w:lastColumn="0" w:oddVBand="0" w:evenVBand="0" w:oddHBand="0" w:evenHBand="0" w:firstRowFirstColumn="0" w:firstRowLastColumn="0" w:lastRowFirstColumn="0" w:lastRowLastColumn="0"/>
            <w:tcW w:w="1540" w:type="pct"/>
            <w:noWrap/>
            <w:vAlign w:val="center"/>
            <w:hideMark/>
          </w:tcPr>
          <w:p w14:paraId="7354C6F0" w14:textId="77777777" w:rsidR="00C23186" w:rsidRPr="00DE1F61" w:rsidRDefault="00C23186" w:rsidP="00DE1F61">
            <w:pPr>
              <w:jc w:val="center"/>
              <w:rPr>
                <w:rFonts w:ascii="Arial" w:hAnsi="Arial" w:cs="Arial"/>
                <w:sz w:val="18"/>
                <w:szCs w:val="18"/>
              </w:rPr>
            </w:pPr>
            <w:r w:rsidRPr="00DE1F61">
              <w:rPr>
                <w:rFonts w:ascii="Arial" w:hAnsi="Arial" w:cs="Arial"/>
                <w:sz w:val="18"/>
                <w:szCs w:val="18"/>
              </w:rPr>
              <w:t>PS11 : Amélioration de l’état nutritionnel des nigériennes et des nigériens</w:t>
            </w:r>
          </w:p>
        </w:tc>
        <w:tc>
          <w:tcPr>
            <w:tcW w:w="564" w:type="pct"/>
            <w:noWrap/>
            <w:vAlign w:val="center"/>
            <w:hideMark/>
          </w:tcPr>
          <w:p w14:paraId="1660DF53" w14:textId="38BE8746" w:rsidR="00C23186" w:rsidRPr="00DE1F61" w:rsidRDefault="00C23186"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 xml:space="preserve">Coût total </w:t>
            </w:r>
            <w:r w:rsidR="00890B49" w:rsidRPr="00DE3C4E">
              <w:rPr>
                <w:rFonts w:ascii="Arial" w:hAnsi="Arial" w:cs="Arial"/>
                <w:bCs w:val="0"/>
                <w:sz w:val="14"/>
              </w:rPr>
              <w:t>(millions de F CFA)</w:t>
            </w:r>
          </w:p>
        </w:tc>
        <w:tc>
          <w:tcPr>
            <w:tcW w:w="581" w:type="pct"/>
            <w:noWrap/>
            <w:vAlign w:val="center"/>
            <w:hideMark/>
          </w:tcPr>
          <w:p w14:paraId="1D6429A1" w14:textId="77777777" w:rsidR="00C23186" w:rsidRPr="00DE1F61" w:rsidRDefault="00C23186"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Coût 2016</w:t>
            </w:r>
          </w:p>
          <w:p w14:paraId="269DBAFD" w14:textId="00585F0D" w:rsidR="00C23186" w:rsidRPr="00DE1F61" w:rsidRDefault="00890B49"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E3C4E">
              <w:rPr>
                <w:rFonts w:ascii="Arial" w:hAnsi="Arial" w:cs="Arial"/>
                <w:bCs w:val="0"/>
                <w:sz w:val="14"/>
              </w:rPr>
              <w:t>(millions de F CFA)</w:t>
            </w:r>
          </w:p>
        </w:tc>
        <w:tc>
          <w:tcPr>
            <w:tcW w:w="581" w:type="pct"/>
            <w:noWrap/>
            <w:vAlign w:val="center"/>
            <w:hideMark/>
          </w:tcPr>
          <w:p w14:paraId="0C1B49EA" w14:textId="5943284C" w:rsidR="00C23186" w:rsidRPr="00DE1F61" w:rsidRDefault="00C23186"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 xml:space="preserve">Coût 2017 </w:t>
            </w:r>
            <w:r w:rsidR="00890B49" w:rsidRPr="00DE3C4E">
              <w:rPr>
                <w:rFonts w:ascii="Arial" w:hAnsi="Arial" w:cs="Arial"/>
                <w:bCs w:val="0"/>
                <w:sz w:val="14"/>
              </w:rPr>
              <w:t>(millions de F CFA)</w:t>
            </w:r>
          </w:p>
        </w:tc>
        <w:tc>
          <w:tcPr>
            <w:tcW w:w="579" w:type="pct"/>
            <w:noWrap/>
            <w:vAlign w:val="center"/>
            <w:hideMark/>
          </w:tcPr>
          <w:p w14:paraId="0DEF4CDC" w14:textId="006DDCC2" w:rsidR="00C23186" w:rsidRPr="00DE1F61" w:rsidRDefault="00C23186"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 xml:space="preserve">Coût 2018 </w:t>
            </w:r>
            <w:r w:rsidR="00890B49" w:rsidRPr="00DE3C4E">
              <w:rPr>
                <w:rFonts w:ascii="Arial" w:hAnsi="Arial" w:cs="Arial"/>
                <w:bCs w:val="0"/>
                <w:sz w:val="14"/>
              </w:rPr>
              <w:t>(millions de F CFA)</w:t>
            </w:r>
          </w:p>
        </w:tc>
        <w:tc>
          <w:tcPr>
            <w:tcW w:w="577" w:type="pct"/>
            <w:noWrap/>
            <w:vAlign w:val="center"/>
            <w:hideMark/>
          </w:tcPr>
          <w:p w14:paraId="306445E6" w14:textId="11BAA49E" w:rsidR="00C23186" w:rsidRPr="00DE1F61" w:rsidRDefault="00C23186"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 xml:space="preserve">Coût 2019 </w:t>
            </w:r>
            <w:r w:rsidR="00890B49" w:rsidRPr="00DE3C4E">
              <w:rPr>
                <w:rFonts w:ascii="Arial" w:hAnsi="Arial" w:cs="Arial"/>
                <w:bCs w:val="0"/>
                <w:sz w:val="14"/>
              </w:rPr>
              <w:t>(millions de F CFA)</w:t>
            </w:r>
          </w:p>
        </w:tc>
        <w:tc>
          <w:tcPr>
            <w:tcW w:w="577" w:type="pct"/>
            <w:noWrap/>
            <w:vAlign w:val="center"/>
            <w:hideMark/>
          </w:tcPr>
          <w:p w14:paraId="11DA6851" w14:textId="72E1D46A" w:rsidR="00C23186" w:rsidRPr="00DE1F61" w:rsidRDefault="00C23186" w:rsidP="00DE1F6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 xml:space="preserve">Coût 2020 </w:t>
            </w:r>
            <w:r w:rsidR="00890B49" w:rsidRPr="00DE3C4E">
              <w:rPr>
                <w:rFonts w:ascii="Arial" w:hAnsi="Arial" w:cs="Arial"/>
                <w:bCs w:val="0"/>
                <w:sz w:val="14"/>
              </w:rPr>
              <w:t>(millions de F CFA)</w:t>
            </w:r>
          </w:p>
        </w:tc>
      </w:tr>
      <w:tr w:rsidR="00890B49" w:rsidRPr="00890B49" w14:paraId="76B9ADD3" w14:textId="77777777" w:rsidTr="00DE1F61">
        <w:trPr>
          <w:cnfStyle w:val="000000100000" w:firstRow="0" w:lastRow="0" w:firstColumn="0" w:lastColumn="0" w:oddVBand="0" w:evenVBand="0" w:oddHBand="1" w:evenHBand="0" w:firstRowFirstColumn="0" w:firstRowLastColumn="0" w:lastRowFirstColumn="0" w:lastRowLastColumn="0"/>
          <w:trHeight w:val="966"/>
          <w:jc w:val="right"/>
        </w:trPr>
        <w:tc>
          <w:tcPr>
            <w:cnfStyle w:val="001000000000" w:firstRow="0" w:lastRow="0" w:firstColumn="1" w:lastColumn="0" w:oddVBand="0" w:evenVBand="0" w:oddHBand="0" w:evenHBand="0" w:firstRowFirstColumn="0" w:firstRowLastColumn="0" w:lastRowFirstColumn="0" w:lastRowLastColumn="0"/>
            <w:tcW w:w="1540" w:type="pct"/>
            <w:noWrap/>
            <w:vAlign w:val="center"/>
            <w:hideMark/>
          </w:tcPr>
          <w:p w14:paraId="7F060C89" w14:textId="4CC1A623" w:rsidR="00C23186" w:rsidRPr="00DE1F61" w:rsidRDefault="00C23186" w:rsidP="00DE1F61">
            <w:pPr>
              <w:rPr>
                <w:rFonts w:ascii="Arial" w:hAnsi="Arial" w:cs="Arial"/>
                <w:b w:val="0"/>
                <w:sz w:val="18"/>
                <w:szCs w:val="18"/>
              </w:rPr>
            </w:pPr>
            <w:r w:rsidRPr="00DE1F61">
              <w:rPr>
                <w:rFonts w:ascii="Arial" w:hAnsi="Arial" w:cs="Arial"/>
                <w:sz w:val="18"/>
                <w:szCs w:val="18"/>
              </w:rPr>
              <w:t>PS</w:t>
            </w:r>
            <w:r w:rsidR="00890B49">
              <w:rPr>
                <w:rFonts w:ascii="Arial" w:hAnsi="Arial" w:cs="Arial"/>
                <w:b w:val="0"/>
                <w:sz w:val="18"/>
                <w:szCs w:val="18"/>
              </w:rPr>
              <w:t> </w:t>
            </w:r>
            <w:r w:rsidRPr="00DE1F61">
              <w:rPr>
                <w:rFonts w:ascii="Arial" w:hAnsi="Arial" w:cs="Arial"/>
                <w:sz w:val="18"/>
                <w:szCs w:val="18"/>
              </w:rPr>
              <w:t>11/OS</w:t>
            </w:r>
            <w:r w:rsidR="00890B49">
              <w:rPr>
                <w:rFonts w:ascii="Arial" w:hAnsi="Arial" w:cs="Arial"/>
                <w:b w:val="0"/>
                <w:sz w:val="18"/>
                <w:szCs w:val="18"/>
              </w:rPr>
              <w:t> </w:t>
            </w:r>
            <w:r w:rsidRPr="00DE1F61">
              <w:rPr>
                <w:rFonts w:ascii="Arial" w:hAnsi="Arial" w:cs="Arial"/>
                <w:sz w:val="18"/>
                <w:szCs w:val="18"/>
              </w:rPr>
              <w:t>1 : Maximiser l’impact des actions nutritions sensibles, en particulier celles des acteurs de mise en œuvre de l’Initiative 3N</w:t>
            </w:r>
          </w:p>
        </w:tc>
        <w:tc>
          <w:tcPr>
            <w:tcW w:w="564" w:type="pct"/>
            <w:noWrap/>
            <w:vAlign w:val="center"/>
            <w:hideMark/>
          </w:tcPr>
          <w:p w14:paraId="261BCF98"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81" w:type="pct"/>
            <w:noWrap/>
            <w:vAlign w:val="center"/>
            <w:hideMark/>
          </w:tcPr>
          <w:p w14:paraId="13F7D350"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81" w:type="pct"/>
            <w:noWrap/>
            <w:vAlign w:val="center"/>
            <w:hideMark/>
          </w:tcPr>
          <w:p w14:paraId="2572566B"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79" w:type="pct"/>
            <w:noWrap/>
            <w:vAlign w:val="center"/>
            <w:hideMark/>
          </w:tcPr>
          <w:p w14:paraId="2E69FCBF"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77" w:type="pct"/>
            <w:noWrap/>
            <w:vAlign w:val="center"/>
            <w:hideMark/>
          </w:tcPr>
          <w:p w14:paraId="3311F5DE"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77" w:type="pct"/>
            <w:noWrap/>
            <w:vAlign w:val="center"/>
            <w:hideMark/>
          </w:tcPr>
          <w:p w14:paraId="53120E41"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r>
      <w:tr w:rsidR="00890B49" w:rsidRPr="00890B49" w14:paraId="1EA5A643" w14:textId="77777777" w:rsidTr="00DE1F61">
        <w:trPr>
          <w:trHeight w:val="1056"/>
          <w:jc w:val="right"/>
        </w:trPr>
        <w:tc>
          <w:tcPr>
            <w:cnfStyle w:val="001000000000" w:firstRow="0" w:lastRow="0" w:firstColumn="1" w:lastColumn="0" w:oddVBand="0" w:evenVBand="0" w:oddHBand="0" w:evenHBand="0" w:firstRowFirstColumn="0" w:firstRowLastColumn="0" w:lastRowFirstColumn="0" w:lastRowLastColumn="0"/>
            <w:tcW w:w="1540" w:type="pct"/>
            <w:noWrap/>
            <w:vAlign w:val="center"/>
            <w:hideMark/>
          </w:tcPr>
          <w:p w14:paraId="4C4E6C2A" w14:textId="3C0F7085" w:rsidR="00C23186" w:rsidRPr="00DE1F61" w:rsidRDefault="00C23186" w:rsidP="00DE1F61">
            <w:pPr>
              <w:rPr>
                <w:rFonts w:ascii="Arial" w:hAnsi="Arial" w:cs="Arial"/>
                <w:b w:val="0"/>
                <w:sz w:val="18"/>
                <w:szCs w:val="18"/>
              </w:rPr>
            </w:pPr>
            <w:r w:rsidRPr="00DE1F61">
              <w:rPr>
                <w:rFonts w:ascii="Arial" w:hAnsi="Arial" w:cs="Arial"/>
                <w:sz w:val="18"/>
                <w:szCs w:val="18"/>
              </w:rPr>
              <w:t>PS</w:t>
            </w:r>
            <w:r w:rsidR="00890B49">
              <w:rPr>
                <w:rFonts w:ascii="Arial" w:hAnsi="Arial" w:cs="Arial"/>
                <w:b w:val="0"/>
                <w:sz w:val="18"/>
                <w:szCs w:val="18"/>
              </w:rPr>
              <w:t> </w:t>
            </w:r>
            <w:r w:rsidRPr="00DE1F61">
              <w:rPr>
                <w:rFonts w:ascii="Arial" w:hAnsi="Arial" w:cs="Arial"/>
                <w:sz w:val="18"/>
                <w:szCs w:val="18"/>
              </w:rPr>
              <w:t>11/OS</w:t>
            </w:r>
            <w:r w:rsidR="00890B49">
              <w:rPr>
                <w:rFonts w:ascii="Arial" w:hAnsi="Arial" w:cs="Arial"/>
                <w:b w:val="0"/>
                <w:sz w:val="18"/>
                <w:szCs w:val="18"/>
              </w:rPr>
              <w:t> </w:t>
            </w:r>
            <w:r w:rsidRPr="00DE1F61">
              <w:rPr>
                <w:rFonts w:ascii="Arial" w:hAnsi="Arial" w:cs="Arial"/>
                <w:sz w:val="18"/>
                <w:szCs w:val="18"/>
              </w:rPr>
              <w:t>2 : Renforcer la mise en œuvre des actions nutritions spécifiques de prévention et de traitement de la malnutrition</w:t>
            </w:r>
          </w:p>
        </w:tc>
        <w:tc>
          <w:tcPr>
            <w:tcW w:w="564" w:type="pct"/>
            <w:noWrap/>
            <w:vAlign w:val="center"/>
            <w:hideMark/>
          </w:tcPr>
          <w:p w14:paraId="7798727A" w14:textId="77777777"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81" w:type="pct"/>
            <w:noWrap/>
            <w:vAlign w:val="center"/>
            <w:hideMark/>
          </w:tcPr>
          <w:p w14:paraId="2E6CAFC0" w14:textId="77777777"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81" w:type="pct"/>
            <w:noWrap/>
            <w:vAlign w:val="center"/>
            <w:hideMark/>
          </w:tcPr>
          <w:p w14:paraId="1A9F354A" w14:textId="77777777"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79" w:type="pct"/>
            <w:noWrap/>
            <w:vAlign w:val="center"/>
            <w:hideMark/>
          </w:tcPr>
          <w:p w14:paraId="68CC17DF" w14:textId="77777777"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77" w:type="pct"/>
            <w:noWrap/>
            <w:vAlign w:val="center"/>
            <w:hideMark/>
          </w:tcPr>
          <w:p w14:paraId="78BCA47E" w14:textId="77777777"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c>
          <w:tcPr>
            <w:tcW w:w="577" w:type="pct"/>
            <w:noWrap/>
            <w:vAlign w:val="center"/>
            <w:hideMark/>
          </w:tcPr>
          <w:p w14:paraId="77FF77D9" w14:textId="77777777"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PM</w:t>
            </w:r>
          </w:p>
        </w:tc>
      </w:tr>
      <w:tr w:rsidR="00890B49" w:rsidRPr="00890B49" w14:paraId="76AC1B8E" w14:textId="77777777" w:rsidTr="00DE1F61">
        <w:trPr>
          <w:cnfStyle w:val="000000100000" w:firstRow="0" w:lastRow="0" w:firstColumn="0" w:lastColumn="0" w:oddVBand="0" w:evenVBand="0" w:oddHBand="1" w:evenHBand="0" w:firstRowFirstColumn="0" w:firstRowLastColumn="0" w:lastRowFirstColumn="0" w:lastRowLastColumn="0"/>
          <w:trHeight w:val="720"/>
          <w:jc w:val="right"/>
        </w:trPr>
        <w:tc>
          <w:tcPr>
            <w:cnfStyle w:val="001000000000" w:firstRow="0" w:lastRow="0" w:firstColumn="1" w:lastColumn="0" w:oddVBand="0" w:evenVBand="0" w:oddHBand="0" w:evenHBand="0" w:firstRowFirstColumn="0" w:firstRowLastColumn="0" w:lastRowFirstColumn="0" w:lastRowLastColumn="0"/>
            <w:tcW w:w="1540" w:type="pct"/>
            <w:vAlign w:val="center"/>
            <w:hideMark/>
          </w:tcPr>
          <w:p w14:paraId="53E81781" w14:textId="375C760F" w:rsidR="00C23186" w:rsidRPr="00DE1F61" w:rsidRDefault="00C23186" w:rsidP="00DE1F61">
            <w:pPr>
              <w:rPr>
                <w:rFonts w:ascii="Arial" w:hAnsi="Arial" w:cs="Arial"/>
                <w:b w:val="0"/>
                <w:sz w:val="18"/>
                <w:szCs w:val="18"/>
              </w:rPr>
            </w:pPr>
            <w:r w:rsidRPr="00DE1F61">
              <w:rPr>
                <w:rFonts w:ascii="Arial" w:hAnsi="Arial" w:cs="Arial"/>
                <w:sz w:val="18"/>
                <w:szCs w:val="18"/>
              </w:rPr>
              <w:lastRenderedPageBreak/>
              <w:t>PS</w:t>
            </w:r>
            <w:r w:rsidR="00890B49">
              <w:rPr>
                <w:rFonts w:ascii="Arial" w:hAnsi="Arial" w:cs="Arial"/>
                <w:b w:val="0"/>
                <w:sz w:val="18"/>
                <w:szCs w:val="18"/>
              </w:rPr>
              <w:t> </w:t>
            </w:r>
            <w:r w:rsidRPr="00DE1F61">
              <w:rPr>
                <w:rFonts w:ascii="Arial" w:hAnsi="Arial" w:cs="Arial"/>
                <w:sz w:val="18"/>
                <w:szCs w:val="18"/>
              </w:rPr>
              <w:t>11/OS</w:t>
            </w:r>
            <w:r w:rsidR="00890B49">
              <w:rPr>
                <w:rFonts w:ascii="Arial" w:hAnsi="Arial" w:cs="Arial"/>
                <w:b w:val="0"/>
                <w:sz w:val="18"/>
                <w:szCs w:val="18"/>
              </w:rPr>
              <w:t> </w:t>
            </w:r>
            <w:r w:rsidRPr="00DE1F61">
              <w:rPr>
                <w:rFonts w:ascii="Arial" w:hAnsi="Arial" w:cs="Arial"/>
                <w:sz w:val="18"/>
                <w:szCs w:val="18"/>
              </w:rPr>
              <w:t>3 : Créer un environnement favorable à la sécurité nutritionnelle</w:t>
            </w:r>
          </w:p>
        </w:tc>
        <w:tc>
          <w:tcPr>
            <w:tcW w:w="564" w:type="pct"/>
            <w:noWrap/>
            <w:vAlign w:val="center"/>
            <w:hideMark/>
          </w:tcPr>
          <w:p w14:paraId="09DA8E6D" w14:textId="5C9ECD75"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18</w:t>
            </w:r>
            <w:r w:rsidR="00890B49">
              <w:rPr>
                <w:rFonts w:ascii="Arial" w:hAnsi="Arial" w:cs="Arial"/>
                <w:sz w:val="18"/>
                <w:szCs w:val="18"/>
              </w:rPr>
              <w:t> </w:t>
            </w:r>
            <w:r w:rsidRPr="00DE1F61">
              <w:rPr>
                <w:rFonts w:ascii="Arial" w:hAnsi="Arial" w:cs="Arial"/>
                <w:sz w:val="18"/>
                <w:szCs w:val="18"/>
              </w:rPr>
              <w:t>275</w:t>
            </w:r>
          </w:p>
        </w:tc>
        <w:tc>
          <w:tcPr>
            <w:tcW w:w="581" w:type="pct"/>
            <w:noWrap/>
            <w:vAlign w:val="center"/>
            <w:hideMark/>
          </w:tcPr>
          <w:p w14:paraId="2096A7EB"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750</w:t>
            </w:r>
          </w:p>
        </w:tc>
        <w:tc>
          <w:tcPr>
            <w:tcW w:w="581" w:type="pct"/>
            <w:noWrap/>
            <w:vAlign w:val="center"/>
            <w:hideMark/>
          </w:tcPr>
          <w:p w14:paraId="4EB49E50" w14:textId="533CF185"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2</w:t>
            </w:r>
            <w:r w:rsidR="00890B49">
              <w:rPr>
                <w:rFonts w:ascii="Arial" w:hAnsi="Arial" w:cs="Arial"/>
                <w:sz w:val="18"/>
                <w:szCs w:val="18"/>
              </w:rPr>
              <w:t> </w:t>
            </w:r>
            <w:r w:rsidRPr="00DE1F61">
              <w:rPr>
                <w:rFonts w:ascii="Arial" w:hAnsi="Arial" w:cs="Arial"/>
                <w:sz w:val="18"/>
                <w:szCs w:val="18"/>
              </w:rPr>
              <w:t>527</w:t>
            </w:r>
          </w:p>
        </w:tc>
        <w:tc>
          <w:tcPr>
            <w:tcW w:w="579" w:type="pct"/>
            <w:noWrap/>
            <w:vAlign w:val="center"/>
            <w:hideMark/>
          </w:tcPr>
          <w:p w14:paraId="022A48E5" w14:textId="640A6A5C"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5</w:t>
            </w:r>
            <w:r w:rsidR="00890B49">
              <w:rPr>
                <w:rFonts w:ascii="Arial" w:hAnsi="Arial" w:cs="Arial"/>
                <w:sz w:val="18"/>
                <w:szCs w:val="18"/>
              </w:rPr>
              <w:t> </w:t>
            </w:r>
            <w:r w:rsidRPr="00DE1F61">
              <w:rPr>
                <w:rFonts w:ascii="Arial" w:hAnsi="Arial" w:cs="Arial"/>
                <w:sz w:val="18"/>
                <w:szCs w:val="18"/>
              </w:rPr>
              <w:t>345</w:t>
            </w:r>
          </w:p>
        </w:tc>
        <w:tc>
          <w:tcPr>
            <w:tcW w:w="577" w:type="pct"/>
            <w:noWrap/>
            <w:vAlign w:val="center"/>
            <w:hideMark/>
          </w:tcPr>
          <w:p w14:paraId="2B3B26E6" w14:textId="7E9F2C9A"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7</w:t>
            </w:r>
            <w:r w:rsidR="00890B49">
              <w:rPr>
                <w:rFonts w:ascii="Arial" w:hAnsi="Arial" w:cs="Arial"/>
                <w:sz w:val="18"/>
                <w:szCs w:val="18"/>
              </w:rPr>
              <w:t> </w:t>
            </w:r>
            <w:r w:rsidRPr="00DE1F61">
              <w:rPr>
                <w:rFonts w:ascii="Arial" w:hAnsi="Arial" w:cs="Arial"/>
                <w:sz w:val="18"/>
                <w:szCs w:val="18"/>
              </w:rPr>
              <w:t>903</w:t>
            </w:r>
          </w:p>
        </w:tc>
        <w:tc>
          <w:tcPr>
            <w:tcW w:w="577" w:type="pct"/>
            <w:noWrap/>
            <w:vAlign w:val="center"/>
            <w:hideMark/>
          </w:tcPr>
          <w:p w14:paraId="175017C2" w14:textId="3B7F005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1</w:t>
            </w:r>
            <w:r w:rsidR="00890B49">
              <w:rPr>
                <w:rFonts w:ascii="Arial" w:hAnsi="Arial" w:cs="Arial"/>
                <w:sz w:val="18"/>
                <w:szCs w:val="18"/>
              </w:rPr>
              <w:t> </w:t>
            </w:r>
            <w:r w:rsidRPr="00DE1F61">
              <w:rPr>
                <w:rFonts w:ascii="Arial" w:hAnsi="Arial" w:cs="Arial"/>
                <w:sz w:val="18"/>
                <w:szCs w:val="18"/>
              </w:rPr>
              <w:t>750</w:t>
            </w:r>
          </w:p>
        </w:tc>
      </w:tr>
      <w:tr w:rsidR="00890B49" w:rsidRPr="00890B49" w14:paraId="7637EB7A" w14:textId="77777777" w:rsidTr="00DE1F61">
        <w:trPr>
          <w:trHeight w:val="2312"/>
          <w:jc w:val="right"/>
        </w:trPr>
        <w:tc>
          <w:tcPr>
            <w:cnfStyle w:val="001000000000" w:firstRow="0" w:lastRow="0" w:firstColumn="1" w:lastColumn="0" w:oddVBand="0" w:evenVBand="0" w:oddHBand="0" w:evenHBand="0" w:firstRowFirstColumn="0" w:firstRowLastColumn="0" w:lastRowFirstColumn="0" w:lastRowLastColumn="0"/>
            <w:tcW w:w="1540" w:type="pct"/>
            <w:vAlign w:val="center"/>
            <w:hideMark/>
          </w:tcPr>
          <w:p w14:paraId="43AA0BA0" w14:textId="77777777" w:rsidR="00C23186" w:rsidRPr="00DE1F61" w:rsidRDefault="00C23186" w:rsidP="00DE1F61">
            <w:pPr>
              <w:rPr>
                <w:rFonts w:ascii="Arial" w:hAnsi="Arial" w:cs="Arial"/>
                <w:sz w:val="18"/>
                <w:szCs w:val="18"/>
              </w:rPr>
            </w:pPr>
            <w:r w:rsidRPr="00DE1F61">
              <w:rPr>
                <w:rFonts w:ascii="Arial" w:hAnsi="Arial" w:cs="Arial"/>
                <w:sz w:val="18"/>
                <w:szCs w:val="18"/>
              </w:rPr>
              <w:t>R1.1/OS3 : Les politiques qui assurent et améliorent la sécurité nutritionnelle et le cadre de vie des Nigériennes et des Nigériens, particulièrement au niveau des groupes vulnérables, sont formulées et guident les décisions et actions du Gouvernement et de ses partenaires, et les structures d’appui à la mise en œuvre  renforcées</w:t>
            </w:r>
          </w:p>
        </w:tc>
        <w:tc>
          <w:tcPr>
            <w:tcW w:w="564" w:type="pct"/>
            <w:noWrap/>
            <w:vAlign w:val="center"/>
            <w:hideMark/>
          </w:tcPr>
          <w:p w14:paraId="6D8CC879" w14:textId="123CCEC4"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17</w:t>
            </w:r>
            <w:r w:rsidR="00890B49" w:rsidRPr="00890B49">
              <w:rPr>
                <w:rFonts w:ascii="Arial" w:hAnsi="Arial" w:cs="Arial"/>
                <w:sz w:val="18"/>
                <w:szCs w:val="18"/>
              </w:rPr>
              <w:t> </w:t>
            </w:r>
            <w:r w:rsidRPr="00DE1F61">
              <w:rPr>
                <w:rFonts w:ascii="Arial" w:hAnsi="Arial" w:cs="Arial"/>
                <w:sz w:val="18"/>
                <w:szCs w:val="18"/>
              </w:rPr>
              <w:t>025</w:t>
            </w:r>
          </w:p>
        </w:tc>
        <w:tc>
          <w:tcPr>
            <w:tcW w:w="581" w:type="pct"/>
            <w:noWrap/>
            <w:vAlign w:val="center"/>
            <w:hideMark/>
          </w:tcPr>
          <w:p w14:paraId="4CF3B182" w14:textId="77777777"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500</w:t>
            </w:r>
          </w:p>
        </w:tc>
        <w:tc>
          <w:tcPr>
            <w:tcW w:w="581" w:type="pct"/>
            <w:noWrap/>
            <w:vAlign w:val="center"/>
            <w:hideMark/>
          </w:tcPr>
          <w:p w14:paraId="3BEDA344" w14:textId="41D501C8"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2</w:t>
            </w:r>
            <w:r w:rsidR="00890B49" w:rsidRPr="00890B49">
              <w:rPr>
                <w:rFonts w:ascii="Arial" w:hAnsi="Arial" w:cs="Arial"/>
                <w:sz w:val="18"/>
                <w:szCs w:val="18"/>
              </w:rPr>
              <w:t> </w:t>
            </w:r>
            <w:r w:rsidRPr="00DE1F61">
              <w:rPr>
                <w:rFonts w:ascii="Arial" w:hAnsi="Arial" w:cs="Arial"/>
                <w:sz w:val="18"/>
                <w:szCs w:val="18"/>
              </w:rPr>
              <w:t>277</w:t>
            </w:r>
          </w:p>
        </w:tc>
        <w:tc>
          <w:tcPr>
            <w:tcW w:w="579" w:type="pct"/>
            <w:noWrap/>
            <w:vAlign w:val="center"/>
            <w:hideMark/>
          </w:tcPr>
          <w:p w14:paraId="269D35C8" w14:textId="23B22190"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5</w:t>
            </w:r>
            <w:r w:rsidR="00890B49" w:rsidRPr="00890B49">
              <w:rPr>
                <w:rFonts w:ascii="Arial" w:hAnsi="Arial" w:cs="Arial"/>
                <w:sz w:val="18"/>
                <w:szCs w:val="18"/>
              </w:rPr>
              <w:t> </w:t>
            </w:r>
            <w:r w:rsidRPr="00DE1F61">
              <w:rPr>
                <w:rFonts w:ascii="Arial" w:hAnsi="Arial" w:cs="Arial"/>
                <w:sz w:val="18"/>
                <w:szCs w:val="18"/>
              </w:rPr>
              <w:t>095</w:t>
            </w:r>
          </w:p>
        </w:tc>
        <w:tc>
          <w:tcPr>
            <w:tcW w:w="577" w:type="pct"/>
            <w:noWrap/>
            <w:vAlign w:val="center"/>
            <w:hideMark/>
          </w:tcPr>
          <w:p w14:paraId="7824F778" w14:textId="03BE44DE"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7</w:t>
            </w:r>
            <w:r w:rsidR="00890B49" w:rsidRPr="00890B49">
              <w:rPr>
                <w:rFonts w:ascii="Arial" w:hAnsi="Arial" w:cs="Arial"/>
                <w:sz w:val="18"/>
                <w:szCs w:val="18"/>
              </w:rPr>
              <w:t> </w:t>
            </w:r>
            <w:r w:rsidRPr="00DE1F61">
              <w:rPr>
                <w:rFonts w:ascii="Arial" w:hAnsi="Arial" w:cs="Arial"/>
                <w:sz w:val="18"/>
                <w:szCs w:val="18"/>
              </w:rPr>
              <w:t>653</w:t>
            </w:r>
          </w:p>
        </w:tc>
        <w:tc>
          <w:tcPr>
            <w:tcW w:w="577" w:type="pct"/>
            <w:noWrap/>
            <w:vAlign w:val="center"/>
            <w:hideMark/>
          </w:tcPr>
          <w:p w14:paraId="3D36B12D" w14:textId="3564AAED" w:rsidR="00C23186" w:rsidRPr="00DE1F61" w:rsidRDefault="00C23186" w:rsidP="00DE1F6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F61">
              <w:rPr>
                <w:rFonts w:ascii="Arial" w:hAnsi="Arial" w:cs="Arial"/>
                <w:sz w:val="18"/>
                <w:szCs w:val="18"/>
              </w:rPr>
              <w:t>1</w:t>
            </w:r>
            <w:r w:rsidR="00890B49" w:rsidRPr="00890B49">
              <w:rPr>
                <w:rFonts w:ascii="Arial" w:hAnsi="Arial" w:cs="Arial"/>
                <w:sz w:val="18"/>
                <w:szCs w:val="18"/>
              </w:rPr>
              <w:t> </w:t>
            </w:r>
            <w:r w:rsidRPr="00DE1F61">
              <w:rPr>
                <w:rFonts w:ascii="Arial" w:hAnsi="Arial" w:cs="Arial"/>
                <w:sz w:val="18"/>
                <w:szCs w:val="18"/>
              </w:rPr>
              <w:t>500</w:t>
            </w:r>
          </w:p>
        </w:tc>
      </w:tr>
      <w:tr w:rsidR="00890B49" w:rsidRPr="00890B49" w14:paraId="62E74EF0" w14:textId="77777777" w:rsidTr="00DE1F61">
        <w:trPr>
          <w:cnfStyle w:val="000000100000" w:firstRow="0" w:lastRow="0" w:firstColumn="0" w:lastColumn="0" w:oddVBand="0" w:evenVBand="0" w:oddHBand="1" w:evenHBand="0" w:firstRowFirstColumn="0" w:firstRowLastColumn="0" w:lastRowFirstColumn="0" w:lastRowLastColumn="0"/>
          <w:trHeight w:val="600"/>
          <w:jc w:val="right"/>
        </w:trPr>
        <w:tc>
          <w:tcPr>
            <w:cnfStyle w:val="001000000000" w:firstRow="0" w:lastRow="0" w:firstColumn="1" w:lastColumn="0" w:oddVBand="0" w:evenVBand="0" w:oddHBand="0" w:evenHBand="0" w:firstRowFirstColumn="0" w:firstRowLastColumn="0" w:lastRowFirstColumn="0" w:lastRowLastColumn="0"/>
            <w:tcW w:w="1540" w:type="pct"/>
            <w:vAlign w:val="center"/>
            <w:hideMark/>
          </w:tcPr>
          <w:p w14:paraId="5A51A93F" w14:textId="77777777" w:rsidR="00C23186" w:rsidRPr="00DE1F61" w:rsidRDefault="00C23186" w:rsidP="00890B49">
            <w:pPr>
              <w:rPr>
                <w:rFonts w:ascii="Arial" w:hAnsi="Arial" w:cs="Arial"/>
                <w:sz w:val="18"/>
                <w:szCs w:val="18"/>
              </w:rPr>
            </w:pPr>
            <w:r w:rsidRPr="00DE1F61">
              <w:rPr>
                <w:rFonts w:ascii="Arial" w:hAnsi="Arial" w:cs="Arial"/>
                <w:sz w:val="18"/>
                <w:szCs w:val="18"/>
              </w:rPr>
              <w:t>R1.2/OS3 : Les stratégies de communication cohérentes et multisectorielles assurant un support politique, des changements sociaux et de comportements favorisent une meilleure nutrition</w:t>
            </w:r>
          </w:p>
        </w:tc>
        <w:tc>
          <w:tcPr>
            <w:tcW w:w="564" w:type="pct"/>
            <w:noWrap/>
            <w:vAlign w:val="center"/>
            <w:hideMark/>
          </w:tcPr>
          <w:p w14:paraId="09D6AE88" w14:textId="71FE1B5D"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1</w:t>
            </w:r>
            <w:r w:rsidR="00890B49" w:rsidRPr="00890B49">
              <w:rPr>
                <w:rFonts w:ascii="Arial" w:hAnsi="Arial" w:cs="Arial"/>
                <w:sz w:val="18"/>
                <w:szCs w:val="18"/>
              </w:rPr>
              <w:t> </w:t>
            </w:r>
            <w:r w:rsidRPr="00DE1F61">
              <w:rPr>
                <w:rFonts w:ascii="Arial" w:hAnsi="Arial" w:cs="Arial"/>
                <w:sz w:val="18"/>
                <w:szCs w:val="18"/>
              </w:rPr>
              <w:t>250</w:t>
            </w:r>
          </w:p>
        </w:tc>
        <w:tc>
          <w:tcPr>
            <w:tcW w:w="581" w:type="pct"/>
            <w:noWrap/>
            <w:vAlign w:val="center"/>
            <w:hideMark/>
          </w:tcPr>
          <w:p w14:paraId="0BF24651"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250</w:t>
            </w:r>
          </w:p>
        </w:tc>
        <w:tc>
          <w:tcPr>
            <w:tcW w:w="581" w:type="pct"/>
            <w:noWrap/>
            <w:vAlign w:val="center"/>
            <w:hideMark/>
          </w:tcPr>
          <w:p w14:paraId="688039A9"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250</w:t>
            </w:r>
          </w:p>
        </w:tc>
        <w:tc>
          <w:tcPr>
            <w:tcW w:w="579" w:type="pct"/>
            <w:noWrap/>
            <w:vAlign w:val="center"/>
            <w:hideMark/>
          </w:tcPr>
          <w:p w14:paraId="1A30F6FE"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250</w:t>
            </w:r>
          </w:p>
        </w:tc>
        <w:tc>
          <w:tcPr>
            <w:tcW w:w="577" w:type="pct"/>
            <w:noWrap/>
            <w:vAlign w:val="center"/>
            <w:hideMark/>
          </w:tcPr>
          <w:p w14:paraId="638025A5"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250</w:t>
            </w:r>
          </w:p>
        </w:tc>
        <w:tc>
          <w:tcPr>
            <w:tcW w:w="577" w:type="pct"/>
            <w:noWrap/>
            <w:vAlign w:val="center"/>
            <w:hideMark/>
          </w:tcPr>
          <w:p w14:paraId="46310DB2" w14:textId="77777777" w:rsidR="00C23186" w:rsidRPr="00DE1F61" w:rsidRDefault="00C23186" w:rsidP="00DE1F6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E1F61">
              <w:rPr>
                <w:rFonts w:ascii="Arial" w:hAnsi="Arial" w:cs="Arial"/>
                <w:sz w:val="18"/>
                <w:szCs w:val="18"/>
              </w:rPr>
              <w:t>250</w:t>
            </w:r>
          </w:p>
        </w:tc>
      </w:tr>
      <w:tr w:rsidR="00890B49" w:rsidRPr="00890B49" w14:paraId="0FF4C71D" w14:textId="77777777" w:rsidTr="00DE1F61">
        <w:trPr>
          <w:trHeight w:val="600"/>
          <w:jc w:val="right"/>
        </w:trPr>
        <w:tc>
          <w:tcPr>
            <w:cnfStyle w:val="001000000000" w:firstRow="0" w:lastRow="0" w:firstColumn="1" w:lastColumn="0" w:oddVBand="0" w:evenVBand="0" w:oddHBand="0" w:evenHBand="0" w:firstRowFirstColumn="0" w:firstRowLastColumn="0" w:lastRowFirstColumn="0" w:lastRowLastColumn="0"/>
            <w:tcW w:w="1540" w:type="pct"/>
            <w:vAlign w:val="center"/>
          </w:tcPr>
          <w:p w14:paraId="5ECC2EE4" w14:textId="77777777" w:rsidR="00C23186" w:rsidRPr="00DE1F61" w:rsidRDefault="00C23186" w:rsidP="00890B49">
            <w:pPr>
              <w:rPr>
                <w:rFonts w:ascii="Arial" w:hAnsi="Arial" w:cs="Arial"/>
                <w:bCs w:val="0"/>
                <w:sz w:val="18"/>
                <w:szCs w:val="18"/>
              </w:rPr>
            </w:pPr>
            <w:r w:rsidRPr="00DE1F61">
              <w:rPr>
                <w:rFonts w:ascii="Arial" w:hAnsi="Arial" w:cs="Arial"/>
                <w:sz w:val="18"/>
                <w:szCs w:val="18"/>
              </w:rPr>
              <w:t>Total</w:t>
            </w:r>
          </w:p>
        </w:tc>
        <w:tc>
          <w:tcPr>
            <w:tcW w:w="564" w:type="pct"/>
            <w:noWrap/>
            <w:vAlign w:val="center"/>
          </w:tcPr>
          <w:p w14:paraId="5A2FDBA2" w14:textId="3C6CB3C0" w:rsidR="00C23186" w:rsidRPr="00DE1F61" w:rsidRDefault="00812929"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E1F61">
              <w:rPr>
                <w:rFonts w:ascii="Arial" w:hAnsi="Arial" w:cs="Arial"/>
                <w:b/>
                <w:sz w:val="18"/>
                <w:szCs w:val="18"/>
              </w:rPr>
              <w:t>36</w:t>
            </w:r>
            <w:r w:rsidR="00890B49" w:rsidRPr="00DE1F61">
              <w:rPr>
                <w:rFonts w:ascii="Arial" w:hAnsi="Arial" w:cs="Arial"/>
                <w:b/>
                <w:sz w:val="18"/>
                <w:szCs w:val="18"/>
              </w:rPr>
              <w:t> </w:t>
            </w:r>
            <w:r w:rsidRPr="00DE1F61">
              <w:rPr>
                <w:rFonts w:ascii="Arial" w:hAnsi="Arial" w:cs="Arial"/>
                <w:b/>
                <w:sz w:val="18"/>
                <w:szCs w:val="18"/>
              </w:rPr>
              <w:t>550</w:t>
            </w:r>
          </w:p>
        </w:tc>
        <w:tc>
          <w:tcPr>
            <w:tcW w:w="581" w:type="pct"/>
            <w:noWrap/>
            <w:vAlign w:val="center"/>
          </w:tcPr>
          <w:p w14:paraId="7909CAE3" w14:textId="3138950F" w:rsidR="00C23186" w:rsidRPr="00DE1F61" w:rsidRDefault="00812929"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E1F61">
              <w:rPr>
                <w:rFonts w:ascii="Arial" w:hAnsi="Arial" w:cs="Arial"/>
                <w:b/>
                <w:sz w:val="18"/>
                <w:szCs w:val="18"/>
              </w:rPr>
              <w:t>1</w:t>
            </w:r>
            <w:r w:rsidR="00890B49" w:rsidRPr="00DE1F61">
              <w:rPr>
                <w:rFonts w:ascii="Arial" w:hAnsi="Arial" w:cs="Arial"/>
                <w:b/>
                <w:sz w:val="18"/>
                <w:szCs w:val="18"/>
              </w:rPr>
              <w:t> </w:t>
            </w:r>
            <w:r w:rsidRPr="00DE1F61">
              <w:rPr>
                <w:rFonts w:ascii="Arial" w:hAnsi="Arial" w:cs="Arial"/>
                <w:b/>
                <w:sz w:val="18"/>
                <w:szCs w:val="18"/>
              </w:rPr>
              <w:t>500</w:t>
            </w:r>
          </w:p>
        </w:tc>
        <w:tc>
          <w:tcPr>
            <w:tcW w:w="581" w:type="pct"/>
            <w:noWrap/>
            <w:vAlign w:val="center"/>
          </w:tcPr>
          <w:p w14:paraId="07B95C08" w14:textId="62BB1ECA" w:rsidR="00C23186" w:rsidRPr="00DE1F61" w:rsidRDefault="00812929"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E1F61">
              <w:rPr>
                <w:rFonts w:ascii="Arial" w:hAnsi="Arial" w:cs="Arial"/>
                <w:b/>
                <w:sz w:val="18"/>
                <w:szCs w:val="18"/>
              </w:rPr>
              <w:t>5</w:t>
            </w:r>
            <w:r w:rsidR="00890B49" w:rsidRPr="00DE1F61">
              <w:rPr>
                <w:rFonts w:ascii="Arial" w:hAnsi="Arial" w:cs="Arial"/>
                <w:b/>
                <w:sz w:val="18"/>
                <w:szCs w:val="18"/>
              </w:rPr>
              <w:t> </w:t>
            </w:r>
            <w:r w:rsidRPr="00DE1F61">
              <w:rPr>
                <w:rFonts w:ascii="Arial" w:hAnsi="Arial" w:cs="Arial"/>
                <w:b/>
                <w:sz w:val="18"/>
                <w:szCs w:val="18"/>
              </w:rPr>
              <w:t>054</w:t>
            </w:r>
          </w:p>
        </w:tc>
        <w:tc>
          <w:tcPr>
            <w:tcW w:w="579" w:type="pct"/>
            <w:noWrap/>
            <w:vAlign w:val="center"/>
          </w:tcPr>
          <w:p w14:paraId="6D0C523B" w14:textId="3F990A05" w:rsidR="00C23186" w:rsidRPr="00DE1F61" w:rsidRDefault="00812929"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E1F61">
              <w:rPr>
                <w:rFonts w:ascii="Arial" w:hAnsi="Arial" w:cs="Arial"/>
                <w:b/>
                <w:sz w:val="18"/>
                <w:szCs w:val="18"/>
              </w:rPr>
              <w:t>10</w:t>
            </w:r>
            <w:r w:rsidR="00890B49" w:rsidRPr="00DE1F61">
              <w:rPr>
                <w:rFonts w:ascii="Arial" w:hAnsi="Arial" w:cs="Arial"/>
                <w:b/>
                <w:sz w:val="18"/>
                <w:szCs w:val="18"/>
              </w:rPr>
              <w:t> </w:t>
            </w:r>
            <w:r w:rsidRPr="00DE1F61">
              <w:rPr>
                <w:rFonts w:ascii="Arial" w:hAnsi="Arial" w:cs="Arial"/>
                <w:b/>
                <w:sz w:val="18"/>
                <w:szCs w:val="18"/>
              </w:rPr>
              <w:t>690</w:t>
            </w:r>
          </w:p>
        </w:tc>
        <w:tc>
          <w:tcPr>
            <w:tcW w:w="577" w:type="pct"/>
            <w:noWrap/>
            <w:vAlign w:val="center"/>
          </w:tcPr>
          <w:p w14:paraId="0CBB8B89" w14:textId="6D222519" w:rsidR="00C23186" w:rsidRPr="00DE1F61" w:rsidRDefault="00812929"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E1F61">
              <w:rPr>
                <w:rFonts w:ascii="Arial" w:hAnsi="Arial" w:cs="Arial"/>
                <w:b/>
                <w:sz w:val="18"/>
                <w:szCs w:val="18"/>
              </w:rPr>
              <w:t>15</w:t>
            </w:r>
            <w:r w:rsidR="00890B49" w:rsidRPr="00DE1F61">
              <w:rPr>
                <w:rFonts w:ascii="Arial" w:hAnsi="Arial" w:cs="Arial"/>
                <w:b/>
                <w:sz w:val="18"/>
                <w:szCs w:val="18"/>
              </w:rPr>
              <w:t> </w:t>
            </w:r>
            <w:r w:rsidRPr="00DE1F61">
              <w:rPr>
                <w:rFonts w:ascii="Arial" w:hAnsi="Arial" w:cs="Arial"/>
                <w:b/>
                <w:sz w:val="18"/>
                <w:szCs w:val="18"/>
              </w:rPr>
              <w:t>806</w:t>
            </w:r>
          </w:p>
        </w:tc>
        <w:tc>
          <w:tcPr>
            <w:tcW w:w="577" w:type="pct"/>
            <w:noWrap/>
            <w:vAlign w:val="center"/>
          </w:tcPr>
          <w:p w14:paraId="11E4C20A" w14:textId="51F634A1" w:rsidR="00C23186" w:rsidRPr="00DE1F61" w:rsidRDefault="00812929" w:rsidP="00DE1F6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E1F61">
              <w:rPr>
                <w:rFonts w:ascii="Arial" w:hAnsi="Arial" w:cs="Arial"/>
                <w:b/>
                <w:sz w:val="18"/>
                <w:szCs w:val="18"/>
              </w:rPr>
              <w:t>3</w:t>
            </w:r>
            <w:r w:rsidR="00890B49" w:rsidRPr="00DE1F61">
              <w:rPr>
                <w:rFonts w:ascii="Arial" w:hAnsi="Arial" w:cs="Arial"/>
                <w:b/>
                <w:sz w:val="18"/>
                <w:szCs w:val="18"/>
              </w:rPr>
              <w:t> </w:t>
            </w:r>
            <w:r w:rsidRPr="00DE1F61">
              <w:rPr>
                <w:rFonts w:ascii="Arial" w:hAnsi="Arial" w:cs="Arial"/>
                <w:b/>
                <w:sz w:val="18"/>
                <w:szCs w:val="18"/>
              </w:rPr>
              <w:t>500</w:t>
            </w:r>
          </w:p>
        </w:tc>
      </w:tr>
    </w:tbl>
    <w:p w14:paraId="3C874FF8" w14:textId="52264487" w:rsidR="00C23186" w:rsidRPr="00DE1F61" w:rsidRDefault="00881E06" w:rsidP="00DE1F61">
      <w:pPr>
        <w:pStyle w:val="ParagrapheRapportPNIN"/>
      </w:pPr>
      <w:r w:rsidRPr="00890B49">
        <w:t>Tous les 8 engagements de la PNSN sont mentionnés dans le plan d’action 2016-2020 mais seul</w:t>
      </w:r>
      <w:r w:rsidR="00890B49" w:rsidRPr="004F5A11">
        <w:t>e</w:t>
      </w:r>
      <w:r w:rsidRPr="004F5A11">
        <w:t xml:space="preserve"> </w:t>
      </w:r>
      <w:r w:rsidRPr="00F42C6B">
        <w:t xml:space="preserve">l’estimation des coûts des engagements 1 et 8 de la PNSN sous la responsabilité du HC3N </w:t>
      </w:r>
      <w:r w:rsidR="007E426D" w:rsidRPr="00007766">
        <w:t xml:space="preserve">sont </w:t>
      </w:r>
      <w:r w:rsidR="00574FE9" w:rsidRPr="00007766">
        <w:t>pris en compte dans l’Objectif Spécifique</w:t>
      </w:r>
      <w:r w:rsidR="00890B49" w:rsidRPr="00007766">
        <w:t> </w:t>
      </w:r>
      <w:r w:rsidR="00574FE9" w:rsidRPr="00540DAE">
        <w:t>3 (OS</w:t>
      </w:r>
      <w:r w:rsidR="00890B49" w:rsidRPr="00540DAE">
        <w:t> </w:t>
      </w:r>
      <w:r w:rsidR="00574FE9" w:rsidRPr="00504670">
        <w:t xml:space="preserve">3) du </w:t>
      </w:r>
      <w:r w:rsidRPr="0093089E">
        <w:t>PS</w:t>
      </w:r>
      <w:r w:rsidR="00890B49" w:rsidRPr="00F6247C">
        <w:t> </w:t>
      </w:r>
      <w:r w:rsidRPr="00F6247C">
        <w:t>11</w:t>
      </w:r>
      <w:r w:rsidR="007E426D" w:rsidRPr="00F6247C">
        <w:t xml:space="preserve">. </w:t>
      </w:r>
    </w:p>
    <w:p w14:paraId="43B73382" w14:textId="1A00B71A" w:rsidR="007E426D" w:rsidRPr="00DE1F61" w:rsidRDefault="007E426D" w:rsidP="00DE1F61">
      <w:pPr>
        <w:pStyle w:val="ParagrapheRapportPNIN"/>
      </w:pPr>
      <w:r w:rsidRPr="00DE1F61">
        <w:t>Les couts</w:t>
      </w:r>
      <w:r w:rsidR="00881E06" w:rsidRPr="00DE1F61">
        <w:t xml:space="preserve"> de ces deux engagements </w:t>
      </w:r>
      <w:r w:rsidR="00881E06" w:rsidRPr="00890B49">
        <w:rPr>
          <w:b/>
        </w:rPr>
        <w:t xml:space="preserve">est </w:t>
      </w:r>
      <w:r w:rsidRPr="00890B49">
        <w:rPr>
          <w:b/>
        </w:rPr>
        <w:t>18</w:t>
      </w:r>
      <w:r w:rsidR="00890B49" w:rsidRPr="00890B49">
        <w:rPr>
          <w:b/>
        </w:rPr>
        <w:t> </w:t>
      </w:r>
      <w:r w:rsidRPr="00890B49">
        <w:rPr>
          <w:b/>
        </w:rPr>
        <w:t>275</w:t>
      </w:r>
      <w:r w:rsidR="00890B49" w:rsidRPr="00890B49">
        <w:rPr>
          <w:b/>
        </w:rPr>
        <w:t> </w:t>
      </w:r>
      <w:r w:rsidRPr="00890B49">
        <w:rPr>
          <w:b/>
        </w:rPr>
        <w:t>millions</w:t>
      </w:r>
      <w:r w:rsidR="00890B49" w:rsidRPr="00890B49">
        <w:rPr>
          <w:b/>
        </w:rPr>
        <w:t> </w:t>
      </w:r>
      <w:r w:rsidR="00881E06" w:rsidRPr="00890B49">
        <w:rPr>
          <w:b/>
        </w:rPr>
        <w:t>F</w:t>
      </w:r>
      <w:r w:rsidR="00890B49" w:rsidRPr="00890B49">
        <w:rPr>
          <w:b/>
        </w:rPr>
        <w:t> </w:t>
      </w:r>
      <w:r w:rsidR="00881E06" w:rsidRPr="004F5A11">
        <w:rPr>
          <w:b/>
        </w:rPr>
        <w:t>CFA et</w:t>
      </w:r>
      <w:r w:rsidRPr="004F5A11">
        <w:rPr>
          <w:b/>
        </w:rPr>
        <w:t xml:space="preserve"> sont cependant diff</w:t>
      </w:r>
      <w:r w:rsidRPr="00F42C6B">
        <w:rPr>
          <w:b/>
        </w:rPr>
        <w:t>érents de ceux du plan d’action 2017-2019 de la PNSN (</w:t>
      </w:r>
      <w:r w:rsidRPr="00DE1F61">
        <w:rPr>
          <w:b/>
        </w:rPr>
        <w:t>21</w:t>
      </w:r>
      <w:r w:rsidR="00890B49" w:rsidRPr="00DE1F61">
        <w:rPr>
          <w:b/>
        </w:rPr>
        <w:t> </w:t>
      </w:r>
      <w:r w:rsidRPr="00DE1F61">
        <w:rPr>
          <w:b/>
        </w:rPr>
        <w:t xml:space="preserve">208 </w:t>
      </w:r>
      <w:r w:rsidRPr="00890B49">
        <w:rPr>
          <w:b/>
        </w:rPr>
        <w:t>millions</w:t>
      </w:r>
      <w:r w:rsidR="00890B49" w:rsidRPr="00890B49">
        <w:rPr>
          <w:b/>
        </w:rPr>
        <w:t> </w:t>
      </w:r>
      <w:r w:rsidRPr="00890B49">
        <w:rPr>
          <w:b/>
        </w:rPr>
        <w:t>F</w:t>
      </w:r>
      <w:r w:rsidR="00890B49" w:rsidRPr="00890B49">
        <w:rPr>
          <w:b/>
        </w:rPr>
        <w:t> </w:t>
      </w:r>
      <w:r w:rsidRPr="00890B49">
        <w:rPr>
          <w:b/>
        </w:rPr>
        <w:t>CFA).</w:t>
      </w:r>
      <w:r w:rsidRPr="00DE1F61">
        <w:t xml:space="preserve"> </w:t>
      </w:r>
      <w:r w:rsidRPr="00890B49">
        <w:t>Cette différence pourrait s’expliquer par la finalisation du plan d’action</w:t>
      </w:r>
      <w:r w:rsidR="00890B49">
        <w:t>s</w:t>
      </w:r>
      <w:r w:rsidRPr="00890B49">
        <w:t xml:space="preserve"> du HC3N avant la fin de la budgétisation du plan d’action de la PNSN.</w:t>
      </w:r>
    </w:p>
    <w:p w14:paraId="39A57876" w14:textId="711A5968" w:rsidR="007E426D" w:rsidRPr="00780F34" w:rsidRDefault="003C47C2" w:rsidP="00EC23BF">
      <w:pPr>
        <w:pStyle w:val="Titre4PNIN"/>
      </w:pPr>
      <w:bookmarkStart w:id="33" w:name="_Toc528222334"/>
      <w:r>
        <w:t>3.1.4.</w:t>
      </w:r>
      <w:r w:rsidR="00890B49">
        <w:t xml:space="preserve"> </w:t>
      </w:r>
      <w:r w:rsidR="007B2B6F" w:rsidRPr="00780F34">
        <w:t>La Politique Nationale de Sécurité N</w:t>
      </w:r>
      <w:r w:rsidR="007E426D" w:rsidRPr="00780F34">
        <w:t>utritionnelle</w:t>
      </w:r>
      <w:r w:rsidR="007B2B6F" w:rsidRPr="00780F34">
        <w:t xml:space="preserve"> (PNSN)</w:t>
      </w:r>
      <w:r w:rsidR="007E426D" w:rsidRPr="00780F34">
        <w:t xml:space="preserve"> 2016-2025 et son plan d’action 2017-2019</w:t>
      </w:r>
      <w:bookmarkEnd w:id="33"/>
    </w:p>
    <w:p w14:paraId="72AD6904" w14:textId="2F9CD8DE" w:rsidR="00BB02DA" w:rsidRPr="007E426D" w:rsidRDefault="007B2B6F" w:rsidP="00DE1F61">
      <w:pPr>
        <w:pStyle w:val="ParagrapheRapportPNIN"/>
      </w:pPr>
      <w:r>
        <w:t xml:space="preserve">La Politique Nationale de </w:t>
      </w:r>
      <w:r w:rsidR="00890B49">
        <w:t>S</w:t>
      </w:r>
      <w:r>
        <w:t>écurité Nutritionnelle</w:t>
      </w:r>
      <w:r w:rsidR="00890B49">
        <w:t xml:space="preserve"> (PNSN)</w:t>
      </w:r>
      <w:r>
        <w:t xml:space="preserve"> 2016-2025 est la première politique nationale de nutrition multisectorielle </w:t>
      </w:r>
      <w:r w:rsidR="00890B49">
        <w:t>a</w:t>
      </w:r>
      <w:r>
        <w:t xml:space="preserve">u Niger. </w:t>
      </w:r>
      <w:r w:rsidR="00890B49">
        <w:t xml:space="preserve">Cette politique </w:t>
      </w:r>
      <w:r w:rsidR="00250BBF">
        <w:t xml:space="preserve">exprime l'engagement pris par le Gouvernement de la République du Niger et vise à éliminer toutes les formes de malnutrition </w:t>
      </w:r>
      <w:r w:rsidR="00890B49">
        <w:t xml:space="preserve">à </w:t>
      </w:r>
      <w:r w:rsidR="00250BBF">
        <w:t>travers une large mobilisation multisectorielle de ressources institutionnelles, humaines, et financières</w:t>
      </w:r>
      <w:r w:rsidR="00250BBF">
        <w:rPr>
          <w:rStyle w:val="Appelnotedebasdep"/>
        </w:rPr>
        <w:footnoteReference w:id="37"/>
      </w:r>
      <w:r w:rsidR="00250BBF">
        <w:t>.</w:t>
      </w:r>
    </w:p>
    <w:p w14:paraId="5B81A477" w14:textId="2F388435" w:rsidR="00BB02DA" w:rsidRPr="007B2B6F" w:rsidRDefault="00BB02DA" w:rsidP="00DE1F61">
      <w:pPr>
        <w:pStyle w:val="ParagrapheRapportPNIN"/>
        <w:rPr>
          <w:b/>
        </w:rPr>
      </w:pPr>
      <w:r w:rsidRPr="00A3547A">
        <w:rPr>
          <w:b/>
        </w:rPr>
        <w:t>Prise en compte de la nutrition dans l’analyse situationnelle</w:t>
      </w:r>
    </w:p>
    <w:p w14:paraId="6E3804BC" w14:textId="2634AAA4" w:rsidR="00F811DE" w:rsidRDefault="00BB02DA" w:rsidP="00DE1F61">
      <w:pPr>
        <w:pStyle w:val="ParagrapheRapportPNIN"/>
      </w:pPr>
      <w:r>
        <w:t>L’analyse situationnelle de la PNSN met en exergue les dimensions multisectorielles de la nutrition et fait une analyse des déterminants de la malnutrition au Niger.</w:t>
      </w:r>
      <w:r w:rsidR="00F811DE">
        <w:t xml:space="preserve"> </w:t>
      </w:r>
      <w:r w:rsidR="00890B49">
        <w:t>L’analyse situationnelle</w:t>
      </w:r>
      <w:r w:rsidR="00890B49" w:rsidRPr="007E426D">
        <w:t xml:space="preserve"> </w:t>
      </w:r>
      <w:r w:rsidR="007E426D" w:rsidRPr="007E426D">
        <w:t xml:space="preserve">propose une approche multisectorielle découlant du cadre </w:t>
      </w:r>
      <w:r w:rsidR="007E426D" w:rsidRPr="007E426D">
        <w:lastRenderedPageBreak/>
        <w:t xml:space="preserve">conceptuel de la malnutrition (UNICEF) et du Cadre conceptuel d’optimisation des actions de nutrition diffusé par le Lancet en 2013. </w:t>
      </w:r>
    </w:p>
    <w:p w14:paraId="71C39756" w14:textId="77777777" w:rsidR="001D2292" w:rsidRDefault="001D2292" w:rsidP="00DE1F61">
      <w:pPr>
        <w:pStyle w:val="ParagrapheRapportPNIN"/>
        <w:rPr>
          <w:b/>
        </w:rPr>
      </w:pPr>
      <w:r w:rsidRPr="005C5F81">
        <w:rPr>
          <w:b/>
        </w:rPr>
        <w:t>Prise en compte de la nutrition dans les objectifs</w:t>
      </w:r>
    </w:p>
    <w:p w14:paraId="2CE2318F" w14:textId="27C14D8F" w:rsidR="001D2292" w:rsidRPr="001D2292" w:rsidRDefault="001D2292" w:rsidP="00DE1F61">
      <w:pPr>
        <w:pStyle w:val="ParagrapheRapportPNIN"/>
      </w:pPr>
      <w:r w:rsidRPr="001D2292">
        <w:t xml:space="preserve">La </w:t>
      </w:r>
      <w:r w:rsidR="004F5A11">
        <w:t>PNSN</w:t>
      </w:r>
      <w:r w:rsidRPr="001D2292">
        <w:t>, qui exprime l'engagement pris par le</w:t>
      </w:r>
      <w:r>
        <w:t xml:space="preserve"> </w:t>
      </w:r>
      <w:r w:rsidRPr="001D2292">
        <w:t xml:space="preserve">Gouvernement de la République du Niger, vise à éliminer toutes les formes de malnutrition </w:t>
      </w:r>
      <w:r w:rsidR="004F5A11">
        <w:t xml:space="preserve">à </w:t>
      </w:r>
      <w:r w:rsidRPr="001D2292">
        <w:t>travers une large mobilisation multisectorielle de</w:t>
      </w:r>
      <w:r w:rsidR="004F5A11">
        <w:t>s</w:t>
      </w:r>
      <w:r w:rsidRPr="001D2292">
        <w:t xml:space="preserve"> ressources institutionnelles, humaines, et</w:t>
      </w:r>
      <w:r>
        <w:t xml:space="preserve"> </w:t>
      </w:r>
      <w:r w:rsidRPr="001D2292">
        <w:t>financières</w:t>
      </w:r>
      <w:r>
        <w:t>.</w:t>
      </w:r>
    </w:p>
    <w:p w14:paraId="56EBA6B1" w14:textId="77777777" w:rsidR="00F811DE" w:rsidRDefault="00F811DE" w:rsidP="00DE1F61">
      <w:pPr>
        <w:pStyle w:val="ParagrapheRapportPNIN"/>
        <w:rPr>
          <w:b/>
        </w:rPr>
      </w:pPr>
      <w:r w:rsidRPr="00D06D24">
        <w:rPr>
          <w:b/>
        </w:rPr>
        <w:t>Identification des axes stratégiques/actions/interventions en lien avec la nutrition</w:t>
      </w:r>
    </w:p>
    <w:p w14:paraId="7FE83281" w14:textId="6E74639D" w:rsidR="007E426D" w:rsidRPr="007E426D" w:rsidRDefault="00E81472" w:rsidP="00DE1F61">
      <w:pPr>
        <w:pStyle w:val="ParagrapheRapportPNIN"/>
      </w:pPr>
      <w:r>
        <w:t xml:space="preserve">Le </w:t>
      </w:r>
      <w:r w:rsidR="004F5A11">
        <w:t>P</w:t>
      </w:r>
      <w:r>
        <w:t>lan d’</w:t>
      </w:r>
      <w:r w:rsidR="004F5A11">
        <w:t>A</w:t>
      </w:r>
      <w:r>
        <w:t>ction 2017-2019 de la PNSN</w:t>
      </w:r>
      <w:r w:rsidR="00D20118">
        <w:t xml:space="preserve"> (PA PN</w:t>
      </w:r>
      <w:r w:rsidR="004F5A11">
        <w:t>S</w:t>
      </w:r>
      <w:r w:rsidR="00D20118">
        <w:t>N)</w:t>
      </w:r>
      <w:r>
        <w:t xml:space="preserve"> opérationnalise</w:t>
      </w:r>
      <w:r w:rsidR="00D20118">
        <w:t xml:space="preserve"> la PNSN à travers des résultats, des résultats intermédiaires et de</w:t>
      </w:r>
      <w:r w:rsidR="00364C31">
        <w:t xml:space="preserve">s activités définis </w:t>
      </w:r>
      <w:r w:rsidR="00D20118">
        <w:t>avec les secteurs suite à un long processus participatif.</w:t>
      </w:r>
      <w:r w:rsidR="00F07BA9">
        <w:t xml:space="preserve"> </w:t>
      </w:r>
      <w:r w:rsidR="00D20118">
        <w:t>Dans le</w:t>
      </w:r>
      <w:r w:rsidR="00F07BA9">
        <w:t xml:space="preserve"> PA PNSN, c</w:t>
      </w:r>
      <w:r w:rsidR="007E426D" w:rsidRPr="007E426D">
        <w:t xml:space="preserve">hacun des huit engagements inscrits à la PNSN est traduit en un plan d’action. Ces huit plans d’action articulés répondent à </w:t>
      </w:r>
    </w:p>
    <w:p w14:paraId="6CB0A962" w14:textId="44EBFB65" w:rsidR="007E426D" w:rsidRPr="00B215C3" w:rsidRDefault="007E426D" w:rsidP="00B215C3">
      <w:pPr>
        <w:pStyle w:val="TitreillustrationPNIN"/>
        <w:rPr>
          <w:b w:val="0"/>
          <w:bCs w:val="0"/>
        </w:rPr>
      </w:pPr>
      <w:bookmarkStart w:id="34" w:name="_Toc528222372"/>
      <w:r w:rsidRPr="00F42C6B">
        <w:t xml:space="preserve">Tableau </w:t>
      </w:r>
      <w:r w:rsidR="00B23782">
        <w:fldChar w:fldCharType="begin"/>
      </w:r>
      <w:r w:rsidR="00B23782">
        <w:instrText xml:space="preserve"> SEQ Tableau \* ARABIC </w:instrText>
      </w:r>
      <w:r w:rsidR="00B23782">
        <w:fldChar w:fldCharType="separate"/>
      </w:r>
      <w:r w:rsidR="00540DAE">
        <w:rPr>
          <w:noProof/>
        </w:rPr>
        <w:t>4</w:t>
      </w:r>
      <w:r w:rsidR="00B23782">
        <w:rPr>
          <w:noProof/>
        </w:rPr>
        <w:fldChar w:fldCharType="end"/>
      </w:r>
      <w:r w:rsidR="004F5A11" w:rsidRPr="00B215C3">
        <w:t> </w:t>
      </w:r>
      <w:r w:rsidRPr="00B215C3">
        <w:t>: Ventilation des résultats et activités du PA de la PNSN 2017-2019</w:t>
      </w:r>
      <w:bookmarkEnd w:id="34"/>
    </w:p>
    <w:tbl>
      <w:tblPr>
        <w:tblStyle w:val="TableauGrille4-Accentuation1"/>
        <w:tblW w:w="0" w:type="auto"/>
        <w:jc w:val="right"/>
        <w:tblLook w:val="04A0" w:firstRow="1" w:lastRow="0" w:firstColumn="1" w:lastColumn="0" w:noHBand="0" w:noVBand="1"/>
      </w:tblPr>
      <w:tblGrid>
        <w:gridCol w:w="2547"/>
        <w:gridCol w:w="1560"/>
        <w:gridCol w:w="1700"/>
        <w:gridCol w:w="1559"/>
      </w:tblGrid>
      <w:tr w:rsidR="007E426D" w:rsidRPr="004F5A11" w14:paraId="438F1FEC" w14:textId="77777777" w:rsidTr="00B215C3">
        <w:trPr>
          <w:cnfStyle w:val="100000000000" w:firstRow="1" w:lastRow="0" w:firstColumn="0" w:lastColumn="0" w:oddVBand="0" w:evenVBand="0" w:oddHBand="0"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05F0631" w14:textId="30FF452D" w:rsidR="007E426D" w:rsidRPr="00B215C3" w:rsidRDefault="007E426D" w:rsidP="00B215C3">
            <w:pPr>
              <w:jc w:val="center"/>
              <w:rPr>
                <w:rFonts w:ascii="Arial" w:hAnsi="Arial" w:cs="Arial"/>
                <w:sz w:val="18"/>
              </w:rPr>
            </w:pPr>
            <w:r w:rsidRPr="00B215C3">
              <w:rPr>
                <w:rFonts w:ascii="Arial" w:hAnsi="Arial" w:cs="Arial"/>
                <w:sz w:val="18"/>
              </w:rPr>
              <w:t>Engagement</w:t>
            </w:r>
            <w:r w:rsidR="004F5A11">
              <w:rPr>
                <w:rFonts w:ascii="Arial" w:hAnsi="Arial" w:cs="Arial"/>
                <w:sz w:val="18"/>
              </w:rPr>
              <w:t>s</w:t>
            </w:r>
          </w:p>
        </w:tc>
        <w:tc>
          <w:tcPr>
            <w:tcW w:w="1560" w:type="dxa"/>
            <w:vAlign w:val="center"/>
          </w:tcPr>
          <w:p w14:paraId="687D6DB9" w14:textId="113A2412" w:rsidR="007E426D" w:rsidRPr="00B215C3" w:rsidRDefault="007E426D" w:rsidP="00B215C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B215C3">
              <w:rPr>
                <w:rFonts w:ascii="Arial" w:hAnsi="Arial" w:cs="Arial"/>
                <w:sz w:val="18"/>
              </w:rPr>
              <w:t>Nombre de résultat</w:t>
            </w:r>
            <w:r w:rsidR="004F5A11">
              <w:rPr>
                <w:rFonts w:ascii="Arial" w:hAnsi="Arial" w:cs="Arial"/>
                <w:sz w:val="18"/>
              </w:rPr>
              <w:t>s</w:t>
            </w:r>
          </w:p>
        </w:tc>
        <w:tc>
          <w:tcPr>
            <w:tcW w:w="1700" w:type="dxa"/>
            <w:vAlign w:val="center"/>
          </w:tcPr>
          <w:p w14:paraId="2EE74FF0" w14:textId="50D4DD49" w:rsidR="007E426D" w:rsidRPr="00B215C3" w:rsidRDefault="007E426D" w:rsidP="00B215C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B215C3">
              <w:rPr>
                <w:rFonts w:ascii="Arial" w:hAnsi="Arial" w:cs="Arial"/>
                <w:sz w:val="18"/>
              </w:rPr>
              <w:t>Nombre de résultat</w:t>
            </w:r>
            <w:r w:rsidR="004F5A11">
              <w:rPr>
                <w:rFonts w:ascii="Arial" w:hAnsi="Arial" w:cs="Arial"/>
                <w:sz w:val="18"/>
              </w:rPr>
              <w:t>s</w:t>
            </w:r>
            <w:r w:rsidRPr="00B215C3">
              <w:rPr>
                <w:rFonts w:ascii="Arial" w:hAnsi="Arial" w:cs="Arial"/>
                <w:sz w:val="18"/>
              </w:rPr>
              <w:t xml:space="preserve"> intermédiaire</w:t>
            </w:r>
            <w:r w:rsidR="004F5A11">
              <w:rPr>
                <w:rFonts w:ascii="Arial" w:hAnsi="Arial" w:cs="Arial"/>
                <w:sz w:val="18"/>
              </w:rPr>
              <w:t>s</w:t>
            </w:r>
          </w:p>
        </w:tc>
        <w:tc>
          <w:tcPr>
            <w:tcW w:w="1559" w:type="dxa"/>
            <w:vAlign w:val="center"/>
          </w:tcPr>
          <w:p w14:paraId="7AF27C15" w14:textId="39EFAE36" w:rsidR="007E426D" w:rsidRPr="00B215C3" w:rsidRDefault="007E426D" w:rsidP="00B215C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B215C3">
              <w:rPr>
                <w:rFonts w:ascii="Arial" w:hAnsi="Arial" w:cs="Arial"/>
                <w:sz w:val="18"/>
              </w:rPr>
              <w:t>Nombre d’activité</w:t>
            </w:r>
            <w:r w:rsidR="004F5A11">
              <w:rPr>
                <w:rFonts w:ascii="Arial" w:hAnsi="Arial" w:cs="Arial"/>
                <w:sz w:val="18"/>
              </w:rPr>
              <w:t>s</w:t>
            </w:r>
          </w:p>
        </w:tc>
      </w:tr>
      <w:tr w:rsidR="00AF1BF9" w:rsidRPr="004F5A11" w14:paraId="6DD5EC6D" w14:textId="77777777" w:rsidTr="00B215C3">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4C888F5" w14:textId="77777777" w:rsidR="00AF1BF9" w:rsidRPr="00B215C3" w:rsidRDefault="00AF1BF9" w:rsidP="00B215C3">
            <w:pPr>
              <w:rPr>
                <w:rFonts w:ascii="Arial" w:hAnsi="Arial" w:cs="Arial"/>
                <w:b w:val="0"/>
                <w:sz w:val="18"/>
              </w:rPr>
            </w:pPr>
            <w:r w:rsidRPr="00B215C3">
              <w:rPr>
                <w:rFonts w:ascii="Arial" w:hAnsi="Arial" w:cs="Arial"/>
                <w:sz w:val="18"/>
              </w:rPr>
              <w:t>Engagement 1</w:t>
            </w:r>
          </w:p>
        </w:tc>
        <w:tc>
          <w:tcPr>
            <w:tcW w:w="1560" w:type="dxa"/>
            <w:vAlign w:val="center"/>
          </w:tcPr>
          <w:p w14:paraId="7C3B123E"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6</w:t>
            </w:r>
          </w:p>
        </w:tc>
        <w:tc>
          <w:tcPr>
            <w:tcW w:w="1700" w:type="dxa"/>
            <w:vAlign w:val="center"/>
          </w:tcPr>
          <w:p w14:paraId="0137BC4E"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35</w:t>
            </w:r>
          </w:p>
        </w:tc>
        <w:tc>
          <w:tcPr>
            <w:tcW w:w="1559" w:type="dxa"/>
            <w:vAlign w:val="center"/>
          </w:tcPr>
          <w:p w14:paraId="523F9F7A"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40</w:t>
            </w:r>
          </w:p>
        </w:tc>
      </w:tr>
      <w:tr w:rsidR="00AF1BF9" w:rsidRPr="004F5A11" w14:paraId="30694958" w14:textId="77777777" w:rsidTr="00B215C3">
        <w:trPr>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2DC067C" w14:textId="77777777" w:rsidR="00AF1BF9" w:rsidRPr="00B215C3" w:rsidRDefault="00AF1BF9" w:rsidP="00B215C3">
            <w:pPr>
              <w:rPr>
                <w:rFonts w:ascii="Arial" w:hAnsi="Arial" w:cs="Arial"/>
                <w:b w:val="0"/>
                <w:sz w:val="18"/>
              </w:rPr>
            </w:pPr>
            <w:r w:rsidRPr="00B215C3">
              <w:rPr>
                <w:rFonts w:ascii="Arial" w:hAnsi="Arial" w:cs="Arial"/>
                <w:sz w:val="18"/>
              </w:rPr>
              <w:t>Engagement 2</w:t>
            </w:r>
          </w:p>
        </w:tc>
        <w:tc>
          <w:tcPr>
            <w:tcW w:w="1560" w:type="dxa"/>
            <w:vAlign w:val="center"/>
          </w:tcPr>
          <w:p w14:paraId="0DF1AAAD"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5</w:t>
            </w:r>
          </w:p>
        </w:tc>
        <w:tc>
          <w:tcPr>
            <w:tcW w:w="1700" w:type="dxa"/>
            <w:vAlign w:val="center"/>
          </w:tcPr>
          <w:p w14:paraId="0B2D6A58"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20</w:t>
            </w:r>
          </w:p>
        </w:tc>
        <w:tc>
          <w:tcPr>
            <w:tcW w:w="1559" w:type="dxa"/>
            <w:vAlign w:val="center"/>
          </w:tcPr>
          <w:p w14:paraId="68556DFC"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73</w:t>
            </w:r>
          </w:p>
        </w:tc>
      </w:tr>
      <w:tr w:rsidR="00AF1BF9" w:rsidRPr="004F5A11" w14:paraId="1A0E21FD" w14:textId="77777777" w:rsidTr="00B215C3">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22F84EB" w14:textId="77777777" w:rsidR="00AF1BF9" w:rsidRPr="00B215C3" w:rsidRDefault="00AF1BF9" w:rsidP="00B215C3">
            <w:pPr>
              <w:rPr>
                <w:rFonts w:ascii="Arial" w:hAnsi="Arial" w:cs="Arial"/>
                <w:b w:val="0"/>
                <w:sz w:val="18"/>
              </w:rPr>
            </w:pPr>
            <w:r w:rsidRPr="00B215C3">
              <w:rPr>
                <w:rFonts w:ascii="Arial" w:hAnsi="Arial" w:cs="Arial"/>
                <w:sz w:val="18"/>
              </w:rPr>
              <w:t>Engagement 3</w:t>
            </w:r>
          </w:p>
        </w:tc>
        <w:tc>
          <w:tcPr>
            <w:tcW w:w="1560" w:type="dxa"/>
            <w:vAlign w:val="center"/>
          </w:tcPr>
          <w:p w14:paraId="040AFDF2"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9</w:t>
            </w:r>
          </w:p>
        </w:tc>
        <w:tc>
          <w:tcPr>
            <w:tcW w:w="1700" w:type="dxa"/>
            <w:vAlign w:val="center"/>
          </w:tcPr>
          <w:p w14:paraId="34BCE6D6"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64</w:t>
            </w:r>
          </w:p>
        </w:tc>
        <w:tc>
          <w:tcPr>
            <w:tcW w:w="1559" w:type="dxa"/>
            <w:vAlign w:val="center"/>
          </w:tcPr>
          <w:p w14:paraId="4DF062E1"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67</w:t>
            </w:r>
          </w:p>
        </w:tc>
      </w:tr>
      <w:tr w:rsidR="00AF1BF9" w:rsidRPr="004F5A11" w14:paraId="63F188FE" w14:textId="77777777" w:rsidTr="00B215C3">
        <w:trPr>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B3AAEFE" w14:textId="77777777" w:rsidR="00AF1BF9" w:rsidRPr="00B215C3" w:rsidRDefault="00AF1BF9" w:rsidP="00B215C3">
            <w:pPr>
              <w:rPr>
                <w:rFonts w:ascii="Arial" w:hAnsi="Arial" w:cs="Arial"/>
                <w:b w:val="0"/>
                <w:sz w:val="18"/>
              </w:rPr>
            </w:pPr>
            <w:r w:rsidRPr="00B215C3">
              <w:rPr>
                <w:rFonts w:ascii="Arial" w:hAnsi="Arial" w:cs="Arial"/>
                <w:sz w:val="18"/>
              </w:rPr>
              <w:t>Engagement 4</w:t>
            </w:r>
          </w:p>
        </w:tc>
        <w:tc>
          <w:tcPr>
            <w:tcW w:w="1560" w:type="dxa"/>
            <w:vAlign w:val="center"/>
          </w:tcPr>
          <w:p w14:paraId="05581613"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4</w:t>
            </w:r>
          </w:p>
        </w:tc>
        <w:tc>
          <w:tcPr>
            <w:tcW w:w="1700" w:type="dxa"/>
            <w:vAlign w:val="center"/>
          </w:tcPr>
          <w:p w14:paraId="1F539B8A"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10</w:t>
            </w:r>
          </w:p>
        </w:tc>
        <w:tc>
          <w:tcPr>
            <w:tcW w:w="1559" w:type="dxa"/>
            <w:vAlign w:val="center"/>
          </w:tcPr>
          <w:p w14:paraId="6582BF4B"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15</w:t>
            </w:r>
          </w:p>
        </w:tc>
      </w:tr>
      <w:tr w:rsidR="00AF1BF9" w:rsidRPr="004F5A11" w14:paraId="120425C2" w14:textId="77777777" w:rsidTr="00B215C3">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42175EE" w14:textId="77777777" w:rsidR="00AF1BF9" w:rsidRPr="00B215C3" w:rsidRDefault="00AF1BF9" w:rsidP="00B215C3">
            <w:pPr>
              <w:rPr>
                <w:rFonts w:ascii="Arial" w:hAnsi="Arial" w:cs="Arial"/>
                <w:b w:val="0"/>
                <w:sz w:val="18"/>
              </w:rPr>
            </w:pPr>
            <w:r w:rsidRPr="00B215C3">
              <w:rPr>
                <w:rFonts w:ascii="Arial" w:hAnsi="Arial" w:cs="Arial"/>
                <w:sz w:val="18"/>
              </w:rPr>
              <w:t>Engagement 5</w:t>
            </w:r>
          </w:p>
        </w:tc>
        <w:tc>
          <w:tcPr>
            <w:tcW w:w="1560" w:type="dxa"/>
            <w:vAlign w:val="center"/>
          </w:tcPr>
          <w:p w14:paraId="52B5F663"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4</w:t>
            </w:r>
          </w:p>
        </w:tc>
        <w:tc>
          <w:tcPr>
            <w:tcW w:w="1700" w:type="dxa"/>
            <w:vAlign w:val="center"/>
          </w:tcPr>
          <w:p w14:paraId="29BA2662"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12</w:t>
            </w:r>
          </w:p>
        </w:tc>
        <w:tc>
          <w:tcPr>
            <w:tcW w:w="1559" w:type="dxa"/>
            <w:vAlign w:val="center"/>
          </w:tcPr>
          <w:p w14:paraId="655F3F16"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22</w:t>
            </w:r>
          </w:p>
        </w:tc>
      </w:tr>
      <w:tr w:rsidR="00AF1BF9" w:rsidRPr="004F5A11" w14:paraId="41912FD3" w14:textId="77777777" w:rsidTr="00B215C3">
        <w:trPr>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4293322" w14:textId="77777777" w:rsidR="00AF1BF9" w:rsidRPr="00B215C3" w:rsidRDefault="00AF1BF9" w:rsidP="00B215C3">
            <w:pPr>
              <w:rPr>
                <w:rFonts w:ascii="Arial" w:hAnsi="Arial" w:cs="Arial"/>
                <w:b w:val="0"/>
                <w:sz w:val="18"/>
              </w:rPr>
            </w:pPr>
            <w:r w:rsidRPr="00B215C3">
              <w:rPr>
                <w:rFonts w:ascii="Arial" w:hAnsi="Arial" w:cs="Arial"/>
                <w:sz w:val="18"/>
              </w:rPr>
              <w:t>Engagement 6</w:t>
            </w:r>
          </w:p>
        </w:tc>
        <w:tc>
          <w:tcPr>
            <w:tcW w:w="1560" w:type="dxa"/>
            <w:vAlign w:val="center"/>
          </w:tcPr>
          <w:p w14:paraId="7B9B66E8"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4</w:t>
            </w:r>
          </w:p>
        </w:tc>
        <w:tc>
          <w:tcPr>
            <w:tcW w:w="1700" w:type="dxa"/>
            <w:vAlign w:val="center"/>
          </w:tcPr>
          <w:p w14:paraId="13C7BE08"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11</w:t>
            </w:r>
          </w:p>
        </w:tc>
        <w:tc>
          <w:tcPr>
            <w:tcW w:w="1559" w:type="dxa"/>
            <w:vAlign w:val="center"/>
          </w:tcPr>
          <w:p w14:paraId="70D1F42C"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27</w:t>
            </w:r>
          </w:p>
        </w:tc>
      </w:tr>
      <w:tr w:rsidR="00AF1BF9" w:rsidRPr="004F5A11" w14:paraId="11895067" w14:textId="77777777" w:rsidTr="00B215C3">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9E48498" w14:textId="77777777" w:rsidR="00AF1BF9" w:rsidRPr="00B215C3" w:rsidRDefault="00AF1BF9" w:rsidP="00B215C3">
            <w:pPr>
              <w:rPr>
                <w:rFonts w:ascii="Arial" w:hAnsi="Arial" w:cs="Arial"/>
                <w:b w:val="0"/>
                <w:sz w:val="18"/>
              </w:rPr>
            </w:pPr>
            <w:r w:rsidRPr="00B215C3">
              <w:rPr>
                <w:rFonts w:ascii="Arial" w:hAnsi="Arial" w:cs="Arial"/>
                <w:sz w:val="18"/>
              </w:rPr>
              <w:t>Engagement 7</w:t>
            </w:r>
          </w:p>
        </w:tc>
        <w:tc>
          <w:tcPr>
            <w:tcW w:w="1560" w:type="dxa"/>
            <w:vAlign w:val="center"/>
          </w:tcPr>
          <w:p w14:paraId="4EBFBE58"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3</w:t>
            </w:r>
          </w:p>
        </w:tc>
        <w:tc>
          <w:tcPr>
            <w:tcW w:w="1700" w:type="dxa"/>
            <w:vAlign w:val="center"/>
          </w:tcPr>
          <w:p w14:paraId="2CF60B04"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7</w:t>
            </w:r>
          </w:p>
        </w:tc>
        <w:tc>
          <w:tcPr>
            <w:tcW w:w="1559" w:type="dxa"/>
            <w:vAlign w:val="center"/>
          </w:tcPr>
          <w:p w14:paraId="76115225"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33</w:t>
            </w:r>
          </w:p>
        </w:tc>
      </w:tr>
      <w:tr w:rsidR="00AF1BF9" w:rsidRPr="004F5A11" w14:paraId="4A38D68C" w14:textId="77777777" w:rsidTr="00B215C3">
        <w:trPr>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BDE35BD" w14:textId="77777777" w:rsidR="00AF1BF9" w:rsidRPr="00B215C3" w:rsidRDefault="00AF1BF9" w:rsidP="00B215C3">
            <w:pPr>
              <w:rPr>
                <w:rFonts w:ascii="Arial" w:hAnsi="Arial" w:cs="Arial"/>
                <w:b w:val="0"/>
                <w:sz w:val="18"/>
              </w:rPr>
            </w:pPr>
            <w:r w:rsidRPr="00B215C3">
              <w:rPr>
                <w:rFonts w:ascii="Arial" w:hAnsi="Arial" w:cs="Arial"/>
                <w:sz w:val="18"/>
              </w:rPr>
              <w:t>Engagement 8</w:t>
            </w:r>
          </w:p>
        </w:tc>
        <w:tc>
          <w:tcPr>
            <w:tcW w:w="1560" w:type="dxa"/>
            <w:vAlign w:val="center"/>
          </w:tcPr>
          <w:p w14:paraId="76C087F2"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4</w:t>
            </w:r>
          </w:p>
        </w:tc>
        <w:tc>
          <w:tcPr>
            <w:tcW w:w="1700" w:type="dxa"/>
            <w:vAlign w:val="center"/>
          </w:tcPr>
          <w:p w14:paraId="532C4B85"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9</w:t>
            </w:r>
          </w:p>
        </w:tc>
        <w:tc>
          <w:tcPr>
            <w:tcW w:w="1559" w:type="dxa"/>
            <w:vAlign w:val="center"/>
          </w:tcPr>
          <w:p w14:paraId="655A09DA" w14:textId="77777777" w:rsidR="00AF1BF9" w:rsidRPr="00B215C3" w:rsidRDefault="00AF1BF9" w:rsidP="00B215C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215C3">
              <w:rPr>
                <w:rFonts w:ascii="Arial" w:hAnsi="Arial" w:cs="Arial"/>
                <w:color w:val="000000"/>
                <w:sz w:val="18"/>
                <w:szCs w:val="20"/>
              </w:rPr>
              <w:t>37</w:t>
            </w:r>
          </w:p>
        </w:tc>
      </w:tr>
      <w:tr w:rsidR="00AF1BF9" w:rsidRPr="004F5A11" w14:paraId="1FD90CED" w14:textId="77777777" w:rsidTr="00B215C3">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18B9759" w14:textId="77777777" w:rsidR="00AF1BF9" w:rsidRPr="00B215C3" w:rsidRDefault="00AF1BF9" w:rsidP="00B215C3">
            <w:pPr>
              <w:rPr>
                <w:rFonts w:ascii="Arial" w:hAnsi="Arial" w:cs="Arial"/>
                <w:sz w:val="18"/>
              </w:rPr>
            </w:pPr>
            <w:r w:rsidRPr="00B215C3">
              <w:rPr>
                <w:rFonts w:ascii="Arial" w:hAnsi="Arial" w:cs="Arial"/>
                <w:sz w:val="18"/>
              </w:rPr>
              <w:t>Total</w:t>
            </w:r>
          </w:p>
        </w:tc>
        <w:tc>
          <w:tcPr>
            <w:tcW w:w="1560" w:type="dxa"/>
            <w:vAlign w:val="center"/>
          </w:tcPr>
          <w:p w14:paraId="6339E6AE"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20"/>
              </w:rPr>
            </w:pPr>
            <w:r w:rsidRPr="00B215C3">
              <w:rPr>
                <w:rFonts w:ascii="Arial" w:hAnsi="Arial" w:cs="Arial"/>
                <w:b/>
                <w:color w:val="000000"/>
                <w:sz w:val="18"/>
                <w:szCs w:val="20"/>
              </w:rPr>
              <w:t>39</w:t>
            </w:r>
          </w:p>
        </w:tc>
        <w:tc>
          <w:tcPr>
            <w:tcW w:w="1700" w:type="dxa"/>
            <w:vAlign w:val="center"/>
          </w:tcPr>
          <w:p w14:paraId="3F5387A4"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20"/>
              </w:rPr>
            </w:pPr>
            <w:r w:rsidRPr="00B215C3">
              <w:rPr>
                <w:rFonts w:ascii="Arial" w:hAnsi="Arial" w:cs="Arial"/>
                <w:b/>
                <w:color w:val="000000"/>
                <w:sz w:val="18"/>
                <w:szCs w:val="20"/>
              </w:rPr>
              <w:t>168</w:t>
            </w:r>
          </w:p>
        </w:tc>
        <w:tc>
          <w:tcPr>
            <w:tcW w:w="1559" w:type="dxa"/>
            <w:vAlign w:val="center"/>
          </w:tcPr>
          <w:p w14:paraId="02876923" w14:textId="77777777" w:rsidR="00AF1BF9" w:rsidRPr="00B215C3" w:rsidRDefault="00AF1BF9" w:rsidP="00B215C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20"/>
              </w:rPr>
            </w:pPr>
            <w:r w:rsidRPr="00B215C3">
              <w:rPr>
                <w:rFonts w:ascii="Arial" w:hAnsi="Arial" w:cs="Arial"/>
                <w:b/>
                <w:color w:val="000000"/>
                <w:sz w:val="18"/>
                <w:szCs w:val="20"/>
              </w:rPr>
              <w:t>314</w:t>
            </w:r>
          </w:p>
        </w:tc>
      </w:tr>
    </w:tbl>
    <w:p w14:paraId="5C475B54" w14:textId="434AEABF" w:rsidR="007E426D" w:rsidRDefault="007E426D" w:rsidP="00B215C3">
      <w:pPr>
        <w:pStyle w:val="ParagrapheRapportPNIN"/>
      </w:pPr>
      <w:r w:rsidRPr="007E426D">
        <w:t>Les activités planifiées dans la PNSN pour les engagements 1, 2 et 3 représentent 57</w:t>
      </w:r>
      <w:r w:rsidR="004F5A11">
        <w:t> </w:t>
      </w:r>
      <w:r w:rsidRPr="007E426D">
        <w:t>% des activités planifiées. Les questions de gouvernance et coordination multisectorielle de la nutrition (Engagement</w:t>
      </w:r>
      <w:r w:rsidR="004F5A11">
        <w:t> </w:t>
      </w:r>
      <w:r w:rsidRPr="007E426D">
        <w:t>1), d’interventions spécifiques de nutrition (Engagement</w:t>
      </w:r>
      <w:r w:rsidR="004F5A11">
        <w:t> </w:t>
      </w:r>
      <w:r w:rsidRPr="007E426D">
        <w:t xml:space="preserve">2) et des interventions sensibles à la nutrition dans l’agriculture et systèmes alimentaires ont été les plus adressées dans le PA. </w:t>
      </w:r>
    </w:p>
    <w:p w14:paraId="4F8B619F" w14:textId="77777777" w:rsidR="004F5A11" w:rsidRDefault="004F5A11" w:rsidP="00B215C3">
      <w:pPr>
        <w:pStyle w:val="TitreillustrationPNIN"/>
      </w:pPr>
      <w:bookmarkStart w:id="35" w:name="_Toc528222375"/>
      <w:r>
        <w:t xml:space="preserve">Figure </w:t>
      </w:r>
      <w:r w:rsidR="00B23782">
        <w:fldChar w:fldCharType="begin"/>
      </w:r>
      <w:r w:rsidR="00B23782">
        <w:instrText xml:space="preserve"> SEQ Figure \* ARABIC </w:instrText>
      </w:r>
      <w:r w:rsidR="00B23782">
        <w:fldChar w:fldCharType="separate"/>
      </w:r>
      <w:r w:rsidR="00540DAE">
        <w:rPr>
          <w:noProof/>
        </w:rPr>
        <w:t>2</w:t>
      </w:r>
      <w:r w:rsidR="00B23782">
        <w:rPr>
          <w:noProof/>
        </w:rPr>
        <w:fldChar w:fldCharType="end"/>
      </w:r>
      <w:r>
        <w:t> :</w:t>
      </w:r>
      <w:r w:rsidRPr="00823F4D">
        <w:t xml:space="preserve"> </w:t>
      </w:r>
      <w:r w:rsidRPr="007E426D">
        <w:t>Répartition des résultats, résultats intermédiaires et activités du PA de la PNSN 2017-2019 par engagement</w:t>
      </w:r>
      <w:bookmarkEnd w:id="35"/>
    </w:p>
    <w:p w14:paraId="67339045" w14:textId="0E179024" w:rsidR="00C921E6" w:rsidRPr="00816C7D" w:rsidRDefault="00F07BA9" w:rsidP="00104D28">
      <w:pPr>
        <w:pStyle w:val="LegendeetsourcePNIN"/>
        <w:rPr>
          <w:rFonts w:ascii="Calibri" w:eastAsiaTheme="minorEastAsia" w:hAnsi="Calibri"/>
          <w:b/>
          <w:bCs/>
          <w:color w:val="365F91" w:themeColor="accent1" w:themeShade="BF"/>
          <w:szCs w:val="16"/>
          <w:lang w:eastAsia="fr-FR"/>
        </w:rPr>
      </w:pPr>
      <w:r>
        <w:rPr>
          <w:noProof/>
          <w:lang w:eastAsia="fr-FR"/>
        </w:rPr>
        <w:lastRenderedPageBreak/>
        <w:drawing>
          <wp:inline distT="0" distB="0" distL="0" distR="0" wp14:anchorId="3440A52D" wp14:editId="2F0D77BB">
            <wp:extent cx="5486400" cy="3200400"/>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921E6" w:rsidRPr="00B215C3">
        <w:rPr>
          <w:b/>
        </w:rPr>
        <w:t>Source</w:t>
      </w:r>
      <w:r w:rsidR="00C921E6" w:rsidRPr="00C23186">
        <w:t> : Assistance technique de la Plateforme d’information Nutritionnelle au Niger</w:t>
      </w:r>
    </w:p>
    <w:p w14:paraId="0DA5E53E" w14:textId="39017CDC" w:rsidR="007E426D" w:rsidRPr="00007766" w:rsidRDefault="007E426D" w:rsidP="00B215C3">
      <w:pPr>
        <w:pStyle w:val="ParagrapheRapportPNIN"/>
        <w:rPr>
          <w:szCs w:val="20"/>
        </w:rPr>
      </w:pPr>
      <w:r w:rsidRPr="00F42C6B">
        <w:rPr>
          <w:szCs w:val="20"/>
        </w:rPr>
        <w:t>Les engagements 1 et 8 qui sont des engagements transversaux dont le HC3N à la charge représentent 2</w:t>
      </w:r>
      <w:r w:rsidR="009D4A32" w:rsidRPr="00007766">
        <w:rPr>
          <w:szCs w:val="20"/>
        </w:rPr>
        <w:t>5</w:t>
      </w:r>
      <w:r w:rsidR="00592140">
        <w:rPr>
          <w:szCs w:val="20"/>
        </w:rPr>
        <w:t> </w:t>
      </w:r>
      <w:r w:rsidRPr="00F42C6B">
        <w:rPr>
          <w:szCs w:val="20"/>
        </w:rPr>
        <w:t>% des activités planifiées. Les engagements sous la responsabilité du Ministère de la Sant</w:t>
      </w:r>
      <w:r w:rsidR="009D4A32" w:rsidRPr="00F42C6B">
        <w:rPr>
          <w:szCs w:val="20"/>
        </w:rPr>
        <w:t>é Publique (MSP) représentent 34</w:t>
      </w:r>
      <w:r w:rsidR="00592140">
        <w:rPr>
          <w:szCs w:val="20"/>
        </w:rPr>
        <w:t> </w:t>
      </w:r>
      <w:r w:rsidRPr="00F42C6B">
        <w:rPr>
          <w:szCs w:val="20"/>
        </w:rPr>
        <w:t>% des activités planifiées contre 21</w:t>
      </w:r>
      <w:r w:rsidR="00592140">
        <w:rPr>
          <w:szCs w:val="20"/>
        </w:rPr>
        <w:t> </w:t>
      </w:r>
      <w:r w:rsidRPr="00F42C6B">
        <w:rPr>
          <w:szCs w:val="20"/>
        </w:rPr>
        <w:t>% des activités planifiées sous la responsabilité du Ministère de l’Agriculture et de l’Elevage (MAGEL) alors que toutes les autres activités sensibles à la nutrition en relation avec l’éducation, la protection sociale, l’eau hygiène et assainissement ne représentent 2</w:t>
      </w:r>
      <w:r w:rsidR="009D4A32" w:rsidRPr="00007766">
        <w:rPr>
          <w:szCs w:val="20"/>
        </w:rPr>
        <w:t>0</w:t>
      </w:r>
      <w:r w:rsidR="00592140">
        <w:rPr>
          <w:szCs w:val="20"/>
        </w:rPr>
        <w:t> </w:t>
      </w:r>
      <w:r w:rsidRPr="00F42C6B">
        <w:rPr>
          <w:szCs w:val="20"/>
        </w:rPr>
        <w:t xml:space="preserve">% des activités planifiées. </w:t>
      </w:r>
    </w:p>
    <w:p w14:paraId="7D6F88A8" w14:textId="77777777" w:rsidR="00592140" w:rsidRDefault="00592140" w:rsidP="00B215C3">
      <w:pPr>
        <w:pStyle w:val="TitreillustrationPNIN"/>
      </w:pPr>
      <w:bookmarkStart w:id="36" w:name="_Toc528222376"/>
      <w:r>
        <w:t xml:space="preserve">Figure </w:t>
      </w:r>
      <w:r w:rsidR="00B23782">
        <w:fldChar w:fldCharType="begin"/>
      </w:r>
      <w:r w:rsidR="00B23782">
        <w:instrText xml:space="preserve"> SEQ Figure \* ARABIC </w:instrText>
      </w:r>
      <w:r w:rsidR="00B23782">
        <w:fldChar w:fldCharType="separate"/>
      </w:r>
      <w:r w:rsidR="00540DAE">
        <w:rPr>
          <w:noProof/>
        </w:rPr>
        <w:t>3</w:t>
      </w:r>
      <w:r w:rsidR="00B23782">
        <w:rPr>
          <w:noProof/>
        </w:rPr>
        <w:fldChar w:fldCharType="end"/>
      </w:r>
      <w:r>
        <w:t> :</w:t>
      </w:r>
      <w:r w:rsidRPr="00CC6DC8">
        <w:t xml:space="preserve"> </w:t>
      </w:r>
      <w:r w:rsidRPr="007E426D">
        <w:t>Répartition des activités du PA de la PNSN 2017-2019 par engagement</w:t>
      </w:r>
      <w:bookmarkEnd w:id="36"/>
    </w:p>
    <w:p w14:paraId="40EAB1DD" w14:textId="77777777" w:rsidR="007E426D" w:rsidRPr="007E426D" w:rsidRDefault="009D4A32" w:rsidP="00B215C3">
      <w:pPr>
        <w:spacing w:after="120"/>
        <w:jc w:val="right"/>
        <w:rPr>
          <w:b/>
          <w:color w:val="0070C0"/>
        </w:rPr>
      </w:pPr>
      <w:r>
        <w:rPr>
          <w:b/>
          <w:noProof/>
          <w:color w:val="0070C0"/>
          <w:lang w:eastAsia="fr-FR"/>
        </w:rPr>
        <w:drawing>
          <wp:inline distT="0" distB="0" distL="0" distR="0" wp14:anchorId="32B7063E" wp14:editId="1C86385F">
            <wp:extent cx="4618380" cy="2273935"/>
            <wp:effectExtent l="0" t="0" r="10795" b="1206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328B05" w14:textId="77777777" w:rsidR="00C921E6" w:rsidRPr="00C23186" w:rsidRDefault="00C921E6" w:rsidP="006551E1">
      <w:pPr>
        <w:pStyle w:val="LegendeetsourcePNIN"/>
      </w:pPr>
      <w:r w:rsidRPr="00B215C3">
        <w:rPr>
          <w:b/>
        </w:rPr>
        <w:t>Source</w:t>
      </w:r>
      <w:r w:rsidRPr="00C23186">
        <w:t> : Assistance technique de la Plateforme d’information Nutritionnelle au Niger</w:t>
      </w:r>
    </w:p>
    <w:p w14:paraId="4F25DE0F" w14:textId="77777777" w:rsidR="007E426D" w:rsidRPr="007E426D" w:rsidRDefault="007E426D" w:rsidP="00B215C3">
      <w:pPr>
        <w:pStyle w:val="ParagrapheRapportPNIN"/>
      </w:pPr>
      <w:r w:rsidRPr="00B215C3">
        <w:rPr>
          <w:b/>
        </w:rPr>
        <w:t>Le HC3N, le MSP et le MAGEL ont en charge l’exécution de la majeure partie des activités  (78%) du PA 2017-2019 de la PNSN</w:t>
      </w:r>
      <w:r w:rsidRPr="007E426D">
        <w:t xml:space="preserve">. </w:t>
      </w:r>
    </w:p>
    <w:p w14:paraId="7AC4CF8B" w14:textId="0CE1F67A" w:rsidR="00592140" w:rsidRDefault="00592140">
      <w:pPr>
        <w:spacing w:after="200" w:line="276" w:lineRule="auto"/>
        <w:rPr>
          <w:rFonts w:ascii="Arial" w:eastAsia="Calibri" w:hAnsi="Arial" w:cs="Calibri"/>
          <w:b/>
          <w:sz w:val="20"/>
        </w:rPr>
      </w:pPr>
      <w:r>
        <w:rPr>
          <w:b/>
        </w:rPr>
        <w:br w:type="page"/>
      </w:r>
    </w:p>
    <w:p w14:paraId="6B5B0F7D" w14:textId="688FC9A0" w:rsidR="00F07BA9" w:rsidRPr="00A658EB" w:rsidRDefault="00F07BA9" w:rsidP="00B215C3">
      <w:pPr>
        <w:pStyle w:val="ParagrapheRapportPNIN"/>
      </w:pPr>
      <w:r w:rsidRPr="00B215C3">
        <w:rPr>
          <w:b/>
        </w:rPr>
        <w:lastRenderedPageBreak/>
        <w:t>Identification d’indicateurs ou des cibles en lien avec la nutrition</w:t>
      </w:r>
      <w:r w:rsidR="00592140">
        <w:t xml:space="preserve"> </w:t>
      </w:r>
    </w:p>
    <w:p w14:paraId="5F27A3FD" w14:textId="4DDA98F1" w:rsidR="00D20118" w:rsidRDefault="0054363D" w:rsidP="00B215C3">
      <w:pPr>
        <w:pStyle w:val="ParagrapheRapportPNIN"/>
      </w:pPr>
      <w:r>
        <w:t>Dans l’objectif de la contribution à l’atteinte des</w:t>
      </w:r>
      <w:r w:rsidR="00D20118" w:rsidRPr="00D20118">
        <w:t xml:space="preserve"> indicateurs et cibles de l’Assemblée Mondiale de la Santé à l’horizon 2025</w:t>
      </w:r>
      <w:r>
        <w:t>,</w:t>
      </w:r>
      <w:r w:rsidR="00C61247">
        <w:t xml:space="preserve"> </w:t>
      </w:r>
      <w:r>
        <w:t xml:space="preserve">le </w:t>
      </w:r>
      <w:r w:rsidR="00D20118">
        <w:t xml:space="preserve">cadre de résultats </w:t>
      </w:r>
      <w:r>
        <w:t>du PA</w:t>
      </w:r>
      <w:r w:rsidR="00592140">
        <w:t> </w:t>
      </w:r>
      <w:r>
        <w:t>PNSN définit des</w:t>
      </w:r>
      <w:r w:rsidR="00D20118">
        <w:t xml:space="preserve"> indicateurs clés repartis selon quatre principaux domaines d’interventions</w:t>
      </w:r>
      <w:r w:rsidR="00592140">
        <w:t> </w:t>
      </w:r>
      <w:r w:rsidR="00D20118">
        <w:t xml:space="preserve">: </w:t>
      </w:r>
    </w:p>
    <w:p w14:paraId="0ECB18F3" w14:textId="562A26FF" w:rsidR="00D20118" w:rsidRDefault="00D20118" w:rsidP="00B215C3">
      <w:pPr>
        <w:pStyle w:val="PucesRapportPNIN"/>
      </w:pPr>
      <w:r>
        <w:t>L’établissement d’un environnement favorable permettant l’extension des services et des interventions sensibles et spécifiques à la nutrition</w:t>
      </w:r>
      <w:r w:rsidR="00592140">
        <w:t> ;</w:t>
      </w:r>
    </w:p>
    <w:p w14:paraId="2088D54E" w14:textId="2A26EF7C" w:rsidR="00D20118" w:rsidRDefault="00D20118" w:rsidP="00B215C3">
      <w:pPr>
        <w:pStyle w:val="PucesRapportPNIN"/>
      </w:pPr>
      <w:r>
        <w:t>Le renforcement de l’accès et de l’utilisation des services et des interventions préventifs et curatifs</w:t>
      </w:r>
      <w:r w:rsidR="00592140">
        <w:t> ;</w:t>
      </w:r>
    </w:p>
    <w:p w14:paraId="3C6BDF90" w14:textId="32BE42A3" w:rsidR="00D20118" w:rsidRDefault="00D20118" w:rsidP="00B215C3">
      <w:pPr>
        <w:pStyle w:val="PucesRapportPNIN"/>
      </w:pPr>
      <w:r>
        <w:t>Le renforcement des capacités et des ressources pour l’accès des ménages et des communautés à une alimentation et des soins de qualité, ainsi qu’à un environnement sain</w:t>
      </w:r>
      <w:r w:rsidR="00592140">
        <w:t> ;</w:t>
      </w:r>
    </w:p>
    <w:p w14:paraId="116C6311" w14:textId="77777777" w:rsidR="007E426D" w:rsidRDefault="00D20118" w:rsidP="00B215C3">
      <w:pPr>
        <w:pStyle w:val="PucesRapportPNIN"/>
      </w:pPr>
      <w:r>
        <w:t>Le soutien par les normes sociales et les leaders d’opinion à la sécurité nutritionnelle.</w:t>
      </w:r>
    </w:p>
    <w:p w14:paraId="46E66C0D" w14:textId="1319D1D5" w:rsidR="00C61247" w:rsidRPr="008240D2" w:rsidRDefault="00C61247" w:rsidP="00B215C3">
      <w:pPr>
        <w:pStyle w:val="ParagrapheRapportPNIN"/>
      </w:pPr>
      <w:r w:rsidRPr="00B215C3">
        <w:rPr>
          <w:b/>
        </w:rPr>
        <w:t>Budgétisation des interventions/ actions en lien avec la nutrition</w:t>
      </w:r>
      <w:r w:rsidR="00592140">
        <w:t xml:space="preserve"> </w:t>
      </w:r>
    </w:p>
    <w:p w14:paraId="7DA5372A" w14:textId="5252D7B6" w:rsidR="007E426D" w:rsidRPr="007E426D" w:rsidRDefault="00C61247" w:rsidP="00B215C3">
      <w:pPr>
        <w:pStyle w:val="ParagrapheRapportPNIN"/>
      </w:pPr>
      <w:r>
        <w:t>Le budget estimatif total du PA</w:t>
      </w:r>
      <w:r w:rsidR="00592140">
        <w:t> </w:t>
      </w:r>
      <w:r w:rsidR="007E426D" w:rsidRPr="007E426D">
        <w:t xml:space="preserve">PNSN </w:t>
      </w:r>
      <w:r>
        <w:t xml:space="preserve">2017-2019 </w:t>
      </w:r>
      <w:r w:rsidR="007E426D" w:rsidRPr="007E426D">
        <w:t>pour l’ensemble des huit engagements pour la période 2017-2019 est de 238</w:t>
      </w:r>
      <w:r w:rsidR="00592140">
        <w:t> </w:t>
      </w:r>
      <w:r w:rsidR="007E426D" w:rsidRPr="007E426D">
        <w:t>milliards 713</w:t>
      </w:r>
      <w:r w:rsidR="00592140">
        <w:t> </w:t>
      </w:r>
      <w:r w:rsidR="007E426D" w:rsidRPr="007E426D">
        <w:t>millions de F</w:t>
      </w:r>
      <w:r w:rsidR="00592140">
        <w:t> </w:t>
      </w:r>
      <w:r w:rsidR="007E426D" w:rsidRPr="007E426D">
        <w:t>CFA (près de 364</w:t>
      </w:r>
      <w:r w:rsidR="00592140">
        <w:t> </w:t>
      </w:r>
      <w:r w:rsidR="007E426D" w:rsidRPr="007E426D">
        <w:t>millions d’Euros).</w:t>
      </w:r>
    </w:p>
    <w:p w14:paraId="755FA82A" w14:textId="4F2A4539" w:rsidR="007E426D" w:rsidRPr="00B215C3" w:rsidRDefault="007E426D" w:rsidP="00B215C3">
      <w:pPr>
        <w:pStyle w:val="TitreillustrationPNIN"/>
        <w:rPr>
          <w:bCs w:val="0"/>
        </w:rPr>
      </w:pPr>
      <w:bookmarkStart w:id="37" w:name="_Toc528222373"/>
      <w:r w:rsidRPr="00B215C3">
        <w:t xml:space="preserve">Tableau </w:t>
      </w:r>
      <w:r w:rsidR="00B23782">
        <w:fldChar w:fldCharType="begin"/>
      </w:r>
      <w:r w:rsidR="00B23782">
        <w:instrText xml:space="preserve"> SEQ Tableau \* ARABIC </w:instrText>
      </w:r>
      <w:r w:rsidR="00B23782">
        <w:fldChar w:fldCharType="separate"/>
      </w:r>
      <w:r w:rsidR="00540DAE">
        <w:rPr>
          <w:noProof/>
        </w:rPr>
        <w:t>5</w:t>
      </w:r>
      <w:r w:rsidR="00B23782">
        <w:rPr>
          <w:noProof/>
        </w:rPr>
        <w:fldChar w:fldCharType="end"/>
      </w:r>
      <w:r w:rsidR="00592140">
        <w:t> </w:t>
      </w:r>
      <w:r w:rsidRPr="00B215C3">
        <w:t>: Budget estimatif du PA de la PNSN pour la période 2017-2019</w:t>
      </w:r>
      <w:bookmarkEnd w:id="37"/>
    </w:p>
    <w:tbl>
      <w:tblPr>
        <w:tblStyle w:val="TableauGrille4-Accentuation1"/>
        <w:tblW w:w="0" w:type="auto"/>
        <w:jc w:val="right"/>
        <w:tblLayout w:type="fixed"/>
        <w:tblLook w:val="04A0" w:firstRow="1" w:lastRow="0" w:firstColumn="1" w:lastColumn="0" w:noHBand="0" w:noVBand="1"/>
      </w:tblPr>
      <w:tblGrid>
        <w:gridCol w:w="1701"/>
        <w:gridCol w:w="1134"/>
        <w:gridCol w:w="1134"/>
        <w:gridCol w:w="1134"/>
        <w:gridCol w:w="1042"/>
      </w:tblGrid>
      <w:tr w:rsidR="008D3C79" w:rsidRPr="00592140" w14:paraId="4042857E" w14:textId="77777777" w:rsidTr="00DC0A11">
        <w:trPr>
          <w:cnfStyle w:val="100000000000" w:firstRow="1" w:lastRow="0" w:firstColumn="0" w:lastColumn="0" w:oddVBand="0" w:evenVBand="0" w:oddHBand="0"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71C340CD" w14:textId="353E2D87" w:rsidR="008D3C79" w:rsidRPr="00B215C3" w:rsidRDefault="008D3C79" w:rsidP="008D3C79">
            <w:pPr>
              <w:rPr>
                <w:rFonts w:ascii="Arial" w:eastAsia="Times New Roman" w:hAnsi="Arial" w:cs="Arial"/>
                <w:bCs w:val="0"/>
                <w:sz w:val="18"/>
                <w:szCs w:val="18"/>
                <w:lang w:eastAsia="fr-FR"/>
              </w:rPr>
            </w:pPr>
          </w:p>
        </w:tc>
        <w:tc>
          <w:tcPr>
            <w:tcW w:w="1134" w:type="dxa"/>
            <w:noWrap/>
            <w:vAlign w:val="center"/>
            <w:hideMark/>
          </w:tcPr>
          <w:p w14:paraId="6A99E7E4" w14:textId="23AE68F6" w:rsidR="008D3C79" w:rsidRPr="00B215C3" w:rsidRDefault="008D3C79" w:rsidP="00B215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fr-FR"/>
              </w:rPr>
            </w:pPr>
            <w:r w:rsidRPr="00B215C3">
              <w:rPr>
                <w:rFonts w:ascii="Arial" w:eastAsia="Times New Roman" w:hAnsi="Arial" w:cs="Arial"/>
                <w:color w:val="auto"/>
                <w:sz w:val="18"/>
                <w:szCs w:val="18"/>
                <w:lang w:eastAsia="fr-FR"/>
              </w:rPr>
              <w:t xml:space="preserve">Coût total </w:t>
            </w:r>
            <w:r w:rsidRPr="00B215C3">
              <w:rPr>
                <w:rFonts w:ascii="Arial" w:hAnsi="Arial" w:cs="Arial"/>
                <w:sz w:val="14"/>
                <w:szCs w:val="18"/>
              </w:rPr>
              <w:t>(millions de F CFA)</w:t>
            </w:r>
          </w:p>
        </w:tc>
        <w:tc>
          <w:tcPr>
            <w:tcW w:w="1134" w:type="dxa"/>
            <w:noWrap/>
            <w:vAlign w:val="center"/>
            <w:hideMark/>
          </w:tcPr>
          <w:p w14:paraId="2D61F391" w14:textId="74FD6341" w:rsidR="008D3C79" w:rsidRPr="00B215C3" w:rsidRDefault="008D3C79" w:rsidP="00B215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fr-FR"/>
              </w:rPr>
            </w:pPr>
            <w:r w:rsidRPr="00B215C3">
              <w:rPr>
                <w:rFonts w:ascii="Arial" w:eastAsia="Times New Roman" w:hAnsi="Arial" w:cs="Arial"/>
                <w:color w:val="auto"/>
                <w:sz w:val="18"/>
                <w:szCs w:val="18"/>
                <w:lang w:eastAsia="fr-FR"/>
              </w:rPr>
              <w:t xml:space="preserve">Coût 2017 </w:t>
            </w:r>
            <w:r w:rsidRPr="00DE3C4E">
              <w:rPr>
                <w:rFonts w:ascii="Arial" w:hAnsi="Arial" w:cs="Arial"/>
                <w:bCs w:val="0"/>
                <w:sz w:val="14"/>
                <w:szCs w:val="18"/>
              </w:rPr>
              <w:t>(millions de F CFA)</w:t>
            </w:r>
          </w:p>
        </w:tc>
        <w:tc>
          <w:tcPr>
            <w:tcW w:w="1134" w:type="dxa"/>
            <w:noWrap/>
            <w:vAlign w:val="center"/>
            <w:hideMark/>
          </w:tcPr>
          <w:p w14:paraId="21C9BE12" w14:textId="1CBA4559" w:rsidR="008D3C79" w:rsidRPr="00B215C3" w:rsidRDefault="008D3C79" w:rsidP="00B215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fr-FR"/>
              </w:rPr>
            </w:pPr>
            <w:r w:rsidRPr="00B215C3">
              <w:rPr>
                <w:rFonts w:ascii="Arial" w:eastAsia="Times New Roman" w:hAnsi="Arial" w:cs="Arial"/>
                <w:color w:val="auto"/>
                <w:sz w:val="18"/>
                <w:szCs w:val="18"/>
                <w:lang w:eastAsia="fr-FR"/>
              </w:rPr>
              <w:t xml:space="preserve">Coût 2018 </w:t>
            </w:r>
            <w:r w:rsidRPr="00DE3C4E">
              <w:rPr>
                <w:rFonts w:ascii="Arial" w:hAnsi="Arial" w:cs="Arial"/>
                <w:bCs w:val="0"/>
                <w:sz w:val="14"/>
                <w:szCs w:val="18"/>
              </w:rPr>
              <w:t>(millions de F CFA)</w:t>
            </w:r>
          </w:p>
        </w:tc>
        <w:tc>
          <w:tcPr>
            <w:tcW w:w="1042" w:type="dxa"/>
            <w:noWrap/>
            <w:vAlign w:val="center"/>
            <w:hideMark/>
          </w:tcPr>
          <w:p w14:paraId="538D7B73" w14:textId="310323E0" w:rsidR="008D3C79" w:rsidRPr="00B215C3" w:rsidRDefault="008D3C79" w:rsidP="00B215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fr-FR"/>
              </w:rPr>
            </w:pPr>
            <w:r w:rsidRPr="00B215C3">
              <w:rPr>
                <w:rFonts w:ascii="Arial" w:eastAsia="Times New Roman" w:hAnsi="Arial" w:cs="Arial"/>
                <w:color w:val="auto"/>
                <w:sz w:val="18"/>
                <w:szCs w:val="18"/>
                <w:lang w:eastAsia="fr-FR"/>
              </w:rPr>
              <w:t xml:space="preserve">Coût 2019 </w:t>
            </w:r>
            <w:r w:rsidRPr="00DE3C4E">
              <w:rPr>
                <w:rFonts w:ascii="Arial" w:hAnsi="Arial" w:cs="Arial"/>
                <w:bCs w:val="0"/>
                <w:sz w:val="14"/>
                <w:szCs w:val="18"/>
              </w:rPr>
              <w:t>(millions de F CFA)</w:t>
            </w:r>
          </w:p>
        </w:tc>
      </w:tr>
      <w:tr w:rsidR="008D3C79" w:rsidRPr="00592140" w14:paraId="56BA0CFF" w14:textId="77777777" w:rsidTr="00DC0A11">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53080186" w14:textId="46C8792C" w:rsidR="008D3C79" w:rsidRPr="00B215C3" w:rsidRDefault="008D3C79" w:rsidP="00B215C3">
            <w:pPr>
              <w:rPr>
                <w:rFonts w:ascii="Arial" w:eastAsia="Times New Roman" w:hAnsi="Arial" w:cs="Arial"/>
                <w:b w:val="0"/>
                <w:bCs w:val="0"/>
                <w:color w:val="000000"/>
                <w:sz w:val="18"/>
                <w:szCs w:val="18"/>
                <w:lang w:eastAsia="fr-FR"/>
              </w:rPr>
            </w:pPr>
            <w:r w:rsidRPr="00B215C3">
              <w:rPr>
                <w:rFonts w:ascii="Arial" w:eastAsia="Times New Roman" w:hAnsi="Arial" w:cs="Arial"/>
                <w:color w:val="000000"/>
                <w:sz w:val="18"/>
                <w:szCs w:val="18"/>
                <w:lang w:eastAsia="fr-FR"/>
              </w:rPr>
              <w:t>Engagement</w:t>
            </w:r>
            <w:r>
              <w:rPr>
                <w:rFonts w:ascii="Arial" w:eastAsia="Times New Roman" w:hAnsi="Arial" w:cs="Arial"/>
                <w:b w:val="0"/>
                <w:bCs w:val="0"/>
                <w:color w:val="000000"/>
                <w:sz w:val="18"/>
                <w:szCs w:val="18"/>
                <w:lang w:eastAsia="fr-FR"/>
              </w:rPr>
              <w:t> </w:t>
            </w:r>
            <w:r w:rsidRPr="00B215C3">
              <w:rPr>
                <w:rFonts w:ascii="Arial" w:eastAsia="Times New Roman" w:hAnsi="Arial" w:cs="Arial"/>
                <w:color w:val="000000"/>
                <w:sz w:val="18"/>
                <w:szCs w:val="18"/>
                <w:lang w:eastAsia="fr-FR"/>
              </w:rPr>
              <w:t>1</w:t>
            </w:r>
          </w:p>
        </w:tc>
        <w:tc>
          <w:tcPr>
            <w:tcW w:w="1134" w:type="dxa"/>
            <w:noWrap/>
            <w:vAlign w:val="center"/>
            <w:hideMark/>
          </w:tcPr>
          <w:p w14:paraId="752F47D8" w14:textId="13DD622E"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16</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111</w:t>
            </w:r>
          </w:p>
        </w:tc>
        <w:tc>
          <w:tcPr>
            <w:tcW w:w="1134" w:type="dxa"/>
            <w:noWrap/>
            <w:vAlign w:val="center"/>
            <w:hideMark/>
          </w:tcPr>
          <w:p w14:paraId="31E42554" w14:textId="2F0C4658"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3</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144</w:t>
            </w:r>
          </w:p>
        </w:tc>
        <w:tc>
          <w:tcPr>
            <w:tcW w:w="1134" w:type="dxa"/>
            <w:noWrap/>
            <w:vAlign w:val="center"/>
            <w:hideMark/>
          </w:tcPr>
          <w:p w14:paraId="1878C4BC" w14:textId="04F36A53"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5</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209</w:t>
            </w:r>
          </w:p>
        </w:tc>
        <w:tc>
          <w:tcPr>
            <w:tcW w:w="1042" w:type="dxa"/>
            <w:noWrap/>
            <w:vAlign w:val="center"/>
            <w:hideMark/>
          </w:tcPr>
          <w:p w14:paraId="6C202321" w14:textId="0942A927"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7</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758</w:t>
            </w:r>
          </w:p>
        </w:tc>
      </w:tr>
      <w:tr w:rsidR="008D3C79" w:rsidRPr="00592140" w14:paraId="4B9FB67B" w14:textId="77777777" w:rsidTr="00DC0A11">
        <w:trPr>
          <w:trHeight w:val="227"/>
          <w:jc w:val="right"/>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3A9167E8" w14:textId="467CE625" w:rsidR="008D3C79" w:rsidRPr="00B215C3" w:rsidRDefault="008D3C79" w:rsidP="00B215C3">
            <w:pPr>
              <w:rPr>
                <w:rFonts w:ascii="Arial" w:eastAsia="Times New Roman" w:hAnsi="Arial" w:cs="Arial"/>
                <w:b w:val="0"/>
                <w:bCs w:val="0"/>
                <w:color w:val="000000"/>
                <w:sz w:val="18"/>
                <w:szCs w:val="18"/>
                <w:lang w:eastAsia="fr-FR"/>
              </w:rPr>
            </w:pPr>
            <w:r w:rsidRPr="00B215C3">
              <w:rPr>
                <w:rFonts w:ascii="Arial" w:eastAsia="Times New Roman" w:hAnsi="Arial" w:cs="Arial"/>
                <w:color w:val="000000"/>
                <w:sz w:val="18"/>
                <w:szCs w:val="18"/>
                <w:lang w:eastAsia="fr-FR"/>
              </w:rPr>
              <w:t>Engagement</w:t>
            </w:r>
            <w:r>
              <w:rPr>
                <w:rFonts w:ascii="Arial" w:eastAsia="Times New Roman" w:hAnsi="Arial" w:cs="Arial"/>
                <w:b w:val="0"/>
                <w:bCs w:val="0"/>
                <w:color w:val="000000"/>
                <w:sz w:val="18"/>
                <w:szCs w:val="18"/>
                <w:lang w:eastAsia="fr-FR"/>
              </w:rPr>
              <w:t> </w:t>
            </w:r>
            <w:r w:rsidRPr="00B215C3">
              <w:rPr>
                <w:rFonts w:ascii="Arial" w:eastAsia="Times New Roman" w:hAnsi="Arial" w:cs="Arial"/>
                <w:color w:val="000000"/>
                <w:sz w:val="18"/>
                <w:szCs w:val="18"/>
                <w:lang w:eastAsia="fr-FR"/>
              </w:rPr>
              <w:t>2</w:t>
            </w:r>
          </w:p>
        </w:tc>
        <w:tc>
          <w:tcPr>
            <w:tcW w:w="1134" w:type="dxa"/>
            <w:noWrap/>
            <w:vAlign w:val="center"/>
            <w:hideMark/>
          </w:tcPr>
          <w:p w14:paraId="774BFDE1" w14:textId="4095F946"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145</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291</w:t>
            </w:r>
          </w:p>
        </w:tc>
        <w:tc>
          <w:tcPr>
            <w:tcW w:w="1134" w:type="dxa"/>
            <w:noWrap/>
            <w:vAlign w:val="center"/>
            <w:hideMark/>
          </w:tcPr>
          <w:p w14:paraId="39578F55" w14:textId="5488D87B"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43</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317</w:t>
            </w:r>
          </w:p>
        </w:tc>
        <w:tc>
          <w:tcPr>
            <w:tcW w:w="1134" w:type="dxa"/>
            <w:noWrap/>
            <w:vAlign w:val="center"/>
            <w:hideMark/>
          </w:tcPr>
          <w:p w14:paraId="6F228D9D" w14:textId="20E5CFA9"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48</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384</w:t>
            </w:r>
          </w:p>
        </w:tc>
        <w:tc>
          <w:tcPr>
            <w:tcW w:w="1042" w:type="dxa"/>
            <w:noWrap/>
            <w:vAlign w:val="center"/>
            <w:hideMark/>
          </w:tcPr>
          <w:p w14:paraId="1B9FA2CB" w14:textId="2B5C4C3B"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53</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591</w:t>
            </w:r>
          </w:p>
        </w:tc>
      </w:tr>
      <w:tr w:rsidR="008D3C79" w:rsidRPr="00592140" w14:paraId="2EEF4F39" w14:textId="77777777" w:rsidTr="00DC0A11">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492858E3" w14:textId="0B0656A3" w:rsidR="008D3C79" w:rsidRPr="00B215C3" w:rsidRDefault="008D3C79" w:rsidP="00B215C3">
            <w:pPr>
              <w:rPr>
                <w:rFonts w:ascii="Arial" w:eastAsia="Times New Roman" w:hAnsi="Arial" w:cs="Arial"/>
                <w:b w:val="0"/>
                <w:bCs w:val="0"/>
                <w:color w:val="000000"/>
                <w:sz w:val="18"/>
                <w:szCs w:val="18"/>
                <w:lang w:eastAsia="fr-FR"/>
              </w:rPr>
            </w:pPr>
            <w:r w:rsidRPr="00B215C3">
              <w:rPr>
                <w:rFonts w:ascii="Arial" w:eastAsia="Times New Roman" w:hAnsi="Arial" w:cs="Arial"/>
                <w:color w:val="000000"/>
                <w:sz w:val="18"/>
                <w:szCs w:val="18"/>
                <w:lang w:eastAsia="fr-FR"/>
              </w:rPr>
              <w:t>Engagement</w:t>
            </w:r>
            <w:r>
              <w:rPr>
                <w:rFonts w:ascii="Arial" w:eastAsia="Times New Roman" w:hAnsi="Arial" w:cs="Arial"/>
                <w:b w:val="0"/>
                <w:bCs w:val="0"/>
                <w:color w:val="000000"/>
                <w:sz w:val="18"/>
                <w:szCs w:val="18"/>
                <w:lang w:eastAsia="fr-FR"/>
              </w:rPr>
              <w:t> </w:t>
            </w:r>
            <w:r w:rsidRPr="00B215C3">
              <w:rPr>
                <w:rFonts w:ascii="Arial" w:eastAsia="Times New Roman" w:hAnsi="Arial" w:cs="Arial"/>
                <w:color w:val="000000"/>
                <w:sz w:val="18"/>
                <w:szCs w:val="18"/>
                <w:lang w:eastAsia="fr-FR"/>
              </w:rPr>
              <w:t>3</w:t>
            </w:r>
            <w:r>
              <w:rPr>
                <w:rFonts w:ascii="Arial" w:eastAsia="Times New Roman" w:hAnsi="Arial" w:cs="Arial"/>
                <w:b w:val="0"/>
                <w:bCs w:val="0"/>
                <w:color w:val="000000"/>
                <w:sz w:val="18"/>
                <w:szCs w:val="18"/>
                <w:lang w:eastAsia="fr-FR"/>
              </w:rPr>
              <w:t> </w:t>
            </w:r>
          </w:p>
        </w:tc>
        <w:tc>
          <w:tcPr>
            <w:tcW w:w="1134" w:type="dxa"/>
            <w:noWrap/>
            <w:vAlign w:val="center"/>
            <w:hideMark/>
          </w:tcPr>
          <w:p w14:paraId="2BE6CBE4" w14:textId="0D36642A"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12</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810</w:t>
            </w:r>
          </w:p>
        </w:tc>
        <w:tc>
          <w:tcPr>
            <w:tcW w:w="1134" w:type="dxa"/>
            <w:noWrap/>
            <w:vAlign w:val="center"/>
            <w:hideMark/>
          </w:tcPr>
          <w:p w14:paraId="5028B1FC" w14:textId="7AAD5487"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3</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464</w:t>
            </w:r>
          </w:p>
        </w:tc>
        <w:tc>
          <w:tcPr>
            <w:tcW w:w="1134" w:type="dxa"/>
            <w:noWrap/>
            <w:vAlign w:val="center"/>
            <w:hideMark/>
          </w:tcPr>
          <w:p w14:paraId="4440E750" w14:textId="6690C4DD"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4</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814</w:t>
            </w:r>
          </w:p>
        </w:tc>
        <w:tc>
          <w:tcPr>
            <w:tcW w:w="1042" w:type="dxa"/>
            <w:noWrap/>
            <w:vAlign w:val="center"/>
            <w:hideMark/>
          </w:tcPr>
          <w:p w14:paraId="08F6CEF1" w14:textId="5ADD3C02"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4</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532</w:t>
            </w:r>
          </w:p>
        </w:tc>
      </w:tr>
      <w:tr w:rsidR="008D3C79" w:rsidRPr="00592140" w14:paraId="1D62E559" w14:textId="77777777" w:rsidTr="00DC0A11">
        <w:trPr>
          <w:trHeight w:val="227"/>
          <w:jc w:val="right"/>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2DBF0078" w14:textId="553F82D2" w:rsidR="008D3C79" w:rsidRPr="00B215C3" w:rsidRDefault="008D3C79" w:rsidP="00B215C3">
            <w:pPr>
              <w:rPr>
                <w:rFonts w:ascii="Arial" w:eastAsia="Times New Roman" w:hAnsi="Arial" w:cs="Arial"/>
                <w:b w:val="0"/>
                <w:bCs w:val="0"/>
                <w:color w:val="000000"/>
                <w:sz w:val="18"/>
                <w:szCs w:val="18"/>
                <w:lang w:eastAsia="fr-FR"/>
              </w:rPr>
            </w:pPr>
            <w:r w:rsidRPr="00B215C3">
              <w:rPr>
                <w:rFonts w:ascii="Arial" w:eastAsia="Times New Roman" w:hAnsi="Arial" w:cs="Arial"/>
                <w:color w:val="000000"/>
                <w:sz w:val="18"/>
                <w:szCs w:val="18"/>
                <w:lang w:eastAsia="fr-FR"/>
              </w:rPr>
              <w:t>Engagement</w:t>
            </w:r>
            <w:r>
              <w:rPr>
                <w:rFonts w:ascii="Arial" w:eastAsia="Times New Roman" w:hAnsi="Arial" w:cs="Arial"/>
                <w:b w:val="0"/>
                <w:bCs w:val="0"/>
                <w:color w:val="000000"/>
                <w:sz w:val="18"/>
                <w:szCs w:val="18"/>
                <w:lang w:eastAsia="fr-FR"/>
              </w:rPr>
              <w:t> </w:t>
            </w:r>
            <w:r w:rsidRPr="00B215C3">
              <w:rPr>
                <w:rFonts w:ascii="Arial" w:eastAsia="Times New Roman" w:hAnsi="Arial" w:cs="Arial"/>
                <w:color w:val="000000"/>
                <w:sz w:val="18"/>
                <w:szCs w:val="18"/>
                <w:lang w:eastAsia="fr-FR"/>
              </w:rPr>
              <w:t>4</w:t>
            </w:r>
          </w:p>
        </w:tc>
        <w:tc>
          <w:tcPr>
            <w:tcW w:w="1134" w:type="dxa"/>
            <w:noWrap/>
            <w:vAlign w:val="center"/>
            <w:hideMark/>
          </w:tcPr>
          <w:p w14:paraId="1381CF5E" w14:textId="008A834A"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1</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899</w:t>
            </w:r>
          </w:p>
        </w:tc>
        <w:tc>
          <w:tcPr>
            <w:tcW w:w="1134" w:type="dxa"/>
            <w:noWrap/>
            <w:vAlign w:val="center"/>
            <w:hideMark/>
          </w:tcPr>
          <w:p w14:paraId="75FCFF78" w14:textId="77777777"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545</w:t>
            </w:r>
          </w:p>
        </w:tc>
        <w:tc>
          <w:tcPr>
            <w:tcW w:w="1134" w:type="dxa"/>
            <w:noWrap/>
            <w:vAlign w:val="center"/>
            <w:hideMark/>
          </w:tcPr>
          <w:p w14:paraId="05E192E3" w14:textId="77777777"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625</w:t>
            </w:r>
          </w:p>
        </w:tc>
        <w:tc>
          <w:tcPr>
            <w:tcW w:w="1042" w:type="dxa"/>
            <w:noWrap/>
            <w:vAlign w:val="center"/>
            <w:hideMark/>
          </w:tcPr>
          <w:p w14:paraId="39CCBE58" w14:textId="77777777"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729</w:t>
            </w:r>
          </w:p>
        </w:tc>
      </w:tr>
      <w:tr w:rsidR="008D3C79" w:rsidRPr="00592140" w14:paraId="2F3C688F" w14:textId="77777777" w:rsidTr="00DC0A11">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760543A5" w14:textId="693B20AF" w:rsidR="008D3C79" w:rsidRPr="00B215C3" w:rsidRDefault="008D3C79" w:rsidP="00B215C3">
            <w:pPr>
              <w:rPr>
                <w:rFonts w:ascii="Arial" w:eastAsia="Times New Roman" w:hAnsi="Arial" w:cs="Arial"/>
                <w:b w:val="0"/>
                <w:bCs w:val="0"/>
                <w:color w:val="000000"/>
                <w:sz w:val="18"/>
                <w:szCs w:val="18"/>
                <w:lang w:eastAsia="fr-FR"/>
              </w:rPr>
            </w:pPr>
            <w:r w:rsidRPr="00B215C3">
              <w:rPr>
                <w:rFonts w:ascii="Arial" w:eastAsia="Times New Roman" w:hAnsi="Arial" w:cs="Arial"/>
                <w:color w:val="000000"/>
                <w:sz w:val="18"/>
                <w:szCs w:val="18"/>
                <w:lang w:eastAsia="fr-FR"/>
              </w:rPr>
              <w:t>Engagement</w:t>
            </w:r>
            <w:r>
              <w:rPr>
                <w:rFonts w:ascii="Arial" w:eastAsia="Times New Roman" w:hAnsi="Arial" w:cs="Arial"/>
                <w:b w:val="0"/>
                <w:bCs w:val="0"/>
                <w:color w:val="000000"/>
                <w:sz w:val="18"/>
                <w:szCs w:val="18"/>
                <w:lang w:eastAsia="fr-FR"/>
              </w:rPr>
              <w:t> </w:t>
            </w:r>
            <w:r w:rsidRPr="00B215C3">
              <w:rPr>
                <w:rFonts w:ascii="Arial" w:eastAsia="Times New Roman" w:hAnsi="Arial" w:cs="Arial"/>
                <w:color w:val="000000"/>
                <w:sz w:val="18"/>
                <w:szCs w:val="18"/>
                <w:lang w:eastAsia="fr-FR"/>
              </w:rPr>
              <w:t>5</w:t>
            </w:r>
          </w:p>
        </w:tc>
        <w:tc>
          <w:tcPr>
            <w:tcW w:w="1134" w:type="dxa"/>
            <w:noWrap/>
            <w:vAlign w:val="center"/>
            <w:hideMark/>
          </w:tcPr>
          <w:p w14:paraId="4301199C" w14:textId="1C61D3C9"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43</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528</w:t>
            </w:r>
          </w:p>
        </w:tc>
        <w:tc>
          <w:tcPr>
            <w:tcW w:w="1134" w:type="dxa"/>
            <w:noWrap/>
            <w:vAlign w:val="center"/>
            <w:hideMark/>
          </w:tcPr>
          <w:p w14:paraId="1C405B80" w14:textId="7006834F"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13</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078</w:t>
            </w:r>
          </w:p>
        </w:tc>
        <w:tc>
          <w:tcPr>
            <w:tcW w:w="1134" w:type="dxa"/>
            <w:noWrap/>
            <w:vAlign w:val="center"/>
            <w:hideMark/>
          </w:tcPr>
          <w:p w14:paraId="6C031191" w14:textId="44E85DDE"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15</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308</w:t>
            </w:r>
          </w:p>
        </w:tc>
        <w:tc>
          <w:tcPr>
            <w:tcW w:w="1042" w:type="dxa"/>
            <w:noWrap/>
            <w:vAlign w:val="center"/>
            <w:hideMark/>
          </w:tcPr>
          <w:p w14:paraId="4CC5E03C" w14:textId="2165E458" w:rsidR="008D3C79" w:rsidRPr="00B215C3" w:rsidRDefault="008D3C79" w:rsidP="00B215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15</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142</w:t>
            </w:r>
          </w:p>
        </w:tc>
      </w:tr>
      <w:tr w:rsidR="008D3C79" w:rsidRPr="00592140" w14:paraId="73A572B7" w14:textId="77777777" w:rsidTr="00DC0A11">
        <w:trPr>
          <w:trHeight w:val="227"/>
          <w:jc w:val="right"/>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3B840034" w14:textId="5A74379C" w:rsidR="008D3C79" w:rsidRPr="00B215C3" w:rsidRDefault="008D3C79" w:rsidP="00B215C3">
            <w:pPr>
              <w:rPr>
                <w:rFonts w:ascii="Arial" w:eastAsia="Times New Roman" w:hAnsi="Arial" w:cs="Arial"/>
                <w:b w:val="0"/>
                <w:bCs w:val="0"/>
                <w:color w:val="000000"/>
                <w:sz w:val="18"/>
                <w:szCs w:val="18"/>
                <w:lang w:eastAsia="fr-FR"/>
              </w:rPr>
            </w:pPr>
            <w:r w:rsidRPr="00B215C3">
              <w:rPr>
                <w:rFonts w:ascii="Arial" w:eastAsia="Times New Roman" w:hAnsi="Arial" w:cs="Arial"/>
                <w:color w:val="000000"/>
                <w:sz w:val="18"/>
                <w:szCs w:val="18"/>
                <w:lang w:eastAsia="fr-FR"/>
              </w:rPr>
              <w:t>Engagement</w:t>
            </w:r>
            <w:r>
              <w:rPr>
                <w:rFonts w:ascii="Arial" w:eastAsia="Times New Roman" w:hAnsi="Arial" w:cs="Arial"/>
                <w:b w:val="0"/>
                <w:bCs w:val="0"/>
                <w:color w:val="000000"/>
                <w:sz w:val="18"/>
                <w:szCs w:val="18"/>
                <w:lang w:eastAsia="fr-FR"/>
              </w:rPr>
              <w:t> </w:t>
            </w:r>
            <w:r w:rsidRPr="00B215C3">
              <w:rPr>
                <w:rFonts w:ascii="Arial" w:eastAsia="Times New Roman" w:hAnsi="Arial" w:cs="Arial"/>
                <w:color w:val="000000"/>
                <w:sz w:val="18"/>
                <w:szCs w:val="18"/>
                <w:lang w:eastAsia="fr-FR"/>
              </w:rPr>
              <w:t>6</w:t>
            </w:r>
          </w:p>
        </w:tc>
        <w:tc>
          <w:tcPr>
            <w:tcW w:w="1134" w:type="dxa"/>
            <w:noWrap/>
            <w:vAlign w:val="center"/>
            <w:hideMark/>
          </w:tcPr>
          <w:p w14:paraId="5208A4F4" w14:textId="37864087"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8</w:t>
            </w:r>
            <w:r>
              <w:rPr>
                <w:rFonts w:ascii="Arial" w:eastAsia="Times New Roman" w:hAnsi="Arial" w:cs="Arial"/>
                <w:color w:val="000000"/>
                <w:sz w:val="18"/>
                <w:szCs w:val="18"/>
                <w:lang w:eastAsia="fr-FR"/>
              </w:rPr>
              <w:t> </w:t>
            </w:r>
            <w:r w:rsidRPr="00B215C3">
              <w:rPr>
                <w:rFonts w:ascii="Arial" w:eastAsia="Times New Roman" w:hAnsi="Arial" w:cs="Arial"/>
                <w:color w:val="000000"/>
                <w:sz w:val="18"/>
                <w:szCs w:val="18"/>
                <w:lang w:eastAsia="fr-FR"/>
              </w:rPr>
              <w:t>983</w:t>
            </w:r>
          </w:p>
        </w:tc>
        <w:tc>
          <w:tcPr>
            <w:tcW w:w="1134" w:type="dxa"/>
            <w:noWrap/>
            <w:vAlign w:val="center"/>
            <w:hideMark/>
          </w:tcPr>
          <w:p w14:paraId="30AD0B38" w14:textId="77777777" w:rsidR="008D3C79" w:rsidRPr="00B215C3"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81</w:t>
            </w:r>
          </w:p>
        </w:tc>
        <w:tc>
          <w:tcPr>
            <w:tcW w:w="1134" w:type="dxa"/>
            <w:noWrap/>
            <w:vAlign w:val="center"/>
            <w:hideMark/>
          </w:tcPr>
          <w:p w14:paraId="7994305E" w14:textId="6965ACF7" w:rsidR="008D3C79" w:rsidRPr="006551E1"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215C3">
              <w:rPr>
                <w:rFonts w:ascii="Arial" w:eastAsia="Times New Roman" w:hAnsi="Arial" w:cs="Arial"/>
                <w:color w:val="000000"/>
                <w:sz w:val="18"/>
                <w:szCs w:val="18"/>
                <w:lang w:eastAsia="fr-FR"/>
              </w:rPr>
              <w:t>4</w:t>
            </w:r>
            <w:r>
              <w:rPr>
                <w:rFonts w:ascii="Arial" w:eastAsia="Times New Roman" w:hAnsi="Arial" w:cs="Arial"/>
                <w:color w:val="000000"/>
                <w:sz w:val="18"/>
                <w:szCs w:val="18"/>
                <w:lang w:eastAsia="fr-FR"/>
              </w:rPr>
              <w:t> </w:t>
            </w:r>
            <w:r w:rsidRPr="006551E1">
              <w:rPr>
                <w:rFonts w:ascii="Arial" w:eastAsia="Times New Roman" w:hAnsi="Arial" w:cs="Arial"/>
                <w:color w:val="000000"/>
                <w:sz w:val="18"/>
                <w:szCs w:val="18"/>
                <w:lang w:eastAsia="fr-FR"/>
              </w:rPr>
              <w:t>551</w:t>
            </w:r>
          </w:p>
        </w:tc>
        <w:tc>
          <w:tcPr>
            <w:tcW w:w="1042" w:type="dxa"/>
            <w:noWrap/>
            <w:vAlign w:val="center"/>
            <w:hideMark/>
          </w:tcPr>
          <w:p w14:paraId="45107BDC" w14:textId="7CA95EE3" w:rsidR="008D3C79" w:rsidRPr="006551E1" w:rsidRDefault="008D3C79" w:rsidP="00B215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6551E1">
              <w:rPr>
                <w:rFonts w:ascii="Arial" w:eastAsia="Times New Roman" w:hAnsi="Arial" w:cs="Arial"/>
                <w:color w:val="000000"/>
                <w:sz w:val="18"/>
                <w:szCs w:val="18"/>
                <w:lang w:eastAsia="fr-FR"/>
              </w:rPr>
              <w:t>4</w:t>
            </w:r>
            <w:r>
              <w:rPr>
                <w:rFonts w:ascii="Arial" w:eastAsia="Times New Roman" w:hAnsi="Arial" w:cs="Arial"/>
                <w:color w:val="000000"/>
                <w:sz w:val="18"/>
                <w:szCs w:val="18"/>
                <w:lang w:eastAsia="fr-FR"/>
              </w:rPr>
              <w:t> </w:t>
            </w:r>
            <w:r w:rsidRPr="006551E1">
              <w:rPr>
                <w:rFonts w:ascii="Arial" w:eastAsia="Times New Roman" w:hAnsi="Arial" w:cs="Arial"/>
                <w:color w:val="000000"/>
                <w:sz w:val="18"/>
                <w:szCs w:val="18"/>
                <w:lang w:eastAsia="fr-FR"/>
              </w:rPr>
              <w:t>351</w:t>
            </w:r>
          </w:p>
        </w:tc>
      </w:tr>
      <w:tr w:rsidR="008D3C79" w:rsidRPr="00592140" w14:paraId="0EE2B4C5" w14:textId="77777777" w:rsidTr="00DC0A11">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2D2EB8DD" w14:textId="016208D3" w:rsidR="008D3C79" w:rsidRPr="006551E1" w:rsidRDefault="008D3C79" w:rsidP="006551E1">
            <w:pPr>
              <w:rPr>
                <w:rFonts w:ascii="Arial" w:eastAsia="Times New Roman" w:hAnsi="Arial" w:cs="Arial"/>
                <w:b w:val="0"/>
                <w:bCs w:val="0"/>
                <w:color w:val="000000"/>
                <w:sz w:val="18"/>
                <w:szCs w:val="18"/>
                <w:lang w:eastAsia="fr-FR"/>
              </w:rPr>
            </w:pPr>
            <w:r w:rsidRPr="006551E1">
              <w:rPr>
                <w:rFonts w:ascii="Arial" w:eastAsia="Times New Roman" w:hAnsi="Arial" w:cs="Arial"/>
                <w:color w:val="000000"/>
                <w:sz w:val="18"/>
                <w:szCs w:val="18"/>
                <w:lang w:eastAsia="fr-FR"/>
              </w:rPr>
              <w:t>Engagement</w:t>
            </w:r>
            <w:r>
              <w:rPr>
                <w:rFonts w:ascii="Arial" w:eastAsia="Times New Roman" w:hAnsi="Arial" w:cs="Arial"/>
                <w:b w:val="0"/>
                <w:bCs w:val="0"/>
                <w:color w:val="000000"/>
                <w:sz w:val="18"/>
                <w:szCs w:val="18"/>
                <w:lang w:eastAsia="fr-FR"/>
              </w:rPr>
              <w:t> </w:t>
            </w:r>
            <w:r w:rsidRPr="006551E1">
              <w:rPr>
                <w:rFonts w:ascii="Arial" w:eastAsia="Times New Roman" w:hAnsi="Arial" w:cs="Arial"/>
                <w:color w:val="000000"/>
                <w:sz w:val="18"/>
                <w:szCs w:val="18"/>
                <w:lang w:eastAsia="fr-FR"/>
              </w:rPr>
              <w:t>7</w:t>
            </w:r>
          </w:p>
        </w:tc>
        <w:tc>
          <w:tcPr>
            <w:tcW w:w="1134" w:type="dxa"/>
            <w:noWrap/>
            <w:vAlign w:val="center"/>
            <w:hideMark/>
          </w:tcPr>
          <w:p w14:paraId="7476BCCA" w14:textId="28F929B8" w:rsidR="008D3C79" w:rsidRPr="006551E1" w:rsidRDefault="008D3C79" w:rsidP="006551E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6551E1">
              <w:rPr>
                <w:rFonts w:ascii="Arial" w:eastAsia="Times New Roman" w:hAnsi="Arial" w:cs="Arial"/>
                <w:color w:val="000000"/>
                <w:sz w:val="18"/>
                <w:szCs w:val="18"/>
                <w:lang w:eastAsia="fr-FR"/>
              </w:rPr>
              <w:t>4</w:t>
            </w:r>
            <w:r>
              <w:rPr>
                <w:rFonts w:ascii="Arial" w:eastAsia="Times New Roman" w:hAnsi="Arial" w:cs="Arial"/>
                <w:color w:val="000000"/>
                <w:sz w:val="18"/>
                <w:szCs w:val="18"/>
                <w:lang w:eastAsia="fr-FR"/>
              </w:rPr>
              <w:t> </w:t>
            </w:r>
            <w:r w:rsidRPr="006551E1">
              <w:rPr>
                <w:rFonts w:ascii="Arial" w:eastAsia="Times New Roman" w:hAnsi="Arial" w:cs="Arial"/>
                <w:color w:val="000000"/>
                <w:sz w:val="18"/>
                <w:szCs w:val="18"/>
                <w:lang w:eastAsia="fr-FR"/>
              </w:rPr>
              <w:t>994</w:t>
            </w:r>
          </w:p>
        </w:tc>
        <w:tc>
          <w:tcPr>
            <w:tcW w:w="1134" w:type="dxa"/>
            <w:noWrap/>
            <w:vAlign w:val="center"/>
            <w:hideMark/>
          </w:tcPr>
          <w:p w14:paraId="0A358EAB" w14:textId="79C251FB" w:rsidR="008D3C79" w:rsidRPr="006551E1" w:rsidRDefault="008D3C79" w:rsidP="006551E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6551E1">
              <w:rPr>
                <w:rFonts w:ascii="Arial" w:eastAsia="Times New Roman" w:hAnsi="Arial" w:cs="Arial"/>
                <w:color w:val="000000"/>
                <w:sz w:val="18"/>
                <w:szCs w:val="18"/>
                <w:lang w:eastAsia="fr-FR"/>
              </w:rPr>
              <w:t>2</w:t>
            </w:r>
            <w:r>
              <w:rPr>
                <w:rFonts w:ascii="Arial" w:eastAsia="Times New Roman" w:hAnsi="Arial" w:cs="Arial"/>
                <w:color w:val="000000"/>
                <w:sz w:val="18"/>
                <w:szCs w:val="18"/>
                <w:lang w:eastAsia="fr-FR"/>
              </w:rPr>
              <w:t> </w:t>
            </w:r>
            <w:r w:rsidRPr="006551E1">
              <w:rPr>
                <w:rFonts w:ascii="Arial" w:eastAsia="Times New Roman" w:hAnsi="Arial" w:cs="Arial"/>
                <w:color w:val="000000"/>
                <w:sz w:val="18"/>
                <w:szCs w:val="18"/>
                <w:lang w:eastAsia="fr-FR"/>
              </w:rPr>
              <w:t>257</w:t>
            </w:r>
          </w:p>
        </w:tc>
        <w:tc>
          <w:tcPr>
            <w:tcW w:w="1134" w:type="dxa"/>
            <w:noWrap/>
            <w:vAlign w:val="center"/>
            <w:hideMark/>
          </w:tcPr>
          <w:p w14:paraId="43AEDE35" w14:textId="2ED0033B" w:rsidR="008D3C79" w:rsidRPr="006551E1" w:rsidRDefault="008D3C79" w:rsidP="006551E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6551E1">
              <w:rPr>
                <w:rFonts w:ascii="Arial" w:eastAsia="Times New Roman" w:hAnsi="Arial" w:cs="Arial"/>
                <w:color w:val="000000"/>
                <w:sz w:val="18"/>
                <w:szCs w:val="18"/>
                <w:lang w:eastAsia="fr-FR"/>
              </w:rPr>
              <w:t>1</w:t>
            </w:r>
            <w:r>
              <w:rPr>
                <w:rFonts w:ascii="Arial" w:eastAsia="Times New Roman" w:hAnsi="Arial" w:cs="Arial"/>
                <w:color w:val="000000"/>
                <w:sz w:val="18"/>
                <w:szCs w:val="18"/>
                <w:lang w:eastAsia="fr-FR"/>
              </w:rPr>
              <w:t> </w:t>
            </w:r>
            <w:r w:rsidRPr="006551E1">
              <w:rPr>
                <w:rFonts w:ascii="Arial" w:eastAsia="Times New Roman" w:hAnsi="Arial" w:cs="Arial"/>
                <w:color w:val="000000"/>
                <w:sz w:val="18"/>
                <w:szCs w:val="18"/>
                <w:lang w:eastAsia="fr-FR"/>
              </w:rPr>
              <w:t>945</w:t>
            </w:r>
          </w:p>
        </w:tc>
        <w:tc>
          <w:tcPr>
            <w:tcW w:w="1042" w:type="dxa"/>
            <w:noWrap/>
            <w:vAlign w:val="center"/>
            <w:hideMark/>
          </w:tcPr>
          <w:p w14:paraId="268F77EA" w14:textId="77777777" w:rsidR="008D3C79" w:rsidRPr="006551E1" w:rsidRDefault="008D3C79" w:rsidP="006551E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6551E1">
              <w:rPr>
                <w:rFonts w:ascii="Arial" w:eastAsia="Times New Roman" w:hAnsi="Arial" w:cs="Arial"/>
                <w:color w:val="000000"/>
                <w:sz w:val="18"/>
                <w:szCs w:val="18"/>
                <w:lang w:eastAsia="fr-FR"/>
              </w:rPr>
              <w:t>792</w:t>
            </w:r>
          </w:p>
        </w:tc>
      </w:tr>
      <w:tr w:rsidR="008D3C79" w:rsidRPr="00592140" w14:paraId="72787CA7" w14:textId="77777777" w:rsidTr="00DC0A11">
        <w:trPr>
          <w:trHeight w:val="227"/>
          <w:jc w:val="right"/>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2A3DB386" w14:textId="381F111E" w:rsidR="008D3C79" w:rsidRPr="006551E1" w:rsidRDefault="008D3C79" w:rsidP="006551E1">
            <w:pPr>
              <w:rPr>
                <w:rFonts w:ascii="Arial" w:eastAsia="Times New Roman" w:hAnsi="Arial" w:cs="Arial"/>
                <w:b w:val="0"/>
                <w:bCs w:val="0"/>
                <w:color w:val="000000"/>
                <w:sz w:val="18"/>
                <w:szCs w:val="18"/>
                <w:lang w:eastAsia="fr-FR"/>
              </w:rPr>
            </w:pPr>
            <w:r w:rsidRPr="006551E1">
              <w:rPr>
                <w:rFonts w:ascii="Arial" w:eastAsia="Times New Roman" w:hAnsi="Arial" w:cs="Arial"/>
                <w:color w:val="000000"/>
                <w:sz w:val="18"/>
                <w:szCs w:val="18"/>
                <w:lang w:eastAsia="fr-FR"/>
              </w:rPr>
              <w:t>Engagement</w:t>
            </w:r>
            <w:r>
              <w:rPr>
                <w:rFonts w:ascii="Arial" w:eastAsia="Times New Roman" w:hAnsi="Arial" w:cs="Arial"/>
                <w:b w:val="0"/>
                <w:bCs w:val="0"/>
                <w:color w:val="000000"/>
                <w:sz w:val="18"/>
                <w:szCs w:val="18"/>
                <w:lang w:eastAsia="fr-FR"/>
              </w:rPr>
              <w:t> </w:t>
            </w:r>
            <w:r w:rsidRPr="006551E1">
              <w:rPr>
                <w:rFonts w:ascii="Arial" w:eastAsia="Times New Roman" w:hAnsi="Arial" w:cs="Arial"/>
                <w:color w:val="000000"/>
                <w:sz w:val="18"/>
                <w:szCs w:val="18"/>
                <w:lang w:eastAsia="fr-FR"/>
              </w:rPr>
              <w:t>8</w:t>
            </w:r>
            <w:r>
              <w:rPr>
                <w:rFonts w:ascii="Arial" w:eastAsia="Times New Roman" w:hAnsi="Arial" w:cs="Arial"/>
                <w:b w:val="0"/>
                <w:bCs w:val="0"/>
                <w:color w:val="000000"/>
                <w:sz w:val="18"/>
                <w:szCs w:val="18"/>
                <w:lang w:eastAsia="fr-FR"/>
              </w:rPr>
              <w:t> </w:t>
            </w:r>
          </w:p>
        </w:tc>
        <w:tc>
          <w:tcPr>
            <w:tcW w:w="1134" w:type="dxa"/>
            <w:noWrap/>
            <w:vAlign w:val="center"/>
            <w:hideMark/>
          </w:tcPr>
          <w:p w14:paraId="1C1CD9DF" w14:textId="1AE06EE3" w:rsidR="008D3C79" w:rsidRPr="006551E1" w:rsidRDefault="008D3C79" w:rsidP="006551E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6551E1">
              <w:rPr>
                <w:rFonts w:ascii="Arial" w:eastAsia="Times New Roman" w:hAnsi="Arial" w:cs="Arial"/>
                <w:color w:val="000000"/>
                <w:sz w:val="18"/>
                <w:szCs w:val="18"/>
                <w:lang w:eastAsia="fr-FR"/>
              </w:rPr>
              <w:t>5</w:t>
            </w:r>
            <w:r>
              <w:rPr>
                <w:rFonts w:ascii="Arial" w:eastAsia="Times New Roman" w:hAnsi="Arial" w:cs="Arial"/>
                <w:color w:val="000000"/>
                <w:sz w:val="18"/>
                <w:szCs w:val="18"/>
                <w:lang w:eastAsia="fr-FR"/>
              </w:rPr>
              <w:t> </w:t>
            </w:r>
            <w:r w:rsidRPr="006551E1">
              <w:rPr>
                <w:rFonts w:ascii="Arial" w:eastAsia="Times New Roman" w:hAnsi="Arial" w:cs="Arial"/>
                <w:color w:val="000000"/>
                <w:sz w:val="18"/>
                <w:szCs w:val="18"/>
                <w:lang w:eastAsia="fr-FR"/>
              </w:rPr>
              <w:t>097</w:t>
            </w:r>
          </w:p>
        </w:tc>
        <w:tc>
          <w:tcPr>
            <w:tcW w:w="1134" w:type="dxa"/>
            <w:noWrap/>
            <w:vAlign w:val="center"/>
            <w:hideMark/>
          </w:tcPr>
          <w:p w14:paraId="19DF10B6" w14:textId="2F0ABCC7" w:rsidR="008D3C79" w:rsidRPr="006551E1" w:rsidRDefault="008D3C79" w:rsidP="006551E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6551E1">
              <w:rPr>
                <w:rFonts w:ascii="Arial" w:eastAsia="Times New Roman" w:hAnsi="Arial" w:cs="Arial"/>
                <w:color w:val="000000"/>
                <w:sz w:val="18"/>
                <w:szCs w:val="18"/>
                <w:lang w:eastAsia="fr-FR"/>
              </w:rPr>
              <w:t>1</w:t>
            </w:r>
            <w:r>
              <w:rPr>
                <w:rFonts w:ascii="Arial" w:eastAsia="Times New Roman" w:hAnsi="Arial" w:cs="Arial"/>
                <w:color w:val="000000"/>
                <w:sz w:val="18"/>
                <w:szCs w:val="18"/>
                <w:lang w:eastAsia="fr-FR"/>
              </w:rPr>
              <w:t> </w:t>
            </w:r>
            <w:r w:rsidRPr="006551E1">
              <w:rPr>
                <w:rFonts w:ascii="Arial" w:eastAsia="Times New Roman" w:hAnsi="Arial" w:cs="Arial"/>
                <w:color w:val="000000"/>
                <w:sz w:val="18"/>
                <w:szCs w:val="18"/>
                <w:lang w:eastAsia="fr-FR"/>
              </w:rPr>
              <w:t>155</w:t>
            </w:r>
          </w:p>
        </w:tc>
        <w:tc>
          <w:tcPr>
            <w:tcW w:w="1134" w:type="dxa"/>
            <w:noWrap/>
            <w:vAlign w:val="center"/>
            <w:hideMark/>
          </w:tcPr>
          <w:p w14:paraId="1D90E1A6" w14:textId="49F8EE9E" w:rsidR="008D3C79" w:rsidRPr="006551E1" w:rsidRDefault="008D3C79" w:rsidP="006551E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6551E1">
              <w:rPr>
                <w:rFonts w:ascii="Arial" w:eastAsia="Times New Roman" w:hAnsi="Arial" w:cs="Arial"/>
                <w:color w:val="000000"/>
                <w:sz w:val="18"/>
                <w:szCs w:val="18"/>
                <w:lang w:eastAsia="fr-FR"/>
              </w:rPr>
              <w:t>2</w:t>
            </w:r>
            <w:r>
              <w:rPr>
                <w:rFonts w:ascii="Arial" w:eastAsia="Times New Roman" w:hAnsi="Arial" w:cs="Arial"/>
                <w:color w:val="000000"/>
                <w:sz w:val="18"/>
                <w:szCs w:val="18"/>
                <w:lang w:eastAsia="fr-FR"/>
              </w:rPr>
              <w:t> </w:t>
            </w:r>
            <w:r w:rsidRPr="006551E1">
              <w:rPr>
                <w:rFonts w:ascii="Arial" w:eastAsia="Times New Roman" w:hAnsi="Arial" w:cs="Arial"/>
                <w:color w:val="000000"/>
                <w:sz w:val="18"/>
                <w:szCs w:val="18"/>
                <w:lang w:eastAsia="fr-FR"/>
              </w:rPr>
              <w:t>013</w:t>
            </w:r>
          </w:p>
        </w:tc>
        <w:tc>
          <w:tcPr>
            <w:tcW w:w="1042" w:type="dxa"/>
            <w:noWrap/>
            <w:vAlign w:val="center"/>
            <w:hideMark/>
          </w:tcPr>
          <w:p w14:paraId="5A2D5460" w14:textId="6DE6F272" w:rsidR="008D3C79" w:rsidRPr="006551E1" w:rsidRDefault="008D3C79" w:rsidP="006551E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6551E1">
              <w:rPr>
                <w:rFonts w:ascii="Arial" w:eastAsia="Times New Roman" w:hAnsi="Arial" w:cs="Arial"/>
                <w:color w:val="000000"/>
                <w:sz w:val="18"/>
                <w:szCs w:val="18"/>
                <w:lang w:eastAsia="fr-FR"/>
              </w:rPr>
              <w:t>1</w:t>
            </w:r>
            <w:r>
              <w:rPr>
                <w:rFonts w:ascii="Arial" w:eastAsia="Times New Roman" w:hAnsi="Arial" w:cs="Arial"/>
                <w:color w:val="000000"/>
                <w:sz w:val="18"/>
                <w:szCs w:val="18"/>
                <w:lang w:eastAsia="fr-FR"/>
              </w:rPr>
              <w:t> </w:t>
            </w:r>
            <w:r w:rsidRPr="006551E1">
              <w:rPr>
                <w:rFonts w:ascii="Arial" w:eastAsia="Times New Roman" w:hAnsi="Arial" w:cs="Arial"/>
                <w:color w:val="000000"/>
                <w:sz w:val="18"/>
                <w:szCs w:val="18"/>
                <w:lang w:eastAsia="fr-FR"/>
              </w:rPr>
              <w:t>928</w:t>
            </w:r>
          </w:p>
        </w:tc>
      </w:tr>
      <w:tr w:rsidR="008D3C79" w:rsidRPr="00592140" w14:paraId="749C7D8E" w14:textId="77777777" w:rsidTr="00DC0A11">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1353193E" w14:textId="77777777" w:rsidR="008D3C79" w:rsidRPr="006551E1" w:rsidRDefault="008D3C79" w:rsidP="006551E1">
            <w:pPr>
              <w:rPr>
                <w:rFonts w:ascii="Arial" w:eastAsia="Times New Roman" w:hAnsi="Arial" w:cs="Arial"/>
                <w:bCs w:val="0"/>
                <w:color w:val="000000"/>
                <w:sz w:val="18"/>
                <w:szCs w:val="18"/>
                <w:lang w:eastAsia="fr-FR"/>
              </w:rPr>
            </w:pPr>
            <w:r w:rsidRPr="006551E1">
              <w:rPr>
                <w:rFonts w:ascii="Arial" w:eastAsia="Times New Roman" w:hAnsi="Arial" w:cs="Arial"/>
                <w:color w:val="000000"/>
                <w:sz w:val="18"/>
                <w:szCs w:val="18"/>
                <w:lang w:eastAsia="fr-FR"/>
              </w:rPr>
              <w:t>Total</w:t>
            </w:r>
          </w:p>
        </w:tc>
        <w:tc>
          <w:tcPr>
            <w:tcW w:w="1134" w:type="dxa"/>
            <w:noWrap/>
            <w:vAlign w:val="center"/>
            <w:hideMark/>
          </w:tcPr>
          <w:p w14:paraId="75FC1BB0" w14:textId="430EDAAA" w:rsidR="008D3C79" w:rsidRPr="006551E1" w:rsidRDefault="008D3C79" w:rsidP="006551E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fr-FR"/>
              </w:rPr>
            </w:pPr>
            <w:r w:rsidRPr="006551E1">
              <w:rPr>
                <w:rFonts w:ascii="Arial" w:eastAsia="Times New Roman" w:hAnsi="Arial" w:cs="Arial"/>
                <w:b/>
                <w:color w:val="000000"/>
                <w:sz w:val="18"/>
                <w:szCs w:val="18"/>
                <w:lang w:eastAsia="fr-FR"/>
              </w:rPr>
              <w:t>238 714</w:t>
            </w:r>
          </w:p>
        </w:tc>
        <w:tc>
          <w:tcPr>
            <w:tcW w:w="1134" w:type="dxa"/>
            <w:noWrap/>
            <w:vAlign w:val="center"/>
            <w:hideMark/>
          </w:tcPr>
          <w:p w14:paraId="63BF29AB" w14:textId="2BE77856" w:rsidR="008D3C79" w:rsidRPr="006551E1" w:rsidRDefault="008D3C79" w:rsidP="006551E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fr-FR"/>
              </w:rPr>
            </w:pPr>
            <w:r w:rsidRPr="006551E1">
              <w:rPr>
                <w:rFonts w:ascii="Arial" w:eastAsia="Times New Roman" w:hAnsi="Arial" w:cs="Arial"/>
                <w:b/>
                <w:color w:val="000000"/>
                <w:sz w:val="18"/>
                <w:szCs w:val="18"/>
                <w:lang w:eastAsia="fr-FR"/>
              </w:rPr>
              <w:t>67 041</w:t>
            </w:r>
          </w:p>
        </w:tc>
        <w:tc>
          <w:tcPr>
            <w:tcW w:w="1134" w:type="dxa"/>
            <w:noWrap/>
            <w:vAlign w:val="center"/>
            <w:hideMark/>
          </w:tcPr>
          <w:p w14:paraId="37AE7357" w14:textId="6A004724" w:rsidR="008D3C79" w:rsidRPr="006551E1" w:rsidRDefault="008D3C79" w:rsidP="006551E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fr-FR"/>
              </w:rPr>
            </w:pPr>
            <w:r w:rsidRPr="006551E1">
              <w:rPr>
                <w:rFonts w:ascii="Arial" w:eastAsia="Times New Roman" w:hAnsi="Arial" w:cs="Arial"/>
                <w:b/>
                <w:color w:val="000000"/>
                <w:sz w:val="18"/>
                <w:szCs w:val="18"/>
                <w:lang w:eastAsia="fr-FR"/>
              </w:rPr>
              <w:t>82 850</w:t>
            </w:r>
          </w:p>
        </w:tc>
        <w:tc>
          <w:tcPr>
            <w:tcW w:w="1042" w:type="dxa"/>
            <w:noWrap/>
            <w:vAlign w:val="center"/>
            <w:hideMark/>
          </w:tcPr>
          <w:p w14:paraId="3A8BB1DD" w14:textId="27B6305B" w:rsidR="008D3C79" w:rsidRPr="006551E1" w:rsidRDefault="008D3C79" w:rsidP="006551E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fr-FR"/>
              </w:rPr>
            </w:pPr>
            <w:r w:rsidRPr="006551E1">
              <w:rPr>
                <w:rFonts w:ascii="Arial" w:eastAsia="Times New Roman" w:hAnsi="Arial" w:cs="Arial"/>
                <w:b/>
                <w:color w:val="000000"/>
                <w:sz w:val="18"/>
                <w:szCs w:val="18"/>
                <w:lang w:eastAsia="fr-FR"/>
              </w:rPr>
              <w:t>88 823</w:t>
            </w:r>
          </w:p>
        </w:tc>
      </w:tr>
    </w:tbl>
    <w:p w14:paraId="65619D5F" w14:textId="1369EBB4" w:rsidR="007E426D" w:rsidRPr="007E426D" w:rsidRDefault="007E426D" w:rsidP="006551E1">
      <w:pPr>
        <w:pStyle w:val="ParagrapheRapportPNIN"/>
      </w:pPr>
      <w:r w:rsidRPr="007E426D">
        <w:t>Globalement, 28</w:t>
      </w:r>
      <w:r w:rsidR="00592140">
        <w:t> </w:t>
      </w:r>
      <w:r w:rsidRPr="007E426D">
        <w:t xml:space="preserve">% </w:t>
      </w:r>
      <w:r w:rsidR="00592140">
        <w:t>du</w:t>
      </w:r>
      <w:r w:rsidRPr="007E426D">
        <w:t xml:space="preserve"> budget</w:t>
      </w:r>
      <w:r w:rsidR="00592140">
        <w:t xml:space="preserve"> du PA PNSN</w:t>
      </w:r>
      <w:r w:rsidRPr="007E426D">
        <w:t xml:space="preserve"> est planifié pour la première année (2017) contre 35</w:t>
      </w:r>
      <w:r w:rsidR="00592140">
        <w:t> </w:t>
      </w:r>
      <w:r w:rsidRPr="007E426D">
        <w:t>% pour la deuxième (2018) et 37</w:t>
      </w:r>
      <w:r w:rsidR="00592140">
        <w:t> </w:t>
      </w:r>
      <w:r w:rsidRPr="007E426D">
        <w:t>% pour la troisième (2019).</w:t>
      </w:r>
    </w:p>
    <w:p w14:paraId="33D15DF5" w14:textId="77777777" w:rsidR="00592140" w:rsidRDefault="00592140" w:rsidP="00104D28">
      <w:pPr>
        <w:pStyle w:val="ParagrapheRapportPNIN"/>
        <w:rPr>
          <w:rFonts w:eastAsiaTheme="minorEastAsia" w:cs="Arial"/>
          <w:color w:val="365F91" w:themeColor="accent1" w:themeShade="BF"/>
          <w:sz w:val="18"/>
          <w:szCs w:val="16"/>
          <w:lang w:eastAsia="fr-FR"/>
        </w:rPr>
      </w:pPr>
      <w:r>
        <w:br w:type="page"/>
      </w:r>
    </w:p>
    <w:p w14:paraId="6E4D5BC9" w14:textId="24D8FF93" w:rsidR="00592140" w:rsidRDefault="00592140" w:rsidP="00104D28">
      <w:pPr>
        <w:pStyle w:val="TitreillustrationPNIN"/>
      </w:pPr>
      <w:bookmarkStart w:id="38" w:name="_Toc528222377"/>
      <w:r>
        <w:lastRenderedPageBreak/>
        <w:t xml:space="preserve">Figure </w:t>
      </w:r>
      <w:r w:rsidR="00B23782">
        <w:fldChar w:fldCharType="begin"/>
      </w:r>
      <w:r w:rsidR="00B23782">
        <w:instrText xml:space="preserve"> SEQ Figure \* ARABIC </w:instrText>
      </w:r>
      <w:r w:rsidR="00B23782">
        <w:fldChar w:fldCharType="separate"/>
      </w:r>
      <w:r w:rsidR="00540DAE">
        <w:rPr>
          <w:noProof/>
        </w:rPr>
        <w:t>4</w:t>
      </w:r>
      <w:r w:rsidR="00B23782">
        <w:rPr>
          <w:noProof/>
        </w:rPr>
        <w:fldChar w:fldCharType="end"/>
      </w:r>
      <w:r>
        <w:rPr>
          <w:noProof/>
        </w:rPr>
        <w:t> </w:t>
      </w:r>
      <w:r w:rsidRPr="003E2C6B">
        <w:t>: Répartition du budget du PA de la PNSN 2017-2019 par engagement</w:t>
      </w:r>
      <w:bookmarkEnd w:id="38"/>
    </w:p>
    <w:p w14:paraId="4A7A068F" w14:textId="77777777" w:rsidR="00C61247" w:rsidRPr="007E426D" w:rsidRDefault="00C61247" w:rsidP="006551E1">
      <w:pPr>
        <w:jc w:val="right"/>
      </w:pPr>
      <w:r>
        <w:rPr>
          <w:noProof/>
          <w:lang w:eastAsia="fr-FR"/>
        </w:rPr>
        <w:drawing>
          <wp:inline distT="0" distB="0" distL="0" distR="0" wp14:anchorId="26B96A4C" wp14:editId="035311A8">
            <wp:extent cx="4581525" cy="2924175"/>
            <wp:effectExtent l="0" t="0" r="9525" b="952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3E76EC" w14:textId="4D1F88D9" w:rsidR="00C921E6" w:rsidRPr="00C23186" w:rsidRDefault="00C921E6" w:rsidP="006551E1">
      <w:pPr>
        <w:pStyle w:val="LegendeetsourcePNIN"/>
      </w:pPr>
      <w:r w:rsidRPr="006551E1">
        <w:rPr>
          <w:b/>
        </w:rPr>
        <w:t>Source</w:t>
      </w:r>
      <w:r w:rsidRPr="00C23186">
        <w:t xml:space="preserve"> : Assistance </w:t>
      </w:r>
      <w:r w:rsidR="00592140">
        <w:t>T</w:t>
      </w:r>
      <w:r w:rsidRPr="00C23186">
        <w:t>echnique de la Plateforme d’information Nutritionnelle au Niger</w:t>
      </w:r>
    </w:p>
    <w:p w14:paraId="19E3BB59" w14:textId="33B2744F" w:rsidR="007E426D" w:rsidRPr="007E426D" w:rsidRDefault="007E426D" w:rsidP="006551E1">
      <w:pPr>
        <w:pStyle w:val="ParagrapheRapportPNIN"/>
      </w:pPr>
      <w:r w:rsidRPr="007E426D">
        <w:t>Moins de 10</w:t>
      </w:r>
      <w:r w:rsidR="00592140">
        <w:t> </w:t>
      </w:r>
      <w:r w:rsidRPr="007E426D">
        <w:t>% du budget est alloué à chacun des engagements 1, 3, 4, 6, 7 et 8 de la PNSN pour la période 2017-2019. L’engagement</w:t>
      </w:r>
      <w:r w:rsidR="00F42C6B">
        <w:t> </w:t>
      </w:r>
      <w:r w:rsidRPr="007E426D">
        <w:t>5 (Nutrition et Protection Sociale) mobilise 18</w:t>
      </w:r>
      <w:r w:rsidR="00F42C6B">
        <w:t> </w:t>
      </w:r>
      <w:r w:rsidRPr="007E426D">
        <w:t xml:space="preserve">% du budget total du </w:t>
      </w:r>
      <w:r w:rsidR="00F42C6B">
        <w:t>P</w:t>
      </w:r>
      <w:r w:rsidRPr="007E426D">
        <w:t>lan d’</w:t>
      </w:r>
      <w:r w:rsidR="00F42C6B">
        <w:t>A</w:t>
      </w:r>
      <w:r w:rsidRPr="007E426D">
        <w:t>ction de la PNSN pendant que 62</w:t>
      </w:r>
      <w:r w:rsidR="00F42C6B">
        <w:t> </w:t>
      </w:r>
      <w:r w:rsidRPr="007E426D">
        <w:t>% du budget est alloué à l’engagement</w:t>
      </w:r>
      <w:r w:rsidR="00F42C6B">
        <w:t> </w:t>
      </w:r>
      <w:r w:rsidRPr="007E426D">
        <w:t>2 (interventions nutritionnelles dans le secteur de la santé). L’importante des coûts de l’engagement 5 (84%) est consacrée à la prise en charge nutritionnelle en réponse d’urgence. Une grande partie des coûts de l’engagement 2 (61</w:t>
      </w:r>
      <w:r w:rsidR="00F42C6B">
        <w:t> </w:t>
      </w:r>
      <w:r w:rsidRPr="007E426D">
        <w:t>%) est consacrée à la prise en charge de la malnutrition aiguë (sévère comme modérée)</w:t>
      </w:r>
      <w:r w:rsidRPr="007E426D">
        <w:rPr>
          <w:vertAlign w:val="superscript"/>
        </w:rPr>
        <w:footnoteReference w:id="38"/>
      </w:r>
      <w:r w:rsidRPr="007E426D">
        <w:t>.</w:t>
      </w:r>
    </w:p>
    <w:p w14:paraId="4BA2E58F" w14:textId="77777777" w:rsidR="007E426D" w:rsidRDefault="007E426D" w:rsidP="006551E1">
      <w:pPr>
        <w:pStyle w:val="ParagrapheRapportPNIN"/>
        <w:rPr>
          <w:b/>
        </w:rPr>
      </w:pPr>
      <w:r w:rsidRPr="007E426D">
        <w:rPr>
          <w:b/>
        </w:rPr>
        <w:t xml:space="preserve">La budgétisation du PA de la PNSN reste fortement liée à des interventions d’urgences dans le domaine de la santé et de la protection sociale. </w:t>
      </w:r>
    </w:p>
    <w:p w14:paraId="0F955E3F" w14:textId="3CBA12B5" w:rsidR="003C47C2" w:rsidRDefault="00F42C6B">
      <w:pPr>
        <w:pStyle w:val="ParagrapheRapportPNIN"/>
      </w:pPr>
      <w:r>
        <w:t>En 2017, s</w:t>
      </w:r>
      <w:r w:rsidR="00070ACD" w:rsidRPr="00070ACD">
        <w:t>elon l’analyse de cout efficacité des interventions spécifiques à la nutrition</w:t>
      </w:r>
      <w:r w:rsidR="00070ACD">
        <w:rPr>
          <w:rStyle w:val="Appelnotedebasdep"/>
        </w:rPr>
        <w:footnoteReference w:id="39"/>
      </w:r>
      <w:r w:rsidR="00070ACD" w:rsidRPr="00070ACD">
        <w:t xml:space="preserve"> menée sous l’égide du HC3N et en parallèle </w:t>
      </w:r>
      <w:r>
        <w:t>à</w:t>
      </w:r>
      <w:r w:rsidRPr="00070ACD">
        <w:t xml:space="preserve"> </w:t>
      </w:r>
      <w:r w:rsidR="00070ACD" w:rsidRPr="00070ACD">
        <w:t>la finalisation du PA 2017-2021 de la PNSN,</w:t>
      </w:r>
      <w:r w:rsidR="0017398F">
        <w:t xml:space="preserve"> </w:t>
      </w:r>
      <w:r w:rsidR="00070ACD" w:rsidRPr="00070ACD">
        <w:t>le niveau des investissements prévu dans le PA</w:t>
      </w:r>
      <w:r>
        <w:t> </w:t>
      </w:r>
      <w:r w:rsidR="00070ACD" w:rsidRPr="00070ACD">
        <w:t>PNSN est important</w:t>
      </w:r>
      <w:r>
        <w:t>. Cependant le niveau est</w:t>
      </w:r>
      <w:r w:rsidR="00070ACD" w:rsidRPr="00070ACD">
        <w:t xml:space="preserve"> loin d’être suffisant pour atteindre la vision et les objectifs de la PNSN.</w:t>
      </w:r>
      <w:r w:rsidR="00070ACD">
        <w:t xml:space="preserve"> Cette analyse propose des scénarios de priorisations </w:t>
      </w:r>
      <w:r w:rsidR="0017398F">
        <w:t>comme alternatives</w:t>
      </w:r>
      <w:r w:rsidR="00070ACD">
        <w:t>.</w:t>
      </w:r>
    </w:p>
    <w:p w14:paraId="3D060890" w14:textId="77777777" w:rsidR="003C47C2" w:rsidRDefault="003C47C2">
      <w:pPr>
        <w:spacing w:after="200" w:line="276" w:lineRule="auto"/>
        <w:rPr>
          <w:rFonts w:ascii="Arial" w:eastAsia="Calibri" w:hAnsi="Arial" w:cs="Calibri"/>
          <w:sz w:val="20"/>
        </w:rPr>
      </w:pPr>
      <w:r>
        <w:br w:type="page"/>
      </w:r>
    </w:p>
    <w:p w14:paraId="206E2173" w14:textId="199C173F" w:rsidR="003C47C2" w:rsidRPr="003C47C2" w:rsidRDefault="003C47C2" w:rsidP="006551E1">
      <w:pPr>
        <w:pStyle w:val="Titre2situation"/>
      </w:pPr>
      <w:bookmarkStart w:id="39" w:name="_Toc528222335"/>
      <w:r w:rsidRPr="003C47C2">
        <w:lastRenderedPageBreak/>
        <w:t xml:space="preserve">Analyse de la nutrition dans les politiques, programmes et stratégies au niveau </w:t>
      </w:r>
      <w:r>
        <w:t>sectoriel</w:t>
      </w:r>
      <w:bookmarkEnd w:id="39"/>
    </w:p>
    <w:p w14:paraId="704D4B42" w14:textId="4D6AC665" w:rsidR="007E426D" w:rsidRPr="00780F34" w:rsidRDefault="00376B7D" w:rsidP="006551E1">
      <w:pPr>
        <w:pStyle w:val="Titre3PNIN"/>
      </w:pPr>
      <w:bookmarkStart w:id="40" w:name="_Toc528222336"/>
      <w:r w:rsidRPr="00780F34">
        <w:t xml:space="preserve">La nutrition dans </w:t>
      </w:r>
      <w:r w:rsidR="007E426D" w:rsidRPr="00780F34">
        <w:t>le secteur de la santé</w:t>
      </w:r>
      <w:r w:rsidR="00AD75C0">
        <w:t xml:space="preserve"> publique</w:t>
      </w:r>
      <w:bookmarkEnd w:id="40"/>
    </w:p>
    <w:p w14:paraId="0A1A8FBC" w14:textId="4DD03AA4" w:rsidR="00130A18" w:rsidRPr="005C017F" w:rsidRDefault="003C47C2" w:rsidP="00EC23BF">
      <w:pPr>
        <w:pStyle w:val="Titre4PNIN"/>
      </w:pPr>
      <w:bookmarkStart w:id="41" w:name="_Toc528222337"/>
      <w:r>
        <w:t xml:space="preserve">4.1.1. </w:t>
      </w:r>
      <w:r w:rsidR="00130A18" w:rsidRPr="00007766">
        <w:t xml:space="preserve">Lien entre la santé et </w:t>
      </w:r>
      <w:r w:rsidR="00AE68C9" w:rsidRPr="005C017F">
        <w:t xml:space="preserve"> la </w:t>
      </w:r>
      <w:r w:rsidR="00130A18" w:rsidRPr="005C017F">
        <w:t>nutrition</w:t>
      </w:r>
      <w:bookmarkEnd w:id="41"/>
    </w:p>
    <w:p w14:paraId="06ECAEF3" w14:textId="08495709" w:rsidR="00945635" w:rsidRDefault="00945635" w:rsidP="006551E1">
      <w:pPr>
        <w:pStyle w:val="ParagrapheRapportPNIN"/>
        <w:shd w:val="clear" w:color="auto" w:fill="F2F2F2" w:themeFill="background1" w:themeFillShade="F2"/>
        <w:rPr>
          <w:b/>
        </w:rPr>
      </w:pPr>
      <w:r w:rsidRPr="00945635">
        <w:rPr>
          <w:b/>
        </w:rPr>
        <w:t>Recommandation 25</w:t>
      </w:r>
      <w:r w:rsidRPr="00945635">
        <w:t xml:space="preserve"> </w:t>
      </w:r>
      <w:r w:rsidRPr="00945635">
        <w:rPr>
          <w:b/>
        </w:rPr>
        <w:t>du cadre d’action de la CIN2</w:t>
      </w:r>
      <w:r w:rsidR="00F42C6B">
        <w:rPr>
          <w:b/>
        </w:rPr>
        <w:t> </w:t>
      </w:r>
      <w:r w:rsidRPr="00945635">
        <w:rPr>
          <w:b/>
        </w:rPr>
        <w:t xml:space="preserve">: </w:t>
      </w:r>
      <w:r w:rsidRPr="006551E1">
        <w:t>Renforcer les systèmes de services de santé et promouvoir la couverture universelle des soins de santé, en misant plus particulièrement sur les soins de santé primaires, afin que les systèmes sanitaires nationaux puissent lutter contre la malnutrition sous toutes ses formes.</w:t>
      </w:r>
    </w:p>
    <w:p w14:paraId="1C30F0EB" w14:textId="5B51A416" w:rsidR="00945635" w:rsidRDefault="00945635" w:rsidP="006551E1">
      <w:pPr>
        <w:pStyle w:val="ParagrapheRapportPNIN"/>
        <w:shd w:val="clear" w:color="auto" w:fill="F2F2F2" w:themeFill="background1" w:themeFillShade="F2"/>
      </w:pPr>
      <w:r w:rsidRPr="006551E1">
        <w:rPr>
          <w:b/>
        </w:rPr>
        <w:t>Recommandation 26 du cadre d’action de la CIN2</w:t>
      </w:r>
      <w:r w:rsidR="00F42C6B">
        <w:rPr>
          <w:b/>
        </w:rPr>
        <w:t> </w:t>
      </w:r>
      <w:r w:rsidRPr="00945635">
        <w:t>: Assurer une meilleure intégration des actions en faveur de la nutrition dans</w:t>
      </w:r>
      <w:r>
        <w:t xml:space="preserve"> </w:t>
      </w:r>
      <w:r w:rsidRPr="00945635">
        <w:t>les systèmes de services de santé grâce à des stratégies de renforcement appropriées dans divers</w:t>
      </w:r>
      <w:r>
        <w:t xml:space="preserve"> </w:t>
      </w:r>
      <w:r w:rsidRPr="00945635">
        <w:t>domaines</w:t>
      </w:r>
      <w:r w:rsidR="005662E3">
        <w:t> </w:t>
      </w:r>
      <w:r w:rsidRPr="00945635">
        <w:t>: ressources humaines, encadrement et gouvernance, financement, prestation de services,</w:t>
      </w:r>
      <w:r>
        <w:t xml:space="preserve"> </w:t>
      </w:r>
      <w:r w:rsidRPr="00945635">
        <w:t>fourniture de médicaments essentiels, information et suivi.</w:t>
      </w:r>
    </w:p>
    <w:p w14:paraId="18640E21" w14:textId="2A73D507" w:rsidR="00945635" w:rsidRDefault="00945635" w:rsidP="006551E1">
      <w:pPr>
        <w:pStyle w:val="ParagrapheRapportPNIN"/>
        <w:shd w:val="clear" w:color="auto" w:fill="F2F2F2" w:themeFill="background1" w:themeFillShade="F2"/>
      </w:pPr>
      <w:r w:rsidRPr="006551E1">
        <w:rPr>
          <w:b/>
        </w:rPr>
        <w:t>Recommandation 27 du cadre d’action de la CIN2</w:t>
      </w:r>
      <w:r w:rsidR="005662E3">
        <w:rPr>
          <w:b/>
        </w:rPr>
        <w:t> </w:t>
      </w:r>
      <w:r w:rsidRPr="00945635">
        <w:t>: Dans le cadre de programmes de santé, promouvoir l'exécution</w:t>
      </w:r>
      <w:r>
        <w:t xml:space="preserve"> </w:t>
      </w:r>
      <w:r w:rsidRPr="00945635">
        <w:t>d'interventions directes en matière de nutrition et d'actions sanitaires ayant une incidence sur la</w:t>
      </w:r>
      <w:r>
        <w:t xml:space="preserve"> </w:t>
      </w:r>
      <w:r w:rsidRPr="00945635">
        <w:t>nutrition qui soient accessibles à tous.</w:t>
      </w:r>
    </w:p>
    <w:p w14:paraId="751A0A22" w14:textId="40631019" w:rsidR="00945635" w:rsidRDefault="00945635" w:rsidP="006551E1">
      <w:pPr>
        <w:pStyle w:val="ParagrapheRapportPNIN"/>
        <w:shd w:val="clear" w:color="auto" w:fill="F2F2F2" w:themeFill="background1" w:themeFillShade="F2"/>
      </w:pPr>
      <w:r w:rsidRPr="006551E1">
        <w:rPr>
          <w:b/>
        </w:rPr>
        <w:t>Recommandation 28 du cadre d’action de la CIN2</w:t>
      </w:r>
      <w:r w:rsidR="005662E3">
        <w:rPr>
          <w:b/>
        </w:rPr>
        <w:t> </w:t>
      </w:r>
      <w:r w:rsidRPr="00945635">
        <w:t>: Mettre en œuvre la Stratégie mondiale de l'OMS pour l'alimentation du</w:t>
      </w:r>
      <w:r>
        <w:t xml:space="preserve"> </w:t>
      </w:r>
      <w:r w:rsidRPr="00945635">
        <w:t>nourrisson et du jeune enfant, le Plan d’application exhaustif 2012-2015 de l'OMS concernant la</w:t>
      </w:r>
      <w:r>
        <w:t xml:space="preserve"> </w:t>
      </w:r>
      <w:r w:rsidRPr="00945635">
        <w:t>nutrition chez la mère, le nourrisson et le jeune enfant et le Plan d’action mondial 2013-2020 de</w:t>
      </w:r>
      <w:r>
        <w:t xml:space="preserve"> </w:t>
      </w:r>
      <w:r w:rsidRPr="00945635">
        <w:t>l’OMS pour la prévention et la maîtrise des maladies non transmissibles au moyen de</w:t>
      </w:r>
      <w:r>
        <w:t xml:space="preserve"> </w:t>
      </w:r>
      <w:r w:rsidRPr="00945635">
        <w:t>financements suffisants et de politiques appropriées.</w:t>
      </w:r>
    </w:p>
    <w:p w14:paraId="463B06AB" w14:textId="05E6685A" w:rsidR="007B6A7F" w:rsidRDefault="007B6A7F" w:rsidP="006551E1">
      <w:pPr>
        <w:pStyle w:val="ParagrapheRapportPNIN"/>
        <w:shd w:val="clear" w:color="auto" w:fill="F2F2F2" w:themeFill="background1" w:themeFillShade="F2"/>
      </w:pPr>
      <w:r w:rsidRPr="006551E1">
        <w:rPr>
          <w:b/>
        </w:rPr>
        <w:t>Recommandation 29 du cadre d’action de la CIN2</w:t>
      </w:r>
      <w:r w:rsidR="005662E3">
        <w:rPr>
          <w:b/>
        </w:rPr>
        <w:t> </w:t>
      </w:r>
      <w:r w:rsidRPr="007B6A7F">
        <w:t>: Adapter et appliquer le Code international de commercialisation des</w:t>
      </w:r>
      <w:r>
        <w:t xml:space="preserve"> </w:t>
      </w:r>
      <w:r w:rsidRPr="007B6A7F">
        <w:t>substituts du lait maternel et les résolutions connexes adoptées ultérieurement par l'Assemblée</w:t>
      </w:r>
      <w:r>
        <w:t xml:space="preserve"> </w:t>
      </w:r>
      <w:r w:rsidRPr="007B6A7F">
        <w:t>mondiale de la santé.</w:t>
      </w:r>
    </w:p>
    <w:p w14:paraId="33F5BF65" w14:textId="710FB61B" w:rsidR="00517890" w:rsidRDefault="00517890" w:rsidP="006551E1">
      <w:pPr>
        <w:pStyle w:val="ParagrapheRapportPNIN"/>
        <w:shd w:val="clear" w:color="auto" w:fill="F2F2F2" w:themeFill="background1" w:themeFillShade="F2"/>
      </w:pPr>
      <w:r w:rsidRPr="006551E1">
        <w:rPr>
          <w:b/>
        </w:rPr>
        <w:t>Recommandation 31 du cadre d’action de la CIN2</w:t>
      </w:r>
      <w:r w:rsidR="005662E3">
        <w:rPr>
          <w:b/>
        </w:rPr>
        <w:t> </w:t>
      </w:r>
      <w:r w:rsidRPr="00517890">
        <w:t>: Mettre en œuvre des politiques, des programmes et des actions visant à faire</w:t>
      </w:r>
      <w:r>
        <w:t xml:space="preserve"> </w:t>
      </w:r>
      <w:r w:rsidRPr="00517890">
        <w:t>en sorte que les services de santé puissent promouvoir, protéger et faciliter l'allaitement maternel,</w:t>
      </w:r>
      <w:r>
        <w:t xml:space="preserve"> </w:t>
      </w:r>
      <w:r w:rsidRPr="00517890">
        <w:t>y compris dans le cadre de l'initiative Hôpitaux amis des bébés.</w:t>
      </w:r>
    </w:p>
    <w:p w14:paraId="4A5D2D9F" w14:textId="15AB12C0" w:rsidR="00517890" w:rsidRDefault="00517890" w:rsidP="006551E1">
      <w:pPr>
        <w:pStyle w:val="ParagrapheRapportPNIN"/>
        <w:shd w:val="clear" w:color="auto" w:fill="F2F2F2" w:themeFill="background1" w:themeFillShade="F2"/>
      </w:pPr>
      <w:r w:rsidRPr="006551E1">
        <w:rPr>
          <w:b/>
        </w:rPr>
        <w:t>Recommandation 32 du cadre d’action de la CIN2</w:t>
      </w:r>
      <w:r w:rsidR="005662E3">
        <w:rPr>
          <w:b/>
        </w:rPr>
        <w:t> </w:t>
      </w:r>
      <w:r w:rsidRPr="00517890">
        <w:t>: Encourager et promouvoir, au moyen d'activités de plaidoyer, d'éducation et</w:t>
      </w:r>
      <w:r>
        <w:t xml:space="preserve"> </w:t>
      </w:r>
      <w:r w:rsidRPr="00517890">
        <w:t>de renforcement des capacités, un environnement porteur dans lequel les hommes, en particulier</w:t>
      </w:r>
      <w:r>
        <w:t xml:space="preserve"> </w:t>
      </w:r>
      <w:r w:rsidRPr="00517890">
        <w:t>les pères, s'occupent activement de leurs nourrissons et jeunes enfants et partagent cette</w:t>
      </w:r>
      <w:r>
        <w:t xml:space="preserve"> </w:t>
      </w:r>
      <w:r w:rsidRPr="00517890">
        <w:t>responsabilité avec les mères. En parallèle, renforcer l'autonomisation des femmes et améliorer</w:t>
      </w:r>
      <w:r>
        <w:t xml:space="preserve"> </w:t>
      </w:r>
      <w:r w:rsidRPr="00517890">
        <w:t>leur santé et leur état nutritionnel tout au long de leur existence</w:t>
      </w:r>
      <w:r w:rsidR="005662E3">
        <w:t>.</w:t>
      </w:r>
    </w:p>
    <w:p w14:paraId="7204399C" w14:textId="5EFB0CF7" w:rsidR="004D6260" w:rsidRDefault="004D6260" w:rsidP="006551E1">
      <w:pPr>
        <w:pStyle w:val="ParagrapheRapportPNIN"/>
        <w:shd w:val="clear" w:color="auto" w:fill="F2F2F2" w:themeFill="background1" w:themeFillShade="F2"/>
      </w:pPr>
      <w:r w:rsidRPr="006551E1">
        <w:rPr>
          <w:b/>
        </w:rPr>
        <w:t>Recommandation 34 du cadre d’action de la CIN2</w:t>
      </w:r>
      <w:r w:rsidR="005662E3">
        <w:t> </w:t>
      </w:r>
      <w:r w:rsidRPr="004D6260">
        <w:t>: Adopter des politiques et des mesures et mobiliser les financements</w:t>
      </w:r>
      <w:r>
        <w:t xml:space="preserve"> </w:t>
      </w:r>
      <w:r w:rsidRPr="004D6260">
        <w:t>nécessaires afin que le traitement du dépérissement soit plus largement accessible grâce à une</w:t>
      </w:r>
      <w:r>
        <w:t xml:space="preserve"> </w:t>
      </w:r>
      <w:r w:rsidRPr="004D6260">
        <w:t>approche communautaire de lutte contre la malnutrition aiguë et pour améliorer la gestion intégrée</w:t>
      </w:r>
      <w:r>
        <w:t xml:space="preserve"> </w:t>
      </w:r>
      <w:r w:rsidRPr="004D6260">
        <w:t>des maladies de l'enfant</w:t>
      </w:r>
      <w:r w:rsidR="005662E3">
        <w:t>.</w:t>
      </w:r>
    </w:p>
    <w:p w14:paraId="10712489" w14:textId="602D546E" w:rsidR="001A2F33" w:rsidRPr="001A2F33" w:rsidRDefault="001A2F33" w:rsidP="006551E1">
      <w:pPr>
        <w:pStyle w:val="ParagrapheRapportPNIN"/>
        <w:shd w:val="clear" w:color="auto" w:fill="F2F2F2" w:themeFill="background1" w:themeFillShade="F2"/>
      </w:pPr>
      <w:r w:rsidRPr="006551E1">
        <w:rPr>
          <w:b/>
        </w:rPr>
        <w:t>Recommandation 36 du cadre d’action de la CIN2</w:t>
      </w:r>
      <w:r w:rsidR="005662E3">
        <w:t> </w:t>
      </w:r>
      <w:r w:rsidRPr="001A2F33">
        <w:t>: Mettre en place des politiques et renforcer les interventions pertinentes afin</w:t>
      </w:r>
      <w:r>
        <w:t xml:space="preserve"> </w:t>
      </w:r>
      <w:r w:rsidRPr="001A2F33">
        <w:t>d'améliorer la nutrition et la santé maternelles, depuis le stade de l'adolescence jusqu'aux périodes</w:t>
      </w:r>
      <w:r>
        <w:t xml:space="preserve"> </w:t>
      </w:r>
      <w:r w:rsidRPr="001A2F33">
        <w:t>de grossesse et d'allaitement.</w:t>
      </w:r>
    </w:p>
    <w:p w14:paraId="7D2283FE" w14:textId="460CE94F" w:rsidR="001A2F33" w:rsidRDefault="001A2F33" w:rsidP="006551E1">
      <w:pPr>
        <w:pStyle w:val="ParagrapheRapportPNIN"/>
        <w:shd w:val="clear" w:color="auto" w:fill="F2F2F2" w:themeFill="background1" w:themeFillShade="F2"/>
      </w:pPr>
      <w:r w:rsidRPr="006551E1">
        <w:rPr>
          <w:b/>
        </w:rPr>
        <w:lastRenderedPageBreak/>
        <w:t>Recommandation 37 du cadre d’action de la CIN2</w:t>
      </w:r>
      <w:r w:rsidR="005662E3">
        <w:t> </w:t>
      </w:r>
      <w:r w:rsidRPr="001A2F33">
        <w:t>: Élaborer des politiques, des programmes et des stratégies en matière de</w:t>
      </w:r>
      <w:r>
        <w:t xml:space="preserve"> </w:t>
      </w:r>
      <w:r w:rsidRPr="001A2F33">
        <w:t>santé, afin de promouvoir une alimentation optimale du nourrisson et de l'enfant en bas âge, en</w:t>
      </w:r>
      <w:r>
        <w:t xml:space="preserve"> </w:t>
      </w:r>
      <w:r w:rsidRPr="001A2F33">
        <w:t>particulier l'allaitement exclusif au sein pendant les six premiers mois, suivi d'une période</w:t>
      </w:r>
      <w:r>
        <w:t xml:space="preserve"> </w:t>
      </w:r>
      <w:r w:rsidRPr="001A2F33">
        <w:t>d'alimentation d'appoint suffisante (entre 6 et 24 mois)</w:t>
      </w:r>
      <w:r w:rsidR="005662E3">
        <w:t>.</w:t>
      </w:r>
    </w:p>
    <w:p w14:paraId="64A8A876" w14:textId="785F645F" w:rsidR="00F65226" w:rsidRDefault="00F65226" w:rsidP="006551E1">
      <w:pPr>
        <w:pStyle w:val="ParagrapheRapportPNIN"/>
        <w:shd w:val="clear" w:color="auto" w:fill="F2F2F2" w:themeFill="background1" w:themeFillShade="F2"/>
      </w:pPr>
      <w:r w:rsidRPr="006551E1">
        <w:rPr>
          <w:b/>
        </w:rPr>
        <w:t>Recommandation 38</w:t>
      </w:r>
      <w:r w:rsidR="001A2F33" w:rsidRPr="006551E1">
        <w:rPr>
          <w:b/>
        </w:rPr>
        <w:t xml:space="preserve"> du cadre d’action de la CIN2</w:t>
      </w:r>
      <w:r w:rsidR="005662E3">
        <w:rPr>
          <w:b/>
        </w:rPr>
        <w:t> </w:t>
      </w:r>
      <w:r w:rsidRPr="00F65226">
        <w:t xml:space="preserve"> Fournir des conseils en matière d'alimentation aux femmes enceintes pour</w:t>
      </w:r>
      <w:r w:rsidR="001A2F33">
        <w:t xml:space="preserve"> </w:t>
      </w:r>
      <w:r w:rsidRPr="00F65226">
        <w:t>favoriser une prise de poids saine et une nutrition adéquate.</w:t>
      </w:r>
    </w:p>
    <w:p w14:paraId="77E6469E" w14:textId="14E8455A" w:rsidR="00F65226" w:rsidRDefault="00F65226" w:rsidP="006551E1">
      <w:pPr>
        <w:pStyle w:val="ParagrapheRapportPNIN"/>
        <w:shd w:val="clear" w:color="auto" w:fill="F2F2F2" w:themeFill="background1" w:themeFillShade="F2"/>
      </w:pPr>
      <w:r w:rsidRPr="006551E1">
        <w:rPr>
          <w:b/>
        </w:rPr>
        <w:t>Recommandation 39</w:t>
      </w:r>
      <w:r w:rsidR="001A2F33" w:rsidRPr="006551E1">
        <w:rPr>
          <w:b/>
        </w:rPr>
        <w:t xml:space="preserve"> du cadre d’action de la CIN2</w:t>
      </w:r>
      <w:r w:rsidR="005662E3">
        <w:rPr>
          <w:b/>
        </w:rPr>
        <w:t> </w:t>
      </w:r>
      <w:r w:rsidRPr="00F65226">
        <w:t>: Améliorer l'état nutritionnel et la croissance de l'enfant, notamment en</w:t>
      </w:r>
      <w:r w:rsidR="001A2F33">
        <w:t xml:space="preserve"> </w:t>
      </w:r>
      <w:r w:rsidRPr="00F65226">
        <w:t>s'attaquant au problème de l'exposition de la mère à l'offre commerciale d'aliments d'appoint</w:t>
      </w:r>
      <w:r w:rsidR="001A2F33">
        <w:t xml:space="preserve"> </w:t>
      </w:r>
      <w:r w:rsidRPr="00F65226">
        <w:t>facilement accessibles et en améliorant les programmes d'alimentation d'appoint à l'intention des</w:t>
      </w:r>
      <w:r w:rsidR="001A2F33">
        <w:t xml:space="preserve"> </w:t>
      </w:r>
      <w:r w:rsidRPr="00F65226">
        <w:t>nourrissons et des enfants en bas âge.</w:t>
      </w:r>
    </w:p>
    <w:p w14:paraId="469A4BF8" w14:textId="394AAC88" w:rsidR="00F65226" w:rsidRDefault="00F65226" w:rsidP="006551E1">
      <w:pPr>
        <w:pStyle w:val="ParagrapheRapportPNIN"/>
        <w:shd w:val="clear" w:color="auto" w:fill="F2F2F2" w:themeFill="background1" w:themeFillShade="F2"/>
      </w:pPr>
      <w:r w:rsidRPr="006551E1">
        <w:rPr>
          <w:b/>
        </w:rPr>
        <w:t>Recommandation 40</w:t>
      </w:r>
      <w:r w:rsidR="001A2F33" w:rsidRPr="006551E1">
        <w:rPr>
          <w:b/>
        </w:rPr>
        <w:t xml:space="preserve"> du cadre d’action de la CIN2</w:t>
      </w:r>
      <w:r w:rsidR="005662E3">
        <w:rPr>
          <w:b/>
        </w:rPr>
        <w:t> </w:t>
      </w:r>
      <w:r w:rsidRPr="00F65226">
        <w:t>: Réglementer la commercialisation des produits alimentaires et des boissons</w:t>
      </w:r>
      <w:r w:rsidR="001A2F33">
        <w:t xml:space="preserve"> </w:t>
      </w:r>
      <w:r w:rsidRPr="00F65226">
        <w:t>non alcoolisées destinés aux enfants conformément aux recommandations de l'OMS.</w:t>
      </w:r>
    </w:p>
    <w:p w14:paraId="052AAF36" w14:textId="57312A6B" w:rsidR="00F65226" w:rsidRDefault="00F65226" w:rsidP="006551E1">
      <w:pPr>
        <w:pStyle w:val="ParagrapheRapportPNIN"/>
        <w:shd w:val="clear" w:color="auto" w:fill="F2F2F2" w:themeFill="background1" w:themeFillShade="F2"/>
      </w:pPr>
      <w:r w:rsidRPr="006551E1">
        <w:rPr>
          <w:b/>
        </w:rPr>
        <w:t>Recommandation 41</w:t>
      </w:r>
      <w:r w:rsidR="001A2F33" w:rsidRPr="006551E1">
        <w:rPr>
          <w:b/>
        </w:rPr>
        <w:t xml:space="preserve"> du cadre d’action de la CIN2</w:t>
      </w:r>
      <w:r w:rsidR="005662E3">
        <w:rPr>
          <w:b/>
        </w:rPr>
        <w:t> </w:t>
      </w:r>
      <w:r w:rsidRPr="00F65226">
        <w:t>: Créer un envi</w:t>
      </w:r>
      <w:r w:rsidR="004D6260">
        <w:t xml:space="preserve">ronnement porteur qui encourage </w:t>
      </w:r>
      <w:r w:rsidRPr="00F65226">
        <w:t>l'activité physique pour lutter</w:t>
      </w:r>
      <w:r w:rsidR="001A2F33">
        <w:t xml:space="preserve"> </w:t>
      </w:r>
      <w:r w:rsidRPr="00F65226">
        <w:t>contre la sédentarité dès les premiers stades de la vie.</w:t>
      </w:r>
    </w:p>
    <w:p w14:paraId="13C7CAB3" w14:textId="09417E95" w:rsidR="00532AB0" w:rsidRDefault="00532AB0" w:rsidP="006551E1">
      <w:pPr>
        <w:pStyle w:val="ParagrapheRapportPNIN"/>
        <w:shd w:val="clear" w:color="auto" w:fill="F2F2F2" w:themeFill="background1" w:themeFillShade="F2"/>
      </w:pPr>
      <w:r w:rsidRPr="006551E1">
        <w:rPr>
          <w:b/>
        </w:rPr>
        <w:t>Recommandation 43 du cadre d’action de la CIN2</w:t>
      </w:r>
      <w:r w:rsidR="005662E3">
        <w:rPr>
          <w:b/>
        </w:rPr>
        <w:t> </w:t>
      </w:r>
      <w:r w:rsidRPr="00532AB0">
        <w:t>: Fournir aux femmes enceintes une supplémentation quotidienne en fer, en acide folique et divers autres micronutriments dans le cadre de soins prénatals et fournir aux femmes une complémentation intermittente en fer et en acide folique pendant le cycle menstruel, lorsque la prévalence de l'anémie est de 20</w:t>
      </w:r>
      <w:r w:rsidR="005662E3">
        <w:t xml:space="preserve"> % </w:t>
      </w:r>
      <w:r w:rsidRPr="00532AB0">
        <w:t>ou plus, ainsi qu'un traitement vermifuge, le cas échéant.</w:t>
      </w:r>
    </w:p>
    <w:p w14:paraId="63E478D6" w14:textId="30A1BF85" w:rsidR="006A538F" w:rsidRPr="006A538F" w:rsidRDefault="006A538F" w:rsidP="006551E1">
      <w:pPr>
        <w:pStyle w:val="ParagrapheRapportPNIN"/>
        <w:shd w:val="clear" w:color="auto" w:fill="F2F2F2" w:themeFill="background1" w:themeFillShade="F2"/>
      </w:pPr>
      <w:r w:rsidRPr="006551E1">
        <w:rPr>
          <w:b/>
        </w:rPr>
        <w:t>Recommandation 44 du cadre d’action de la CIN2</w:t>
      </w:r>
      <w:r w:rsidR="005662E3">
        <w:t> </w:t>
      </w:r>
      <w:r w:rsidRPr="006A538F">
        <w:t>: Mettre en œuvre des politiques et des programmes visant à garantir à tous l'accès à des moustiquaires imprégnées d'insecticide et leur utilisation et à faire en sorte qu'un traitement préventif contre le paludisme soit donné aux femmes enceintes dans les zones où le risque de transmission de cette maladie est modéré à élevé.</w:t>
      </w:r>
    </w:p>
    <w:p w14:paraId="4B4A7A87" w14:textId="04C60ED3" w:rsidR="006A538F" w:rsidRPr="006A538F" w:rsidRDefault="006A538F" w:rsidP="006551E1">
      <w:pPr>
        <w:pStyle w:val="ParagrapheRapportPNIN"/>
        <w:shd w:val="clear" w:color="auto" w:fill="F2F2F2" w:themeFill="background1" w:themeFillShade="F2"/>
      </w:pPr>
      <w:r w:rsidRPr="006551E1">
        <w:rPr>
          <w:b/>
        </w:rPr>
        <w:t>Recommandation 45 du cadre d’action de la CIN2</w:t>
      </w:r>
      <w:r w:rsidR="005662E3">
        <w:rPr>
          <w:b/>
        </w:rPr>
        <w:t> </w:t>
      </w:r>
      <w:r w:rsidRPr="006A538F">
        <w:t>: Assurer le déparasitage périodique de tous les enfants d'âge scolaire dans les zones endémiques.</w:t>
      </w:r>
    </w:p>
    <w:p w14:paraId="01B63B3F" w14:textId="483D1D4B" w:rsidR="006A538F" w:rsidRPr="006A538F" w:rsidRDefault="006A538F" w:rsidP="006551E1">
      <w:pPr>
        <w:pStyle w:val="ParagrapheRapportPNIN"/>
        <w:shd w:val="clear" w:color="auto" w:fill="F2F2F2" w:themeFill="background1" w:themeFillShade="F2"/>
      </w:pPr>
      <w:r w:rsidRPr="006551E1">
        <w:rPr>
          <w:b/>
        </w:rPr>
        <w:t>Recommandation 46 du cadre d’action de la CIN2</w:t>
      </w:r>
      <w:r w:rsidR="005662E3">
        <w:rPr>
          <w:b/>
        </w:rPr>
        <w:t> </w:t>
      </w:r>
      <w:r w:rsidRPr="006A538F">
        <w:t>: Mettre en œuvre des politiques et des programmes visant à améliorer l'aptitude des services de santé à prévenir et traiter les maladies infectieuses.</w:t>
      </w:r>
    </w:p>
    <w:p w14:paraId="23E48B27" w14:textId="4EC4C844" w:rsidR="006A538F" w:rsidRPr="006A538F" w:rsidRDefault="006A538F" w:rsidP="006551E1">
      <w:pPr>
        <w:pStyle w:val="ParagrapheRapportPNIN"/>
        <w:shd w:val="clear" w:color="auto" w:fill="F2F2F2" w:themeFill="background1" w:themeFillShade="F2"/>
      </w:pPr>
      <w:r w:rsidRPr="006551E1">
        <w:rPr>
          <w:b/>
        </w:rPr>
        <w:t>Recommandation 47 du cadre d’action de la CIN2</w:t>
      </w:r>
      <w:r w:rsidR="005662E3">
        <w:rPr>
          <w:b/>
        </w:rPr>
        <w:t> </w:t>
      </w:r>
      <w:r w:rsidRPr="006A538F">
        <w:t>: Fournir une complémentation en zinc pour réduire la durée et atténuer la gravité des épisodes diarrhéiques et en éviter la répétition chez l'enfant.</w:t>
      </w:r>
    </w:p>
    <w:p w14:paraId="53880017" w14:textId="00AD7183" w:rsidR="006A538F" w:rsidRPr="006A538F" w:rsidRDefault="006A538F" w:rsidP="006551E1">
      <w:pPr>
        <w:pStyle w:val="ParagrapheRapportPNIN"/>
        <w:shd w:val="clear" w:color="auto" w:fill="F2F2F2" w:themeFill="background1" w:themeFillShade="F2"/>
      </w:pPr>
      <w:r w:rsidRPr="006551E1">
        <w:rPr>
          <w:b/>
        </w:rPr>
        <w:t>Recommandation 48 du cadre d’action de la CIN2</w:t>
      </w:r>
      <w:r w:rsidR="005662E3">
        <w:rPr>
          <w:b/>
        </w:rPr>
        <w:t> </w:t>
      </w:r>
      <w:r w:rsidRPr="006A538F">
        <w:t>: Fournir aux enfants d’âge préscolaire une supplémentation en fer et</w:t>
      </w:r>
      <w:r w:rsidR="005662E3">
        <w:t>,</w:t>
      </w:r>
      <w:r w:rsidRPr="006A538F">
        <w:t xml:space="preserve"> entre autres, en vitamine A de manière à réduire le risque d'anémie.</w:t>
      </w:r>
    </w:p>
    <w:p w14:paraId="3808D998" w14:textId="326BDBA4" w:rsidR="00130A18" w:rsidRPr="006A538F" w:rsidRDefault="006A538F" w:rsidP="006551E1">
      <w:pPr>
        <w:pStyle w:val="ParagrapheRapportPNIN"/>
        <w:shd w:val="clear" w:color="auto" w:fill="F2F2F2" w:themeFill="background1" w:themeFillShade="F2"/>
      </w:pPr>
      <w:r w:rsidRPr="006551E1">
        <w:rPr>
          <w:b/>
        </w:rPr>
        <w:t>Recommandation 49 du cadre d’action de la CIN2</w:t>
      </w:r>
      <w:r w:rsidR="005662E3">
        <w:rPr>
          <w:b/>
        </w:rPr>
        <w:t> </w:t>
      </w:r>
      <w:r w:rsidRPr="006A538F">
        <w:t>: Mettre en œuvre des politiques et des stratégies pour faire en sorte que les femmes soient informées de manière exhaustive et disposent d'un accès total à des services de santé complets qui assurent un appui approprié pour une grossesse et un accouchement sans risques.</w:t>
      </w:r>
    </w:p>
    <w:p w14:paraId="46905BD5" w14:textId="2D070DC4" w:rsidR="00664FC8" w:rsidRDefault="00664FC8" w:rsidP="006551E1">
      <w:pPr>
        <w:pStyle w:val="ParagrapheRapportPNIN"/>
      </w:pPr>
      <w:r>
        <w:lastRenderedPageBreak/>
        <w:t xml:space="preserve">De nombreux liens directs existent entre nutrition et santé. Les interventions de santé qui affectent principalement </w:t>
      </w:r>
      <w:r w:rsidR="005662E3">
        <w:t xml:space="preserve">les </w:t>
      </w:r>
      <w:r>
        <w:t xml:space="preserve">résultats nutritionnels ou </w:t>
      </w:r>
      <w:r w:rsidR="005662E3">
        <w:t xml:space="preserve">qui </w:t>
      </w:r>
      <w:r>
        <w:t>affecte</w:t>
      </w:r>
      <w:r w:rsidR="005662E3">
        <w:t xml:space="preserve">nt </w:t>
      </w:r>
      <w:r>
        <w:t>la morbidité et la mortalité à travers une voie nutritionnelle ont été identifiées. Ces interventions sont reconnues</w:t>
      </w:r>
      <w:r w:rsidR="005662E3">
        <w:t xml:space="preserve"> pour</w:t>
      </w:r>
      <w:r>
        <w:t xml:space="preserve"> avoir un lien avec la réduction du retard de croissance et ont été modélisé à travers l’outil Lives Saved (LiST) sur la base des publications des Lancet Series de 2008 et de 2013. </w:t>
      </w:r>
      <w:r w:rsidR="005662E3">
        <w:t xml:space="preserve">Les interventions </w:t>
      </w:r>
      <w:r>
        <w:t>peuvent être regroupé</w:t>
      </w:r>
      <w:r w:rsidR="005662E3">
        <w:t>e</w:t>
      </w:r>
      <w:r>
        <w:t>s en trois catégories</w:t>
      </w:r>
      <w:r w:rsidR="005662E3">
        <w:t> </w:t>
      </w:r>
      <w:r>
        <w:t xml:space="preserve">: </w:t>
      </w:r>
    </w:p>
    <w:p w14:paraId="2B1FDC63" w14:textId="6B93EDC5" w:rsidR="00664FC8" w:rsidRDefault="005662E3" w:rsidP="006551E1">
      <w:pPr>
        <w:pStyle w:val="PucesRapportPNIN"/>
      </w:pPr>
      <w:r>
        <w:t>1) </w:t>
      </w:r>
      <w:r>
        <w:rPr>
          <w:b/>
        </w:rPr>
        <w:t>L</w:t>
      </w:r>
      <w:r w:rsidR="00664FC8" w:rsidRPr="006551E1">
        <w:rPr>
          <w:b/>
        </w:rPr>
        <w:t>es interventions préventives spécifiques à la nutrition</w:t>
      </w:r>
      <w:r w:rsidR="00664FC8">
        <w:t xml:space="preserve"> qui comportent la supplémentation en rations équilibrés d'énergie et</w:t>
      </w:r>
      <w:r>
        <w:t xml:space="preserve"> de</w:t>
      </w:r>
      <w:r w:rsidR="00664FC8">
        <w:t xml:space="preserve"> protéines pendant la grossesse, les pratiques optimales d’</w:t>
      </w:r>
      <w:r>
        <w:t>A</w:t>
      </w:r>
      <w:r w:rsidR="00664FC8">
        <w:t xml:space="preserve">limentation du </w:t>
      </w:r>
      <w:r>
        <w:t>N</w:t>
      </w:r>
      <w:r w:rsidR="00664FC8">
        <w:t>ourrisson et du Jeune Enfant (ANJE), le Blanket feeding ou supplémentation en vivres durant la période de soudure, les supplémentations en micronutriments (supplémentation en fer/folate pour les femmes enceintes, la supplémentation en fer /acide folique des adolescentes, la supplémentation en Vitamine chez les enfants âgés de 6</w:t>
      </w:r>
      <w:r>
        <w:t> mois</w:t>
      </w:r>
      <w:r w:rsidR="00664FC8">
        <w:t xml:space="preserve"> à 59</w:t>
      </w:r>
      <w:r>
        <w:t> </w:t>
      </w:r>
      <w:r w:rsidR="00664FC8">
        <w:t xml:space="preserve">mois, la supplémentation préventive en zinc, le déparasitage chez les enfants, </w:t>
      </w:r>
      <w:r>
        <w:t>l’</w:t>
      </w:r>
      <w:r w:rsidR="00664FC8">
        <w:t>iodation universelle du sel.</w:t>
      </w:r>
    </w:p>
    <w:p w14:paraId="00568BEC" w14:textId="25159089" w:rsidR="00664FC8" w:rsidRDefault="005662E3" w:rsidP="006551E1">
      <w:pPr>
        <w:pStyle w:val="PucesRapportPNIN"/>
      </w:pPr>
      <w:r>
        <w:t>2) </w:t>
      </w:r>
      <w:r w:rsidRPr="006551E1">
        <w:rPr>
          <w:b/>
        </w:rPr>
        <w:t>L</w:t>
      </w:r>
      <w:r w:rsidR="00664FC8" w:rsidRPr="006551E1">
        <w:rPr>
          <w:b/>
        </w:rPr>
        <w:t>es interventions curatives spécifiques à la nutrition</w:t>
      </w:r>
      <w:r w:rsidR="00664FC8">
        <w:t xml:space="preserve"> qui comprennent la Prise en Charge Intégrée de la Malnutrition Aiguë (PCIMA) (modérée et sévère) </w:t>
      </w:r>
    </w:p>
    <w:p w14:paraId="13429AEE" w14:textId="75281080" w:rsidR="00130A18" w:rsidRDefault="005662E3" w:rsidP="006551E1">
      <w:pPr>
        <w:pStyle w:val="PucesRapportPNIN"/>
      </w:pPr>
      <w:r>
        <w:t>3) </w:t>
      </w:r>
      <w:r w:rsidRPr="006551E1">
        <w:rPr>
          <w:b/>
        </w:rPr>
        <w:t>L</w:t>
      </w:r>
      <w:r w:rsidR="00664FC8" w:rsidRPr="006551E1">
        <w:rPr>
          <w:b/>
        </w:rPr>
        <w:t>es interventions de Santé Maternelle, Néonatale et Infantile</w:t>
      </w:r>
      <w:r w:rsidR="00664FC8">
        <w:t xml:space="preserve"> (SMNI) sensibles à la nutrition qui comportent la prise en charge du paludisme, la prophylaxie du paludisme et </w:t>
      </w:r>
      <w:r w:rsidR="00007766">
        <w:t xml:space="preserve">le </w:t>
      </w:r>
      <w:r w:rsidR="00664FC8">
        <w:t xml:space="preserve">traitement préventif intermittent du paludisme chez les femmes enceintes et les enfants, la Chimio-prophylaxie Saisonnière du Paludisme (CPS) par les Antipaludéens issus de Combinaisons Thérapeutiques à base d’Artémisinine (ACT), l'utilisation de moustiquaires imprégnées d'insecticide, la Consultation Prénatale Recentrée (CPNR), le traitement de la diarrhée par la Solution de Réhydratation Oral combiné au Zinc (SRO/Zinc), le traitement de la pneumonie par les antibiotiques oraux, la méthode Kangourou qui est </w:t>
      </w:r>
      <w:r w:rsidR="00007766">
        <w:t xml:space="preserve">une </w:t>
      </w:r>
      <w:r w:rsidR="00664FC8">
        <w:t>méthode de soins du nouveau-né.</w:t>
      </w:r>
    </w:p>
    <w:p w14:paraId="7D3E46CB" w14:textId="487B41F6" w:rsidR="00130A18" w:rsidRDefault="003C47C2" w:rsidP="00EC23BF">
      <w:pPr>
        <w:pStyle w:val="Titre4PNIN"/>
      </w:pPr>
      <w:bookmarkStart w:id="42" w:name="_Toc528222338"/>
      <w:r>
        <w:t>4.1.2</w:t>
      </w:r>
      <w:r w:rsidR="00007766">
        <w:t xml:space="preserve">. </w:t>
      </w:r>
      <w:r w:rsidR="00130A18">
        <w:t>La nutrition dans les documents de politiques, stratégies, programmes et plans du secteur de la santé</w:t>
      </w:r>
      <w:r w:rsidR="00AE68C9">
        <w:t xml:space="preserve"> au Niger</w:t>
      </w:r>
      <w:bookmarkEnd w:id="42"/>
    </w:p>
    <w:p w14:paraId="4889CAE1" w14:textId="4A4524B6" w:rsidR="00007766" w:rsidRDefault="00D6438F" w:rsidP="006551E1">
      <w:pPr>
        <w:pStyle w:val="ParagrapheRapportPNIN"/>
      </w:pPr>
      <w:r w:rsidRPr="005C017F">
        <w:t xml:space="preserve">La Politique Nationale de Santé (PNS) et </w:t>
      </w:r>
      <w:r w:rsidR="00B4722B" w:rsidRPr="005C017F">
        <w:t xml:space="preserve">le </w:t>
      </w:r>
      <w:r w:rsidRPr="00540DAE">
        <w:t xml:space="preserve">Plan de Développement Sanitaire (PDS) 2017-2021 qui en découle, </w:t>
      </w:r>
      <w:r w:rsidR="00007766">
        <w:t>ont été</w:t>
      </w:r>
      <w:r w:rsidRPr="00007766">
        <w:t xml:space="preserve"> adoptés en mars</w:t>
      </w:r>
      <w:r w:rsidR="00007766">
        <w:t> </w:t>
      </w:r>
      <w:r w:rsidRPr="00007766">
        <w:t>2017.</w:t>
      </w:r>
      <w:r w:rsidR="00563EA3" w:rsidRPr="00007766">
        <w:t xml:space="preserve"> </w:t>
      </w:r>
      <w:r w:rsidRPr="00007766">
        <w:t>Le Plan de Développement Sanitaire (PDS 2017-2021)</w:t>
      </w:r>
      <w:r w:rsidRPr="005C017F">
        <w:t xml:space="preserve"> constitue la première traduction opérationnelle de la PNS. Le PDS s’articule autour de trois programmes</w:t>
      </w:r>
      <w:r w:rsidR="00007766">
        <w:t> </w:t>
      </w:r>
      <w:r w:rsidRPr="00007766">
        <w:t>:</w:t>
      </w:r>
    </w:p>
    <w:p w14:paraId="2A73A2AD" w14:textId="0E53D0A0" w:rsidR="00007766" w:rsidRDefault="00D6438F" w:rsidP="006551E1">
      <w:pPr>
        <w:pStyle w:val="PucesRapportPNIN"/>
      </w:pPr>
      <w:r w:rsidRPr="00007766">
        <w:t>1</w:t>
      </w:r>
      <w:r w:rsidR="00007766">
        <w:t>) L’</w:t>
      </w:r>
      <w:r w:rsidRPr="00007766">
        <w:t>amélioration de la gouvernance et du leadership</w:t>
      </w:r>
      <w:r w:rsidR="00007766">
        <w:t> </w:t>
      </w:r>
      <w:r w:rsidRPr="00007766">
        <w:t xml:space="preserve">; </w:t>
      </w:r>
    </w:p>
    <w:p w14:paraId="485C1042" w14:textId="25EAD6F4" w:rsidR="00007766" w:rsidRDefault="00D6438F" w:rsidP="006551E1">
      <w:pPr>
        <w:pStyle w:val="PucesRapportPNIN"/>
      </w:pPr>
      <w:r w:rsidRPr="00007766">
        <w:t>2</w:t>
      </w:r>
      <w:r w:rsidR="00007766">
        <w:t>) L’</w:t>
      </w:r>
      <w:r w:rsidRPr="00007766">
        <w:t>accès aux soins et services de santé</w:t>
      </w:r>
      <w:r w:rsidR="00007766">
        <w:t> </w:t>
      </w:r>
      <w:r w:rsidRPr="00007766">
        <w:t xml:space="preserve">; </w:t>
      </w:r>
    </w:p>
    <w:p w14:paraId="0D279EFC" w14:textId="256361A2" w:rsidR="00007766" w:rsidRDefault="00D6438F" w:rsidP="006551E1">
      <w:pPr>
        <w:pStyle w:val="PucesRapportPNIN"/>
      </w:pPr>
      <w:r w:rsidRPr="00007766">
        <w:t>3</w:t>
      </w:r>
      <w:r w:rsidR="00007766">
        <w:t xml:space="preserve">) Les </w:t>
      </w:r>
      <w:r w:rsidRPr="00007766">
        <w:t>prestations des soins et services de santé.</w:t>
      </w:r>
    </w:p>
    <w:p w14:paraId="756E38F1" w14:textId="4D66AD5C" w:rsidR="00D6438F" w:rsidRDefault="00B4722B" w:rsidP="006551E1">
      <w:pPr>
        <w:pStyle w:val="ParagrapheRapportPNIN"/>
      </w:pPr>
      <w:r w:rsidRPr="00007766">
        <w:t xml:space="preserve">Le PDS </w:t>
      </w:r>
      <w:r w:rsidR="00563EA3" w:rsidRPr="00007766">
        <w:t>est repris dans le PDES 2017-2021 où il constitue le «</w:t>
      </w:r>
      <w:r w:rsidR="00007766">
        <w:t> </w:t>
      </w:r>
      <w:r w:rsidR="00563EA3" w:rsidRPr="00007766">
        <w:t>Sous-programme 3.2</w:t>
      </w:r>
      <w:r w:rsidR="00007766">
        <w:t> </w:t>
      </w:r>
      <w:r w:rsidR="00563EA3" w:rsidRPr="00007766">
        <w:t>: Amélioration de l’état de santé de la population</w:t>
      </w:r>
      <w:r w:rsidR="00007766">
        <w:t> </w:t>
      </w:r>
      <w:r w:rsidR="00563EA3" w:rsidRPr="00007766">
        <w:t xml:space="preserve">» à travers l’appui aux dimensions gouvernance </w:t>
      </w:r>
      <w:r w:rsidR="00563EA3" w:rsidRPr="005C017F">
        <w:t>du secteur, développement de l’offre des soins et des services de santé.</w:t>
      </w:r>
    </w:p>
    <w:p w14:paraId="7E22B1CB" w14:textId="77777777" w:rsidR="0029166D" w:rsidRDefault="0029166D" w:rsidP="006551E1">
      <w:pPr>
        <w:pStyle w:val="ParagrapheRapportPNIN"/>
      </w:pPr>
    </w:p>
    <w:p w14:paraId="140BB9C7" w14:textId="77777777" w:rsidR="0029166D" w:rsidRDefault="0029166D" w:rsidP="006551E1">
      <w:pPr>
        <w:pStyle w:val="ParagrapheRapportPNIN"/>
      </w:pPr>
    </w:p>
    <w:p w14:paraId="20E2B2AE" w14:textId="77777777" w:rsidR="0029166D" w:rsidRPr="00540DAE" w:rsidRDefault="0029166D" w:rsidP="006551E1">
      <w:pPr>
        <w:pStyle w:val="ParagrapheRapportPNIN"/>
      </w:pPr>
    </w:p>
    <w:p w14:paraId="21F795DD" w14:textId="11D92689" w:rsidR="00563EA3" w:rsidRPr="007B2B6F" w:rsidRDefault="00563EA3" w:rsidP="006551E1">
      <w:pPr>
        <w:pStyle w:val="ParagrapheRapportPNIN"/>
        <w:rPr>
          <w:b/>
        </w:rPr>
      </w:pPr>
      <w:r w:rsidRPr="00A3547A">
        <w:rPr>
          <w:b/>
        </w:rPr>
        <w:lastRenderedPageBreak/>
        <w:t>Prise en compte de la nutrition dans l’analyse situationnelle</w:t>
      </w:r>
    </w:p>
    <w:p w14:paraId="6A89EE5C" w14:textId="46086B10" w:rsidR="00D6438F" w:rsidRDefault="00FB6527" w:rsidP="006551E1">
      <w:pPr>
        <w:pStyle w:val="ParagrapheRapportPNIN"/>
      </w:pPr>
      <w:r w:rsidRPr="00FB6527">
        <w:t>La nutrition est prise en compte dans l</w:t>
      </w:r>
      <w:r w:rsidR="00B4722B">
        <w:t>a PNS et l</w:t>
      </w:r>
      <w:r w:rsidRPr="00FB6527">
        <w:t>e PDS 2017-2021</w:t>
      </w:r>
      <w:r w:rsidR="00B4722B">
        <w:t xml:space="preserve">. </w:t>
      </w:r>
      <w:r w:rsidR="00E944F4">
        <w:t>Une analyse de la nutrition dans le secteur de la santé est faite.</w:t>
      </w:r>
      <w:r w:rsidR="00E944F4" w:rsidRPr="00E944F4">
        <w:t xml:space="preserve"> </w:t>
      </w:r>
      <w:r w:rsidR="00E944F4" w:rsidRPr="007E426D">
        <w:t xml:space="preserve">La nutrition est formulée de manière explicite et elle est présente tout au long du </w:t>
      </w:r>
      <w:r w:rsidR="00E944F4">
        <w:t>PDS 2017-2021</w:t>
      </w:r>
      <w:r w:rsidR="00E944F4" w:rsidRPr="007E426D">
        <w:t>.</w:t>
      </w:r>
    </w:p>
    <w:p w14:paraId="76AFBD39" w14:textId="77777777" w:rsidR="00FB7D12" w:rsidRDefault="00FB7D12" w:rsidP="006551E1">
      <w:pPr>
        <w:pStyle w:val="ParagrapheRapportPNIN"/>
        <w:rPr>
          <w:b/>
        </w:rPr>
      </w:pPr>
      <w:r w:rsidRPr="005C5F81">
        <w:rPr>
          <w:b/>
        </w:rPr>
        <w:t>Prise en compte de la nutrition dans les objectifs</w:t>
      </w:r>
    </w:p>
    <w:p w14:paraId="13710116" w14:textId="77777777" w:rsidR="00ED36F8" w:rsidRDefault="00FB7D12" w:rsidP="006551E1">
      <w:pPr>
        <w:pStyle w:val="ParagrapheRapportPNIN"/>
      </w:pPr>
      <w:r>
        <w:t>La nutrition n’est pas mentionnée dans les objectifs de la PNS et du PDS 2017-2021.</w:t>
      </w:r>
    </w:p>
    <w:p w14:paraId="3FF75C80" w14:textId="77777777" w:rsidR="00ED36F8" w:rsidRPr="006551E1" w:rsidRDefault="00ED36F8" w:rsidP="006551E1">
      <w:pPr>
        <w:pStyle w:val="ParagrapheRapportPNIN"/>
        <w:rPr>
          <w:b/>
        </w:rPr>
      </w:pPr>
      <w:r w:rsidRPr="006551E1">
        <w:rPr>
          <w:b/>
        </w:rPr>
        <w:t>Identification des axes stratégiques/actions/interventions en lien avec la nutrition</w:t>
      </w:r>
    </w:p>
    <w:p w14:paraId="3132D4BF" w14:textId="6D8B2EBA" w:rsidR="007E426D" w:rsidRPr="007E426D" w:rsidRDefault="00ED36F8" w:rsidP="006551E1">
      <w:pPr>
        <w:pStyle w:val="ParagrapheRapportPNIN"/>
      </w:pPr>
      <w:r w:rsidRPr="00E944F4">
        <w:t xml:space="preserve">Le PDS 2017-2021 fait référence à la nutrition comme </w:t>
      </w:r>
      <w:r w:rsidR="00007766">
        <w:t>l’</w:t>
      </w:r>
      <w:r w:rsidRPr="00E944F4">
        <w:t>un des huit sous-programmes du Programme</w:t>
      </w:r>
      <w:r w:rsidR="00007766">
        <w:t> </w:t>
      </w:r>
      <w:r w:rsidRPr="00E944F4">
        <w:t>3 «</w:t>
      </w:r>
      <w:r w:rsidR="00007766">
        <w:t> </w:t>
      </w:r>
      <w:r w:rsidRPr="00E944F4">
        <w:t>Prestations des soins et services de santé</w:t>
      </w:r>
      <w:r w:rsidR="00007766">
        <w:t> </w:t>
      </w:r>
      <w:r w:rsidRPr="00E944F4">
        <w:t xml:space="preserve">». </w:t>
      </w:r>
      <w:r w:rsidR="00007766">
        <w:t xml:space="preserve">Le programme 3 </w:t>
      </w:r>
      <w:r w:rsidR="007E426D" w:rsidRPr="007E426D">
        <w:t>propose trois axes d’intervention pour la nutrition</w:t>
      </w:r>
      <w:r w:rsidR="00007766">
        <w:t> </w:t>
      </w:r>
      <w:r w:rsidR="007E426D" w:rsidRPr="007E426D">
        <w:t xml:space="preserve">:  </w:t>
      </w:r>
    </w:p>
    <w:p w14:paraId="06187656" w14:textId="16CDD67C" w:rsidR="007E426D" w:rsidRPr="007E426D" w:rsidRDefault="00007766" w:rsidP="006551E1">
      <w:pPr>
        <w:pStyle w:val="PucesRapportPNIN"/>
      </w:pPr>
      <w:r>
        <w:t>1) L</w:t>
      </w:r>
      <w:r w:rsidR="007E426D" w:rsidRPr="007E426D">
        <w:t>a prise en charge de la malnutrition</w:t>
      </w:r>
      <w:r>
        <w:t xml:space="preserve"> ; </w:t>
      </w:r>
    </w:p>
    <w:p w14:paraId="738077A3" w14:textId="2641A638" w:rsidR="007E426D" w:rsidRPr="007E426D" w:rsidRDefault="00007766" w:rsidP="006551E1">
      <w:pPr>
        <w:pStyle w:val="PucesRapportPNIN"/>
      </w:pPr>
      <w:r>
        <w:t>2) L</w:t>
      </w:r>
      <w:r w:rsidR="007E426D" w:rsidRPr="007E426D">
        <w:t>a prévention de la malnutrition</w:t>
      </w:r>
      <w:r>
        <w:t> ;</w:t>
      </w:r>
    </w:p>
    <w:p w14:paraId="227AA379" w14:textId="78B7681B" w:rsidR="007E426D" w:rsidRPr="007E426D" w:rsidRDefault="00007766" w:rsidP="006551E1">
      <w:pPr>
        <w:pStyle w:val="PucesRapportPNIN"/>
      </w:pPr>
      <w:r>
        <w:t>L</w:t>
      </w:r>
      <w:r w:rsidR="007E426D" w:rsidRPr="007E426D">
        <w:t>a lutte contre l’obésité et le surpoids</w:t>
      </w:r>
      <w:r>
        <w:t>.</w:t>
      </w:r>
    </w:p>
    <w:p w14:paraId="472A5AF9" w14:textId="0FA29163" w:rsidR="007E426D" w:rsidRPr="007E426D" w:rsidRDefault="00007766" w:rsidP="006551E1">
      <w:pPr>
        <w:pStyle w:val="ParagrapheRapportPNIN"/>
      </w:pPr>
      <w:r>
        <w:t xml:space="preserve">Ces axes d’interventions </w:t>
      </w:r>
      <w:r w:rsidR="007E426D" w:rsidRPr="007E426D">
        <w:t>reprennent parfaitement la présentation des engagements 2 et 7 du secteur de la santé dans la PNSN</w:t>
      </w:r>
      <w:r w:rsidR="00ED36F8">
        <w:t xml:space="preserve">. Les deux engagements 2 et </w:t>
      </w:r>
      <w:r w:rsidR="007E426D" w:rsidRPr="007E426D">
        <w:t>7 pris par le secteur de la santé dans la PNSN sont effectivement mentionnés intégralement dans le PDS.</w:t>
      </w:r>
      <w:r w:rsidR="007E426D" w:rsidRPr="007E426D">
        <w:rPr>
          <w:vertAlign w:val="superscript"/>
        </w:rPr>
        <w:footnoteReference w:id="40"/>
      </w:r>
      <w:r w:rsidR="007E426D" w:rsidRPr="007E426D">
        <w:t xml:space="preserve"> </w:t>
      </w:r>
      <w:r w:rsidR="00E06485">
        <w:t xml:space="preserve">Le PDS mentionne la collaboration avec d’autres secteurs ministériels dans le domaine de la nutrition et de la sécurité alimentaire. </w:t>
      </w:r>
      <w:r w:rsidR="005F3AA4">
        <w:t xml:space="preserve">Ce niveau de prise en compte de la nutrition dans le PDS est </w:t>
      </w:r>
      <w:r w:rsidR="005F3AA4" w:rsidRPr="007E426D">
        <w:t xml:space="preserve">une avancée majeure </w:t>
      </w:r>
      <w:r w:rsidR="005F3AA4">
        <w:t>comparativement au PDS précédent.</w:t>
      </w:r>
    </w:p>
    <w:p w14:paraId="38EFA4E7" w14:textId="3128DC78" w:rsidR="005F3AA4" w:rsidRDefault="0004784B" w:rsidP="006551E1">
      <w:pPr>
        <w:pStyle w:val="ParagrapheRapportPNIN"/>
      </w:pPr>
      <w:r>
        <w:t xml:space="preserve">Le </w:t>
      </w:r>
      <w:r w:rsidRPr="0004784B">
        <w:t xml:space="preserve">Document de Programmation Pluriannuel des Dépenses 2019-2021 </w:t>
      </w:r>
      <w:r>
        <w:t>décline s</w:t>
      </w:r>
      <w:r w:rsidRPr="0004784B">
        <w:t>ix</w:t>
      </w:r>
      <w:r w:rsidR="00007766">
        <w:t> </w:t>
      </w:r>
      <w:r w:rsidRPr="0004784B">
        <w:t>(6)</w:t>
      </w:r>
      <w:r w:rsidR="00007766">
        <w:t> </w:t>
      </w:r>
      <w:r w:rsidRPr="0004784B">
        <w:t>axes stratégiques.</w:t>
      </w:r>
      <w:r>
        <w:t xml:space="preserve"> La nutrition est prise en compte dans l’axe stratégique</w:t>
      </w:r>
      <w:r w:rsidR="00007766">
        <w:t> </w:t>
      </w:r>
      <w:r>
        <w:t>2</w:t>
      </w:r>
      <w:r w:rsidR="00007766">
        <w:t> </w:t>
      </w:r>
      <w:r w:rsidRPr="0004784B">
        <w:t>:</w:t>
      </w:r>
      <w:r w:rsidR="00007766">
        <w:t xml:space="preserve"> </w:t>
      </w:r>
      <w:r w:rsidRPr="0004784B">
        <w:t>Accroissement des prestations de soins et services de qualité</w:t>
      </w:r>
      <w:r>
        <w:t>.</w:t>
      </w:r>
    </w:p>
    <w:p w14:paraId="03482369" w14:textId="3C7E0921" w:rsidR="005F3AA4" w:rsidRPr="006551E1" w:rsidRDefault="005F3AA4" w:rsidP="006551E1">
      <w:pPr>
        <w:pStyle w:val="ParagrapheRapportPNIN"/>
        <w:rPr>
          <w:b/>
        </w:rPr>
      </w:pPr>
      <w:r w:rsidRPr="006551E1">
        <w:rPr>
          <w:b/>
        </w:rPr>
        <w:t>Identification d’indicateurs ou des cibles en lien avec la nutrition</w:t>
      </w:r>
      <w:r w:rsidR="00007766" w:rsidRPr="006551E1">
        <w:rPr>
          <w:b/>
        </w:rPr>
        <w:t xml:space="preserve"> </w:t>
      </w:r>
    </w:p>
    <w:p w14:paraId="209865FD" w14:textId="106BAD40" w:rsidR="009913E5" w:rsidRDefault="00916D22" w:rsidP="006551E1">
      <w:pPr>
        <w:pStyle w:val="ParagrapheRapportPNIN"/>
      </w:pPr>
      <w:r w:rsidRPr="005F3AA4">
        <w:t xml:space="preserve">Dans le </w:t>
      </w:r>
      <w:r w:rsidR="00C51950">
        <w:t>guide de suivi-</w:t>
      </w:r>
      <w:r w:rsidR="002C30C7">
        <w:t>évaluation</w:t>
      </w:r>
      <w:r w:rsidR="00C51950">
        <w:t xml:space="preserve"> du </w:t>
      </w:r>
      <w:r w:rsidRPr="005F3AA4">
        <w:t>PDS</w:t>
      </w:r>
      <w:r w:rsidR="00C51950">
        <w:t xml:space="preserve">, </w:t>
      </w:r>
      <w:r w:rsidR="002C30C7">
        <w:t>i</w:t>
      </w:r>
      <w:r w:rsidR="005F3AA4" w:rsidRPr="005F3AA4">
        <w:t xml:space="preserve">l existe une vingtaine d’indicateurs relatifs </w:t>
      </w:r>
      <w:r w:rsidR="005F3AA4">
        <w:t>aux interventions spécifiques de la nutritio</w:t>
      </w:r>
      <w:r w:rsidR="00D4456F">
        <w:t>n ou aux interventions</w:t>
      </w:r>
      <w:r w:rsidR="005F3AA4">
        <w:t xml:space="preserve"> de santé </w:t>
      </w:r>
      <w:r>
        <w:t>sensibles à la nutrition</w:t>
      </w:r>
      <w:r w:rsidR="005F3AA4" w:rsidRPr="005F3AA4">
        <w:t>.</w:t>
      </w:r>
      <w:r w:rsidR="006F714B">
        <w:t xml:space="preserve"> </w:t>
      </w:r>
      <w:r w:rsidR="009913E5">
        <w:t xml:space="preserve">La nutrition est un produit dans la chaine des résultats du </w:t>
      </w:r>
      <w:r w:rsidR="009913E5" w:rsidRPr="009913E5">
        <w:t>Document de Programmation Pluriannuel des Dépenses 2019-2021</w:t>
      </w:r>
      <w:r w:rsidR="009913E5">
        <w:t xml:space="preserve"> du Ministère de la Santé Publique.</w:t>
      </w:r>
    </w:p>
    <w:p w14:paraId="77690894" w14:textId="580EC101" w:rsidR="002B0276" w:rsidRPr="006551E1" w:rsidRDefault="002B0276" w:rsidP="00104D28">
      <w:pPr>
        <w:pStyle w:val="ParagrapheRapportPNIN"/>
        <w:rPr>
          <w:b/>
        </w:rPr>
      </w:pPr>
      <w:r w:rsidRPr="006551E1">
        <w:rPr>
          <w:b/>
        </w:rPr>
        <w:t>Budgétisation des interventions/ actions en lien avec la nutrition</w:t>
      </w:r>
      <w:r w:rsidR="00007766" w:rsidRPr="006551E1">
        <w:rPr>
          <w:b/>
        </w:rPr>
        <w:t xml:space="preserve"> </w:t>
      </w:r>
    </w:p>
    <w:p w14:paraId="752A5FC0" w14:textId="2ADE82C4" w:rsidR="0087620B" w:rsidRDefault="0087620B" w:rsidP="006551E1">
      <w:pPr>
        <w:pStyle w:val="ParagrapheRapportPNIN"/>
      </w:pPr>
      <w:r>
        <w:t xml:space="preserve">Le budget du sous-programme nutrition du PDS est estimé à </w:t>
      </w:r>
      <w:r w:rsidRPr="0087620B">
        <w:t>45</w:t>
      </w:r>
      <w:r w:rsidR="005C017F">
        <w:t> </w:t>
      </w:r>
      <w:r w:rsidRPr="0087620B">
        <w:t>391</w:t>
      </w:r>
      <w:r w:rsidR="005C017F">
        <w:t> </w:t>
      </w:r>
      <w:r w:rsidRPr="0087620B">
        <w:t>058</w:t>
      </w:r>
      <w:r>
        <w:t> </w:t>
      </w:r>
      <w:r w:rsidRPr="0087620B">
        <w:t>343</w:t>
      </w:r>
      <w:r w:rsidR="005C017F">
        <w:t> </w:t>
      </w:r>
      <w:r>
        <w:t>F</w:t>
      </w:r>
      <w:r w:rsidR="005C017F">
        <w:t> </w:t>
      </w:r>
      <w:r>
        <w:t xml:space="preserve">CFA. </w:t>
      </w:r>
      <w:r w:rsidR="002A7DD2">
        <w:t xml:space="preserve"> Ce budget a été comparé au budget du secteur de la santé dans le PA de la PNSN dans une a</w:t>
      </w:r>
      <w:r>
        <w:t xml:space="preserve">nalyse </w:t>
      </w:r>
      <w:r w:rsidR="002A7DD2">
        <w:t>du</w:t>
      </w:r>
      <w:r>
        <w:t xml:space="preserve"> </w:t>
      </w:r>
      <w:r w:rsidRPr="0087620B">
        <w:t>coût-efficacité de la mise à l’échelle des interventions spécifiques à la nutrition au Niger</w:t>
      </w:r>
      <w:r>
        <w:t xml:space="preserve"> conduite par Unicef </w:t>
      </w:r>
      <w:r w:rsidR="005C017F">
        <w:t>(</w:t>
      </w:r>
      <w:r>
        <w:t>sous le leadership du HC3N</w:t>
      </w:r>
      <w:r w:rsidR="005C017F">
        <w:t>)</w:t>
      </w:r>
      <w:r w:rsidR="002A7DD2">
        <w:t>.</w:t>
      </w:r>
      <w:r>
        <w:t xml:space="preserve"> Cette analyse conclue que </w:t>
      </w:r>
      <w:r w:rsidR="007E426D" w:rsidRPr="007E426D">
        <w:t>l</w:t>
      </w:r>
      <w:r w:rsidR="007E426D" w:rsidRPr="007E426D">
        <w:rPr>
          <w:rFonts w:cs="Arial"/>
          <w:noProof/>
        </w:rPr>
        <w:t>es paquets d’interventions préventives et curatives spécifiques à la nutrition intégrés dans le PDS ne prennent en charge que 19</w:t>
      </w:r>
      <w:r w:rsidR="00007766">
        <w:rPr>
          <w:rFonts w:cs="Arial"/>
          <w:noProof/>
        </w:rPr>
        <w:t> </w:t>
      </w:r>
      <w:r w:rsidR="007E426D" w:rsidRPr="007E426D">
        <w:rPr>
          <w:rFonts w:cs="Arial"/>
          <w:noProof/>
        </w:rPr>
        <w:t>% et 11</w:t>
      </w:r>
      <w:r w:rsidR="00007766">
        <w:rPr>
          <w:rFonts w:cs="Arial"/>
          <w:noProof/>
        </w:rPr>
        <w:t> </w:t>
      </w:r>
      <w:r w:rsidR="007E426D" w:rsidRPr="007E426D">
        <w:rPr>
          <w:rFonts w:cs="Arial"/>
          <w:noProof/>
        </w:rPr>
        <w:t>% respectivement des besoins financiers estimés pour les mêmes interventions dans la PNSN</w:t>
      </w:r>
      <w:r w:rsidR="007E426D" w:rsidRPr="007E426D">
        <w:rPr>
          <w:vertAlign w:val="superscript"/>
        </w:rPr>
        <w:footnoteReference w:id="41"/>
      </w:r>
      <w:r w:rsidR="007E426D" w:rsidRPr="007E426D">
        <w:t xml:space="preserve">. </w:t>
      </w:r>
    </w:p>
    <w:p w14:paraId="41150828" w14:textId="36AB214D" w:rsidR="005C017F" w:rsidRPr="006551E1" w:rsidRDefault="005C017F" w:rsidP="006551E1">
      <w:pPr>
        <w:pStyle w:val="TitreillustrationPNIN"/>
      </w:pPr>
      <w:bookmarkStart w:id="43" w:name="_Toc528222378"/>
      <w:r w:rsidRPr="005C017F">
        <w:lastRenderedPageBreak/>
        <w:t xml:space="preserve">Figure </w:t>
      </w:r>
      <w:r w:rsidR="00B23782">
        <w:fldChar w:fldCharType="begin"/>
      </w:r>
      <w:r w:rsidR="00B23782">
        <w:instrText xml:space="preserve"> SEQ Figure \* ARABIC </w:instrText>
      </w:r>
      <w:r w:rsidR="00B23782">
        <w:fldChar w:fldCharType="separate"/>
      </w:r>
      <w:r w:rsidR="00540DAE">
        <w:rPr>
          <w:noProof/>
        </w:rPr>
        <w:t>5</w:t>
      </w:r>
      <w:r w:rsidR="00B23782">
        <w:rPr>
          <w:noProof/>
        </w:rPr>
        <w:fldChar w:fldCharType="end"/>
      </w:r>
      <w:r w:rsidRPr="006551E1">
        <w:t> : Comparaison des coûts entre le plan d’action de la PNSN et le PDS (2017-2021)</w:t>
      </w:r>
      <w:bookmarkEnd w:id="43"/>
    </w:p>
    <w:p w14:paraId="5051D503" w14:textId="5010C41B" w:rsidR="007E426D" w:rsidRPr="007E426D" w:rsidRDefault="005C017F" w:rsidP="00104D28">
      <w:pPr>
        <w:pStyle w:val="ParagrapheRapportPNIN"/>
      </w:pPr>
      <w:r w:rsidRPr="006E0579">
        <w:rPr>
          <w:noProof/>
          <w:lang w:eastAsia="fr-FR"/>
        </w:rPr>
        <w:drawing>
          <wp:inline distT="0" distB="0" distL="0" distR="0" wp14:anchorId="1EBB1BD3" wp14:editId="7884D144">
            <wp:extent cx="3830400" cy="2671200"/>
            <wp:effectExtent l="0" t="0" r="0" b="0"/>
            <wp:docPr id="3"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30400" cy="2671200"/>
                    </a:xfrm>
                    <a:prstGeom prst="rect">
                      <a:avLst/>
                    </a:prstGeom>
                  </pic:spPr>
                </pic:pic>
              </a:graphicData>
            </a:graphic>
          </wp:inline>
        </w:drawing>
      </w:r>
    </w:p>
    <w:p w14:paraId="4FF7D7CC" w14:textId="748F3D71" w:rsidR="006551E1" w:rsidRDefault="005C017F" w:rsidP="00104D28">
      <w:pPr>
        <w:pStyle w:val="ParagrapheRapportPNIN"/>
      </w:pPr>
      <w:r w:rsidRPr="004B51B9">
        <w:rPr>
          <w:b/>
        </w:rPr>
        <w:t>Source</w:t>
      </w:r>
      <w:r w:rsidRPr="004B51B9">
        <w:t xml:space="preserve"> : </w:t>
      </w:r>
      <w:r w:rsidR="004B51B9" w:rsidRPr="004B51B9">
        <w:t>Plan d’action multisectoriel 2017-2019 de la politique nationale de sécurité nutritionnelle (PNSN)</w:t>
      </w:r>
    </w:p>
    <w:p w14:paraId="33CFBFE6" w14:textId="721E7E41" w:rsidR="007E426D" w:rsidRDefault="007E426D" w:rsidP="006551E1">
      <w:pPr>
        <w:pStyle w:val="ParagrapheRapportPNIN"/>
        <w:rPr>
          <w:b/>
        </w:rPr>
      </w:pPr>
      <w:r w:rsidRPr="007E426D">
        <w:rPr>
          <w:b/>
        </w:rPr>
        <w:t xml:space="preserve">Malgré l’alignement de la PNSN au PDS pour les engagements 2 et 7, il existe une grande divergence sur le budget nécessaire pour couvrir les interventions de nutrition dans le secteur de la santé sur la période </w:t>
      </w:r>
      <w:r w:rsidR="002B0276">
        <w:rPr>
          <w:b/>
        </w:rPr>
        <w:t>2017-2021</w:t>
      </w:r>
      <w:r w:rsidRPr="007E426D">
        <w:rPr>
          <w:b/>
        </w:rPr>
        <w:t xml:space="preserve">. </w:t>
      </w:r>
    </w:p>
    <w:p w14:paraId="0E4D5111" w14:textId="24295E4F" w:rsidR="007E426D" w:rsidRPr="0093089E" w:rsidRDefault="00780F34" w:rsidP="006551E1">
      <w:pPr>
        <w:pStyle w:val="Titre3PNIN"/>
      </w:pPr>
      <w:bookmarkStart w:id="44" w:name="_Toc528054606"/>
      <w:bookmarkStart w:id="45" w:name="_Toc528222339"/>
      <w:bookmarkEnd w:id="44"/>
      <w:r w:rsidRPr="00504670">
        <w:t>La nutrition d</w:t>
      </w:r>
      <w:r w:rsidR="007E426D" w:rsidRPr="00504670">
        <w:t>ans le secteur de l’agriculture et de</w:t>
      </w:r>
      <w:r w:rsidRPr="0093089E">
        <w:t>s systèmes alimentaires</w:t>
      </w:r>
      <w:bookmarkEnd w:id="45"/>
      <w:r w:rsidRPr="0093089E">
        <w:t xml:space="preserve"> </w:t>
      </w:r>
    </w:p>
    <w:p w14:paraId="7473D2D7" w14:textId="10C1BED9" w:rsidR="00AE68C9" w:rsidRPr="00F6247C" w:rsidRDefault="003C47C2" w:rsidP="00EC23BF">
      <w:pPr>
        <w:pStyle w:val="Titre4PNIN"/>
      </w:pPr>
      <w:bookmarkStart w:id="46" w:name="_Toc528222340"/>
      <w:r>
        <w:t>4.2.1.</w:t>
      </w:r>
      <w:r w:rsidR="005C017F" w:rsidRPr="00F6247C">
        <w:t xml:space="preserve"> </w:t>
      </w:r>
      <w:r w:rsidR="00AE68C9" w:rsidRPr="00F6247C">
        <w:t>Lien entre l’agriculture, les systèmes alimentaires et la nutrition</w:t>
      </w:r>
      <w:bookmarkEnd w:id="46"/>
    </w:p>
    <w:p w14:paraId="14C90340" w14:textId="76A3D66A" w:rsidR="009470F7" w:rsidRPr="009470F7" w:rsidRDefault="009470F7" w:rsidP="006551E1">
      <w:pPr>
        <w:pStyle w:val="ParagrapheRapportPNIN"/>
        <w:shd w:val="clear" w:color="auto" w:fill="F2F2F2" w:themeFill="background1" w:themeFillShade="F2"/>
      </w:pPr>
      <w:r w:rsidRPr="006551E1">
        <w:rPr>
          <w:b/>
        </w:rPr>
        <w:t>Recommandation 9 du cadre d’action de la CNI2</w:t>
      </w:r>
      <w:r w:rsidR="005C017F">
        <w:rPr>
          <w:b/>
        </w:rPr>
        <w:t> </w:t>
      </w:r>
      <w:r w:rsidRPr="009470F7">
        <w:t>: Renforcer la production alimentaire et la transformation des aliments sur le plan local, notamment au niveau des petits exploitants et des familles d'agriculteurs en accordant une attention particulière à l'autonomisation des femmes, tout en reconnaissant qu'un commerce efficient et efficace est essentiel à la réalisation d'objectifs nutritionnels.</w:t>
      </w:r>
    </w:p>
    <w:p w14:paraId="37FFE5F7" w14:textId="7C4582EB" w:rsidR="009470F7" w:rsidRPr="009470F7" w:rsidRDefault="009470F7" w:rsidP="006551E1">
      <w:pPr>
        <w:pStyle w:val="ParagrapheRapportPNIN"/>
        <w:shd w:val="clear" w:color="auto" w:fill="F2F2F2" w:themeFill="background1" w:themeFillShade="F2"/>
      </w:pPr>
      <w:r w:rsidRPr="006551E1">
        <w:rPr>
          <w:b/>
        </w:rPr>
        <w:t>Recommandation 10 du cadre d’action de la CNI2</w:t>
      </w:r>
      <w:r w:rsidR="005C017F">
        <w:rPr>
          <w:b/>
        </w:rPr>
        <w:t> </w:t>
      </w:r>
      <w:r w:rsidRPr="009470F7">
        <w:t>: Favoriser la diversification des cultures, y compris les cultures traditionnelles sous-utilisées, une production de fruits et légumes plus abondante, et une production adéquate de produits d'origine animale le cas échéant, en appliquant des méthodes de production alimentaire et de gestion des ressources naturelles durables</w:t>
      </w:r>
    </w:p>
    <w:p w14:paraId="22B640F4" w14:textId="5423F439" w:rsidR="009470F7" w:rsidRPr="009470F7" w:rsidRDefault="009470F7" w:rsidP="006551E1">
      <w:pPr>
        <w:pStyle w:val="ParagrapheRapportPNIN"/>
        <w:shd w:val="clear" w:color="auto" w:fill="F2F2F2" w:themeFill="background1" w:themeFillShade="F2"/>
      </w:pPr>
      <w:r w:rsidRPr="006551E1">
        <w:rPr>
          <w:b/>
        </w:rPr>
        <w:t>Recommandation 11 du cadre d’action de la CNI2</w:t>
      </w:r>
      <w:r w:rsidR="005C017F">
        <w:rPr>
          <w:b/>
        </w:rPr>
        <w:t> </w:t>
      </w:r>
      <w:r w:rsidRPr="009470F7">
        <w:t>: Améliorer les techniques et les infrastructures d'entreposage, de conservation, de transport et de distribution afin de réduire l'insécurité alimentaire saisonnière, les pertes d'aliments et d'éléments nutritifs et le gaspillage.</w:t>
      </w:r>
    </w:p>
    <w:p w14:paraId="5D8C205C" w14:textId="36F52A34" w:rsidR="009470F7" w:rsidRPr="009470F7" w:rsidRDefault="009470F7" w:rsidP="006551E1">
      <w:pPr>
        <w:pStyle w:val="ParagrapheRapportPNIN"/>
        <w:shd w:val="clear" w:color="auto" w:fill="F2F2F2" w:themeFill="background1" w:themeFillShade="F2"/>
      </w:pPr>
      <w:r w:rsidRPr="006551E1">
        <w:rPr>
          <w:b/>
        </w:rPr>
        <w:t>Recommandation 14 du cadre d’action de la CNI2</w:t>
      </w:r>
      <w:r w:rsidR="005C017F">
        <w:rPr>
          <w:b/>
        </w:rPr>
        <w:t> </w:t>
      </w:r>
      <w:r w:rsidRPr="009470F7">
        <w:t>: Encourager la réduction progressive des matières grasses saturées, du sucre, du sel/sodium et des acides gras</w:t>
      </w:r>
      <w:r w:rsidR="00BD6BB2">
        <w:t>-</w:t>
      </w:r>
      <w:r w:rsidRPr="009470F7">
        <w:t>trans dans les aliments et les boissons afin d'en éviter un apport excessive, et améliorer la teneur en nutriments, le cas échéant.</w:t>
      </w:r>
    </w:p>
    <w:p w14:paraId="4259CC82" w14:textId="7AA00B3C" w:rsidR="009470F7" w:rsidRDefault="009470F7" w:rsidP="006551E1">
      <w:pPr>
        <w:pStyle w:val="ParagrapheRapportPNIN"/>
        <w:shd w:val="clear" w:color="auto" w:fill="F2F2F2" w:themeFill="background1" w:themeFillShade="F2"/>
      </w:pPr>
      <w:r w:rsidRPr="006551E1">
        <w:rPr>
          <w:b/>
        </w:rPr>
        <w:t>Recommandation 15 du cadre d’action de la CNI2</w:t>
      </w:r>
      <w:r w:rsidR="005C017F">
        <w:t> </w:t>
      </w:r>
      <w:r w:rsidRPr="009470F7">
        <w:t>: Envisager la mise en place d'instruments réglementaires et d'application</w:t>
      </w:r>
      <w:r w:rsidR="005C017F">
        <w:t>s</w:t>
      </w:r>
      <w:r w:rsidRPr="009470F7">
        <w:t xml:space="preserve"> volontaire</w:t>
      </w:r>
      <w:r w:rsidR="005C017F">
        <w:t>s</w:t>
      </w:r>
      <w:r w:rsidRPr="009470F7">
        <w:t xml:space="preserve"> – comme des méthodes </w:t>
      </w:r>
      <w:r w:rsidRPr="009470F7">
        <w:lastRenderedPageBreak/>
        <w:t xml:space="preserve">et moyens de commercialisation, des campagnes de promotion, des politiques d'étiquetage, des mesures d'incitation ou de dissuasion économiques en se conformant aux normes du Codex Alimentarius et aux règles de l’Organisation </w:t>
      </w:r>
      <w:r w:rsidR="005C017F">
        <w:t>M</w:t>
      </w:r>
      <w:r w:rsidRPr="009470F7">
        <w:t xml:space="preserve">ondiale du </w:t>
      </w:r>
      <w:r w:rsidR="005C017F">
        <w:t>C</w:t>
      </w:r>
      <w:r w:rsidRPr="009470F7">
        <w:t>ommerce</w:t>
      </w:r>
      <w:r w:rsidR="005C017F">
        <w:t xml:space="preserve"> (OMC)</w:t>
      </w:r>
      <w:r w:rsidRPr="009470F7">
        <w:t xml:space="preserve"> – pour promouvoir des régimes alimentaires sains.</w:t>
      </w:r>
    </w:p>
    <w:p w14:paraId="0EA013B6" w14:textId="552C2F2F" w:rsidR="008A68B1" w:rsidRDefault="008A68B1" w:rsidP="006551E1">
      <w:pPr>
        <w:pStyle w:val="ParagrapheRapportPNIN"/>
        <w:shd w:val="clear" w:color="auto" w:fill="F2F2F2" w:themeFill="background1" w:themeFillShade="F2"/>
      </w:pPr>
      <w:r w:rsidRPr="006551E1">
        <w:rPr>
          <w:b/>
        </w:rPr>
        <w:t>Recommandation 17 du cadre d’action de la CNI2</w:t>
      </w:r>
      <w:r w:rsidR="005C017F">
        <w:rPr>
          <w:b/>
        </w:rPr>
        <w:t> </w:t>
      </w:r>
      <w:r w:rsidRPr="008A68B1">
        <w:t>: Encourager les gouvernements, les organismes, les programmes et les fonds</w:t>
      </w:r>
      <w:r>
        <w:t xml:space="preserve"> </w:t>
      </w:r>
      <w:r w:rsidRPr="008A68B1">
        <w:t xml:space="preserve">des Nations Unies, l'Organisation </w:t>
      </w:r>
      <w:r w:rsidR="005C017F">
        <w:t>M</w:t>
      </w:r>
      <w:r w:rsidRPr="008A68B1">
        <w:t xml:space="preserve">ondiale du </w:t>
      </w:r>
      <w:r w:rsidR="005C017F">
        <w:t>C</w:t>
      </w:r>
      <w:r w:rsidRPr="008A68B1">
        <w:t>ommerce et d'autres organisations internationales</w:t>
      </w:r>
      <w:r>
        <w:t xml:space="preserve"> </w:t>
      </w:r>
      <w:r w:rsidRPr="008A68B1">
        <w:t>à identifier des possibilités de réaliser des objectifs mondiaux en matière d'alimentation et de</w:t>
      </w:r>
      <w:r>
        <w:t xml:space="preserve"> </w:t>
      </w:r>
      <w:r w:rsidRPr="008A68B1">
        <w:t xml:space="preserve">nutrition, par le truchement de politiques en matière de commerce et d'investissement. </w:t>
      </w:r>
    </w:p>
    <w:p w14:paraId="5B70AF82" w14:textId="25CBE024" w:rsidR="008A68B1" w:rsidRDefault="008A68B1" w:rsidP="006551E1">
      <w:pPr>
        <w:pStyle w:val="ParagrapheRapportPNIN"/>
        <w:shd w:val="clear" w:color="auto" w:fill="F2F2F2" w:themeFill="background1" w:themeFillShade="F2"/>
      </w:pPr>
      <w:r w:rsidRPr="006551E1">
        <w:rPr>
          <w:b/>
        </w:rPr>
        <w:t>Recommandation 18 du cadre d’action de la CNI2</w:t>
      </w:r>
      <w:r w:rsidR="005C017F">
        <w:rPr>
          <w:b/>
        </w:rPr>
        <w:t> </w:t>
      </w:r>
      <w:r w:rsidRPr="008A68B1">
        <w:t>: Améliorer la disponibilité de l'approvisionnement alimentaire et l'accès aux</w:t>
      </w:r>
      <w:r>
        <w:t xml:space="preserve"> </w:t>
      </w:r>
      <w:r w:rsidRPr="008A68B1">
        <w:t>aliments par l'intermédiaire de politiques et d'accords commerciaux appropriés, et déployer tous</w:t>
      </w:r>
      <w:r>
        <w:t xml:space="preserve"> </w:t>
      </w:r>
      <w:r w:rsidRPr="008A68B1">
        <w:t>les efforts pour veiller à ce que ces accords et politiques n'aient pas d'incidence négative sur le</w:t>
      </w:r>
      <w:r>
        <w:t xml:space="preserve"> </w:t>
      </w:r>
      <w:r w:rsidRPr="008A68B1">
        <w:t xml:space="preserve">droit à une alimentation adéquate dans d'autres pays </w:t>
      </w:r>
    </w:p>
    <w:p w14:paraId="34047486" w14:textId="51897B27" w:rsidR="009470F7" w:rsidRDefault="009470F7" w:rsidP="006551E1">
      <w:pPr>
        <w:pStyle w:val="ParagrapheRapportPNIN"/>
        <w:shd w:val="clear" w:color="auto" w:fill="F2F2F2" w:themeFill="background1" w:themeFillShade="F2"/>
      </w:pPr>
      <w:r w:rsidRPr="006551E1">
        <w:rPr>
          <w:b/>
        </w:rPr>
        <w:t>Recommandation 19 du cadre d’action de la CNI2</w:t>
      </w:r>
      <w:r w:rsidR="005C017F">
        <w:t> </w:t>
      </w:r>
      <w:r w:rsidRPr="009470F7">
        <w:t>: Mettre en œuvre des interventions d'éducation et d'éducation nutritionnelles</w:t>
      </w:r>
      <w:r>
        <w:t xml:space="preserve"> </w:t>
      </w:r>
      <w:r w:rsidRPr="009470F7">
        <w:t>fondées sur les directives nationales relatives aux régimes alimentaires et sur des politiques</w:t>
      </w:r>
      <w:r>
        <w:t xml:space="preserve"> </w:t>
      </w:r>
      <w:r w:rsidRPr="009470F7">
        <w:t>cohérentes en matière d'alimentation et de régimes alimentaires, grâce à un renforcement des</w:t>
      </w:r>
      <w:r>
        <w:t xml:space="preserve"> </w:t>
      </w:r>
      <w:r w:rsidRPr="009470F7">
        <w:t>programmes scolaires, à la mise en place de modules d'éducation nutritionnelle au sein des</w:t>
      </w:r>
      <w:r>
        <w:t xml:space="preserve"> </w:t>
      </w:r>
      <w:r w:rsidRPr="009470F7">
        <w:t>services sanitaires, agricoles et de protection sociale, à l'organisation d'interventions au niveau des</w:t>
      </w:r>
      <w:r>
        <w:t xml:space="preserve"> </w:t>
      </w:r>
      <w:r w:rsidRPr="009470F7">
        <w:t>communautés et à la diffusion d'inform</w:t>
      </w:r>
      <w:r w:rsidR="008A68B1">
        <w:t xml:space="preserve">ations sur les points de vente, </w:t>
      </w:r>
      <w:r w:rsidRPr="009470F7">
        <w:t>y compris pour ce qui est de</w:t>
      </w:r>
      <w:r>
        <w:t xml:space="preserve"> </w:t>
      </w:r>
      <w:r w:rsidRPr="009470F7">
        <w:t>l'étiquetage.</w:t>
      </w:r>
    </w:p>
    <w:p w14:paraId="6307BC1B" w14:textId="50564CB5" w:rsidR="009470F7" w:rsidRDefault="009470F7" w:rsidP="006551E1">
      <w:pPr>
        <w:pStyle w:val="ParagrapheRapportPNIN"/>
        <w:shd w:val="clear" w:color="auto" w:fill="F2F2F2" w:themeFill="background1" w:themeFillShade="F2"/>
      </w:pPr>
      <w:r w:rsidRPr="006551E1">
        <w:rPr>
          <w:b/>
        </w:rPr>
        <w:t>Recommandation 20 du cadre d’action de la CNI2</w:t>
      </w:r>
      <w:r w:rsidR="00636FBE">
        <w:rPr>
          <w:b/>
        </w:rPr>
        <w:t> </w:t>
      </w:r>
      <w:r w:rsidRPr="009470F7">
        <w:t>: Renforcer les compétences et les capacités en matière de nutrition de</w:t>
      </w:r>
      <w:r>
        <w:t xml:space="preserve"> </w:t>
      </w:r>
      <w:r w:rsidRPr="009470F7">
        <w:t>manière à permettre des activités d'éducation nutritionnelle, notamment pour les intervenants de</w:t>
      </w:r>
      <w:r>
        <w:t xml:space="preserve"> </w:t>
      </w:r>
      <w:r w:rsidRPr="009470F7">
        <w:t>première ligne, les travailleurs sociaux, le personnel chargé de la vulgarisation agricole, les</w:t>
      </w:r>
      <w:r>
        <w:t xml:space="preserve"> </w:t>
      </w:r>
      <w:r w:rsidRPr="009470F7">
        <w:t>enseignants et les professionnels de la santé.</w:t>
      </w:r>
    </w:p>
    <w:p w14:paraId="6BEDB4FF" w14:textId="08041A7F" w:rsidR="009470F7" w:rsidRDefault="009470F7" w:rsidP="006551E1">
      <w:pPr>
        <w:pStyle w:val="ParagrapheRapportPNIN"/>
        <w:shd w:val="clear" w:color="auto" w:fill="F2F2F2" w:themeFill="background1" w:themeFillShade="F2"/>
      </w:pPr>
      <w:r w:rsidRPr="006551E1">
        <w:rPr>
          <w:b/>
        </w:rPr>
        <w:t>Recommandation 21 du cadre d’action de la CNI2</w:t>
      </w:r>
      <w:r w:rsidR="00636FBE">
        <w:t> </w:t>
      </w:r>
      <w:r w:rsidRPr="009470F7">
        <w:t>: Mener des campagnes de «</w:t>
      </w:r>
      <w:r w:rsidR="00636FBE">
        <w:t> </w:t>
      </w:r>
      <w:r w:rsidRPr="009470F7">
        <w:t>marketing social</w:t>
      </w:r>
      <w:r w:rsidR="00636FBE">
        <w:t> </w:t>
      </w:r>
      <w:r w:rsidRPr="009470F7">
        <w:t>» adéquates et mettre en œuvre</w:t>
      </w:r>
      <w:r>
        <w:t xml:space="preserve"> </w:t>
      </w:r>
      <w:r w:rsidRPr="009470F7">
        <w:t>des programmes de communication autour des changements de style de vie de manière à</w:t>
      </w:r>
      <w:r>
        <w:t xml:space="preserve"> </w:t>
      </w:r>
      <w:r w:rsidRPr="009470F7">
        <w:t>promouvoir l'activité physique, la diversification des régimes alimentaires, la consommation</w:t>
      </w:r>
      <w:r>
        <w:t xml:space="preserve"> </w:t>
      </w:r>
      <w:r w:rsidRPr="009470F7">
        <w:t>d'aliments riches en micronutriments comme les fruits et légumes, y compris les aliments</w:t>
      </w:r>
      <w:r>
        <w:t xml:space="preserve"> </w:t>
      </w:r>
      <w:r w:rsidRPr="009470F7">
        <w:t>traditionnels locaux - en tenant compte des aspects culturels -, une meilleure nutrition des enfants</w:t>
      </w:r>
      <w:r>
        <w:t xml:space="preserve"> </w:t>
      </w:r>
      <w:r w:rsidRPr="009470F7">
        <w:t>et des mères, des pratiques de soins adaptées et enfin des méthodes d'allaitement et une</w:t>
      </w:r>
      <w:r>
        <w:t xml:space="preserve"> </w:t>
      </w:r>
      <w:r w:rsidRPr="009470F7">
        <w:t>alimentation d'appoint appropriés, ciblés et adaptés aux différents publics et aux différentes parties</w:t>
      </w:r>
      <w:r>
        <w:t xml:space="preserve"> </w:t>
      </w:r>
      <w:r w:rsidRPr="009470F7">
        <w:t>prenantes au système alimentaire.</w:t>
      </w:r>
    </w:p>
    <w:p w14:paraId="4B4946D2" w14:textId="46C5B697" w:rsidR="00532AB0" w:rsidRDefault="00532AB0" w:rsidP="006551E1">
      <w:pPr>
        <w:pStyle w:val="ParagrapheRapportPNIN"/>
        <w:shd w:val="clear" w:color="auto" w:fill="F2F2F2" w:themeFill="background1" w:themeFillShade="F2"/>
      </w:pPr>
      <w:r w:rsidRPr="006551E1">
        <w:rPr>
          <w:b/>
        </w:rPr>
        <w:t>Recommandation 42 du cadre d’action de la CNI2</w:t>
      </w:r>
      <w:r w:rsidR="00636FBE">
        <w:t> </w:t>
      </w:r>
      <w:r w:rsidRPr="00532AB0">
        <w:t>: Améliorer l'apport en micronutriments en encourageant la consommation</w:t>
      </w:r>
      <w:r>
        <w:t xml:space="preserve"> </w:t>
      </w:r>
      <w:r w:rsidRPr="00532AB0">
        <w:t>d'aliments à densité élevée en nutriments, et plus particulièrement en fer, si nécessaire, et en</w:t>
      </w:r>
      <w:r>
        <w:t xml:space="preserve"> </w:t>
      </w:r>
      <w:r w:rsidRPr="00532AB0">
        <w:t>recourant à des stratégies d'enrichissement et de complémentation et promouvoir une alimentation</w:t>
      </w:r>
      <w:r>
        <w:t xml:space="preserve"> </w:t>
      </w:r>
      <w:r w:rsidRPr="00532AB0">
        <w:t>saine et diversifiée.</w:t>
      </w:r>
    </w:p>
    <w:p w14:paraId="16F9DA12" w14:textId="176CB7BE" w:rsidR="002B774B" w:rsidRDefault="002B774B" w:rsidP="006551E1">
      <w:pPr>
        <w:pStyle w:val="ParagrapheRapportPNIN"/>
        <w:shd w:val="clear" w:color="auto" w:fill="F2F2F2" w:themeFill="background1" w:themeFillShade="F2"/>
      </w:pPr>
      <w:r w:rsidRPr="006551E1">
        <w:rPr>
          <w:b/>
        </w:rPr>
        <w:t>Recommandation 53</w:t>
      </w:r>
      <w:r w:rsidR="000424B3" w:rsidRPr="006551E1">
        <w:rPr>
          <w:b/>
        </w:rPr>
        <w:t xml:space="preserve"> du cadre d’action de la CNI2</w:t>
      </w:r>
      <w:r w:rsidR="00636FBE">
        <w:rPr>
          <w:b/>
        </w:rPr>
        <w:t> </w:t>
      </w:r>
      <w:r w:rsidRPr="002B774B">
        <w:t>: Élaborer, établir, mettre en œuvre ou renforcer, le cas échéant, des systèmes</w:t>
      </w:r>
      <w:r>
        <w:t xml:space="preserve"> </w:t>
      </w:r>
      <w:r w:rsidRPr="002B774B">
        <w:t>de contrôle des produits alimentaires, notamment en révisant et en modernisant la législation et les</w:t>
      </w:r>
      <w:r>
        <w:t xml:space="preserve"> </w:t>
      </w:r>
      <w:r w:rsidRPr="002B774B">
        <w:t xml:space="preserve">réglementations nationales relatives à la sécurité sanitaire des aliments, pour faire </w:t>
      </w:r>
      <w:r w:rsidRPr="002B774B">
        <w:lastRenderedPageBreak/>
        <w:t>en sorte que,</w:t>
      </w:r>
      <w:r w:rsidR="000424B3">
        <w:t xml:space="preserve"> </w:t>
      </w:r>
      <w:r w:rsidRPr="002B774B">
        <w:t>dans toute la filière alimentaire, les producteurs et les fournisseurs d'aliments fassent preuve de</w:t>
      </w:r>
      <w:r w:rsidR="000424B3">
        <w:t xml:space="preserve"> </w:t>
      </w:r>
      <w:r w:rsidRPr="002B774B">
        <w:t>responsabilité.</w:t>
      </w:r>
    </w:p>
    <w:p w14:paraId="4CFA8729" w14:textId="2F6A8163" w:rsidR="002B774B" w:rsidRDefault="002B774B" w:rsidP="006551E1">
      <w:pPr>
        <w:pStyle w:val="ParagrapheRapportPNIN"/>
        <w:shd w:val="clear" w:color="auto" w:fill="F2F2F2" w:themeFill="background1" w:themeFillShade="F2"/>
      </w:pPr>
      <w:r w:rsidRPr="006551E1">
        <w:rPr>
          <w:b/>
        </w:rPr>
        <w:t>Recommandation 54</w:t>
      </w:r>
      <w:r w:rsidR="000424B3" w:rsidRPr="006551E1">
        <w:rPr>
          <w:b/>
        </w:rPr>
        <w:t xml:space="preserve"> du cadre d’action de la CNI2</w:t>
      </w:r>
      <w:r w:rsidR="00636FBE">
        <w:rPr>
          <w:b/>
        </w:rPr>
        <w:t> </w:t>
      </w:r>
      <w:r w:rsidRPr="006551E1">
        <w:rPr>
          <w:b/>
        </w:rPr>
        <w:t>:</w:t>
      </w:r>
      <w:r w:rsidRPr="002B774B">
        <w:t xml:space="preserve"> Participer activement aux travaux de la Commission du Codex Alimentarius</w:t>
      </w:r>
      <w:r w:rsidR="000424B3">
        <w:t xml:space="preserve"> </w:t>
      </w:r>
      <w:r w:rsidRPr="002B774B">
        <w:t>relatifs à la nutrition et à la sécurité sanitaire des aliments et appliquer au niveau national, le cas</w:t>
      </w:r>
      <w:r w:rsidR="000424B3">
        <w:t xml:space="preserve"> </w:t>
      </w:r>
      <w:r w:rsidRPr="002B774B">
        <w:t>échéant, les normes adoptées à l'échelle internationale.</w:t>
      </w:r>
    </w:p>
    <w:p w14:paraId="5B740042" w14:textId="6865252C" w:rsidR="00F43620" w:rsidRDefault="00F43620" w:rsidP="006551E1">
      <w:pPr>
        <w:pStyle w:val="ParagrapheRapportPNIN"/>
        <w:shd w:val="clear" w:color="auto" w:fill="F2F2F2" w:themeFill="background1" w:themeFillShade="F2"/>
      </w:pPr>
      <w:r w:rsidRPr="006551E1">
        <w:rPr>
          <w:b/>
        </w:rPr>
        <w:t>Recommandation 55</w:t>
      </w:r>
      <w:r w:rsidR="00207417" w:rsidRPr="006551E1">
        <w:rPr>
          <w:b/>
        </w:rPr>
        <w:t xml:space="preserve"> du cadre d’action de la CNI2</w:t>
      </w:r>
      <w:r w:rsidR="00636FBE">
        <w:rPr>
          <w:b/>
        </w:rPr>
        <w:t> </w:t>
      </w:r>
      <w:r w:rsidRPr="00F43620">
        <w:t>: Adhérer et participer activement aux réseaux internationaux pour mettre en</w:t>
      </w:r>
      <w:r>
        <w:t xml:space="preserve"> </w:t>
      </w:r>
      <w:r w:rsidRPr="00F43620">
        <w:t>commun les informations relatives à la sécurité sanitaire des aliments, et notamment pour gérer les</w:t>
      </w:r>
      <w:r>
        <w:t xml:space="preserve"> situations d'urgences</w:t>
      </w:r>
    </w:p>
    <w:p w14:paraId="5BD0D97C" w14:textId="0417824B" w:rsidR="00F43620" w:rsidRDefault="00F43620" w:rsidP="006551E1">
      <w:pPr>
        <w:pStyle w:val="ParagrapheRapportPNIN"/>
        <w:shd w:val="clear" w:color="auto" w:fill="F2F2F2" w:themeFill="background1" w:themeFillShade="F2"/>
      </w:pPr>
      <w:r w:rsidRPr="006551E1">
        <w:rPr>
          <w:b/>
        </w:rPr>
        <w:t>Recommandation 56</w:t>
      </w:r>
      <w:r w:rsidR="00207417" w:rsidRPr="006551E1">
        <w:rPr>
          <w:b/>
        </w:rPr>
        <w:t xml:space="preserve"> du cadre d’action de la CNI2</w:t>
      </w:r>
      <w:r w:rsidR="00492DDF">
        <w:rPr>
          <w:b/>
        </w:rPr>
        <w:t> </w:t>
      </w:r>
      <w:r w:rsidRPr="00F43620">
        <w:t>: Sensibiliser les parties prenantes concernées aux problèmes posés par la</w:t>
      </w:r>
      <w:r>
        <w:t xml:space="preserve"> </w:t>
      </w:r>
      <w:r w:rsidRPr="00F43620">
        <w:t>résistance aux antimicrobiens et mettre en œuvre des mesures multisectorielles permettant de lutter</w:t>
      </w:r>
      <w:r>
        <w:t xml:space="preserve"> </w:t>
      </w:r>
      <w:r w:rsidRPr="00F43620">
        <w:t>contre ce phénomène, notamment l'emploi raisonné des produits antimicrobiens en médecine</w:t>
      </w:r>
      <w:r>
        <w:t xml:space="preserve"> </w:t>
      </w:r>
      <w:r w:rsidRPr="00F43620">
        <w:t>vétérinaire et en médecine humaine.</w:t>
      </w:r>
    </w:p>
    <w:p w14:paraId="4BF67BF9" w14:textId="00C6593F" w:rsidR="00F43620" w:rsidRPr="00C07897" w:rsidRDefault="00F43620" w:rsidP="006551E1">
      <w:pPr>
        <w:pStyle w:val="ParagrapheRapportPNIN"/>
        <w:shd w:val="clear" w:color="auto" w:fill="F2F2F2" w:themeFill="background1" w:themeFillShade="F2"/>
      </w:pPr>
      <w:r w:rsidRPr="006551E1">
        <w:rPr>
          <w:b/>
        </w:rPr>
        <w:t>Recommandation 57</w:t>
      </w:r>
      <w:r w:rsidR="00207417" w:rsidRPr="006551E1">
        <w:rPr>
          <w:b/>
        </w:rPr>
        <w:t xml:space="preserve"> du cadre d’action de la CNI2</w:t>
      </w:r>
      <w:r w:rsidR="00492DDF">
        <w:t> </w:t>
      </w:r>
      <w:r w:rsidRPr="00F43620">
        <w:t>: Élaborer et appliquer des directives nationales relatives à l'utilisation</w:t>
      </w:r>
      <w:r>
        <w:t xml:space="preserve"> </w:t>
      </w:r>
      <w:r w:rsidRPr="00F43620">
        <w:t>prudente des produits antimicrobiens chez les animaux destinés à la production alimentaire,</w:t>
      </w:r>
      <w:r>
        <w:t xml:space="preserve"> </w:t>
      </w:r>
      <w:r w:rsidRPr="00F43620">
        <w:t>conformément aux normes reconnues à l'échelle internationale et adoptées par des organisations</w:t>
      </w:r>
      <w:r>
        <w:t xml:space="preserve"> </w:t>
      </w:r>
      <w:r w:rsidRPr="00F43620">
        <w:t>internationales compétentes, afin de réduire l'utilisation non thérapeutique des produits</w:t>
      </w:r>
      <w:r>
        <w:t xml:space="preserve"> </w:t>
      </w:r>
      <w:r w:rsidRPr="00F43620">
        <w:t>antimicrobiens et de mettre fin à leur utilisation en tant qu'activateurs de croissance en l'absence</w:t>
      </w:r>
      <w:r>
        <w:t xml:space="preserve"> </w:t>
      </w:r>
      <w:r w:rsidRPr="00F43620">
        <w:t>d’analyses des risques, comme l'indique le Code d'usages du Codex Alimentarius CAC/RCP61-2005</w:t>
      </w:r>
      <w:r w:rsidR="00492DDF">
        <w:t>.</w:t>
      </w:r>
    </w:p>
    <w:p w14:paraId="50C43761" w14:textId="0DBF7ECB" w:rsidR="007E426D" w:rsidRPr="007E426D" w:rsidRDefault="00C27CB9" w:rsidP="006551E1">
      <w:pPr>
        <w:pStyle w:val="ParagrapheRapportPNIN"/>
      </w:pPr>
      <w:r>
        <w:t xml:space="preserve">Pour </w:t>
      </w:r>
      <w:r w:rsidR="00652F3F">
        <w:t>répondre aux enjeux de bonne nutrition pour l’ensemble de la population, y compris les groupes les plus vulnérables</w:t>
      </w:r>
      <w:r>
        <w:t xml:space="preserve">, il faut mobiliser </w:t>
      </w:r>
      <w:r w:rsidR="00652F3F">
        <w:t xml:space="preserve">le secteur de l’agriculture et des </w:t>
      </w:r>
      <w:r>
        <w:t>système</w:t>
      </w:r>
      <w:r w:rsidR="00652F3F">
        <w:t>s</w:t>
      </w:r>
      <w:r>
        <w:t xml:space="preserve"> alimentaire</w:t>
      </w:r>
      <w:r w:rsidR="00652F3F">
        <w:t>s.</w:t>
      </w:r>
      <w:r>
        <w:t xml:space="preserve"> </w:t>
      </w:r>
      <w:r w:rsidR="00652F3F">
        <w:t>L’un des enjeux majeurs des politiques agricoles consiste à assurer une sécurité alimentaire et une bonne nutrition dans un contexte de pauvreté rurale élevée et de forte croissance démographique</w:t>
      </w:r>
      <w:r w:rsidR="00652F3F">
        <w:rPr>
          <w:rStyle w:val="Appelnotedebasdep"/>
        </w:rPr>
        <w:footnoteReference w:id="42"/>
      </w:r>
      <w:r w:rsidR="00652F3F">
        <w:t>.</w:t>
      </w:r>
      <w:r w:rsidR="00BC3613" w:rsidRPr="00BC3613">
        <w:t xml:space="preserve"> </w:t>
      </w:r>
      <w:r w:rsidR="00BC3613">
        <w:t xml:space="preserve">L’objectif en lien avec les systèmes agricoles et alimentaires définit dans la feuille de route 2016-2020 du SUN auquel le Niger a adhéré </w:t>
      </w:r>
      <w:r w:rsidR="00A407D8">
        <w:t xml:space="preserve">en 2011, </w:t>
      </w:r>
      <w:r w:rsidR="00BC3613">
        <w:t>est de rendre les aliments diversifiés et nutritifs plus accessibles à tous, et soutenir les petites exploitations agricoles comme une source de revenus pour les femmes et les familles</w:t>
      </w:r>
      <w:r w:rsidR="00A407D8">
        <w:rPr>
          <w:rStyle w:val="Appelnotedebasdep"/>
        </w:rPr>
        <w:footnoteReference w:id="43"/>
      </w:r>
      <w:r w:rsidR="00BC3613">
        <w:t xml:space="preserve">. </w:t>
      </w:r>
    </w:p>
    <w:p w14:paraId="538D2061" w14:textId="141B9CAE" w:rsidR="007E426D" w:rsidRDefault="00EF4917" w:rsidP="006551E1">
      <w:pPr>
        <w:pStyle w:val="ParagrapheRapportPNIN"/>
      </w:pPr>
      <w:r>
        <w:t>De plus en plus de données scientifiques mettent en évidence les synergies existant</w:t>
      </w:r>
      <w:r w:rsidR="00492DDF">
        <w:t>es</w:t>
      </w:r>
      <w:r>
        <w:t xml:space="preserve"> entre la diversification de la production et la diversité de l’alimentation chez les petits exploitants. Toutefois, il existe des facteurs inhibiteurs susceptibles d’engendrer un cercle vicieux se traduisant par une intensification non viable des pratiques de production, qui aboutit à une dégradation des sols, à une diminution de la productivité, à une baisse du pouvoir d’achat et à une réduction de la production des cultures vivrières. La croissance démographique et l’amenuisement des exploitations agricoles sont deux causes sous-jacentes de ce phénomène. Du fait du soutien des pouvoirs publics en faveur des principales cultures céréalières et des messages envoyés par les marchés en ce sens, les fermiers pauvres qui se retrouvent piégés dans ce cercle vicieux sont fortement dissuadés de diversifier leur production. Les cultures locales (comme le sorgho ou certains légumes traditionnels) </w:t>
      </w:r>
      <w:r>
        <w:lastRenderedPageBreak/>
        <w:t>sont peu à peu remplacées par des produits de «</w:t>
      </w:r>
      <w:r w:rsidR="00492DDF">
        <w:t> </w:t>
      </w:r>
      <w:r>
        <w:t>substitution</w:t>
      </w:r>
      <w:r w:rsidR="00492DDF">
        <w:t> </w:t>
      </w:r>
      <w:r>
        <w:t>», pour lesquels la demande est plus forte et dont la production est facilitée (comme c’est le cas, par exemple, pour le maïs). Au bout du compte, il devient plus difficile de se procurer une alimentation diversifiée et de plus en plus de personnes se tournent vers un régime alimentaire peu varié et pauvre en nutriments</w:t>
      </w:r>
      <w:r>
        <w:rPr>
          <w:rStyle w:val="Appelnotedebasdep"/>
        </w:rPr>
        <w:footnoteReference w:id="44"/>
      </w:r>
      <w:r>
        <w:t>.</w:t>
      </w:r>
    </w:p>
    <w:p w14:paraId="2E28D331" w14:textId="40BFC40D" w:rsidR="00DD4459" w:rsidRDefault="00DD4459" w:rsidP="006551E1">
      <w:pPr>
        <w:pStyle w:val="ParagrapheRapportPNIN"/>
      </w:pPr>
      <w:r>
        <w:t xml:space="preserve">L’OMS exige de plus en plus </w:t>
      </w:r>
      <w:r w:rsidR="00540DAE">
        <w:t>que l</w:t>
      </w:r>
      <w:r>
        <w:t>es systèmes alimentaires modernes et industrialisés contribuent à une alimentation saine en proposant des produits adéquats, non nocifs, diversifiés et riches en nutriments</w:t>
      </w:r>
      <w:r>
        <w:rPr>
          <w:rStyle w:val="Appelnotedebasdep"/>
        </w:rPr>
        <w:footnoteReference w:id="45"/>
      </w:r>
      <w:r>
        <w:t>. Mais ces systèmes ont tendance, au contraire, à fournir des aliments hautement transformés trop pauvres en fibres et trop riches en sel, sucre et mauvaises graisses. Les facteurs sous-jacents du mauvais fonctionnement des systèmes alimentaires sont notamment les inégalités en matière d’accès aux ressources et de contrôle de ces ressources, ainsi que les modes de production et de consommation non durables qui contribuent à la dégradation de l’environnement. Des lignes directrices floues et une application insuffisante des politiques, réglementations et lois nationales permettent aux entreprises de produire et de commercialiser des produits nocifs pour la santé, tandis que les consommateurs n’ont pas toujours les connaissances suffisantes pour faire la différence entre les choix alimentaires sains et ceux qui sont mauvais pour leur santé</w:t>
      </w:r>
      <w:r>
        <w:rPr>
          <w:rStyle w:val="Appelnotedebasdep"/>
        </w:rPr>
        <w:footnoteReference w:id="46"/>
      </w:r>
      <w:r>
        <w:t>.</w:t>
      </w:r>
    </w:p>
    <w:p w14:paraId="3BC1A95A" w14:textId="78AAC454" w:rsidR="00563D2D" w:rsidRPr="00563D2D" w:rsidRDefault="00540DAE" w:rsidP="006551E1">
      <w:pPr>
        <w:pStyle w:val="ParagrapheRapportPNIN"/>
      </w:pPr>
      <w:r>
        <w:t>Ainsi,</w:t>
      </w:r>
      <w:r w:rsidR="00DD4459">
        <w:t xml:space="preserve"> «</w:t>
      </w:r>
      <w:r>
        <w:t> </w:t>
      </w:r>
      <w:r w:rsidR="00DD4459">
        <w:t>les politiques et interventions axées sur le système alimentaire sont rarement conçues avec pour objectif premier d’améliorer la nutrition</w:t>
      </w:r>
      <w:r>
        <w:t> </w:t>
      </w:r>
      <w:r w:rsidR="00DD4459">
        <w:t>»</w:t>
      </w:r>
      <w:r w:rsidR="00A42058">
        <w:rPr>
          <w:rStyle w:val="Appelnotedebasdep"/>
        </w:rPr>
        <w:footnoteReference w:id="47"/>
      </w:r>
      <w:r w:rsidR="00F1279B">
        <w:t>.</w:t>
      </w:r>
      <w:r w:rsidR="00563D2D">
        <w:t xml:space="preserve"> Pour y remédier, la FAO a </w:t>
      </w:r>
      <w:r w:rsidR="00F1279B">
        <w:t>élaboré un guide pour la formulation de programmes d’investissement agricoles sensibles à la nutrition</w:t>
      </w:r>
      <w:r w:rsidR="0064646C">
        <w:rPr>
          <w:rStyle w:val="Appelnotedebasdep"/>
        </w:rPr>
        <w:footnoteReference w:id="48"/>
      </w:r>
      <w:r w:rsidR="00F1279B" w:rsidRPr="00F1279B">
        <w:t xml:space="preserve"> </w:t>
      </w:r>
      <w:r w:rsidR="00F1279B">
        <w:t>et</w:t>
      </w:r>
      <w:r w:rsidR="00F1279B" w:rsidRPr="00563D2D">
        <w:t xml:space="preserve"> les dix recommandations clefs pour améliorer la nutrition à travers l‘agriculture et les systèmes alimentaires</w:t>
      </w:r>
      <w:r w:rsidR="00F1279B">
        <w:rPr>
          <w:rStyle w:val="Appelnotedebasdep"/>
        </w:rPr>
        <w:footnoteReference w:id="49"/>
      </w:r>
      <w:r w:rsidR="00F1279B" w:rsidRPr="00563D2D">
        <w:t>.</w:t>
      </w:r>
      <w:r w:rsidR="00107497">
        <w:t xml:space="preserve"> </w:t>
      </w:r>
      <w:r w:rsidR="00563D2D" w:rsidRPr="00563D2D">
        <w:t>L’agriculture sensible à la nutrition est une approche qui vise à assurer la production d’une vaste gamme d’aliments nutritifs, culturellement adaptés, sains, de qualité, en quantité suffisante et à des prix abordables pour satisfaire durablement les besoins alimentaires des populations</w:t>
      </w:r>
      <w:r w:rsidR="00927C20">
        <w:rPr>
          <w:rStyle w:val="Appelnotedebasdep"/>
        </w:rPr>
        <w:footnoteReference w:id="50"/>
      </w:r>
      <w:r w:rsidR="00563D2D" w:rsidRPr="00563D2D">
        <w:t xml:space="preserve">. </w:t>
      </w:r>
      <w:r w:rsidR="00625A52" w:rsidRPr="00625A52">
        <w:t>La FAO a également défini les interventions qu’il est possible de mettre en œuvre dans les secteurs de l’alimentation et de l’agricult</w:t>
      </w:r>
      <w:r w:rsidR="00107497">
        <w:t>ure pour améliorer la nutrition</w:t>
      </w:r>
      <w:r w:rsidR="00F1279B">
        <w:rPr>
          <w:rStyle w:val="Appelnotedebasdep"/>
        </w:rPr>
        <w:footnoteReference w:id="51"/>
      </w:r>
      <w:r w:rsidR="00107497">
        <w:t xml:space="preserve"> et </w:t>
      </w:r>
      <w:r>
        <w:t xml:space="preserve">a </w:t>
      </w:r>
      <w:r w:rsidR="00F1279B" w:rsidRPr="00F1279B">
        <w:t>publié un recueil d’indicateurs pour une agriculture sensible à la nutrition</w:t>
      </w:r>
      <w:r w:rsidR="00107497">
        <w:rPr>
          <w:rStyle w:val="Appelnotedebasdep"/>
        </w:rPr>
        <w:footnoteReference w:id="52"/>
      </w:r>
      <w:r w:rsidR="00F1279B">
        <w:t xml:space="preserve">. </w:t>
      </w:r>
    </w:p>
    <w:p w14:paraId="561BA188" w14:textId="3BA49246" w:rsidR="00AE68C9" w:rsidRDefault="003C47C2" w:rsidP="00EC23BF">
      <w:pPr>
        <w:pStyle w:val="Titre4PNIN"/>
      </w:pPr>
      <w:bookmarkStart w:id="47" w:name="_Toc528222341"/>
      <w:r>
        <w:lastRenderedPageBreak/>
        <w:t xml:space="preserve">4.2.2. </w:t>
      </w:r>
      <w:r w:rsidR="00AE68C9">
        <w:t>La nutrition dans les documents de politiques, stratégies, programmes et plans du secteur de l’agriculture et des systèmes alimentaires au Niger</w:t>
      </w:r>
      <w:bookmarkEnd w:id="47"/>
    </w:p>
    <w:p w14:paraId="047C25F1" w14:textId="6791537A" w:rsidR="00A51F9E" w:rsidRPr="007B2B6F" w:rsidRDefault="00A51F9E" w:rsidP="006551E1">
      <w:pPr>
        <w:pStyle w:val="ParagrapheRapportPNIN"/>
        <w:rPr>
          <w:b/>
        </w:rPr>
      </w:pPr>
      <w:r w:rsidRPr="00A3547A">
        <w:rPr>
          <w:b/>
        </w:rPr>
        <w:t>Prise en compte de la nutrition dans l’analyse situationnelle</w:t>
      </w:r>
    </w:p>
    <w:p w14:paraId="05293ABC" w14:textId="3CCF7666" w:rsidR="00A51F9E" w:rsidRDefault="00A51F9E" w:rsidP="006551E1">
      <w:pPr>
        <w:pStyle w:val="ParagrapheRapportPNIN"/>
      </w:pPr>
      <w:r w:rsidRPr="002B2C12">
        <w:t>Au Niger, l’agriculture est partie intégrante de la stratégie de l’I3N pour la sécurité alimentaire et nutritionnelle et le développement agricole durable. L’I3N sert de fondement pour toute programmation en matière de développement agricole et de sécurité alimentaire/nutritionnelle dans les administrations publiques et les collectivités territoriales.</w:t>
      </w:r>
      <w:r>
        <w:t xml:space="preserve"> La nutrition est prise en compte dans l’analyse situation</w:t>
      </w:r>
      <w:r w:rsidR="00540DAE">
        <w:t>nelle</w:t>
      </w:r>
      <w:r>
        <w:t xml:space="preserve"> du plan d’action 2016-2020 de la stratégie.</w:t>
      </w:r>
    </w:p>
    <w:p w14:paraId="4A686BF8" w14:textId="77777777" w:rsidR="00FA717D" w:rsidRPr="006551E1" w:rsidRDefault="00FA717D" w:rsidP="006551E1">
      <w:pPr>
        <w:pStyle w:val="ParagrapheRapportPNIN"/>
        <w:rPr>
          <w:b/>
        </w:rPr>
      </w:pPr>
      <w:r w:rsidRPr="006551E1">
        <w:rPr>
          <w:b/>
        </w:rPr>
        <w:t>Prise en compte de la nutrition dans les objectifs</w:t>
      </w:r>
    </w:p>
    <w:p w14:paraId="3F13D027" w14:textId="77777777" w:rsidR="00A51F9E" w:rsidRPr="00A51F9E" w:rsidRDefault="00A51F9E" w:rsidP="006551E1">
      <w:pPr>
        <w:pStyle w:val="ParagrapheRapportPNIN"/>
      </w:pPr>
      <w:r w:rsidRPr="00A51F9E">
        <w:t>La nutrition est prise en compte dans les objectifs du plan d’action 2016-2020 de la stratégie.</w:t>
      </w:r>
    </w:p>
    <w:p w14:paraId="1033C373" w14:textId="77777777" w:rsidR="00A51F9E" w:rsidRPr="006551E1" w:rsidRDefault="00A51F9E" w:rsidP="006551E1">
      <w:pPr>
        <w:pStyle w:val="ParagrapheRapportPNIN"/>
        <w:rPr>
          <w:b/>
        </w:rPr>
      </w:pPr>
      <w:r w:rsidRPr="006551E1">
        <w:rPr>
          <w:b/>
        </w:rPr>
        <w:t>Identification des axes stratégiques/actions/interventions en lien avec la nutrition</w:t>
      </w:r>
    </w:p>
    <w:p w14:paraId="5669D67C" w14:textId="2FA236AB" w:rsidR="00B8454A" w:rsidRDefault="00B8454A" w:rsidP="006551E1">
      <w:pPr>
        <w:pStyle w:val="ParagrapheRapportPNIN"/>
      </w:pPr>
      <w:r>
        <w:t xml:space="preserve">Six des 11 </w:t>
      </w:r>
      <w:r w:rsidR="00540DAE">
        <w:t>P</w:t>
      </w:r>
      <w:r>
        <w:t xml:space="preserve">rogrammes </w:t>
      </w:r>
      <w:r w:rsidR="00540DAE">
        <w:t>S</w:t>
      </w:r>
      <w:r>
        <w:t>tratégiques (PS) du plan d’action</w:t>
      </w:r>
      <w:r w:rsidR="00540DAE">
        <w:t xml:space="preserve"> </w:t>
      </w:r>
      <w:r>
        <w:t>2016-2020 sont consacrés à l’agriculture et aux systèmes alimentaires</w:t>
      </w:r>
      <w:r w:rsidR="00540DAE">
        <w:t> </w:t>
      </w:r>
      <w:r>
        <w:t>:</w:t>
      </w:r>
    </w:p>
    <w:p w14:paraId="35564A1C" w14:textId="7F3FFD1B" w:rsidR="00B8454A" w:rsidRDefault="00C13E28" w:rsidP="006551E1">
      <w:pPr>
        <w:pStyle w:val="PucesRapportPNIN"/>
      </w:pPr>
      <w:r>
        <w:t>PS</w:t>
      </w:r>
      <w:r w:rsidR="00540DAE">
        <w:t> </w:t>
      </w:r>
      <w:r>
        <w:t>1</w:t>
      </w:r>
      <w:r w:rsidR="00540DAE">
        <w:t> </w:t>
      </w:r>
      <w:r>
        <w:t>:</w:t>
      </w:r>
      <w:r w:rsidR="00B8454A">
        <w:t xml:space="preserve"> Mobilisation des </w:t>
      </w:r>
      <w:r>
        <w:t>e</w:t>
      </w:r>
      <w:r w:rsidR="00B8454A">
        <w:t xml:space="preserve">aux pour </w:t>
      </w:r>
      <w:r>
        <w:t>les productions agro-sylvo-pastorales</w:t>
      </w:r>
      <w:r w:rsidR="00B8454A">
        <w:t xml:space="preserve"> </w:t>
      </w:r>
      <w:r>
        <w:t>et</w:t>
      </w:r>
      <w:r w:rsidR="00B8454A">
        <w:t xml:space="preserve"> H</w:t>
      </w:r>
      <w:r>
        <w:t>alieutiques</w:t>
      </w:r>
      <w:r w:rsidR="00540DAE">
        <w:t> ;</w:t>
      </w:r>
    </w:p>
    <w:p w14:paraId="4A65DFB3" w14:textId="650CE9FD" w:rsidR="00B8454A" w:rsidRDefault="00B8454A" w:rsidP="006551E1">
      <w:pPr>
        <w:pStyle w:val="PucesRapportPNIN"/>
      </w:pPr>
      <w:r>
        <w:t>PS</w:t>
      </w:r>
      <w:r w:rsidR="00540DAE">
        <w:t> </w:t>
      </w:r>
      <w:r>
        <w:t>2</w:t>
      </w:r>
      <w:r w:rsidR="00540DAE">
        <w:t> </w:t>
      </w:r>
      <w:r>
        <w:t>: Promotion du sous-secteur de l’hydraulique pastorale</w:t>
      </w:r>
      <w:r w:rsidR="00540DAE">
        <w:t> ;</w:t>
      </w:r>
    </w:p>
    <w:p w14:paraId="4143B377" w14:textId="63E2D5C6" w:rsidR="00B8454A" w:rsidRDefault="00B8454A" w:rsidP="006551E1">
      <w:pPr>
        <w:pStyle w:val="PucesRapportPNIN"/>
      </w:pPr>
      <w:r>
        <w:t>PS</w:t>
      </w:r>
      <w:r w:rsidR="00540DAE">
        <w:t> </w:t>
      </w:r>
      <w:r>
        <w:t>3</w:t>
      </w:r>
      <w:r w:rsidR="00540DAE">
        <w:t> </w:t>
      </w:r>
      <w:r>
        <w:t>: Développement des filières et chaînes de valeurs agricoles</w:t>
      </w:r>
      <w:r w:rsidR="00540DAE">
        <w:t> ;</w:t>
      </w:r>
    </w:p>
    <w:p w14:paraId="5D48A31C" w14:textId="552D5BBE" w:rsidR="00B8454A" w:rsidRDefault="00B8454A" w:rsidP="006551E1">
      <w:pPr>
        <w:pStyle w:val="PucesRapportPNIN"/>
      </w:pPr>
      <w:r>
        <w:t>PS</w:t>
      </w:r>
      <w:r w:rsidR="00540DAE">
        <w:t> </w:t>
      </w:r>
      <w:r>
        <w:t>4</w:t>
      </w:r>
      <w:r w:rsidR="00540DAE">
        <w:t> </w:t>
      </w:r>
      <w:r>
        <w:t>: Développement des filières et chaînes de valeur</w:t>
      </w:r>
      <w:r w:rsidR="00540DAE">
        <w:t xml:space="preserve"> </w:t>
      </w:r>
      <w:r>
        <w:t>de l’Elevage</w:t>
      </w:r>
      <w:r w:rsidR="00540DAE">
        <w:t> ;</w:t>
      </w:r>
    </w:p>
    <w:p w14:paraId="46A662EE" w14:textId="5F7FAAE9" w:rsidR="00B8454A" w:rsidRDefault="00B8454A" w:rsidP="006551E1">
      <w:pPr>
        <w:pStyle w:val="PucesRapportPNIN"/>
      </w:pPr>
      <w:r>
        <w:t>PS</w:t>
      </w:r>
      <w:r w:rsidR="00540DAE">
        <w:t> </w:t>
      </w:r>
      <w:r>
        <w:t>5</w:t>
      </w:r>
      <w:r w:rsidR="00540DAE">
        <w:t> </w:t>
      </w:r>
      <w:r>
        <w:t>: Promotion des filières et chaînes de valeur des produits forestiers non ligneux et</w:t>
      </w:r>
      <w:r w:rsidR="00540DAE">
        <w:t xml:space="preserve"> </w:t>
      </w:r>
      <w:r>
        <w:t>halieutiques</w:t>
      </w:r>
      <w:r w:rsidR="00540DAE">
        <w:t> ;</w:t>
      </w:r>
    </w:p>
    <w:p w14:paraId="782E24AA" w14:textId="6A5AFB79" w:rsidR="00B8454A" w:rsidRDefault="00B8454A" w:rsidP="006551E1">
      <w:pPr>
        <w:pStyle w:val="PucesRapportPNIN"/>
      </w:pPr>
      <w:r>
        <w:t>PS 6</w:t>
      </w:r>
      <w:r w:rsidR="00540DAE">
        <w:t> </w:t>
      </w:r>
      <w:r>
        <w:t>: Renforcement de</w:t>
      </w:r>
      <w:r w:rsidR="00540DAE">
        <w:t xml:space="preserve"> </w:t>
      </w:r>
      <w:r>
        <w:t>la coordination</w:t>
      </w:r>
      <w:r w:rsidR="00540DAE">
        <w:t xml:space="preserve"> </w:t>
      </w:r>
      <w:r>
        <w:t>du développement des</w:t>
      </w:r>
      <w:r w:rsidR="00540DAE">
        <w:t xml:space="preserve"> </w:t>
      </w:r>
      <w:r>
        <w:t>filières et chaine</w:t>
      </w:r>
      <w:r w:rsidR="00283BA5">
        <w:t>s des valeurs des produits Agro-</w:t>
      </w:r>
      <w:r>
        <w:t>sylvo</w:t>
      </w:r>
      <w:r w:rsidR="00283BA5">
        <w:t>-</w:t>
      </w:r>
      <w:r>
        <w:t>pastorales</w:t>
      </w:r>
      <w:r w:rsidR="00283BA5">
        <w:t>.</w:t>
      </w:r>
    </w:p>
    <w:p w14:paraId="64907C35" w14:textId="3D2592FB" w:rsidR="00A51F9E" w:rsidRDefault="00A51F9E" w:rsidP="006551E1">
      <w:pPr>
        <w:pStyle w:val="ParagrapheRapportPNIN"/>
      </w:pPr>
      <w:r>
        <w:t xml:space="preserve">Les interventions de ces programmes sont sensibles à la nutrition par leur contribution à lutter contre les causes sous-jacentes de la malnutrition. </w:t>
      </w:r>
      <w:r w:rsidR="00540DAE">
        <w:t xml:space="preserve">Il </w:t>
      </w:r>
      <w:r>
        <w:t xml:space="preserve">est </w:t>
      </w:r>
      <w:r w:rsidR="00540DAE">
        <w:t xml:space="preserve">de plus en plus </w:t>
      </w:r>
      <w:r>
        <w:t>important de leur appliquer l’’approche agriculture et système alimentaires sensibles à la nutrition.</w:t>
      </w:r>
    </w:p>
    <w:p w14:paraId="30EAD548" w14:textId="06678BC3" w:rsidR="0057726E" w:rsidRDefault="0057726E" w:rsidP="006551E1">
      <w:pPr>
        <w:pStyle w:val="ParagrapheRapportPNIN"/>
      </w:pPr>
      <w:r>
        <w:t xml:space="preserve">L’examen du Projet Annuel de Performance </w:t>
      </w:r>
      <w:r w:rsidRPr="000D6F30">
        <w:t>2019</w:t>
      </w:r>
      <w:r>
        <w:t xml:space="preserve"> du Ministère de l’Agriculture et de l’Elevage (MAGEL) permet de s’apercevoir d’une prise en compte de la nutrition dans son Programme 2 « </w:t>
      </w:r>
      <w:r w:rsidRPr="000D6F30">
        <w:t>Développement des Productions Végétales</w:t>
      </w:r>
      <w:r>
        <w:t> » dont l</w:t>
      </w:r>
      <w:r w:rsidRPr="000D6F30">
        <w:t>'objectif du programme est de contribuer au développement des filières et chaines de valeur agricoles et agroalimentaires et accroître les revenus des producteurs.</w:t>
      </w:r>
      <w:r>
        <w:t xml:space="preserve"> Son </w:t>
      </w:r>
      <w:r w:rsidRPr="000D6F30">
        <w:t>Programme 3</w:t>
      </w:r>
      <w:r>
        <w:t xml:space="preserve"> contribue à la nutrition et </w:t>
      </w:r>
      <w:r w:rsidRPr="000D6F30">
        <w:t>a pour objectif de contribuer au développement des filières et chaînes des valeurs d’élevage pour assurer la disponibilité en viande, lait et œufs afin d’améliorer la sécurité alimentaire et nutritionnelle des populations et accroitre leurs revenus.</w:t>
      </w:r>
      <w:r>
        <w:t xml:space="preserve"> </w:t>
      </w:r>
      <w:r w:rsidR="00504670">
        <w:t xml:space="preserve">Le Projet Annuel de Performance </w:t>
      </w:r>
      <w:r w:rsidR="00504670" w:rsidRPr="000D6F30">
        <w:t>2019</w:t>
      </w:r>
      <w:r w:rsidR="00504670">
        <w:t xml:space="preserve"> du MAGEL </w:t>
      </w:r>
      <w:r>
        <w:t>mentionne également des projets et programmes en lien avec la nutrition</w:t>
      </w:r>
      <w:r w:rsidR="00504670">
        <w:t xml:space="preserve"> tels que</w:t>
      </w:r>
      <w:r>
        <w:t xml:space="preserve"> le Programme de R</w:t>
      </w:r>
      <w:r w:rsidRPr="000D6F30">
        <w:t>enforcement de la Résilience à l’Insécurité Alimentaire et Nutritionnelle au Sahel (P2RS</w:t>
      </w:r>
      <w:r>
        <w:t xml:space="preserve">) et </w:t>
      </w:r>
      <w:r w:rsidRPr="00737B41">
        <w:t>Projet de Renforcement de la Résilience à l’Insécurité Alimentaire et Nutritionnelle (PRRIA)</w:t>
      </w:r>
      <w:r>
        <w:t xml:space="preserve">. </w:t>
      </w:r>
    </w:p>
    <w:p w14:paraId="27C5BA80" w14:textId="1EADF061" w:rsidR="0057726E" w:rsidRDefault="00504670" w:rsidP="006551E1">
      <w:pPr>
        <w:pStyle w:val="ParagrapheRapportPNIN"/>
      </w:pPr>
      <w:r>
        <w:t>U</w:t>
      </w:r>
      <w:r w:rsidR="0057726E">
        <w:t xml:space="preserve">n accent a été mis sur la priorité de </w:t>
      </w:r>
      <w:r w:rsidR="0057726E" w:rsidRPr="00737B41">
        <w:t>la prise en compte de la thématique nutrition à travers la création d’un environnement favorable pour améliorer la nutrition par l’Agriculture et les systèmes alimentaires</w:t>
      </w:r>
      <w:r>
        <w:t xml:space="preserve"> (PAP)</w:t>
      </w:r>
      <w:r w:rsidR="0057726E">
        <w:t xml:space="preserve">. </w:t>
      </w:r>
    </w:p>
    <w:p w14:paraId="2E86EF6C" w14:textId="64B625E4" w:rsidR="000D6F30" w:rsidRDefault="00737B41" w:rsidP="006551E1">
      <w:pPr>
        <w:pStyle w:val="ParagrapheRapportPNIN"/>
        <w:rPr>
          <w:b/>
        </w:rPr>
      </w:pPr>
      <w:r w:rsidRPr="00A658EB">
        <w:rPr>
          <w:b/>
        </w:rPr>
        <w:lastRenderedPageBreak/>
        <w:t>Identification d’indicateurs ou des cibles en lien avec la nutrition</w:t>
      </w:r>
    </w:p>
    <w:p w14:paraId="379681C5" w14:textId="77777777" w:rsidR="00A04148" w:rsidRDefault="00A04148" w:rsidP="006551E1">
      <w:pPr>
        <w:pStyle w:val="ParagrapheRapportPNIN"/>
      </w:pPr>
      <w:r>
        <w:t>Malgré les avancées notées pour rendre l’agriculture et les systèmes alimentaires plus sensibles à la nutrition dans le PAP 2019, tous les indicateurs qui y sont recensés sont orientés vers la production et la commercialisation avec peu de focus sur les aspects de nutrition.</w:t>
      </w:r>
    </w:p>
    <w:p w14:paraId="443FBC3F" w14:textId="77777777" w:rsidR="00FA4B73" w:rsidRDefault="00FA4B73" w:rsidP="006551E1">
      <w:pPr>
        <w:pStyle w:val="ParagrapheRapportPNIN"/>
        <w:rPr>
          <w:b/>
        </w:rPr>
      </w:pPr>
      <w:r w:rsidRPr="008240D2">
        <w:rPr>
          <w:b/>
        </w:rPr>
        <w:t>Budgétisation des interventions/ actions en lien avec la nutrition</w:t>
      </w:r>
    </w:p>
    <w:p w14:paraId="2AC35BD8" w14:textId="736AF5B8" w:rsidR="00FA4B73" w:rsidRDefault="00DA6E69" w:rsidP="006551E1">
      <w:pPr>
        <w:pStyle w:val="ParagrapheRapportPNIN"/>
      </w:pPr>
      <w:r>
        <w:t xml:space="preserve">Le </w:t>
      </w:r>
      <w:r w:rsidR="00C8206D">
        <w:t xml:space="preserve">budget du </w:t>
      </w:r>
      <w:r>
        <w:t xml:space="preserve">PAP 2019 </w:t>
      </w:r>
      <w:r w:rsidR="00504670">
        <w:t>de 94 </w:t>
      </w:r>
      <w:r w:rsidR="00504670" w:rsidRPr="00C8206D">
        <w:t>056</w:t>
      </w:r>
      <w:r w:rsidR="00504670">
        <w:t> </w:t>
      </w:r>
      <w:r w:rsidR="00504670" w:rsidRPr="00C8206D">
        <w:t>850</w:t>
      </w:r>
      <w:r w:rsidR="00504670">
        <w:t> </w:t>
      </w:r>
      <w:r w:rsidR="00504670" w:rsidRPr="00C8206D">
        <w:t>448</w:t>
      </w:r>
      <w:r w:rsidR="00504670">
        <w:t> </w:t>
      </w:r>
      <w:r w:rsidR="00504670" w:rsidRPr="00C8206D">
        <w:t>F</w:t>
      </w:r>
      <w:r w:rsidR="00504670">
        <w:t> </w:t>
      </w:r>
      <w:r w:rsidR="00504670" w:rsidRPr="00C8206D">
        <w:t xml:space="preserve">CFA </w:t>
      </w:r>
      <w:r w:rsidR="00C8206D" w:rsidRPr="00C8206D">
        <w:t>est réparti entre les 3</w:t>
      </w:r>
      <w:r w:rsidR="00504670">
        <w:t> </w:t>
      </w:r>
      <w:r w:rsidR="00C8206D" w:rsidRPr="00C8206D">
        <w:t xml:space="preserve">programmes </w:t>
      </w:r>
      <w:r w:rsidR="00504670">
        <w:t>suivant </w:t>
      </w:r>
      <w:r w:rsidR="00C8206D" w:rsidRPr="00C8206D">
        <w:t>: (</w:t>
      </w:r>
      <w:r w:rsidR="00504670">
        <w:t>1</w:t>
      </w:r>
      <w:r w:rsidR="00C8206D" w:rsidRPr="00C8206D">
        <w:t>)</w:t>
      </w:r>
      <w:r w:rsidR="00504670">
        <w:t> </w:t>
      </w:r>
      <w:r w:rsidR="00C8206D" w:rsidRPr="00C8206D">
        <w:t>9</w:t>
      </w:r>
      <w:r w:rsidR="00504670">
        <w:t> </w:t>
      </w:r>
      <w:r w:rsidR="00C8206D" w:rsidRPr="00C8206D">
        <w:t>109</w:t>
      </w:r>
      <w:r w:rsidR="00504670">
        <w:t> </w:t>
      </w:r>
      <w:r w:rsidR="00C8206D" w:rsidRPr="00C8206D">
        <w:t>872</w:t>
      </w:r>
      <w:r w:rsidR="00504670">
        <w:t> </w:t>
      </w:r>
      <w:r w:rsidR="00C8206D" w:rsidRPr="00C8206D">
        <w:t>500</w:t>
      </w:r>
      <w:r w:rsidR="00504670">
        <w:t> </w:t>
      </w:r>
      <w:r w:rsidR="00C8206D" w:rsidRPr="00C8206D">
        <w:t>F</w:t>
      </w:r>
      <w:r w:rsidR="00504670">
        <w:t> </w:t>
      </w:r>
      <w:r w:rsidR="00C8206D" w:rsidRPr="00C8206D">
        <w:t>CFA pour le Programme 1</w:t>
      </w:r>
      <w:r w:rsidR="00504670">
        <w:t xml:space="preserve"> « </w:t>
      </w:r>
      <w:r w:rsidR="00C8206D" w:rsidRPr="00C8206D">
        <w:t>Gouvernance et Administration de la Politique du Ministère</w:t>
      </w:r>
      <w:r w:rsidR="00504670">
        <w:t> »</w:t>
      </w:r>
      <w:r w:rsidR="00C8206D" w:rsidRPr="00C8206D">
        <w:t>;</w:t>
      </w:r>
      <w:r w:rsidR="00504670">
        <w:t> </w:t>
      </w:r>
      <w:r w:rsidR="00C8206D" w:rsidRPr="00C8206D">
        <w:t>(</w:t>
      </w:r>
      <w:r w:rsidR="00504670">
        <w:t>2</w:t>
      </w:r>
      <w:r w:rsidR="00C8206D" w:rsidRPr="00C8206D">
        <w:t>)</w:t>
      </w:r>
      <w:r w:rsidR="00504670">
        <w:t> </w:t>
      </w:r>
      <w:r w:rsidR="00C8206D" w:rsidRPr="00C8206D">
        <w:t>66</w:t>
      </w:r>
      <w:r w:rsidR="00504670">
        <w:t> </w:t>
      </w:r>
      <w:r w:rsidR="00C8206D" w:rsidRPr="00C8206D">
        <w:t>969</w:t>
      </w:r>
      <w:r w:rsidR="00504670">
        <w:t> </w:t>
      </w:r>
      <w:r w:rsidR="00C8206D" w:rsidRPr="00C8206D">
        <w:t>831</w:t>
      </w:r>
      <w:r w:rsidR="00504670">
        <w:t> </w:t>
      </w:r>
      <w:r w:rsidR="00C8206D" w:rsidRPr="00C8206D">
        <w:t>945</w:t>
      </w:r>
      <w:r w:rsidR="00504670">
        <w:t> </w:t>
      </w:r>
      <w:r w:rsidR="00C8206D" w:rsidRPr="00C8206D">
        <w:t>F</w:t>
      </w:r>
      <w:r w:rsidR="00504670">
        <w:t> </w:t>
      </w:r>
      <w:r w:rsidR="00C8206D" w:rsidRPr="00C8206D">
        <w:t>CFA pour le Programme 2</w:t>
      </w:r>
      <w:r w:rsidR="00504670">
        <w:t xml:space="preserve"> « </w:t>
      </w:r>
      <w:r w:rsidR="00C8206D" w:rsidRPr="00C8206D">
        <w:t>Développement des productions végétales</w:t>
      </w:r>
      <w:r w:rsidR="00504670">
        <w:t xml:space="preserve"> » ; </w:t>
      </w:r>
      <w:r w:rsidR="00C8206D" w:rsidRPr="00C8206D">
        <w:t>(</w:t>
      </w:r>
      <w:r w:rsidR="00504670">
        <w:t>3</w:t>
      </w:r>
      <w:r w:rsidR="00C8206D" w:rsidRPr="00C8206D">
        <w:t>)</w:t>
      </w:r>
      <w:r w:rsidR="00504670">
        <w:t> </w:t>
      </w:r>
      <w:r w:rsidR="00C8206D" w:rsidRPr="00C8206D">
        <w:t>17</w:t>
      </w:r>
      <w:r w:rsidR="00504670">
        <w:t> </w:t>
      </w:r>
      <w:r w:rsidR="00C8206D" w:rsidRPr="00C8206D">
        <w:t>977</w:t>
      </w:r>
      <w:r w:rsidR="00504670">
        <w:t> </w:t>
      </w:r>
      <w:r w:rsidR="00C8206D" w:rsidRPr="00C8206D">
        <w:t>146</w:t>
      </w:r>
      <w:r w:rsidR="00504670">
        <w:t> </w:t>
      </w:r>
      <w:r w:rsidR="00C8206D" w:rsidRPr="00C8206D">
        <w:t>003</w:t>
      </w:r>
      <w:r w:rsidR="00504670">
        <w:t> </w:t>
      </w:r>
      <w:r w:rsidR="00C8206D" w:rsidRPr="00C8206D">
        <w:t>F</w:t>
      </w:r>
      <w:r w:rsidR="00504670">
        <w:t> </w:t>
      </w:r>
      <w:r w:rsidR="00C8206D" w:rsidRPr="00C8206D">
        <w:t>CFA pour le Programme 3</w:t>
      </w:r>
      <w:r w:rsidR="00504670">
        <w:t> « </w:t>
      </w:r>
      <w:r w:rsidR="00C8206D" w:rsidRPr="00C8206D">
        <w:t>Développement des productions animales</w:t>
      </w:r>
      <w:r w:rsidR="00504670">
        <w:t xml:space="preserve"> ». </w:t>
      </w:r>
      <w:r w:rsidR="00C8206D" w:rsidRPr="00C8206D">
        <w:t>).</w:t>
      </w:r>
    </w:p>
    <w:p w14:paraId="23A74284" w14:textId="0D69FE34" w:rsidR="00C8206D" w:rsidRDefault="00C8206D" w:rsidP="006551E1">
      <w:pPr>
        <w:pStyle w:val="ParagrapheRapportPNIN"/>
      </w:pPr>
      <w:r>
        <w:t>Malheureusement l</w:t>
      </w:r>
      <w:r w:rsidR="00504670">
        <w:t>es</w:t>
      </w:r>
      <w:r>
        <w:t xml:space="preserve"> répartition</w:t>
      </w:r>
      <w:r w:rsidR="00504670">
        <w:t>s</w:t>
      </w:r>
      <w:r>
        <w:t xml:space="preserve"> budgétaire</w:t>
      </w:r>
      <w:r w:rsidR="00504670">
        <w:t>s</w:t>
      </w:r>
      <w:r>
        <w:t xml:space="preserve"> au sein des programmes 2 et 3 ne sont pas donné</w:t>
      </w:r>
      <w:r w:rsidR="00504670">
        <w:t>e</w:t>
      </w:r>
      <w:r>
        <w:t>s et ne permettent donc pas d’apprécier la part du budget orienté</w:t>
      </w:r>
      <w:r w:rsidR="00504670">
        <w:t>e</w:t>
      </w:r>
      <w:r>
        <w:t xml:space="preserve"> vers les actions dites sensibles à la nutrition.</w:t>
      </w:r>
    </w:p>
    <w:p w14:paraId="012763E7" w14:textId="71C7320D" w:rsidR="007E426D" w:rsidRPr="00376B7D" w:rsidRDefault="00780F34" w:rsidP="006551E1">
      <w:pPr>
        <w:pStyle w:val="Titre3PNIN"/>
      </w:pPr>
      <w:bookmarkStart w:id="48" w:name="_Toc528054612"/>
      <w:bookmarkStart w:id="49" w:name="_Toc528054613"/>
      <w:bookmarkStart w:id="50" w:name="_Toc528054614"/>
      <w:bookmarkStart w:id="51" w:name="_Toc528054615"/>
      <w:bookmarkStart w:id="52" w:name="_Toc528054616"/>
      <w:bookmarkStart w:id="53" w:name="_Toc528054617"/>
      <w:bookmarkStart w:id="54" w:name="_Toc528054618"/>
      <w:bookmarkStart w:id="55" w:name="_Toc528054619"/>
      <w:bookmarkStart w:id="56" w:name="_Toc528222342"/>
      <w:bookmarkEnd w:id="48"/>
      <w:bookmarkEnd w:id="49"/>
      <w:bookmarkEnd w:id="50"/>
      <w:bookmarkEnd w:id="51"/>
      <w:bookmarkEnd w:id="52"/>
      <w:bookmarkEnd w:id="53"/>
      <w:bookmarkEnd w:id="54"/>
      <w:bookmarkEnd w:id="55"/>
      <w:r w:rsidRPr="00376B7D">
        <w:t>La nutrition d</w:t>
      </w:r>
      <w:r w:rsidR="007E426D" w:rsidRPr="00376B7D">
        <w:t>ans le secteur de l’eau, hygiène et assainissement</w:t>
      </w:r>
      <w:bookmarkEnd w:id="56"/>
    </w:p>
    <w:p w14:paraId="5AC07794" w14:textId="37C2A31C" w:rsidR="005716B4" w:rsidRPr="00AE68C9" w:rsidRDefault="003C47C2" w:rsidP="00EC23BF">
      <w:pPr>
        <w:pStyle w:val="Titre4PNIN"/>
      </w:pPr>
      <w:bookmarkStart w:id="57" w:name="_Toc528222343"/>
      <w:r>
        <w:t xml:space="preserve">4.3.1. </w:t>
      </w:r>
      <w:r w:rsidR="005716B4" w:rsidRPr="00AE68C9">
        <w:t xml:space="preserve">Lien entre </w:t>
      </w:r>
      <w:r w:rsidR="005716B4" w:rsidRPr="005716B4">
        <w:t xml:space="preserve">l’eau, hygiène et assainissement </w:t>
      </w:r>
      <w:r w:rsidR="005716B4" w:rsidRPr="00AE68C9">
        <w:t>et la nutrition</w:t>
      </w:r>
      <w:bookmarkEnd w:id="57"/>
    </w:p>
    <w:p w14:paraId="71E0ECD5" w14:textId="34F79416" w:rsidR="002B774B" w:rsidRPr="006551E1" w:rsidRDefault="002B774B" w:rsidP="006551E1">
      <w:pPr>
        <w:pStyle w:val="ParagrapheRapportPNIN"/>
        <w:shd w:val="clear" w:color="auto" w:fill="F2F2F2" w:themeFill="background1" w:themeFillShade="F2"/>
      </w:pPr>
      <w:r w:rsidRPr="0093089E">
        <w:rPr>
          <w:b/>
        </w:rPr>
        <w:t>Recommandation 50 du cadre d’action de la CIN2</w:t>
      </w:r>
      <w:r w:rsidR="00504670">
        <w:t> </w:t>
      </w:r>
      <w:r w:rsidRPr="006551E1">
        <w:t>: Mettre en œuvre des politiques et des programmes misant sur des approches participatives pour améliorer la gestion de l'eau dans les secteurs de l'agriculture et de la production alimentaire.</w:t>
      </w:r>
    </w:p>
    <w:p w14:paraId="3250E383" w14:textId="515C9620" w:rsidR="002B774B" w:rsidRPr="006551E1" w:rsidRDefault="002B774B" w:rsidP="006551E1">
      <w:pPr>
        <w:pStyle w:val="ParagrapheRapportPNIN"/>
        <w:shd w:val="clear" w:color="auto" w:fill="F2F2F2" w:themeFill="background1" w:themeFillShade="F2"/>
      </w:pPr>
      <w:r w:rsidRPr="00F6247C">
        <w:rPr>
          <w:b/>
        </w:rPr>
        <w:t>Recommandation 51 du cadre d’action de la CIN2</w:t>
      </w:r>
      <w:r w:rsidR="00504670">
        <w:rPr>
          <w:b/>
        </w:rPr>
        <w:t> </w:t>
      </w:r>
      <w:r w:rsidRPr="006551E1">
        <w:t>: Investir dans l'accès universel à l'eau potable et s'engager à atteindre cet objectif, avec la participation de la société civile et l'appui de partenaires internationaux, le cas échéant.</w:t>
      </w:r>
    </w:p>
    <w:p w14:paraId="664AAC36" w14:textId="2A152E78" w:rsidR="002B774B" w:rsidRPr="006551E1" w:rsidRDefault="002B774B" w:rsidP="006551E1">
      <w:pPr>
        <w:pStyle w:val="ParagrapheRapportPNIN"/>
        <w:shd w:val="clear" w:color="auto" w:fill="F2F2F2" w:themeFill="background1" w:themeFillShade="F2"/>
      </w:pPr>
      <w:r w:rsidRPr="0093089E">
        <w:rPr>
          <w:b/>
        </w:rPr>
        <w:t>Recommandation 52 du cadre d’action de la CIN2</w:t>
      </w:r>
      <w:r w:rsidR="00504670">
        <w:t> </w:t>
      </w:r>
      <w:r w:rsidRPr="006551E1">
        <w:t>: Mettre en œuvre des politiques et des stratégies misant sur des approches participatives pour assurer à tous un accès à des conditions d'assainissement satisfaisantes et promouvoir des pratiques favorisant une bonne hygiène, notamment le lavage des mains avec du savon.</w:t>
      </w:r>
    </w:p>
    <w:p w14:paraId="4DABF14A" w14:textId="77777777" w:rsidR="00D4567A" w:rsidRDefault="00D4567A" w:rsidP="006551E1">
      <w:pPr>
        <w:pStyle w:val="ParagrapheRapportPNIN"/>
      </w:pPr>
      <w:r>
        <w:t>Les principales causes directes de la sous-nutrition sont un apport alimentaire inapproprié ou insuffisant et les maladies. Ces causes sont directement ou indirectement liées à un accès insuffisant à l'eau, à l'assainissement et à l'hygiène qui font partie des causes sous-jacentes de la malnutrition.</w:t>
      </w:r>
    </w:p>
    <w:p w14:paraId="58547614" w14:textId="207F4BC4" w:rsidR="00D4567A" w:rsidRDefault="00D4567A" w:rsidP="006551E1">
      <w:pPr>
        <w:pStyle w:val="ParagrapheRapportPNIN"/>
      </w:pPr>
      <w:r>
        <w:t>Le manque d’accès aux services d’eau d’hygiène et d’assainissement peut affecter l’état nutritionnel d’un enfant de nombreuses manières. Les données existantes confirment au moins trois voies directes</w:t>
      </w:r>
      <w:r w:rsidR="0093089E">
        <w:t> </w:t>
      </w:r>
      <w:r>
        <w:t>: 1)</w:t>
      </w:r>
      <w:r w:rsidR="0093089E">
        <w:t> </w:t>
      </w:r>
      <w:r>
        <w:t>les maladies diarrhéiques</w:t>
      </w:r>
      <w:r w:rsidR="0093089E">
        <w:t xml:space="preserve"> ; </w:t>
      </w:r>
      <w:r>
        <w:t>2)</w:t>
      </w:r>
      <w:r w:rsidR="0093089E">
        <w:t> </w:t>
      </w:r>
      <w:r>
        <w:t>les infections parasitaires intestinales</w:t>
      </w:r>
      <w:r w:rsidR="0093089E">
        <w:t xml:space="preserve"> ; </w:t>
      </w:r>
      <w:r>
        <w:t>3)</w:t>
      </w:r>
      <w:r w:rsidR="0093089E">
        <w:t> </w:t>
      </w:r>
      <w:r>
        <w:t>l'entéropathie environnementale. Ce manque peut également avoir un impact indirect sur l’état nutritionnel des femmes et des filles (très souvent) en les obligeant à parcourir de longues distances à la recherche d’alimentation en eau et d’assainissement et en détournant le temps dont dispose les mères pour s'occuper des enfants.</w:t>
      </w:r>
    </w:p>
    <w:p w14:paraId="0AF5A749" w14:textId="77777777" w:rsidR="005716B4" w:rsidRDefault="00D4567A" w:rsidP="006551E1">
      <w:pPr>
        <w:pStyle w:val="ParagrapheRapportPNIN"/>
      </w:pPr>
      <w:r>
        <w:t>L’objectif en lien avec de Eau potable et assainissement définit dans la feuille de route 2016-2020 du SUN auquel le Niger a adhéré en 2011, est d’améliorer l'accès pour tous pour réduire l'infection et la maladie.</w:t>
      </w:r>
    </w:p>
    <w:p w14:paraId="036E9219" w14:textId="7C942EB1" w:rsidR="005716B4" w:rsidRPr="00F6247C" w:rsidRDefault="003C47C2" w:rsidP="00EC23BF">
      <w:pPr>
        <w:pStyle w:val="Titre4PNIN"/>
      </w:pPr>
      <w:bookmarkStart w:id="58" w:name="_Toc528222344"/>
      <w:r>
        <w:lastRenderedPageBreak/>
        <w:t xml:space="preserve">4.3.2. </w:t>
      </w:r>
      <w:r w:rsidR="005716B4" w:rsidRPr="00F6247C">
        <w:t xml:space="preserve">La nutrition dans les documents de politiques, stratégies, programmes et plans du secteur de </w:t>
      </w:r>
      <w:r w:rsidR="00480401" w:rsidRPr="00F6247C">
        <w:t xml:space="preserve">l’Eau, l’Hygiène et l’Assainissement </w:t>
      </w:r>
      <w:r w:rsidR="005716B4" w:rsidRPr="00F6247C">
        <w:t>au Niger</w:t>
      </w:r>
      <w:bookmarkEnd w:id="58"/>
    </w:p>
    <w:p w14:paraId="7AD73380" w14:textId="77777777" w:rsidR="001960AA" w:rsidRPr="007B2B6F" w:rsidRDefault="001960AA" w:rsidP="006551E1">
      <w:pPr>
        <w:pStyle w:val="ParagrapheRapportPNIN"/>
        <w:rPr>
          <w:b/>
        </w:rPr>
      </w:pPr>
      <w:r w:rsidRPr="00A3547A">
        <w:rPr>
          <w:b/>
        </w:rPr>
        <w:t>Prise en compte de la nutrition dans l’analyse situationnelle</w:t>
      </w:r>
      <w:r>
        <w:rPr>
          <w:b/>
        </w:rPr>
        <w:t> :</w:t>
      </w:r>
    </w:p>
    <w:p w14:paraId="2C8F5E65" w14:textId="77777777" w:rsidR="00E66C33" w:rsidRDefault="00D4567A" w:rsidP="006551E1">
      <w:pPr>
        <w:pStyle w:val="ParagrapheRapportPNIN"/>
      </w:pPr>
      <w:r w:rsidRPr="00D4567A">
        <w:t xml:space="preserve">La nutrition n’apparait pas dans </w:t>
      </w:r>
      <w:r w:rsidR="00E66C33">
        <w:t xml:space="preserve">le Programme Sectoriel Eau Hygiène et Assainissement PROSEHA </w:t>
      </w:r>
      <w:r w:rsidRPr="00D4567A">
        <w:t>2016-2030 (élaboré en 2016)</w:t>
      </w:r>
      <w:r w:rsidR="00E66C33">
        <w:t xml:space="preserve"> et dans la </w:t>
      </w:r>
      <w:r w:rsidR="00E66C33" w:rsidRPr="00E66C33">
        <w:t>Stratégie</w:t>
      </w:r>
      <w:r w:rsidR="00E66C33">
        <w:t xml:space="preserve"> </w:t>
      </w:r>
      <w:r w:rsidR="00E66C33" w:rsidRPr="00E66C33">
        <w:t>Opérationnelle</w:t>
      </w:r>
      <w:r w:rsidR="00E66C33">
        <w:t xml:space="preserve"> </w:t>
      </w:r>
      <w:r w:rsidR="00E66C33" w:rsidRPr="00E66C33">
        <w:t>de</w:t>
      </w:r>
      <w:r w:rsidR="00E66C33">
        <w:t xml:space="preserve"> </w:t>
      </w:r>
      <w:r w:rsidR="00E66C33" w:rsidRPr="00E66C33">
        <w:t>Promotion</w:t>
      </w:r>
      <w:r w:rsidR="00E66C33">
        <w:t xml:space="preserve"> </w:t>
      </w:r>
      <w:r w:rsidR="00E66C33" w:rsidRPr="00E66C33">
        <w:t>de</w:t>
      </w:r>
      <w:r w:rsidR="00E66C33">
        <w:t xml:space="preserve"> </w:t>
      </w:r>
      <w:r w:rsidR="00E66C33" w:rsidRPr="00E66C33">
        <w:t>l’Hygiène</w:t>
      </w:r>
      <w:r w:rsidR="00E66C33">
        <w:t xml:space="preserve"> </w:t>
      </w:r>
      <w:r w:rsidR="00E66C33" w:rsidRPr="00E66C33">
        <w:t>et</w:t>
      </w:r>
      <w:r w:rsidR="00E66C33">
        <w:t xml:space="preserve"> </w:t>
      </w:r>
      <w:r w:rsidR="00E66C33" w:rsidRPr="00E66C33">
        <w:t>de</w:t>
      </w:r>
      <w:r w:rsidR="00E66C33">
        <w:t xml:space="preserve"> </w:t>
      </w:r>
      <w:r w:rsidR="00E66C33" w:rsidRPr="00E66C33">
        <w:t>l’Assainissement de Base au Niger SOPHAB- 2014-2018</w:t>
      </w:r>
      <w:r w:rsidR="00E66C33">
        <w:t>.</w:t>
      </w:r>
    </w:p>
    <w:p w14:paraId="11040018" w14:textId="77777777" w:rsidR="000D6F30" w:rsidRDefault="000D6F30" w:rsidP="006551E1">
      <w:pPr>
        <w:pStyle w:val="ParagrapheRapportPNIN"/>
        <w:rPr>
          <w:b/>
        </w:rPr>
      </w:pPr>
      <w:r w:rsidRPr="005C5F81">
        <w:rPr>
          <w:b/>
        </w:rPr>
        <w:t>Prise en compte de la nutrition dans les objectifs</w:t>
      </w:r>
    </w:p>
    <w:p w14:paraId="2A271A74" w14:textId="77777777" w:rsidR="00737B41" w:rsidRDefault="00737B41" w:rsidP="006551E1">
      <w:pPr>
        <w:pStyle w:val="ParagrapheRapportPNIN"/>
      </w:pPr>
      <w:r>
        <w:t>La nutrition n’est pas mentionnée dans les objectifs des documents stratégiques.</w:t>
      </w:r>
    </w:p>
    <w:p w14:paraId="49D061AA" w14:textId="4721581C" w:rsidR="00737B41" w:rsidRDefault="00737B41" w:rsidP="006551E1">
      <w:pPr>
        <w:pStyle w:val="ParagrapheRapportPNIN"/>
      </w:pPr>
      <w:r w:rsidRPr="00A658EB">
        <w:rPr>
          <w:b/>
        </w:rPr>
        <w:t>Identification d’indicateurs ou des cibles en lien avec la nutrition</w:t>
      </w:r>
      <w:r w:rsidRPr="00737B41">
        <w:t xml:space="preserve"> </w:t>
      </w:r>
    </w:p>
    <w:p w14:paraId="53A3AEDD" w14:textId="48C4A658" w:rsidR="00737B41" w:rsidRDefault="00737B41" w:rsidP="006551E1">
      <w:pPr>
        <w:pStyle w:val="ParagrapheRapportPNIN"/>
      </w:pPr>
      <w:r>
        <w:t xml:space="preserve">Aucun indicateur de nutrition n’est mentionné dans le PROSEHA et la SOPHAB. Cependant plusieurs interventions du secteur sont sensibles à la nutrition et sont suivis par des indicateurs. </w:t>
      </w:r>
    </w:p>
    <w:p w14:paraId="26628733" w14:textId="0E4658E1" w:rsidR="003C4CE5" w:rsidRDefault="003C4CE5" w:rsidP="006551E1">
      <w:pPr>
        <w:pStyle w:val="ParagrapheRapportPNIN"/>
      </w:pPr>
      <w:r>
        <w:t>Bien que l</w:t>
      </w:r>
      <w:r w:rsidRPr="003C4CE5">
        <w:t xml:space="preserve">es objectifs </w:t>
      </w:r>
      <w:r>
        <w:t xml:space="preserve">du PROSEHA </w:t>
      </w:r>
      <w:r w:rsidRPr="003C4CE5">
        <w:t xml:space="preserve">doivent fournir une contribution significative sur le statut nutritionnel de la population, les questions de nutrition et des effets du secteur EHA sur l’amélioration du statut nutritionnel n’ont pas été prises en compte dans le PROSEHA (ni dans l’analyse de situation ou dans l’impact potentiel). </w:t>
      </w:r>
      <w:r w:rsidR="0093089E">
        <w:t>L</w:t>
      </w:r>
      <w:r w:rsidRPr="003C4CE5">
        <w:t>e MHA a aussi élaboré un DPPD</w:t>
      </w:r>
      <w:r w:rsidR="0093089E" w:rsidRPr="003C4CE5">
        <w:t>E lien avec le PROSEHA</w:t>
      </w:r>
      <w:r w:rsidR="0093089E">
        <w:t xml:space="preserve"> dont le</w:t>
      </w:r>
      <w:r w:rsidRPr="003C4CE5">
        <w:t xml:space="preserve"> budget </w:t>
      </w:r>
      <w:r w:rsidR="0093089E">
        <w:t xml:space="preserve">est </w:t>
      </w:r>
      <w:r w:rsidRPr="003C4CE5">
        <w:t>de 542</w:t>
      </w:r>
      <w:r w:rsidR="0093089E">
        <w:t> </w:t>
      </w:r>
      <w:r w:rsidRPr="003C4CE5">
        <w:t>milliards de F</w:t>
      </w:r>
      <w:r w:rsidR="0093089E">
        <w:t> </w:t>
      </w:r>
      <w:r w:rsidRPr="003C4CE5">
        <w:t>CFA pour la période 2017 à 2019</w:t>
      </w:r>
      <w:r w:rsidR="0093089E">
        <w:t xml:space="preserve"> (</w:t>
      </w:r>
      <w:r w:rsidRPr="003C4CE5">
        <w:t>où la nutrition n’est également pas mentionnée</w:t>
      </w:r>
      <w:r>
        <w:rPr>
          <w:rStyle w:val="Appelnotedebasdep"/>
        </w:rPr>
        <w:footnoteReference w:id="53"/>
      </w:r>
      <w:r w:rsidR="0093089E">
        <w:t>)</w:t>
      </w:r>
      <w:r w:rsidRPr="003C4CE5">
        <w:t>.</w:t>
      </w:r>
    </w:p>
    <w:p w14:paraId="1295F75F" w14:textId="014B468C" w:rsidR="00F81348" w:rsidRDefault="00F81348" w:rsidP="006551E1">
      <w:pPr>
        <w:pStyle w:val="ParagrapheRapportPNIN"/>
      </w:pPr>
      <w:r>
        <w:t>L</w:t>
      </w:r>
      <w:r w:rsidRPr="007E426D">
        <w:t>es plans</w:t>
      </w:r>
      <w:r>
        <w:t xml:space="preserve"> et stratégies du secteur </w:t>
      </w:r>
      <w:r w:rsidRPr="007E426D">
        <w:t xml:space="preserve">n’abordent pas systématiquement la question de la nutrition et ne font pas référence à </w:t>
      </w:r>
      <w:r>
        <w:t>la contribution du secteur</w:t>
      </w:r>
      <w:r w:rsidRPr="007E426D">
        <w:t xml:space="preserve"> pour lutter contre la </w:t>
      </w:r>
      <w:r>
        <w:t>malnutrition.</w:t>
      </w:r>
      <w:r w:rsidRPr="007E426D">
        <w:t xml:space="preserve"> </w:t>
      </w:r>
    </w:p>
    <w:p w14:paraId="0D7547BB" w14:textId="77777777" w:rsidR="009B5DD4" w:rsidRDefault="009B5DD4" w:rsidP="006551E1">
      <w:pPr>
        <w:pStyle w:val="ParagrapheRapportPNIN"/>
        <w:rPr>
          <w:b/>
        </w:rPr>
      </w:pPr>
      <w:r w:rsidRPr="008240D2">
        <w:rPr>
          <w:b/>
        </w:rPr>
        <w:t>Budgétisation des interventions/ actions en lien avec la nutrition</w:t>
      </w:r>
    </w:p>
    <w:p w14:paraId="22E92CD0" w14:textId="61537F94" w:rsidR="00471352" w:rsidRDefault="00B44D7E" w:rsidP="006551E1">
      <w:pPr>
        <w:pStyle w:val="ParagrapheRapportPNIN"/>
      </w:pPr>
      <w:r>
        <w:t>Le budget du PROSEHA et des interventions du secteur dans le PA de la PNSN sont très différents. Le PA PNSN a dans sa méthodologie budgétisé seulement les coûts additionnels que la PNSN occasionne en plus des coûts déjà planifiés dans le secteur.</w:t>
      </w:r>
    </w:p>
    <w:p w14:paraId="0BC66F2B" w14:textId="36D18132" w:rsidR="007E426D" w:rsidRPr="007E426D" w:rsidRDefault="00780F34" w:rsidP="006551E1">
      <w:pPr>
        <w:pStyle w:val="Titre3PNIN"/>
      </w:pPr>
      <w:bookmarkStart w:id="59" w:name="_Toc528054625"/>
      <w:bookmarkStart w:id="60" w:name="_Toc528222345"/>
      <w:bookmarkEnd w:id="59"/>
      <w:r w:rsidRPr="00376B7D">
        <w:t>La nutrition d</w:t>
      </w:r>
      <w:r w:rsidR="007E426D" w:rsidRPr="00376B7D">
        <w:t>ans le secteur de l’environnement</w:t>
      </w:r>
      <w:bookmarkEnd w:id="60"/>
    </w:p>
    <w:p w14:paraId="5874068E" w14:textId="697DB346" w:rsidR="005716B4" w:rsidRPr="00AE68C9" w:rsidRDefault="003C47C2" w:rsidP="00EC23BF">
      <w:pPr>
        <w:pStyle w:val="Titre4PNIN"/>
      </w:pPr>
      <w:bookmarkStart w:id="61" w:name="_Toc528222346"/>
      <w:r>
        <w:t xml:space="preserve">4.4.1. </w:t>
      </w:r>
      <w:r w:rsidR="005716B4" w:rsidRPr="00AE68C9">
        <w:t xml:space="preserve">Lien entre </w:t>
      </w:r>
      <w:r w:rsidR="005716B4">
        <w:t>l’environnement</w:t>
      </w:r>
      <w:r w:rsidR="005716B4" w:rsidRPr="005716B4">
        <w:t xml:space="preserve"> </w:t>
      </w:r>
      <w:r w:rsidR="005716B4" w:rsidRPr="00AE68C9">
        <w:t>et la nutrition</w:t>
      </w:r>
      <w:bookmarkEnd w:id="61"/>
    </w:p>
    <w:p w14:paraId="1DDE6F8A" w14:textId="167AEBF6" w:rsidR="005716B4" w:rsidRPr="007E426D" w:rsidRDefault="005716B4" w:rsidP="006551E1">
      <w:pPr>
        <w:pStyle w:val="ParagrapheRapportPNIN"/>
      </w:pPr>
      <w:r>
        <w:t xml:space="preserve">Les problèmes environnementaux, comme le changement climatique, la pollution de l’air, de l’eau et des sols, ou l’appauvrissement de la biodiversité, engendrent des conditions qui menacent la santé et la nutrition des populations. </w:t>
      </w:r>
      <w:r w:rsidR="0093089E">
        <w:t>D</w:t>
      </w:r>
      <w:r>
        <w:t>’ici 2050, le nombre d’enfants souffrant de malnutrition à cause du changement climatique aura augmenté de 25</w:t>
      </w:r>
      <w:r w:rsidR="0093089E">
        <w:t> </w:t>
      </w:r>
      <w:r>
        <w:t>millions par rapport à aujourd’hui</w:t>
      </w:r>
      <w:r>
        <w:rPr>
          <w:rStyle w:val="Appelnotedebasdep"/>
        </w:rPr>
        <w:footnoteReference w:id="54"/>
      </w:r>
      <w:r w:rsidR="00480401">
        <w:t xml:space="preserve">. </w:t>
      </w:r>
    </w:p>
    <w:p w14:paraId="5F023F34" w14:textId="024FD172" w:rsidR="005716B4" w:rsidRDefault="003C47C2" w:rsidP="00EC23BF">
      <w:pPr>
        <w:pStyle w:val="Titre4PNIN"/>
      </w:pPr>
      <w:bookmarkStart w:id="62" w:name="_Toc528222347"/>
      <w:r>
        <w:lastRenderedPageBreak/>
        <w:t>4.4.2. La</w:t>
      </w:r>
      <w:r w:rsidR="005716B4">
        <w:t xml:space="preserve"> nutrition dans les documents de politiques, stratégies, programmes et plans du secteur de l’environnement et du développement durable au Niger</w:t>
      </w:r>
      <w:bookmarkEnd w:id="62"/>
    </w:p>
    <w:p w14:paraId="44AB7E14" w14:textId="212796DB" w:rsidR="007A405A" w:rsidRDefault="00EE50C8" w:rsidP="006551E1">
      <w:pPr>
        <w:pStyle w:val="ParagrapheRapportPNIN"/>
      </w:pPr>
      <w:r>
        <w:t xml:space="preserve">Le Programme de Gestion Intégrée des Ressources en Eau (GIRE) </w:t>
      </w:r>
      <w:r w:rsidR="007A405A">
        <w:t xml:space="preserve">est un sous-programme du PROSEHA. Son objectif est </w:t>
      </w:r>
      <w:r w:rsidR="0093089E">
        <w:t xml:space="preserve">de </w:t>
      </w:r>
      <w:r w:rsidR="007A405A">
        <w:t xml:space="preserve">permettre une gestion rationnelle et durable des ressources en eau à l’horizon 2030 à travers des dispositifs de suivi des ressources en eau et un inventaire global actualisé de ces ressources en eau. </w:t>
      </w:r>
      <w:r w:rsidR="0093089E">
        <w:t xml:space="preserve">Le Programme GIRE </w:t>
      </w:r>
      <w:r>
        <w:t xml:space="preserve">prévoit des interventions intégrant des activités en faveur de la résilience au changement climatique. </w:t>
      </w:r>
    </w:p>
    <w:p w14:paraId="5407D138" w14:textId="5965DC10" w:rsidR="002E189D" w:rsidRDefault="003A4E42" w:rsidP="006551E1">
      <w:pPr>
        <w:pStyle w:val="ParagrapheRapportPNIN"/>
      </w:pPr>
      <w:r>
        <w:t>Le Plan</w:t>
      </w:r>
      <w:r w:rsidR="0093089E">
        <w:t xml:space="preserve"> </w:t>
      </w:r>
      <w:r>
        <w:t>national de l’environnement pour un développement durable (PNEDD) a été adopté comme politique</w:t>
      </w:r>
      <w:r w:rsidR="002E189D">
        <w:t xml:space="preserve"> </w:t>
      </w:r>
      <w:r>
        <w:t>nationale</w:t>
      </w:r>
      <w:r w:rsidR="002E189D">
        <w:t xml:space="preserve"> par </w:t>
      </w:r>
      <w:r>
        <w:t>le Gouvernement en avril 2000</w:t>
      </w:r>
      <w:r w:rsidR="002E189D">
        <w:t xml:space="preserve">. </w:t>
      </w:r>
      <w:r w:rsidR="0093089E">
        <w:t xml:space="preserve">Le PNEDD </w:t>
      </w:r>
      <w:r>
        <w:t>prévoit</w:t>
      </w:r>
      <w:r w:rsidR="002E189D">
        <w:t xml:space="preserve"> </w:t>
      </w:r>
      <w:r>
        <w:t>six programmes prioritaires dont un programme</w:t>
      </w:r>
      <w:r w:rsidR="002E189D">
        <w:t xml:space="preserve"> </w:t>
      </w:r>
      <w:r>
        <w:t>«</w:t>
      </w:r>
      <w:r w:rsidR="0093089E">
        <w:t> </w:t>
      </w:r>
      <w:r>
        <w:t>Environnement</w:t>
      </w:r>
      <w:r w:rsidR="002E189D">
        <w:t xml:space="preserve"> </w:t>
      </w:r>
      <w:r>
        <w:t>urbain</w:t>
      </w:r>
      <w:r w:rsidR="002E189D">
        <w:t xml:space="preserve"> </w:t>
      </w:r>
      <w:r>
        <w:t>et</w:t>
      </w:r>
      <w:r w:rsidR="0093089E">
        <w:t xml:space="preserve"> </w:t>
      </w:r>
      <w:r>
        <w:t>cadre</w:t>
      </w:r>
      <w:r w:rsidR="002E189D">
        <w:t xml:space="preserve"> </w:t>
      </w:r>
      <w:r>
        <w:t>de</w:t>
      </w:r>
      <w:r w:rsidR="002E189D">
        <w:t xml:space="preserve"> </w:t>
      </w:r>
      <w:r>
        <w:t>vie</w:t>
      </w:r>
      <w:r w:rsidR="0093089E">
        <w:t> </w:t>
      </w:r>
      <w:r>
        <w:t>».</w:t>
      </w:r>
      <w:r w:rsidR="00FA717D">
        <w:t xml:space="preserve"> Ce programme est pris en compte dans le plan d’action 2016-2020 de la stratégie I3N</w:t>
      </w:r>
      <w:r w:rsidR="0083175B">
        <w:t xml:space="preserve"> et </w:t>
      </w:r>
      <w:r w:rsidR="00FA717D">
        <w:t>vise à améliorer la qualité de l’environnement pour assurer une meilleure condition et des capacités durables des populations en faisant la promotion des mesures d’adaptation</w:t>
      </w:r>
      <w:r w:rsidR="0083175B">
        <w:t> </w:t>
      </w:r>
      <w:r w:rsidR="00FA717D">
        <w:t>/</w:t>
      </w:r>
      <w:r w:rsidR="0083175B">
        <w:t> </w:t>
      </w:r>
      <w:r w:rsidR="00FA717D">
        <w:t>atténuation aux changements climatiques et en contribuant à l’amélioration du cadre de vie des populations.</w:t>
      </w:r>
    </w:p>
    <w:p w14:paraId="2CDFAF69" w14:textId="2D0429AB" w:rsidR="001960AA" w:rsidRPr="007B2B6F" w:rsidRDefault="001960AA" w:rsidP="006551E1">
      <w:pPr>
        <w:pStyle w:val="ParagrapheRapportPNIN"/>
        <w:rPr>
          <w:b/>
        </w:rPr>
      </w:pPr>
      <w:r w:rsidRPr="00A3547A">
        <w:rPr>
          <w:b/>
        </w:rPr>
        <w:t>Prise en compte de la nutrition dans l’analyse situationnelle</w:t>
      </w:r>
    </w:p>
    <w:p w14:paraId="58EA35E3" w14:textId="77777777" w:rsidR="004902A9" w:rsidRDefault="004902A9" w:rsidP="006551E1">
      <w:pPr>
        <w:pStyle w:val="ParagrapheRapportPNIN"/>
      </w:pPr>
      <w:r>
        <w:t>Le Document de P</w:t>
      </w:r>
      <w:r w:rsidRPr="004902A9">
        <w:t>rog</w:t>
      </w:r>
      <w:r>
        <w:t>rammation P</w:t>
      </w:r>
      <w:r w:rsidRPr="004902A9">
        <w:t xml:space="preserve">luriannuelle des </w:t>
      </w:r>
      <w:r>
        <w:t>D</w:t>
      </w:r>
      <w:r w:rsidRPr="004902A9">
        <w:t>épenses (</w:t>
      </w:r>
      <w:r>
        <w:t>DPPD</w:t>
      </w:r>
      <w:r w:rsidRPr="004902A9">
        <w:t xml:space="preserve"> 2017-2019</w:t>
      </w:r>
      <w:r>
        <w:t>) ne mentionne pas la nutrition.</w:t>
      </w:r>
    </w:p>
    <w:p w14:paraId="5C91FCC1" w14:textId="77777777" w:rsidR="003573C0" w:rsidRDefault="003573C0" w:rsidP="006551E1">
      <w:pPr>
        <w:pStyle w:val="ParagrapheRapportPNIN"/>
        <w:rPr>
          <w:b/>
        </w:rPr>
      </w:pPr>
      <w:r w:rsidRPr="005C5F81">
        <w:rPr>
          <w:b/>
        </w:rPr>
        <w:t>Prise en compte de la nutrition dans les objectifs</w:t>
      </w:r>
    </w:p>
    <w:p w14:paraId="429B5B27" w14:textId="73095C99" w:rsidR="00B21C9C" w:rsidRDefault="00B21C9C" w:rsidP="006551E1">
      <w:pPr>
        <w:pStyle w:val="ParagrapheRapportPNIN"/>
      </w:pPr>
      <w:r>
        <w:t xml:space="preserve">Le </w:t>
      </w:r>
      <w:r w:rsidR="0083175B">
        <w:t>P</w:t>
      </w:r>
      <w:r>
        <w:t xml:space="preserve">rogramme </w:t>
      </w:r>
      <w:r w:rsidR="0083175B">
        <w:t>S</w:t>
      </w:r>
      <w:r>
        <w:t>tratégique PS</w:t>
      </w:r>
      <w:r w:rsidR="0083175B">
        <w:t> </w:t>
      </w:r>
      <w:r>
        <w:t xml:space="preserve">7 « Gestion durable des terres et des eaux » et le </w:t>
      </w:r>
      <w:r w:rsidR="0083175B">
        <w:t>PS </w:t>
      </w:r>
      <w:r>
        <w:t>8 « Gestion</w:t>
      </w:r>
      <w:r w:rsidR="0083175B">
        <w:t xml:space="preserve"> </w:t>
      </w:r>
      <w:r>
        <w:t xml:space="preserve">de l’Environnement et amélioration du cadre de vie » du plan d’action 2016-2020 du HC3N prévoit des interventions de </w:t>
      </w:r>
      <w:r w:rsidR="0083175B">
        <w:t>C</w:t>
      </w:r>
      <w:r>
        <w:t xml:space="preserve">onservation des </w:t>
      </w:r>
      <w:r w:rsidR="0083175B">
        <w:t>E</w:t>
      </w:r>
      <w:r>
        <w:t xml:space="preserve">aux et du </w:t>
      </w:r>
      <w:r w:rsidR="0083175B">
        <w:t>Sol et de D</w:t>
      </w:r>
      <w:r>
        <w:t xml:space="preserve">éfense et </w:t>
      </w:r>
      <w:r w:rsidR="0083175B">
        <w:t>R</w:t>
      </w:r>
      <w:r>
        <w:t xml:space="preserve">estauration des </w:t>
      </w:r>
      <w:r w:rsidR="0083175B">
        <w:t>S</w:t>
      </w:r>
      <w:r>
        <w:t>ols (CES/DRS) dont les effets sur les rendements agricoles sont établis et qui pourraient renforcer la sécurité alimentaire et nutritionnelle de ménages vulnérabl</w:t>
      </w:r>
      <w:r w:rsidR="0083175B">
        <w:t>es. Le programme stratégique PS </w:t>
      </w:r>
      <w:r>
        <w:t>7 repose principalement sur la mise en œuvre du Cadre Stratégique du Niger en matière de Gestion Durable des Terres (CSIN-GDT).</w:t>
      </w:r>
    </w:p>
    <w:p w14:paraId="5C48353F" w14:textId="6A86FE6E" w:rsidR="0082776C" w:rsidRDefault="0082776C" w:rsidP="006551E1">
      <w:pPr>
        <w:pStyle w:val="ParagrapheRapportPNIN"/>
      </w:pPr>
      <w:r w:rsidRPr="00A658EB">
        <w:rPr>
          <w:b/>
        </w:rPr>
        <w:t>Identification d’indicateurs ou des cibles en lien avec la nutrition</w:t>
      </w:r>
      <w:r w:rsidRPr="00737B41">
        <w:t xml:space="preserve"> </w:t>
      </w:r>
    </w:p>
    <w:p w14:paraId="57AE7EED" w14:textId="233EE7BE" w:rsidR="0082776C" w:rsidRDefault="00A230A3" w:rsidP="006551E1">
      <w:pPr>
        <w:pStyle w:val="ParagrapheRapportPNIN"/>
      </w:pPr>
      <w:r w:rsidRPr="00A230A3">
        <w:t xml:space="preserve">Aucun indicateur de nutrition n’est mentionné dans </w:t>
      </w:r>
      <w:r>
        <w:t>les politiques, plan et DPPD du secteur</w:t>
      </w:r>
      <w:r w:rsidRPr="00A230A3">
        <w:t>. Cependant plusieurs interventions du secteur sont sensibles à la nutrition et sont suivis par des indicateurs</w:t>
      </w:r>
      <w:r w:rsidR="0083175B">
        <w:t>.</w:t>
      </w:r>
    </w:p>
    <w:p w14:paraId="71012F94" w14:textId="326F5B05" w:rsidR="0081711E" w:rsidRDefault="0081711E" w:rsidP="006551E1">
      <w:pPr>
        <w:pStyle w:val="ParagrapheRapportPNIN"/>
        <w:rPr>
          <w:b/>
        </w:rPr>
      </w:pPr>
      <w:r w:rsidRPr="008240D2">
        <w:rPr>
          <w:b/>
        </w:rPr>
        <w:t>Budgétisation des interventions</w:t>
      </w:r>
      <w:r w:rsidR="0083175B">
        <w:rPr>
          <w:b/>
        </w:rPr>
        <w:t> </w:t>
      </w:r>
      <w:r w:rsidRPr="008240D2">
        <w:rPr>
          <w:b/>
        </w:rPr>
        <w:t>/</w:t>
      </w:r>
      <w:r w:rsidR="0083175B">
        <w:rPr>
          <w:b/>
        </w:rPr>
        <w:t> </w:t>
      </w:r>
      <w:r w:rsidRPr="008240D2">
        <w:rPr>
          <w:b/>
        </w:rPr>
        <w:t>actions en lien avec la nutrition</w:t>
      </w:r>
    </w:p>
    <w:p w14:paraId="2F5310F7" w14:textId="1E001491" w:rsidR="0081711E" w:rsidRDefault="0083175B" w:rsidP="0083175B">
      <w:pPr>
        <w:pStyle w:val="ParagrapheRapportPNIN"/>
      </w:pPr>
      <w:r>
        <w:t>D</w:t>
      </w:r>
      <w:r w:rsidRPr="00B21C9C">
        <w:t>ans sa méthodologie</w:t>
      </w:r>
      <w:r>
        <w:t>, l</w:t>
      </w:r>
      <w:r w:rsidR="00B21C9C" w:rsidRPr="00B21C9C">
        <w:t>e PA PNSN a budgétisé seulement les coûts additionnels que la PNSN occasionne en plus des coûts déjà planifiés dans le secteur.</w:t>
      </w:r>
    </w:p>
    <w:p w14:paraId="3DD4425C" w14:textId="75AD57C8" w:rsidR="007E426D" w:rsidRPr="005716B4" w:rsidRDefault="00780F34" w:rsidP="006551E1">
      <w:pPr>
        <w:pStyle w:val="Titre3PNIN"/>
      </w:pPr>
      <w:bookmarkStart w:id="63" w:name="_Toc528222348"/>
      <w:r w:rsidRPr="005716B4">
        <w:t>La nutrition d</w:t>
      </w:r>
      <w:r w:rsidR="007E426D" w:rsidRPr="005716B4">
        <w:t>ans le secteur de l’éducation</w:t>
      </w:r>
      <w:bookmarkEnd w:id="63"/>
    </w:p>
    <w:p w14:paraId="6394C4D3" w14:textId="60E3F8C8" w:rsidR="005716B4" w:rsidRDefault="003C47C2" w:rsidP="00EC23BF">
      <w:pPr>
        <w:pStyle w:val="Titre4PNIN"/>
      </w:pPr>
      <w:bookmarkStart w:id="64" w:name="_Toc528222349"/>
      <w:r>
        <w:t xml:space="preserve">4.5.1. </w:t>
      </w:r>
      <w:r w:rsidR="005716B4" w:rsidRPr="00AE68C9">
        <w:t xml:space="preserve">Lien entre </w:t>
      </w:r>
      <w:r w:rsidR="005716B4">
        <w:t>l’éducation</w:t>
      </w:r>
      <w:r w:rsidR="005716B4" w:rsidRPr="005716B4">
        <w:t xml:space="preserve"> </w:t>
      </w:r>
      <w:r w:rsidR="005716B4" w:rsidRPr="00AE68C9">
        <w:t>et la nutrition</w:t>
      </w:r>
      <w:bookmarkEnd w:id="64"/>
    </w:p>
    <w:p w14:paraId="3842DC1F" w14:textId="4C3E306A" w:rsidR="00FC6CD7" w:rsidRDefault="00FC6CD7" w:rsidP="0083175B">
      <w:pPr>
        <w:pStyle w:val="ParagrapheRapportPNIN"/>
      </w:pPr>
      <w:r>
        <w:t xml:space="preserve">Les enfants ayant souffert d’une grave malnutrition pendant leur petite enfance sont moins performants à l’école, ont moins de chance de faire un travail productif et de tisser des relations saines. </w:t>
      </w:r>
      <w:r w:rsidR="0083175B">
        <w:t xml:space="preserve">Ces enfants </w:t>
      </w:r>
      <w:r>
        <w:t xml:space="preserve">sont aussi plus vulnérables aux affections physiques et mentales. La sous nutrition entraîne une capacité limitée </w:t>
      </w:r>
      <w:r>
        <w:lastRenderedPageBreak/>
        <w:t>d’apprentissage associée à un développement cognitif déficient</w:t>
      </w:r>
      <w:r>
        <w:rPr>
          <w:rStyle w:val="Appelnotedebasdep"/>
        </w:rPr>
        <w:footnoteReference w:id="55"/>
      </w:r>
      <w:r>
        <w:t>. Ceci se traduit par une plus grande probabilité de commencer l’école à un âge plus avancé, de redoubler des classes, d’abandonner l’école et finalement d’obtenir un niveau inférieur d’éducation</w:t>
      </w:r>
      <w:r>
        <w:rPr>
          <w:rStyle w:val="Appelnotedebasdep"/>
        </w:rPr>
        <w:footnoteReference w:id="56"/>
      </w:r>
      <w:r>
        <w:t xml:space="preserve">. </w:t>
      </w:r>
    </w:p>
    <w:p w14:paraId="6D1C90FA" w14:textId="028E6715" w:rsidR="00FC6CD7" w:rsidRPr="00FC6CD7" w:rsidRDefault="00FC6CD7" w:rsidP="0083175B">
      <w:pPr>
        <w:pStyle w:val="ParagrapheRapportPNIN"/>
      </w:pPr>
      <w:r>
        <w:t>Selon l’étude sur le coût de la faim au Niger de 2018</w:t>
      </w:r>
      <w:r>
        <w:rPr>
          <w:rStyle w:val="Appelnotedebasdep"/>
        </w:rPr>
        <w:footnoteReference w:id="57"/>
      </w:r>
      <w:r>
        <w:t>, les enfants ayant souffert de sous-nutrition en 2014 ont connu un taux de redoublement de 19,8</w:t>
      </w:r>
      <w:r w:rsidR="0083175B">
        <w:t> </w:t>
      </w:r>
      <w:r>
        <w:t>% contre 8,1</w:t>
      </w:r>
      <w:r w:rsidR="0083175B">
        <w:t> </w:t>
      </w:r>
      <w:r>
        <w:t xml:space="preserve">% pour les enfants qui n’ont pas souffert de sous-nutrition. Ce risque supplémentaire </w:t>
      </w:r>
      <w:r w:rsidR="0083175B">
        <w:t xml:space="preserve">est </w:t>
      </w:r>
      <w:r>
        <w:t>de 11,7</w:t>
      </w:r>
      <w:r w:rsidR="0083175B">
        <w:t> </w:t>
      </w:r>
      <w:r>
        <w:t xml:space="preserve">points de pourcentage pour les enfants souffrant de retard de croissance. Au Niger, près de 6 redoublements sur 10 </w:t>
      </w:r>
      <w:r w:rsidR="0083175B">
        <w:t xml:space="preserve">sont </w:t>
      </w:r>
      <w:r>
        <w:t xml:space="preserve">associés à un retard de croissance et se produisent au cours du cycle primaire. </w:t>
      </w:r>
      <w:r w:rsidR="0083175B">
        <w:t>Il existe u</w:t>
      </w:r>
      <w:r>
        <w:t xml:space="preserve">n grand écart entre l’achèvement des études de ceux qui ont souffert de retard de croissance durant leur enfance et </w:t>
      </w:r>
      <w:r w:rsidR="0083175B">
        <w:t xml:space="preserve">de </w:t>
      </w:r>
      <w:r>
        <w:t>ceux ayant eu une enfance saine</w:t>
      </w:r>
      <w:r w:rsidR="0083175B">
        <w:t>. P</w:t>
      </w:r>
      <w:r>
        <w:t>armi la population adulte d’âge compris entre 20</w:t>
      </w:r>
      <w:r w:rsidR="0083175B">
        <w:t> ans et 64 </w:t>
      </w:r>
      <w:r>
        <w:t>ans, 15,1</w:t>
      </w:r>
      <w:r w:rsidR="0083175B">
        <w:t> </w:t>
      </w:r>
      <w:r>
        <w:t>% n’ayant pas souffert de retard de croissance pendant leur enfance ont terminé l’école primaire contre seulement 3,4</w:t>
      </w:r>
      <w:r w:rsidR="0083175B">
        <w:t> </w:t>
      </w:r>
      <w:r>
        <w:t xml:space="preserve">% pour ceux ayant souffert de retard de croissance. </w:t>
      </w:r>
      <w:r w:rsidR="0083175B">
        <w:t>L</w:t>
      </w:r>
      <w:r>
        <w:t>es personnes n’ayant pas souffert de retard de crois</w:t>
      </w:r>
      <w:r w:rsidR="0083175B">
        <w:t>sance ont en moyenne achevé 1,6 </w:t>
      </w:r>
      <w:r>
        <w:t>années de scolarité contre 0,8</w:t>
      </w:r>
      <w:r w:rsidR="0083175B">
        <w:t> </w:t>
      </w:r>
      <w:r>
        <w:t>année chez celles qui en ont souffert, mettant en évidence un écart de près d’une année entre les deux catégories.</w:t>
      </w:r>
    </w:p>
    <w:p w14:paraId="5D4FBC60" w14:textId="48745D3C" w:rsidR="005716B4" w:rsidRDefault="008E4B94" w:rsidP="00EC23BF">
      <w:pPr>
        <w:pStyle w:val="Titre4PNIN"/>
      </w:pPr>
      <w:bookmarkStart w:id="65" w:name="_Toc528222350"/>
      <w:r>
        <w:t xml:space="preserve">4.5.2. </w:t>
      </w:r>
      <w:r w:rsidR="005716B4">
        <w:t>La nutrition dans les documents de politiques, stratégies, programmes et plans du secteur de l’éducation primaire au Niger</w:t>
      </w:r>
      <w:bookmarkEnd w:id="65"/>
    </w:p>
    <w:p w14:paraId="660DB29F" w14:textId="07723046" w:rsidR="00E82B2A" w:rsidRDefault="00480401" w:rsidP="0083175B">
      <w:pPr>
        <w:pStyle w:val="ParagrapheRapportPNIN"/>
      </w:pPr>
      <w:r>
        <w:t>L’objectif en lien avec</w:t>
      </w:r>
      <w:r w:rsidR="00E82B2A" w:rsidRPr="00E82B2A">
        <w:t xml:space="preserve"> </w:t>
      </w:r>
      <w:r w:rsidR="0083175B">
        <w:t>l’</w:t>
      </w:r>
      <w:r w:rsidR="00E82B2A">
        <w:t xml:space="preserve">Éducation </w:t>
      </w:r>
      <w:r w:rsidR="00E82B2A" w:rsidRPr="00E82B2A">
        <w:t xml:space="preserve">définit dans la feuille de route 2016-2020 du SUN auquel </w:t>
      </w:r>
      <w:r w:rsidR="0083175B">
        <w:t xml:space="preserve">le Niger a adhéré en 2011, est </w:t>
      </w:r>
      <w:r w:rsidR="00E82B2A" w:rsidRPr="00E82B2A">
        <w:t>de</w:t>
      </w:r>
      <w:r w:rsidR="00E82B2A">
        <w:t xml:space="preserve"> s'assurer que les enfants reçoivent la nutrition dont ils ont besoin pour apprendre et trouver un emploi décent à l'âge adulte.</w:t>
      </w:r>
      <w:r>
        <w:t xml:space="preserve"> </w:t>
      </w:r>
    </w:p>
    <w:p w14:paraId="20D43C42" w14:textId="42B2B117" w:rsidR="001960AA" w:rsidRPr="007B2B6F" w:rsidRDefault="001960AA" w:rsidP="0083175B">
      <w:pPr>
        <w:pStyle w:val="ParagrapheRapportPNIN"/>
        <w:rPr>
          <w:b/>
        </w:rPr>
      </w:pPr>
      <w:r w:rsidRPr="00A3547A">
        <w:rPr>
          <w:b/>
        </w:rPr>
        <w:t>Prise en compte de la nutrition dans l’analyse situationnelle</w:t>
      </w:r>
    </w:p>
    <w:p w14:paraId="77666171" w14:textId="72634214" w:rsidR="006D595D" w:rsidRDefault="006D595D" w:rsidP="0083175B">
      <w:pPr>
        <w:pStyle w:val="ParagrapheRapportPNIN"/>
      </w:pPr>
      <w:r>
        <w:t xml:space="preserve">Le Programme Sectoriel pour l’Education et la Formation (PSEF) </w:t>
      </w:r>
      <w:r w:rsidR="005B5A77">
        <w:t xml:space="preserve">2014-2024 </w:t>
      </w:r>
      <w:r>
        <w:t xml:space="preserve">élaboré en 2014 est antérieur aux travaux d’élaboration de la PNSN et ne </w:t>
      </w:r>
      <w:r w:rsidR="005B5A77">
        <w:t>n’</w:t>
      </w:r>
      <w:r>
        <w:t xml:space="preserve">y </w:t>
      </w:r>
      <w:r w:rsidR="002820EE">
        <w:t>fait pas</w:t>
      </w:r>
      <w:r>
        <w:t xml:space="preserve"> référence</w:t>
      </w:r>
      <w:r w:rsidR="005B5A77">
        <w:t>.</w:t>
      </w:r>
      <w:r w:rsidR="00E51FB3" w:rsidRPr="00E51FB3">
        <w:t xml:space="preserve"> </w:t>
      </w:r>
      <w:r w:rsidR="00EE79D7">
        <w:t>L</w:t>
      </w:r>
      <w:r w:rsidR="00E51FB3">
        <w:t>a sous-nutrition est mentionnée comme une donnée du contexte dans l’introduction du document mais le PSEF n’affiche aucune intention explicite d’améliorer la situation nutritionnelle.</w:t>
      </w:r>
      <w:r w:rsidR="0062271D">
        <w:t xml:space="preserve"> </w:t>
      </w:r>
    </w:p>
    <w:p w14:paraId="4E969979" w14:textId="64EAEBE8" w:rsidR="00926F96" w:rsidRDefault="00926F96" w:rsidP="0083175B">
      <w:pPr>
        <w:pStyle w:val="ParagrapheRapportPNIN"/>
      </w:pPr>
      <w:r>
        <w:t>La</w:t>
      </w:r>
      <w:r w:rsidR="00C00205" w:rsidRPr="00C00205">
        <w:t xml:space="preserve"> stratégie conjointe et intégrée d’alimentation scolaire à base communautaire </w:t>
      </w:r>
      <w:r>
        <w:t xml:space="preserve">est </w:t>
      </w:r>
      <w:r w:rsidR="00BA49C5">
        <w:t xml:space="preserve">en </w:t>
      </w:r>
      <w:r>
        <w:t xml:space="preserve">cours de révision. </w:t>
      </w:r>
      <w:r w:rsidR="00C00205">
        <w:t>La version de 2012 prend en compte la nutrition dans son analyse situationnelle.</w:t>
      </w:r>
    </w:p>
    <w:p w14:paraId="7B5F3DD6" w14:textId="66D10766" w:rsidR="0062271D" w:rsidRDefault="0062271D" w:rsidP="0083175B">
      <w:pPr>
        <w:pStyle w:val="ParagrapheRapportPNIN"/>
      </w:pPr>
      <w:r>
        <w:t>Le secteur de l’éducation n’a pas encore commencé le processus d’élaboration de DPPD et de PAP.</w:t>
      </w:r>
    </w:p>
    <w:p w14:paraId="377AFA3C" w14:textId="77777777" w:rsidR="0099268B" w:rsidRDefault="0099268B" w:rsidP="0083175B">
      <w:pPr>
        <w:pStyle w:val="ParagrapheRapportPNIN"/>
        <w:rPr>
          <w:b/>
        </w:rPr>
      </w:pPr>
      <w:r w:rsidRPr="005C5F81">
        <w:rPr>
          <w:b/>
        </w:rPr>
        <w:t>Prise en compte de la nutrition dans les objectifs</w:t>
      </w:r>
    </w:p>
    <w:p w14:paraId="32AEEC5A" w14:textId="636AC9AB" w:rsidR="007B53AD" w:rsidRPr="00E340BB" w:rsidRDefault="00E340BB" w:rsidP="0083175B">
      <w:pPr>
        <w:pStyle w:val="ParagrapheRapportPNIN"/>
      </w:pPr>
      <w:r w:rsidRPr="00E340BB">
        <w:t>La nutrition n’est pas mentionnée dans les objectifs du PSEF</w:t>
      </w:r>
      <w:r w:rsidR="00926F96">
        <w:t>.</w:t>
      </w:r>
      <w:r w:rsidR="00C00205">
        <w:t xml:space="preserve"> La stratégie d’alimentation scolaire prend en compte la nutrition dans son objectif stratégique 1.</w:t>
      </w:r>
    </w:p>
    <w:p w14:paraId="5DD67CCA" w14:textId="10B47E0E" w:rsidR="007B53AD" w:rsidRDefault="007B53AD" w:rsidP="0083175B">
      <w:pPr>
        <w:pStyle w:val="ParagrapheRapportPNIN"/>
      </w:pPr>
      <w:r w:rsidRPr="00A658EB">
        <w:rPr>
          <w:b/>
        </w:rPr>
        <w:t>Identification d’indicateurs</w:t>
      </w:r>
      <w:r w:rsidR="00BA49C5">
        <w:rPr>
          <w:b/>
        </w:rPr>
        <w:t xml:space="preserve"> ou des cibles en lien avec la </w:t>
      </w:r>
      <w:r w:rsidRPr="00A658EB">
        <w:rPr>
          <w:b/>
        </w:rPr>
        <w:t>nutrition</w:t>
      </w:r>
      <w:r w:rsidRPr="00737B41">
        <w:t xml:space="preserve"> </w:t>
      </w:r>
    </w:p>
    <w:p w14:paraId="4C1BA279" w14:textId="347B4CF8" w:rsidR="0081711E" w:rsidRDefault="00093348" w:rsidP="0083175B">
      <w:pPr>
        <w:pStyle w:val="ParagrapheRapportPNIN"/>
      </w:pPr>
      <w:r>
        <w:lastRenderedPageBreak/>
        <w:t>Le PSEF n’a pas d’indicateur explicitement construit en lien avec la nutrition mais la majorité des indicateurs sont sensibles à la nutrition.</w:t>
      </w:r>
      <w:r w:rsidR="00C00205">
        <w:t xml:space="preserve"> La stratégie conjointe et intégrée d’alimentation scolaire à base communautaire ne contient pas d’indicateur.</w:t>
      </w:r>
    </w:p>
    <w:p w14:paraId="4E379B2F" w14:textId="2ADED8D6" w:rsidR="0081711E" w:rsidRDefault="0081711E" w:rsidP="0083175B">
      <w:pPr>
        <w:pStyle w:val="ParagrapheRapportPNIN"/>
        <w:rPr>
          <w:b/>
        </w:rPr>
      </w:pPr>
      <w:r w:rsidRPr="008240D2">
        <w:rPr>
          <w:b/>
        </w:rPr>
        <w:t>Budgétisation des interventions</w:t>
      </w:r>
      <w:r w:rsidR="00BA49C5">
        <w:rPr>
          <w:b/>
        </w:rPr>
        <w:t> </w:t>
      </w:r>
      <w:r w:rsidRPr="008240D2">
        <w:rPr>
          <w:b/>
        </w:rPr>
        <w:t>/</w:t>
      </w:r>
      <w:r w:rsidR="00BA49C5">
        <w:rPr>
          <w:b/>
        </w:rPr>
        <w:t> </w:t>
      </w:r>
      <w:r w:rsidRPr="008240D2">
        <w:rPr>
          <w:b/>
        </w:rPr>
        <w:t>actions en lien avec la nutrition</w:t>
      </w:r>
    </w:p>
    <w:p w14:paraId="464930D7" w14:textId="1463831F" w:rsidR="0081711E" w:rsidRDefault="00093348" w:rsidP="0083175B">
      <w:pPr>
        <w:pStyle w:val="ParagrapheRapportPNIN"/>
      </w:pPr>
      <w:r>
        <w:t>Le budget dans le PSEF n’est pas suffisamment désagrégé pour permettre de faire une comparaison avec le budget du PA de la PNSN.</w:t>
      </w:r>
    </w:p>
    <w:p w14:paraId="10D64036" w14:textId="4CC51F28" w:rsidR="007E426D" w:rsidRDefault="00780F34" w:rsidP="006551E1">
      <w:pPr>
        <w:pStyle w:val="Titre3PNIN"/>
      </w:pPr>
      <w:bookmarkStart w:id="66" w:name="_Toc528222351"/>
      <w:r w:rsidRPr="00376B7D">
        <w:t>La nutrition dans le secteur de la protection sociale</w:t>
      </w:r>
      <w:bookmarkEnd w:id="66"/>
    </w:p>
    <w:p w14:paraId="2D666753" w14:textId="55A7ED18" w:rsidR="005716B4" w:rsidRPr="00AE68C9" w:rsidRDefault="008E4B94" w:rsidP="00EC23BF">
      <w:pPr>
        <w:pStyle w:val="Titre4PNIN"/>
      </w:pPr>
      <w:bookmarkStart w:id="67" w:name="_Toc528222352"/>
      <w:r>
        <w:t xml:space="preserve">4.6.1. </w:t>
      </w:r>
      <w:r w:rsidR="005716B4" w:rsidRPr="00AE68C9">
        <w:t xml:space="preserve">Lien entre </w:t>
      </w:r>
      <w:r w:rsidR="005716B4">
        <w:t xml:space="preserve">la protection sociale </w:t>
      </w:r>
      <w:r w:rsidR="005716B4" w:rsidRPr="00AE68C9">
        <w:t>et la nutrition</w:t>
      </w:r>
      <w:bookmarkEnd w:id="67"/>
    </w:p>
    <w:p w14:paraId="04ED9030" w14:textId="24F9E8D8" w:rsidR="00C07897" w:rsidRPr="00BA49C5" w:rsidRDefault="00C07897" w:rsidP="00BA49C5">
      <w:pPr>
        <w:pStyle w:val="ParagrapheRapportPNIN"/>
        <w:shd w:val="clear" w:color="auto" w:fill="F2F2F2" w:themeFill="background1" w:themeFillShade="F2"/>
      </w:pPr>
      <w:r w:rsidRPr="00BA49C5">
        <w:rPr>
          <w:b/>
        </w:rPr>
        <w:t>Recommandation 12 du cadre d’action de la CNI2</w:t>
      </w:r>
      <w:r w:rsidR="00BA49C5">
        <w:t> </w:t>
      </w:r>
      <w:r w:rsidRPr="00BA49C5">
        <w:t>: Mettre en place et renforcer des institutions, des politiques, des programmes et des services visant à améliorer la résilience de l'approvisionnement alimentaire dans les zones exposées aux crises, y compris celles qui sont touchées par le changement climatique.</w:t>
      </w:r>
    </w:p>
    <w:p w14:paraId="4E893177" w14:textId="4E2D6CB6" w:rsidR="005E64BF" w:rsidRPr="00BA49C5" w:rsidRDefault="005E64BF" w:rsidP="00BA49C5">
      <w:pPr>
        <w:pStyle w:val="ParagrapheRapportPNIN"/>
        <w:shd w:val="clear" w:color="auto" w:fill="F2F2F2" w:themeFill="background1" w:themeFillShade="F2"/>
      </w:pPr>
      <w:r w:rsidRPr="00BA49C5">
        <w:rPr>
          <w:b/>
        </w:rPr>
        <w:t>Recommandation 22 du cadre d’action de la CNI2</w:t>
      </w:r>
      <w:r w:rsidR="00BA49C5">
        <w:t> </w:t>
      </w:r>
      <w:r w:rsidRPr="00BA49C5">
        <w:t xml:space="preserve">: Incorporer des objectifs nutritionnels dans les programmes de protection sociale et dans les filets de sécurité de l'assistance humanitaire. </w:t>
      </w:r>
    </w:p>
    <w:p w14:paraId="6E993383" w14:textId="6CC46C2A" w:rsidR="005E64BF" w:rsidRPr="00BA49C5" w:rsidRDefault="005E64BF" w:rsidP="00BA49C5">
      <w:pPr>
        <w:pStyle w:val="ParagrapheRapportPNIN"/>
        <w:shd w:val="clear" w:color="auto" w:fill="F2F2F2" w:themeFill="background1" w:themeFillShade="F2"/>
      </w:pPr>
      <w:r w:rsidRPr="00BA49C5">
        <w:rPr>
          <w:b/>
        </w:rPr>
        <w:t>Recommandation 23 du cadre d’action de la CNI2</w:t>
      </w:r>
      <w:r w:rsidR="00BA49C5">
        <w:t> </w:t>
      </w:r>
      <w:r w:rsidRPr="00BA49C5">
        <w:t xml:space="preserve">: Utiliser des distributions d'espèces et de produits alimentaires, y compris des programmes d'alimentation scolaire et d'autres formes de protection sociale au bénéfice des populations vulnérables afin d'améliorer les régimes alimentaires grâce à un meilleur accès à des aliments acceptables du point de vue des croyances, de la culture, des traditions, des habitudes et préférences alimentaires des personnes, conformément aux législations et obligations nationales et internationales, et adéquats du point de vue nutritionnel à l'appui de régimes sains. </w:t>
      </w:r>
    </w:p>
    <w:p w14:paraId="2F9A2411" w14:textId="48ED5195" w:rsidR="00945635" w:rsidRPr="00BA49C5" w:rsidRDefault="00945635" w:rsidP="00BA49C5">
      <w:pPr>
        <w:pStyle w:val="ParagrapheRapportPNIN"/>
        <w:shd w:val="clear" w:color="auto" w:fill="F2F2F2" w:themeFill="background1" w:themeFillShade="F2"/>
      </w:pPr>
      <w:r w:rsidRPr="00BA49C5">
        <w:rPr>
          <w:b/>
        </w:rPr>
        <w:t>Recommandation 24 du cadre d’action de la CNI2</w:t>
      </w:r>
      <w:r w:rsidR="00BA49C5">
        <w:t> </w:t>
      </w:r>
      <w:r w:rsidRPr="00BA49C5">
        <w:t>: Accroître les r</w:t>
      </w:r>
      <w:r w:rsidR="004126F3" w:rsidRPr="00BA49C5">
        <w:t xml:space="preserve">evenus des populations les plus </w:t>
      </w:r>
      <w:r w:rsidRPr="00BA49C5">
        <w:t>vulnérables en créant des emplois décents pour tous, notamment en faisant la promotion d'emplois indépendants.</w:t>
      </w:r>
    </w:p>
    <w:p w14:paraId="6BFE5EB7" w14:textId="14C91947" w:rsidR="00725AAA" w:rsidRPr="00BA49C5" w:rsidRDefault="00725AAA" w:rsidP="00BA49C5">
      <w:pPr>
        <w:pStyle w:val="ParagrapheRapportPNIN"/>
        <w:shd w:val="clear" w:color="auto" w:fill="F2F2F2" w:themeFill="background1" w:themeFillShade="F2"/>
      </w:pPr>
      <w:r w:rsidRPr="00BA49C5">
        <w:rPr>
          <w:b/>
        </w:rPr>
        <w:t>Recommandation 30 du cadre d’action de la CNI2</w:t>
      </w:r>
      <w:r w:rsidR="00BA49C5">
        <w:t> </w:t>
      </w:r>
      <w:r w:rsidRPr="00BA49C5">
        <w:t xml:space="preserve">: Mettre en œuvre des politiques et des pratiques propres à promouvoir la protection des mères qui travaillent, y compris en réformant le droit du travail, le cas échéant </w:t>
      </w:r>
    </w:p>
    <w:p w14:paraId="0ADBFAB0" w14:textId="01DB8154" w:rsidR="00097F71" w:rsidRPr="00BA49C5" w:rsidRDefault="00097F71" w:rsidP="00BA49C5">
      <w:pPr>
        <w:pStyle w:val="ParagrapheRapportPNIN"/>
        <w:shd w:val="clear" w:color="auto" w:fill="F2F2F2" w:themeFill="background1" w:themeFillShade="F2"/>
      </w:pPr>
      <w:r w:rsidRPr="00BA49C5">
        <w:rPr>
          <w:b/>
        </w:rPr>
        <w:t>Recommandation 33 du cadre d’action de la CNI2</w:t>
      </w:r>
      <w:r w:rsidR="00BA49C5">
        <w:t> </w:t>
      </w:r>
      <w:r w:rsidRPr="00BA49C5">
        <w:t xml:space="preserve">: Veiller à ce que les politiques et les pratiques mises en œuvre dans les situations d'urgence et les crises humanitaires encouragent, protègent et facilitent l'allaitement au sein. </w:t>
      </w:r>
    </w:p>
    <w:p w14:paraId="160F2F1D" w14:textId="75D0BB53" w:rsidR="00D30BAE" w:rsidRDefault="00D30BAE" w:rsidP="00BA49C5">
      <w:pPr>
        <w:pStyle w:val="ParagrapheRapportPNIN"/>
      </w:pPr>
      <w:r w:rsidRPr="00D30BAE">
        <w:t>Les concepts de nutrition et de protection sociale sont tous deux très pertinents pour renforcer la résilience et lier les approches d’urgence et de développement. La protection sociale sensible aux enjeux nutritionnels s’efforce d’atteindre les personnes vulnérables sur le plan nutritionnel, d’intégrer des objectifs et des indicateurs nutritionnels explicites et de promouvoir des stratégies qui visent à permettre aux ménages d’accéder à une alimentation saine et durabl</w:t>
      </w:r>
      <w:r w:rsidR="00BA49C5">
        <w:t xml:space="preserve">e ainsi qu’aux soins de santé. </w:t>
      </w:r>
      <w:r w:rsidRPr="00D30BAE">
        <w:t xml:space="preserve">La protection sociale peut non seulement influencer la quantité et la diversité d’aliments consommés par chaque individu, mais aussi les pratiques liées </w:t>
      </w:r>
      <w:r>
        <w:t>aux soins, l’assainissement et l’éducation ainsi que les causes basiques de la malnutrition, telles que l’accès inadéquat aux ressources.</w:t>
      </w:r>
    </w:p>
    <w:p w14:paraId="5F8F3C02" w14:textId="77777777" w:rsidR="00D30BAE" w:rsidRDefault="00D30BAE" w:rsidP="00BA49C5">
      <w:pPr>
        <w:pStyle w:val="ParagrapheRapportPNIN"/>
      </w:pPr>
      <w:r>
        <w:t xml:space="preserve">Les instruments de protection sociale peuvent aider les ménages à protéger leurs droits à l’alimentation en cas de crise et à minimiser l’adoption de mécanismes </w:t>
      </w:r>
      <w:r>
        <w:lastRenderedPageBreak/>
        <w:t>d’adaptation néfastes en cas de choc – comme la réduction de la consommation alimentaire ou le retrait des enfants de l’école. En outre, la protection sociale aide les familles à augmenter leur consommation et à accéder à plus d’aliments de meilleure qualité, tout en les aidant à développer leur base d’actifs productifs ce qui est essentiel pour maintenir une bonne nutrition sur le long terme et faciliter l’accès aux soins et aux services de santé.</w:t>
      </w:r>
    </w:p>
    <w:p w14:paraId="4C9698F8" w14:textId="6C9FB27D" w:rsidR="00E82B2A" w:rsidRDefault="00D30BAE" w:rsidP="00BA49C5">
      <w:pPr>
        <w:pStyle w:val="ParagrapheRapportPNIN"/>
      </w:pPr>
      <w:r>
        <w:t>En 2015, la FAO a établi les recommandations clés pour concevoir et mettre en œuvre des interventions de protection sociale sensibles à la nutrition</w:t>
      </w:r>
      <w:r w:rsidR="00BD4952">
        <w:rPr>
          <w:rStyle w:val="Appelnotedebasdep"/>
        </w:rPr>
        <w:footnoteReference w:id="58"/>
      </w:r>
      <w:r w:rsidR="00BD4952">
        <w:t>.</w:t>
      </w:r>
    </w:p>
    <w:p w14:paraId="48773650" w14:textId="329A8F1B" w:rsidR="005716B4" w:rsidRDefault="008E4B94" w:rsidP="00EC23BF">
      <w:pPr>
        <w:pStyle w:val="Titre4PNIN"/>
      </w:pPr>
      <w:bookmarkStart w:id="68" w:name="_Toc528222353"/>
      <w:r>
        <w:t xml:space="preserve">4.6.2. </w:t>
      </w:r>
      <w:r w:rsidR="005716B4">
        <w:t>La nutrition dans les documents de politiques, stratégies, programmes et plans du secteur de protection sociale au Niger</w:t>
      </w:r>
      <w:bookmarkEnd w:id="68"/>
    </w:p>
    <w:p w14:paraId="14923CF8" w14:textId="2CBC1222" w:rsidR="004D6260" w:rsidRPr="004D6260" w:rsidRDefault="004D6260" w:rsidP="00BA49C5">
      <w:pPr>
        <w:pStyle w:val="ParagrapheRapportPNIN"/>
        <w:shd w:val="clear" w:color="auto" w:fill="F2F2F2" w:themeFill="background1" w:themeFillShade="F2"/>
      </w:pPr>
      <w:r w:rsidRPr="00BA49C5">
        <w:rPr>
          <w:b/>
        </w:rPr>
        <w:t>Recommandation 35 du cadre d’action de la CNI2</w:t>
      </w:r>
      <w:r w:rsidR="00BA49C5">
        <w:t> </w:t>
      </w:r>
      <w:r w:rsidRPr="004D6260">
        <w:t>: Intégrer la mise en place d'une capacité opérationnelle préalablement aux catastrophes et aux situations d'urgence dans les politiques et les programmes pertinents.</w:t>
      </w:r>
    </w:p>
    <w:p w14:paraId="566208BA" w14:textId="3E3A2FA1" w:rsidR="00736453" w:rsidRDefault="00736453" w:rsidP="00BA49C5">
      <w:pPr>
        <w:pStyle w:val="ParagrapheRapportPNIN"/>
      </w:pPr>
      <w:r>
        <w:t xml:space="preserve">L’objectif en lien avec Emploi et protection sociale définit dans la feuille de route 2016-2020 du SUN auquel le Niger a adhéré en 2011, est de s'assurer que les pratiques d'emploi et les régimes de protection sociale tiennent compte de la bonne nutrition. L’objectif en lien avec </w:t>
      </w:r>
      <w:r w:rsidR="00BA49C5">
        <w:t>le s</w:t>
      </w:r>
      <w:r>
        <w:t>outien à la résilience est de permettre à la population d’être en meilleure santé, plus forte pour mieux supporter les urgences humanitaires.</w:t>
      </w:r>
    </w:p>
    <w:p w14:paraId="2AC776EB" w14:textId="38D5782D" w:rsidR="00537ABC" w:rsidRDefault="00736453" w:rsidP="00BA49C5">
      <w:pPr>
        <w:pStyle w:val="ParagrapheRapportPNIN"/>
      </w:pPr>
      <w:r>
        <w:t xml:space="preserve">L’opérationnalisation de </w:t>
      </w:r>
      <w:r w:rsidR="00BA49C5">
        <w:t>l’</w:t>
      </w:r>
      <w:r>
        <w:t xml:space="preserve">Axe 1 </w:t>
      </w:r>
      <w:r w:rsidR="00BA49C5">
        <w:t>de la Politique Nationale de Protection S</w:t>
      </w:r>
      <w:r w:rsidR="00BA49C5" w:rsidRPr="00F115F6">
        <w:t>ocia</w:t>
      </w:r>
      <w:r w:rsidR="00BA49C5">
        <w:t>le au N</w:t>
      </w:r>
      <w:r w:rsidR="00BA49C5" w:rsidRPr="00F115F6">
        <w:t>iger</w:t>
      </w:r>
      <w:r w:rsidR="00BA49C5">
        <w:t xml:space="preserve"> (PNPS)</w:t>
      </w:r>
      <w:r>
        <w:t xml:space="preserve"> «</w:t>
      </w:r>
      <w:r w:rsidR="00BA49C5">
        <w:t> </w:t>
      </w:r>
      <w:r>
        <w:t>sécurité alimentaire et nutrition</w:t>
      </w:r>
      <w:r w:rsidR="00BA49C5">
        <w:t> </w:t>
      </w:r>
      <w:r>
        <w:t xml:space="preserve">» est confiée au HC3N et pris en compte sur </w:t>
      </w:r>
      <w:r w:rsidR="00440459">
        <w:t>le domaine d’intervention</w:t>
      </w:r>
      <w:r>
        <w:t xml:space="preserve"> 4 du Plan d’action I3N 2016-2020. Les deux documents, PNPS (2011) et Plan d’Action I3N 2016-2020, Axe d’Intervention 4 ont été pris en compte pour l’analyse </w:t>
      </w:r>
      <w:r w:rsidR="00537ABC">
        <w:t>du</w:t>
      </w:r>
      <w:r>
        <w:t xml:space="preserve"> Plan d’Action de la PNSN</w:t>
      </w:r>
      <w:r w:rsidR="00537ABC">
        <w:t>.</w:t>
      </w:r>
    </w:p>
    <w:p w14:paraId="0C18B7DD" w14:textId="386392E2" w:rsidR="001960AA" w:rsidRPr="007B2B6F" w:rsidRDefault="001960AA" w:rsidP="00E50BEA">
      <w:pPr>
        <w:pStyle w:val="ParagrapheRapportPNIN"/>
      </w:pPr>
      <w:r w:rsidRPr="00E50BEA">
        <w:rPr>
          <w:b/>
        </w:rPr>
        <w:t>Prise en compte de la nutrition dans l’analyse situationnelle</w:t>
      </w:r>
    </w:p>
    <w:p w14:paraId="2840C701" w14:textId="31CF7A0A" w:rsidR="00736453" w:rsidRDefault="00736453" w:rsidP="00E50BEA">
      <w:pPr>
        <w:pStyle w:val="ParagrapheRapportPNIN"/>
      </w:pPr>
      <w:r>
        <w:t xml:space="preserve">La nutrition est explicitement formulée dans la PNPS et le lien entre </w:t>
      </w:r>
      <w:r w:rsidR="00E50BEA">
        <w:t xml:space="preserve">la </w:t>
      </w:r>
      <w:r>
        <w:t xml:space="preserve">nutrition et </w:t>
      </w:r>
      <w:r w:rsidR="00E50BEA">
        <w:t xml:space="preserve">la </w:t>
      </w:r>
      <w:r>
        <w:t>protection sociale est établi dans le préambule. La protection sociale est présentée comme un moyen de lu</w:t>
      </w:r>
      <w:r w:rsidR="00E50BEA">
        <w:t>tter, entre autres, contre la « </w:t>
      </w:r>
      <w:r>
        <w:t>vulnérabilité alimentaire et nutritionnelle</w:t>
      </w:r>
      <w:r w:rsidR="00E50BEA">
        <w:t> </w:t>
      </w:r>
      <w:r>
        <w:t>».</w:t>
      </w:r>
    </w:p>
    <w:p w14:paraId="34E14805" w14:textId="77777777" w:rsidR="0082776C" w:rsidRPr="00E50BEA" w:rsidRDefault="0082776C" w:rsidP="00E50BEA">
      <w:pPr>
        <w:pStyle w:val="ParagrapheRapportPNIN"/>
        <w:rPr>
          <w:b/>
        </w:rPr>
      </w:pPr>
      <w:r w:rsidRPr="00E50BEA">
        <w:rPr>
          <w:b/>
        </w:rPr>
        <w:t>Prise en compte de la nutrition dans les objectifs</w:t>
      </w:r>
    </w:p>
    <w:p w14:paraId="3F78CAE5" w14:textId="46A111EF" w:rsidR="00736453" w:rsidRDefault="00736453" w:rsidP="00E50BEA">
      <w:pPr>
        <w:pStyle w:val="ParagrapheRapportPNIN"/>
      </w:pPr>
      <w:r>
        <w:t>Le premier des cinq axes d’interv</w:t>
      </w:r>
      <w:r w:rsidR="00E50BEA">
        <w:t>ention de la PNPS concerne la « </w:t>
      </w:r>
      <w:r>
        <w:t>sé</w:t>
      </w:r>
      <w:r w:rsidR="00E50BEA">
        <w:t>curité alimentaire et nutrition </w:t>
      </w:r>
      <w:r>
        <w:t>» et «</w:t>
      </w:r>
      <w:r w:rsidR="00E50BEA">
        <w:t> </w:t>
      </w:r>
      <w:r>
        <w:t>contribuer à la lutte contre l’insécurité alimentaire et nutritionnelle</w:t>
      </w:r>
      <w:r w:rsidR="00E50BEA">
        <w:t> </w:t>
      </w:r>
      <w:r>
        <w:t>»</w:t>
      </w:r>
      <w:r w:rsidR="00E340BB">
        <w:t>.</w:t>
      </w:r>
      <w:r w:rsidR="00440459">
        <w:t xml:space="preserve"> La protection sociale est l’ob</w:t>
      </w:r>
      <w:r w:rsidR="00E50BEA">
        <w:t>jet des programmes stratégiques </w:t>
      </w:r>
      <w:r w:rsidR="00440459">
        <w:t>9 et 10 du plan d’action 2016-2020 du HC3N.</w:t>
      </w:r>
    </w:p>
    <w:p w14:paraId="57FBED03" w14:textId="78D99164" w:rsidR="00440459" w:rsidRDefault="00440459" w:rsidP="00E50BEA">
      <w:pPr>
        <w:pStyle w:val="PucesRapportPNIN"/>
      </w:pPr>
      <w:r>
        <w:t>PS</w:t>
      </w:r>
      <w:r w:rsidR="00E50BEA">
        <w:t> </w:t>
      </w:r>
      <w:r>
        <w:t>9</w:t>
      </w:r>
      <w:r w:rsidR="00E50BEA">
        <w:t> </w:t>
      </w:r>
      <w:r>
        <w:t>: Réduction</w:t>
      </w:r>
      <w:r w:rsidR="00E50BEA">
        <w:t xml:space="preserve"> </w:t>
      </w:r>
      <w:r>
        <w:t>de l’insécurité alimentaire chronique par des mécanismes durables de protection sociale et d’accès aux moyens d’existence.</w:t>
      </w:r>
    </w:p>
    <w:p w14:paraId="773CEC7A" w14:textId="7C6DE2D5" w:rsidR="00440459" w:rsidRDefault="00440459" w:rsidP="00E50BEA">
      <w:pPr>
        <w:pStyle w:val="PucesRapportPNIN"/>
      </w:pPr>
      <w:r>
        <w:t>PS</w:t>
      </w:r>
      <w:r w:rsidR="00E50BEA">
        <w:t> </w:t>
      </w:r>
      <w:r>
        <w:t>10</w:t>
      </w:r>
      <w:r w:rsidR="00E50BEA">
        <w:t> </w:t>
      </w:r>
      <w:r>
        <w:t>: Gestion de l’insécurité alimentaire conjoncturelle et des</w:t>
      </w:r>
      <w:r w:rsidR="00E50BEA">
        <w:t xml:space="preserve"> </w:t>
      </w:r>
      <w:r>
        <w:t>situations de crise.</w:t>
      </w:r>
    </w:p>
    <w:p w14:paraId="087E2D06" w14:textId="1EA407C2" w:rsidR="007B53AD" w:rsidRDefault="007B53AD" w:rsidP="00E50BEA">
      <w:pPr>
        <w:pStyle w:val="ParagrapheRapportPNIN"/>
      </w:pPr>
      <w:r w:rsidRPr="00A658EB">
        <w:rPr>
          <w:b/>
        </w:rPr>
        <w:t>Identification d’indicateurs ou des cibles en lien avec la nutrition</w:t>
      </w:r>
      <w:r w:rsidRPr="00737B41">
        <w:t xml:space="preserve"> </w:t>
      </w:r>
    </w:p>
    <w:p w14:paraId="34F11C16" w14:textId="1008D5DD" w:rsidR="0081711E" w:rsidRDefault="00A27E30" w:rsidP="00E50BEA">
      <w:pPr>
        <w:pStyle w:val="ParagrapheRapportPNIN"/>
      </w:pPr>
      <w:r>
        <w:t>Les indicateurs des PS</w:t>
      </w:r>
      <w:r w:rsidR="00E50BEA">
        <w:t> </w:t>
      </w:r>
      <w:r>
        <w:t xml:space="preserve">9 et </w:t>
      </w:r>
      <w:r w:rsidR="00E50BEA">
        <w:t>PS </w:t>
      </w:r>
      <w:r>
        <w:t>10 sont tous liés à la nutrition.</w:t>
      </w:r>
      <w:r w:rsidR="001A05CA">
        <w:t xml:space="preserve"> Les interventions reprises dans ces deux PS sont aussi pris en compte dans le PA de la PNSN.</w:t>
      </w:r>
    </w:p>
    <w:p w14:paraId="58B77AD0" w14:textId="7BCBA714" w:rsidR="0081711E" w:rsidRDefault="0081711E" w:rsidP="00E50BEA">
      <w:pPr>
        <w:pStyle w:val="ParagrapheRapportPNIN"/>
        <w:rPr>
          <w:b/>
        </w:rPr>
      </w:pPr>
      <w:r w:rsidRPr="008240D2">
        <w:rPr>
          <w:b/>
        </w:rPr>
        <w:lastRenderedPageBreak/>
        <w:t>Budgétisation des interventions</w:t>
      </w:r>
      <w:r w:rsidR="00E50BEA">
        <w:rPr>
          <w:b/>
        </w:rPr>
        <w:t> </w:t>
      </w:r>
      <w:r w:rsidRPr="008240D2">
        <w:rPr>
          <w:b/>
        </w:rPr>
        <w:t>/</w:t>
      </w:r>
      <w:r w:rsidR="00E50BEA">
        <w:rPr>
          <w:b/>
        </w:rPr>
        <w:t> </w:t>
      </w:r>
      <w:r w:rsidRPr="008240D2">
        <w:rPr>
          <w:b/>
        </w:rPr>
        <w:t>actions en lien avec la nutrition</w:t>
      </w:r>
    </w:p>
    <w:p w14:paraId="5C9EF204" w14:textId="4ED59650" w:rsidR="0081711E" w:rsidRDefault="001A05CA" w:rsidP="00E50BEA">
      <w:pPr>
        <w:pStyle w:val="ParagrapheRapportPNIN"/>
      </w:pPr>
      <w:r>
        <w:t>Le cout des interventions dans le PA de la PNSN est inférieur à celui du plan d’action</w:t>
      </w:r>
      <w:r w:rsidR="00E50BEA">
        <w:t xml:space="preserve"> </w:t>
      </w:r>
      <w:r>
        <w:t>2016-2020.</w:t>
      </w:r>
    </w:p>
    <w:p w14:paraId="3C0A9711" w14:textId="0E844E52" w:rsidR="000420FF" w:rsidRPr="00242670" w:rsidRDefault="000420FF" w:rsidP="00C8173E">
      <w:pPr>
        <w:pStyle w:val="ParagrapheRapportPNIN"/>
        <w:shd w:val="clear" w:color="auto" w:fill="F2F2F2" w:themeFill="background1" w:themeFillShade="F2"/>
      </w:pPr>
      <w:r w:rsidRPr="00E50BEA">
        <w:rPr>
          <w:b/>
        </w:rPr>
        <w:t>Constat</w:t>
      </w:r>
      <w:r w:rsidR="00093348" w:rsidRPr="00E50BEA">
        <w:rPr>
          <w:b/>
        </w:rPr>
        <w:t>s</w:t>
      </w:r>
      <w:r w:rsidR="00E50BEA">
        <w:t> </w:t>
      </w:r>
      <w:r w:rsidRPr="00242670">
        <w:t xml:space="preserve">: </w:t>
      </w:r>
    </w:p>
    <w:p w14:paraId="7D523EEA" w14:textId="77777777" w:rsidR="006619A6" w:rsidRPr="00E50BEA" w:rsidRDefault="006619A6" w:rsidP="00C8173E">
      <w:pPr>
        <w:pStyle w:val="pucesnumrotsPNIN"/>
        <w:shd w:val="clear" w:color="auto" w:fill="F2F2F2" w:themeFill="background1" w:themeFillShade="F2"/>
      </w:pPr>
      <w:r w:rsidRPr="00E50BEA">
        <w:t xml:space="preserve">La nutrition a été repositionnée dans l’agenda politique du Niger </w:t>
      </w:r>
    </w:p>
    <w:p w14:paraId="57448BBF" w14:textId="77777777" w:rsidR="000420FF" w:rsidRPr="00E50BEA" w:rsidRDefault="000420FF" w:rsidP="00C8173E">
      <w:pPr>
        <w:pStyle w:val="pucesnumrotsPNIN"/>
        <w:shd w:val="clear" w:color="auto" w:fill="F2F2F2" w:themeFill="background1" w:themeFillShade="F2"/>
      </w:pPr>
      <w:r w:rsidRPr="00E50BEA">
        <w:t xml:space="preserve">Un effort d’alignement des politiques et documents stratégiques est fait pour une </w:t>
      </w:r>
      <w:r w:rsidR="006619A6" w:rsidRPr="00E50BEA">
        <w:t xml:space="preserve">meilleure </w:t>
      </w:r>
      <w:r w:rsidRPr="00E50BEA">
        <w:t>p</w:t>
      </w:r>
      <w:r w:rsidR="00AB2281" w:rsidRPr="00E50BEA">
        <w:t>rise en compte de la nutrition.</w:t>
      </w:r>
    </w:p>
    <w:p w14:paraId="7BB1F839" w14:textId="77777777" w:rsidR="00D45AB7" w:rsidRPr="00E50BEA" w:rsidRDefault="000420FF" w:rsidP="00C8173E">
      <w:pPr>
        <w:pStyle w:val="pucesnumrotsPNIN"/>
        <w:shd w:val="clear" w:color="auto" w:fill="F2F2F2" w:themeFill="background1" w:themeFillShade="F2"/>
      </w:pPr>
      <w:r w:rsidRPr="00E50BEA">
        <w:t xml:space="preserve">Malgré </w:t>
      </w:r>
      <w:r w:rsidR="00AB2281" w:rsidRPr="00E50BEA">
        <w:t>ces avancées</w:t>
      </w:r>
      <w:r w:rsidR="00310EFB" w:rsidRPr="00E50BEA">
        <w:t xml:space="preserve"> et une meilleure compréhension de la dimension multisectorielle de</w:t>
      </w:r>
      <w:r w:rsidRPr="00E50BEA">
        <w:t xml:space="preserve"> </w:t>
      </w:r>
      <w:r w:rsidR="00D45AB7" w:rsidRPr="00E50BEA">
        <w:t>la nutrition</w:t>
      </w:r>
      <w:r w:rsidR="00310EFB" w:rsidRPr="00E50BEA">
        <w:t>, elle reste</w:t>
      </w:r>
      <w:r w:rsidR="00D45AB7" w:rsidRPr="00E50BEA">
        <w:t xml:space="preserve"> </w:t>
      </w:r>
      <w:r w:rsidR="00AB2281" w:rsidRPr="00E50BEA">
        <w:t>décrite</w:t>
      </w:r>
      <w:r w:rsidR="00D45AB7" w:rsidRPr="00E50BEA">
        <w:t xml:space="preserve"> comme une priorité relevant seulement du secteur de la santé dans plusieurs politiques et stratégies nationales.</w:t>
      </w:r>
    </w:p>
    <w:p w14:paraId="758C9ABD" w14:textId="77777777" w:rsidR="000420FF" w:rsidRPr="00E50BEA" w:rsidRDefault="00D45AB7" w:rsidP="00C8173E">
      <w:pPr>
        <w:pStyle w:val="pucesnumrotsPNIN"/>
        <w:shd w:val="clear" w:color="auto" w:fill="F2F2F2" w:themeFill="background1" w:themeFillShade="F2"/>
      </w:pPr>
      <w:r w:rsidRPr="00E50BEA">
        <w:t>L</w:t>
      </w:r>
      <w:r w:rsidR="00F71C1B" w:rsidRPr="00E50BEA">
        <w:t>a PNSN 2016-2025</w:t>
      </w:r>
      <w:r w:rsidR="00385919" w:rsidRPr="00E50BEA">
        <w:t xml:space="preserve"> qui est la première politique nationale de nutrition multisectorielle</w:t>
      </w:r>
      <w:r w:rsidRPr="00E50BEA">
        <w:t xml:space="preserve"> prône une approche multisectorielle dans la lutte contre la malnutrition</w:t>
      </w:r>
    </w:p>
    <w:p w14:paraId="2E194490" w14:textId="77777777" w:rsidR="00421088" w:rsidRPr="00E50BEA" w:rsidRDefault="00421088" w:rsidP="00C8173E">
      <w:pPr>
        <w:pStyle w:val="pucesnumrotsPNIN"/>
        <w:shd w:val="clear" w:color="auto" w:fill="F2F2F2" w:themeFill="background1" w:themeFillShade="F2"/>
      </w:pPr>
      <w:r w:rsidRPr="00E50BEA">
        <w:t>Avec la PNSN</w:t>
      </w:r>
      <w:r w:rsidR="00550B43" w:rsidRPr="00E50BEA">
        <w:t>,</w:t>
      </w:r>
      <w:r w:rsidRPr="00E50BEA">
        <w:t xml:space="preserve"> la contribution des secteurs à la nutrition est de plus en plus </w:t>
      </w:r>
      <w:r w:rsidR="00550B43" w:rsidRPr="00E50BEA">
        <w:t>comprise</w:t>
      </w:r>
      <w:r w:rsidRPr="00E50BEA">
        <w:t xml:space="preserve"> mais il existe un réel besoin de renforcement des capacités au niveau sectoriel.</w:t>
      </w:r>
    </w:p>
    <w:p w14:paraId="1A68248D" w14:textId="77777777" w:rsidR="00421088" w:rsidRPr="00E50BEA" w:rsidRDefault="00421088" w:rsidP="00C8173E">
      <w:pPr>
        <w:pStyle w:val="pucesnumrotsPNIN"/>
        <w:shd w:val="clear" w:color="auto" w:fill="F2F2F2" w:themeFill="background1" w:themeFillShade="F2"/>
      </w:pPr>
      <w:r w:rsidRPr="00E50BEA">
        <w:t>Les secteurs ne perçoivent toujours pas la nutrition comme étant contributif à leur secteur.</w:t>
      </w:r>
    </w:p>
    <w:p w14:paraId="284EFFB4" w14:textId="77777777" w:rsidR="000420FF" w:rsidRPr="00E50BEA" w:rsidRDefault="000420FF" w:rsidP="00C8173E">
      <w:pPr>
        <w:pStyle w:val="pucesnumrotsPNIN"/>
        <w:shd w:val="clear" w:color="auto" w:fill="F2F2F2" w:themeFill="background1" w:themeFillShade="F2"/>
      </w:pPr>
      <w:r w:rsidRPr="00E50BEA">
        <w:t xml:space="preserve">Il existe de fortes disparités sur le budget </w:t>
      </w:r>
      <w:r w:rsidR="00A52E04" w:rsidRPr="00E50BEA">
        <w:t>estimatif à allouer à</w:t>
      </w:r>
      <w:r w:rsidRPr="00E50BEA">
        <w:t xml:space="preserve"> la nutrition</w:t>
      </w:r>
      <w:r w:rsidR="00A52E04" w:rsidRPr="00E50BEA">
        <w:t xml:space="preserve"> </w:t>
      </w:r>
      <w:r w:rsidRPr="00E50BEA">
        <w:t>dans les politiques et documents stratégiques</w:t>
      </w:r>
      <w:r w:rsidR="00F71C1B" w:rsidRPr="00E50BEA">
        <w:t xml:space="preserve"> nationaux</w:t>
      </w:r>
      <w:r w:rsidR="00A52E04" w:rsidRPr="00E50BEA">
        <w:t xml:space="preserve"> pour couvrir la période 2017-2021</w:t>
      </w:r>
      <w:r w:rsidRPr="00E50BEA">
        <w:t>.</w:t>
      </w:r>
    </w:p>
    <w:p w14:paraId="79B464FE" w14:textId="77777777" w:rsidR="000420FF" w:rsidRPr="00E50BEA" w:rsidRDefault="000420FF" w:rsidP="00C8173E">
      <w:pPr>
        <w:pStyle w:val="pucesnumrotsPNIN"/>
        <w:shd w:val="clear" w:color="auto" w:fill="F2F2F2" w:themeFill="background1" w:themeFillShade="F2"/>
      </w:pPr>
      <w:r w:rsidRPr="00E50BEA">
        <w:t>Le</w:t>
      </w:r>
      <w:r w:rsidR="00D45AB7" w:rsidRPr="00E50BEA">
        <w:t xml:space="preserve"> financement de la nutrition </w:t>
      </w:r>
      <w:r w:rsidR="00A52E04" w:rsidRPr="00E50BEA">
        <w:t xml:space="preserve">dans tous les plans nationaux </w:t>
      </w:r>
      <w:r w:rsidR="00D45AB7" w:rsidRPr="00E50BEA">
        <w:t>reste</w:t>
      </w:r>
      <w:r w:rsidRPr="00E50BEA">
        <w:t xml:space="preserve"> fortement dépendent des financements de parte</w:t>
      </w:r>
      <w:r w:rsidR="00F71C1B" w:rsidRPr="00E50BEA">
        <w:t>naires techniques et financiers.</w:t>
      </w:r>
    </w:p>
    <w:p w14:paraId="189364DA" w14:textId="77777777" w:rsidR="006619A6" w:rsidRPr="00E50BEA" w:rsidRDefault="000420FF" w:rsidP="00C8173E">
      <w:pPr>
        <w:pStyle w:val="pucesnumrotsPNIN"/>
        <w:shd w:val="clear" w:color="auto" w:fill="F2F2F2" w:themeFill="background1" w:themeFillShade="F2"/>
      </w:pPr>
      <w:r w:rsidRPr="00E50BEA">
        <w:t>Le gap financier pour mettre en œuvre les actions pour la nutrition est important.</w:t>
      </w:r>
    </w:p>
    <w:p w14:paraId="7322941D" w14:textId="6300F07A" w:rsidR="00A23B99" w:rsidRDefault="00A23B99" w:rsidP="00C8173E">
      <w:pPr>
        <w:pStyle w:val="ParagrapheRapportPNIN"/>
        <w:shd w:val="clear" w:color="auto" w:fill="F2F2F2" w:themeFill="background1" w:themeFillShade="F2"/>
      </w:pPr>
      <w:r w:rsidRPr="00E50BEA">
        <w:rPr>
          <w:b/>
        </w:rPr>
        <w:t>Question</w:t>
      </w:r>
      <w:r w:rsidR="004B23B7" w:rsidRPr="00E50BEA">
        <w:rPr>
          <w:b/>
        </w:rPr>
        <w:t>s</w:t>
      </w:r>
      <w:r>
        <w:t>:</w:t>
      </w:r>
      <w:r w:rsidRPr="00242670">
        <w:t xml:space="preserve"> </w:t>
      </w:r>
    </w:p>
    <w:p w14:paraId="10991300" w14:textId="77777777" w:rsidR="00A23B99" w:rsidRPr="00E50BEA" w:rsidRDefault="00A23B99" w:rsidP="00EB3605">
      <w:pPr>
        <w:pStyle w:val="pucesnumrotsPNIN"/>
        <w:numPr>
          <w:ilvl w:val="0"/>
          <w:numId w:val="5"/>
        </w:numPr>
        <w:shd w:val="clear" w:color="auto" w:fill="F2F2F2" w:themeFill="background1" w:themeFillShade="F2"/>
      </w:pPr>
      <w:r w:rsidRPr="00E50BEA">
        <w:t>Comment aider le Niger à suivre les financements de la nutrition au niveau national et sectoriel pour une meilleure prise en compte  de la nutrition dans les politiques, stratégies et plans opérationnels?</w:t>
      </w:r>
    </w:p>
    <w:p w14:paraId="1161A042" w14:textId="43F440B1" w:rsidR="00EF03E6" w:rsidRDefault="00AD7034" w:rsidP="00E50BEA">
      <w:pPr>
        <w:pStyle w:val="Titre2situation"/>
      </w:pPr>
      <w:bookmarkStart w:id="69" w:name="_Toc528222354"/>
      <w:r w:rsidRPr="00EB3697">
        <w:t>Les enjeux de la nutrition</w:t>
      </w:r>
      <w:bookmarkEnd w:id="69"/>
    </w:p>
    <w:p w14:paraId="662A674F" w14:textId="234BB823" w:rsidR="00EB3697" w:rsidRDefault="00EF03E6" w:rsidP="008E4B94">
      <w:pPr>
        <w:pStyle w:val="ParagrapheRapportPNIN"/>
      </w:pPr>
      <w:r w:rsidRPr="007E426D">
        <w:t xml:space="preserve">Les politiques doivent se traduire </w:t>
      </w:r>
      <w:r w:rsidR="008E4B94">
        <w:t>par</w:t>
      </w:r>
      <w:r w:rsidRPr="007E426D">
        <w:t xml:space="preserve"> une série de mesures claires qui sont effectivement appliquées.</w:t>
      </w:r>
      <w:r>
        <w:t xml:space="preserve"> Les politiques qui ne sont pas assorties d’un plan d’action précis définissant les rôles et responsabilités de chacun, le manque de financement disponible ou dédié, l’absence de dynamisme de la part des cadres consultatifs, l’inefficacité des plateformes multisectorielles ou encore des insuffisances au niveau de la diffusion et de la transmission des documents à tous les échelons territoriaux sont autant de facteurs qui peuvent contribuer à ce qu’une politique ne se traduise pas en actions concrètes au niveau local.</w:t>
      </w:r>
      <w:r w:rsidR="008E4B94">
        <w:t xml:space="preserve"> </w:t>
      </w:r>
    </w:p>
    <w:p w14:paraId="7FEA9C9F" w14:textId="1DEAA43A" w:rsidR="00DD3DD3" w:rsidRDefault="00DD3DD3" w:rsidP="008E4B94">
      <w:pPr>
        <w:pStyle w:val="ParagrapheRapportPNIN"/>
      </w:pPr>
      <w:r w:rsidRPr="00DD3DD3">
        <w:t xml:space="preserve">Une capacité accrue des programmes </w:t>
      </w:r>
      <w:r>
        <w:t>des secteurs</w:t>
      </w:r>
      <w:r w:rsidRPr="00DD3DD3">
        <w:t xml:space="preserve"> à agir sur la nutrition et la mise en œuvre de programmes intégrés apportent une valeur ajoutée qui peut encourager de nouvelles façons de travailler </w:t>
      </w:r>
      <w:r w:rsidR="008E4B94">
        <w:t>basée sur</w:t>
      </w:r>
      <w:r w:rsidRPr="00DD3DD3">
        <w:t xml:space="preserve"> le développement de l’action transversale. Qu’il s’agisse du financement, des cadres de suivi-évaluation ou de la définition précise des responsabilités et obligations de rendre compte, tous ces éléments peuvent être conçus de manière à inciter les différents intervenants à travailler ensemble.</w:t>
      </w:r>
    </w:p>
    <w:p w14:paraId="218218AD" w14:textId="338D4BD2" w:rsidR="00814372" w:rsidRDefault="00814372" w:rsidP="008E4B94">
      <w:pPr>
        <w:pStyle w:val="ParagrapheRapportPNIN"/>
      </w:pPr>
      <w:r w:rsidRPr="00814372">
        <w:t xml:space="preserve">Les </w:t>
      </w:r>
      <w:r>
        <w:t xml:space="preserve">enjeux sont </w:t>
      </w:r>
      <w:r w:rsidRPr="00814372">
        <w:t>être classés en enjeux liés à la gouvernance</w:t>
      </w:r>
      <w:r>
        <w:t xml:space="preserve"> en nutrition et </w:t>
      </w:r>
      <w:r w:rsidRPr="00814372">
        <w:t xml:space="preserve"> en et en enjeux </w:t>
      </w:r>
      <w:r w:rsidR="00392F29">
        <w:t>d’ordre</w:t>
      </w:r>
      <w:r w:rsidRPr="00814372">
        <w:t xml:space="preserve"> opérationnels:</w:t>
      </w:r>
    </w:p>
    <w:p w14:paraId="17655C80" w14:textId="7553EBD3" w:rsidR="00EC23BF" w:rsidRDefault="00EC23BF" w:rsidP="00EC23BF">
      <w:pPr>
        <w:pStyle w:val="Titre3PNIN"/>
      </w:pPr>
      <w:bookmarkStart w:id="70" w:name="_Toc528222355"/>
      <w:r>
        <w:lastRenderedPageBreak/>
        <w:t>Les enjeux liés à l</w:t>
      </w:r>
      <w:r w:rsidR="008E55D2">
        <w:t>a mise en place d’un environnement favorable à la</w:t>
      </w:r>
      <w:r>
        <w:t xml:space="preserve"> nutrition :</w:t>
      </w:r>
      <w:bookmarkEnd w:id="70"/>
    </w:p>
    <w:p w14:paraId="5C185D75" w14:textId="741B9E5C" w:rsidR="00EC23BF" w:rsidRPr="00EC23BF" w:rsidRDefault="00A378A2" w:rsidP="00EC23BF">
      <w:pPr>
        <w:pStyle w:val="Titre4PNIN"/>
      </w:pPr>
      <w:bookmarkStart w:id="71" w:name="_Toc528222356"/>
      <w:r>
        <w:t xml:space="preserve">5.1.1 </w:t>
      </w:r>
      <w:r w:rsidR="00EC23BF" w:rsidRPr="00EC23BF">
        <w:t>La prise en compte de la nutrition durant les cycles de planification sectorielle</w:t>
      </w:r>
      <w:bookmarkEnd w:id="71"/>
    </w:p>
    <w:p w14:paraId="2DC62B0B" w14:textId="77777777" w:rsidR="00EC23BF" w:rsidRPr="008E4B94" w:rsidRDefault="00EC23BF" w:rsidP="00EC23BF">
      <w:pPr>
        <w:pStyle w:val="ParagrapheRapportPNIN"/>
        <w:shd w:val="clear" w:color="auto" w:fill="F2F2F2" w:themeFill="background1" w:themeFillShade="F2"/>
      </w:pPr>
      <w:r w:rsidRPr="008E4B94">
        <w:rPr>
          <w:b/>
        </w:rPr>
        <w:t>Recommandation 1 du cadre d’action de la CNI2</w:t>
      </w:r>
      <w:r>
        <w:t> </w:t>
      </w:r>
      <w:r w:rsidRPr="008E4B94">
        <w:t>: Renforcer l'engagement politique et la participation sociale aux fins de l'amélioration de la nutrition au niveau des pays, en recourant au dialogue sur les politiques et au plaidoyer.</w:t>
      </w:r>
    </w:p>
    <w:p w14:paraId="266E2129" w14:textId="77777777" w:rsidR="00EC23BF" w:rsidRPr="008E4B94" w:rsidRDefault="00EC23BF" w:rsidP="00EC23BF">
      <w:pPr>
        <w:pStyle w:val="ParagrapheRapportPNIN"/>
        <w:shd w:val="clear" w:color="auto" w:fill="F2F2F2" w:themeFill="background1" w:themeFillShade="F2"/>
      </w:pPr>
      <w:r w:rsidRPr="008E4B94">
        <w:rPr>
          <w:b/>
        </w:rPr>
        <w:t>Recommandation 8 du cadre d’action de la CNI2</w:t>
      </w:r>
      <w:r>
        <w:t> </w:t>
      </w:r>
      <w:r w:rsidRPr="008E4B94">
        <w:t>: Examiner les politiques et les investissements nationaux et intégrer des objectifs nutritionnels dans l'élaboration et la mise en œuvre des politiques et des programmes alimentaires et agricoles afin de faire progresser une agriculture sensible aux enjeux nutritionnels, d'assurer la sécurité alimentaire et de favoriser des régimes sains.</w:t>
      </w:r>
    </w:p>
    <w:p w14:paraId="69FAE567" w14:textId="77777777" w:rsidR="00EC23BF" w:rsidRDefault="00EC23BF" w:rsidP="00EC23BF">
      <w:pPr>
        <w:pStyle w:val="ParagrapheRapportPNIN"/>
      </w:pPr>
      <w:r>
        <w:t xml:space="preserve">A travers la loi 2012-09 du 26 mars 2012, portant loi organique relative aux lois de Finances, le Niger a fait le choix de moderniser à la fois son cadre de gestion budgétaire et son processus d’élaboration du budget annuel. C’est dans ce cadre que le décret N°2014-135 PRN/MF du 07 mars 2014 a été pris en vue de remanier le calendrier budgétaire pour le mettre en phase avec les options pluri annuelles et l’instauration du débat d’orientation budgétaire. </w:t>
      </w:r>
    </w:p>
    <w:p w14:paraId="593F9382" w14:textId="77777777" w:rsidR="00EC23BF" w:rsidRDefault="00EC23BF" w:rsidP="00EC23BF">
      <w:pPr>
        <w:pStyle w:val="ParagrapheRapportPNIN"/>
      </w:pPr>
      <w:r>
        <w:t>La nouvelle réforme budgétaire issue des directives de l’UEMOA, instaure de nouvelles règles pour l’élaboration, l’exécution et le suivi du budget avec pour objectif d’améliorer l’efficacité de la dépense et, à travers elles, l’exécution des politiques publiques. L’orientation de la gestion vers des résultats prédéfinis constitue le cœur de la réforme et doit amener les administrations publiques à réformer leurs organisations et leurs modes de fonctionnement.</w:t>
      </w:r>
    </w:p>
    <w:p w14:paraId="770ABC10" w14:textId="77777777" w:rsidR="00EC23BF" w:rsidRDefault="00EC23BF" w:rsidP="00EC23BF">
      <w:pPr>
        <w:pStyle w:val="ParagrapheRapportPNIN"/>
      </w:pPr>
      <w:r>
        <w:t xml:space="preserve">Conscient de cette donne, le Ministère des Finances à travers la Direction Générale du Budget (DGB) a été amené à procéder à une réforme institutionnelle majeure pour être en phase avec les exigences des Directives de l’UEMOA dont les points clés sont : (i) la passation d’un budget de moyen à un budget de résultats ; (ii) la programmation pluri annuelle ; (iii) le renforcement de la transparence ; (iv) la réforme des modes de gestions ; (v) la mise en place d'un nouvel acteur budgétaire dans le cadre du pilotage des crédits budgétaires et l’action de l’Etat qui s’appelle le responsable du programme ; (vi) la déconcentration de l’ordonnancement ; (vii) la budgétisation des Autorisations d’Engagement (AE) et Crédit de Paiement (AC). </w:t>
      </w:r>
    </w:p>
    <w:p w14:paraId="71DDA9D8" w14:textId="77777777" w:rsidR="00EC23BF" w:rsidRDefault="00EC23BF" w:rsidP="00EC23BF">
      <w:pPr>
        <w:pStyle w:val="ParagrapheRapportPNIN"/>
      </w:pPr>
      <w:r>
        <w:t>Ainsi les Ministères sectoriels sont appelés à élaborer des Documents Pluri annuels de Dépenses Publiques (DPPD) dont l'outil de mise en œuvre est le Projet Annuel de Performance (PAP). Le PAP est un document de plaidoyer, de pilotage et d’information qui a pour finalité d’exposer le projet de performance associé à chaque programme. L’évaluation du PAP enfin d’exercice budgétaire débouche sur le Rapport Annuel de performance (RAP).</w:t>
      </w:r>
    </w:p>
    <w:p w14:paraId="5FC9C35F" w14:textId="77777777" w:rsidR="00EC23BF" w:rsidRDefault="00EC23BF" w:rsidP="00EC23BF">
      <w:pPr>
        <w:pStyle w:val="ParagrapheRapportPNIN"/>
      </w:pPr>
      <w:r>
        <w:t xml:space="preserve">La réforme est en cours et tous les secteurs contributifs à la nutrition ne sont pas au même niveau d’application. Ainsi les secteurs du monde rural, sous l’égide du HC3N ont commencé cet exercice en 2016 et ont produit des </w:t>
      </w:r>
      <w:r w:rsidRPr="00EF180B">
        <w:t>Documents Pluri annuels de Dépenses Publiques (DPPD)</w:t>
      </w:r>
      <w:r>
        <w:t xml:space="preserve"> 2017-2020. Ces DPPD sont en cours de révision et sont une opportunité pour une prise en compte de la nutrition dans l’élaboration des PAP 2019. L’exemple du MAGEL montre une prise en compte plus conséquente de la nutrition dans le PAP 2019. A terme, tous les ministères devraient suivre le même processus. La connaissance du cycle d’élaboration ou de révision des DDPD est </w:t>
      </w:r>
      <w:r>
        <w:lastRenderedPageBreak/>
        <w:t xml:space="preserve">nécessaire pour permettre une meilleure prise en compte de la nutrition dans les secteurs. </w:t>
      </w:r>
    </w:p>
    <w:p w14:paraId="22C524D7" w14:textId="15283010" w:rsidR="007E2365" w:rsidRPr="004041F2" w:rsidRDefault="00A378A2" w:rsidP="00A378A2">
      <w:pPr>
        <w:pStyle w:val="Titre4PNIN"/>
      </w:pPr>
      <w:bookmarkStart w:id="72" w:name="_Toc528222357"/>
      <w:r>
        <w:t xml:space="preserve">5.1.2 </w:t>
      </w:r>
      <w:r w:rsidR="007E2365" w:rsidRPr="004041F2">
        <w:t>La coordination multisectorielle</w:t>
      </w:r>
      <w:bookmarkEnd w:id="72"/>
    </w:p>
    <w:p w14:paraId="00230402" w14:textId="77777777" w:rsidR="007E2365" w:rsidRPr="00141B80" w:rsidRDefault="007E2365" w:rsidP="007E2365">
      <w:pPr>
        <w:pStyle w:val="ParagrapheRapportPNIN"/>
        <w:shd w:val="clear" w:color="auto" w:fill="F2F2F2" w:themeFill="background1" w:themeFillShade="F2"/>
      </w:pPr>
      <w:r w:rsidRPr="00141B80">
        <w:rPr>
          <w:b/>
        </w:rPr>
        <w:t>Recommandation 3 du carde d’action de la CNI2</w:t>
      </w:r>
      <w:r>
        <w:t> </w:t>
      </w:r>
      <w:r w:rsidRPr="00141B80">
        <w:t>: Aux fins de l'amélioration de la sécurité alimentaire et de la nutrition, renforcer ou établir, selon le cas, dans l'ensemble de l'administration des mécanismes nationaux intersectoriels réunissant plusieurs parties prenantes, pour superviser la mise en œuvre des politiques, des stratégies et des programmes et autres investissements relatifs à la nutrition. Il peut être nécessaire de mettre en place des plateformes de ce type à différents niveaux et il convient de les assortir de solides mécanismes de prévention des fraudes et des conflits d'intérêts.</w:t>
      </w:r>
    </w:p>
    <w:p w14:paraId="5A5D612B" w14:textId="77777777" w:rsidR="007E2365" w:rsidRPr="00141B80" w:rsidRDefault="007E2365" w:rsidP="007E2365">
      <w:pPr>
        <w:pStyle w:val="ParagrapheRapportPNIN"/>
        <w:shd w:val="clear" w:color="auto" w:fill="F2F2F2" w:themeFill="background1" w:themeFillShade="F2"/>
      </w:pPr>
      <w:r w:rsidRPr="00141B80">
        <w:rPr>
          <w:b/>
        </w:rPr>
        <w:t>Recommandation 7 du carde d’action de la CNI2</w:t>
      </w:r>
      <w:r>
        <w:rPr>
          <w:b/>
        </w:rPr>
        <w:t> </w:t>
      </w:r>
      <w:r w:rsidRPr="00141B80">
        <w:t>: Renforcer la gouvernance de la nutrition et coordonner les politiques, les stratégies et les programmes des organisations, programmes et fonds du système des Nations Unies dans le cadre de leurs mandats respectifs.</w:t>
      </w:r>
    </w:p>
    <w:p w14:paraId="4B65A16A" w14:textId="77777777" w:rsidR="007E2365" w:rsidRDefault="007E2365" w:rsidP="007E2365">
      <w:pPr>
        <w:pStyle w:val="ParagrapheRapportPNIN"/>
      </w:pPr>
      <w:r w:rsidRPr="00F23BE9">
        <w:t>Aujourd'hui, l'enjeu fondamental consiste à améliorer durablement la nutrition grâce à la mise en œuvre de politiques cohérentes et d'initiatives mieux coordonnées dans tous les secteurs concernés.</w:t>
      </w:r>
      <w:r>
        <w:t xml:space="preserve"> </w:t>
      </w:r>
    </w:p>
    <w:p w14:paraId="14EE2BDD" w14:textId="77777777" w:rsidR="007E2365" w:rsidRDefault="007E2365" w:rsidP="007E2365">
      <w:pPr>
        <w:pStyle w:val="ParagrapheRapportPNIN"/>
      </w:pPr>
      <w:r w:rsidRPr="00763B3D">
        <w:t xml:space="preserve">La multiplicité des acteurs et secteurs intervenant dans la nutrition nécessite le renforcement de la coordination pour que les contributions et efforts de chacun soient cohérents. </w:t>
      </w:r>
      <w:r>
        <w:t xml:space="preserve">Le HC3N assure la coordination et la facilitation de la mise en œuvre du plan d’action de la PNSN 2017-2019. Une </w:t>
      </w:r>
      <w:r w:rsidRPr="00763B3D">
        <w:t xml:space="preserve">cartographie des intervenants et des interventions </w:t>
      </w:r>
      <w:r>
        <w:t xml:space="preserve">a été effectué en 2015 et a servi à prendre les actions qui ont menés à l’élaboration de la PNSN. Il est prévu </w:t>
      </w:r>
      <w:r w:rsidRPr="00763B3D">
        <w:t xml:space="preserve">dans le présent plan d’action </w:t>
      </w:r>
      <w:r>
        <w:t>2017-2019 une nouvelle cartographie.</w:t>
      </w:r>
    </w:p>
    <w:p w14:paraId="10157449" w14:textId="77777777" w:rsidR="007E2365" w:rsidRDefault="007E2365" w:rsidP="007E2365">
      <w:pPr>
        <w:pStyle w:val="ParagrapheRapportPNIN"/>
      </w:pPr>
      <w:r w:rsidRPr="00BB5E42">
        <w:t>La coordination de la nutrition est en pleine évolution, passant d’une coordination entre les partenaires assurant le trai</w:t>
      </w:r>
      <w:r>
        <w:t>tement de la malnutrition aiguë</w:t>
      </w:r>
      <w:r w:rsidRPr="00BB5E42">
        <w:t xml:space="preserve"> à une inclusion de plus en plus importante des interventions préventives et des interventions sensibles d’autres secteurs</w:t>
      </w:r>
      <w:r>
        <w:t xml:space="preserve">. </w:t>
      </w:r>
    </w:p>
    <w:p w14:paraId="221AD46F" w14:textId="77777777" w:rsidR="007E2365" w:rsidRDefault="007E2365" w:rsidP="007E2365">
      <w:pPr>
        <w:pStyle w:val="ParagrapheRapportPNIN"/>
      </w:pPr>
      <w:r>
        <w:t>Le cluster nutrition activé en 2010 afin d'assurer une réponse humanitaire a été désactivé et transformé en Groupe Technique Nutrition (GTN) par les acteurs de la nutrition. Depuis, la coordination du GTN est assurée par la Direction de la Nutrition du MSP qui en assure la Présidence et par une Coordinatrice avec l’appui de l’UNICEF. Ce groupe fonctionne mais reste très focalisé sur les interventions de nutrition spécifiques liés au secteur de la santé comme le souligne l’objectif général de son plan d’action 2017 (« Soutenir une approche coordonnée des intervenants dans le secteur de la nutrition spécifique dans les domaines de la planification stratégique, l’analyse situationnelle et la réponse nutritionnelle dans le contexte de développement ou d’urgence, tout en ne perdant pas de vue le retrait progressif des principaux bailleurs de fond d’urgence annoncé en 2015 »). Depuis fin 2017, le GTN est en pleine restructuration afin de mieux définir ses attributions et mandats. Dans une note de positionnement du GTN élaborée en octobre 2018, le GTN s’engage entre autre à « </w:t>
      </w:r>
      <w:r w:rsidRPr="00834A5A">
        <w:t>Promouvoir l’approche multisectorielle et la mise en œuvre de la Politique Nationale de</w:t>
      </w:r>
      <w:r>
        <w:t xml:space="preserve"> Sécurité Nutritionnelle (PNSN) ». </w:t>
      </w:r>
    </w:p>
    <w:p w14:paraId="7A547DD6" w14:textId="77777777" w:rsidR="007E2365" w:rsidRDefault="007E2365" w:rsidP="007E2365">
      <w:pPr>
        <w:pStyle w:val="ParagrapheRapportPNIN"/>
      </w:pPr>
      <w:r w:rsidRPr="00BF2788">
        <w:t xml:space="preserve">Les </w:t>
      </w:r>
      <w:r>
        <w:t xml:space="preserve">autres </w:t>
      </w:r>
      <w:r w:rsidRPr="00BF2788">
        <w:t xml:space="preserve">acteurs </w:t>
      </w:r>
      <w:r>
        <w:t xml:space="preserve">de la PNSN </w:t>
      </w:r>
      <w:r w:rsidRPr="00BF2788">
        <w:t xml:space="preserve">sont surtout organisés dans leur propre secteur autour de Clusters. </w:t>
      </w:r>
      <w:r>
        <w:t>Le</w:t>
      </w:r>
      <w:r w:rsidRPr="00BF2788">
        <w:t xml:space="preserve"> Cluster eau, hygiène et assainissement</w:t>
      </w:r>
      <w:r>
        <w:t xml:space="preserve"> est très dynamique</w:t>
      </w:r>
      <w:r w:rsidRPr="00BF2788">
        <w:t xml:space="preserve">, </w:t>
      </w:r>
      <w:r>
        <w:t xml:space="preserve">tout comme </w:t>
      </w:r>
      <w:r w:rsidRPr="00BF2788">
        <w:t xml:space="preserve">le Cluster Sécurité Alimentaire, le Cluster Education d’urgence, le </w:t>
      </w:r>
      <w:r w:rsidRPr="00BF2788">
        <w:lastRenderedPageBreak/>
        <w:t>cluster protection. Le secteur de la protection sociale est en pleine restructuration et son volet lié à la sécurité alimentaire et nutritionnelle a été confié à la DNPGCA par un décret en date du 17</w:t>
      </w:r>
      <w:r>
        <w:t> octobre </w:t>
      </w:r>
      <w:r w:rsidRPr="00BF2788">
        <w:t>2017. Ces différents clusters ne sont pas en lien avec la coordination de la nutrition multisectorielle promu par la PNSN sous le leadership du HC3N.</w:t>
      </w:r>
    </w:p>
    <w:p w14:paraId="166C80F1" w14:textId="77777777" w:rsidR="007E2365" w:rsidRDefault="007E2365" w:rsidP="007E2365">
      <w:pPr>
        <w:pStyle w:val="ParagrapheRapportPNIN"/>
      </w:pPr>
      <w:r>
        <w:t>La PNSN mentionne « </w:t>
      </w:r>
      <w:r w:rsidRPr="005D1DEB">
        <w:t>En termes d’ancrage institutionnel, le HC3N, en sa qualité d’institution nationale en charge de la gouvernance de la sécurité alimentaire et nutritionnelle, assurera la coordination et le suivi de la mise en œuvre globale de la PNSN. Le Comité Multisectoriel de Pilotage Stratégique (CMPS) de l’I3N sera chargé des orientations générales de haut niveau pour la PNSN. Ce comité travaillera directement avec le Comité de Pilotage Stratégique de la PNSN pour la supervision du comité technique et de ses équipes (</w:t>
      </w:r>
      <w:r>
        <w:t>cellule communication/plaidoyer </w:t>
      </w:r>
      <w:r w:rsidRPr="005D1DEB">
        <w:t>; communauté scientifique, groupes thématiques, réseaux SUN, etc.) en charge de la préparation des plans et budgets annuels et du suivi-évaluation de la mise en œuvre de la politique par les in</w:t>
      </w:r>
      <w:r>
        <w:t>stitutions et acteurs concernés </w:t>
      </w:r>
      <w:r w:rsidRPr="005D1DEB">
        <w:t>».</w:t>
      </w:r>
    </w:p>
    <w:p w14:paraId="5B9B5D50" w14:textId="77777777" w:rsidR="007E2365" w:rsidRDefault="007E2365" w:rsidP="007E2365">
      <w:pPr>
        <w:pStyle w:val="ParagrapheRapportPNIN"/>
      </w:pPr>
      <w:r>
        <w:t>Actuellement les textes mettant en place le CMPS de l’IN3 existe mais ceux mettant en place le Comité de Pilotage de la PNSN et le Comité Technique de la PNSN sont en cours d’élaboration. Ce vide législatif entrave la mise en place du mécanisme de coordination efficace.</w:t>
      </w:r>
    </w:p>
    <w:p w14:paraId="7257B601" w14:textId="77777777" w:rsidR="007E2365" w:rsidRDefault="007E2365" w:rsidP="007E2365">
      <w:pPr>
        <w:pStyle w:val="ParagrapheRapportPNIN"/>
      </w:pPr>
      <w:r>
        <w:t>Le mécanisme de coordination décrit par le PA de la PNSN se base sur le mécanisme de coordination</w:t>
      </w:r>
      <w:r w:rsidRPr="00C40B58">
        <w:t xml:space="preserve"> région</w:t>
      </w:r>
      <w:r>
        <w:t>al</w:t>
      </w:r>
      <w:r w:rsidRPr="00C40B58">
        <w:t>, département</w:t>
      </w:r>
      <w:r>
        <w:t xml:space="preserve">al et </w:t>
      </w:r>
      <w:r w:rsidRPr="00C40B58">
        <w:t>commun</w:t>
      </w:r>
      <w:r>
        <w:t xml:space="preserve">al mis en place par le HC3N. </w:t>
      </w:r>
    </w:p>
    <w:p w14:paraId="29EE2C71" w14:textId="44B51426" w:rsidR="007E2365" w:rsidRPr="004041F2" w:rsidRDefault="00A378A2" w:rsidP="007E2365">
      <w:pPr>
        <w:pStyle w:val="Titre4PNIN"/>
      </w:pPr>
      <w:bookmarkStart w:id="73" w:name="_Toc528222358"/>
      <w:r>
        <w:t xml:space="preserve">5.1.3. </w:t>
      </w:r>
      <w:r w:rsidR="007E2365" w:rsidRPr="004041F2">
        <w:t>Le financement de la nutrition</w:t>
      </w:r>
      <w:bookmarkEnd w:id="73"/>
    </w:p>
    <w:p w14:paraId="312BAA11" w14:textId="77777777" w:rsidR="007E2365" w:rsidRPr="008A6E0D" w:rsidRDefault="007E2365" w:rsidP="007E2365">
      <w:pPr>
        <w:pStyle w:val="ParagrapheRapportPNIN"/>
        <w:shd w:val="clear" w:color="auto" w:fill="F2F2F2" w:themeFill="background1" w:themeFillShade="F2"/>
      </w:pPr>
      <w:r w:rsidRPr="00141B80">
        <w:rPr>
          <w:b/>
        </w:rPr>
        <w:t>La recommandation 4 du plan cadre de la CNI2</w:t>
      </w:r>
      <w:r w:rsidRPr="008A6E0D">
        <w:t xml:space="preserve"> : favoriser un investissement responsable et durable dans la nutrition, notamment au niveau national avec des financements locaux; générer des ressources supplémentaires au moyen d'outils de financement novateurs, inciter les partenaires du développement à accroître l'aide publique au développement affectée à la nutrition et encourager les investissements privés en tant que de besoin </w:t>
      </w:r>
    </w:p>
    <w:p w14:paraId="73281ECC" w14:textId="77777777" w:rsidR="007E2365" w:rsidRDefault="007E2365" w:rsidP="007E2365">
      <w:pPr>
        <w:pStyle w:val="ParagrapheRapportPNIN"/>
      </w:pPr>
      <w:r>
        <w:t>Le Mouvement SUN dans sa feuille de route 2016-2020 recommandent que :</w:t>
      </w:r>
    </w:p>
    <w:p w14:paraId="65326308" w14:textId="77777777" w:rsidR="007E2365" w:rsidRPr="00141B80" w:rsidRDefault="007E2365" w:rsidP="007E2365">
      <w:pPr>
        <w:pStyle w:val="PucesRapportPNIN"/>
      </w:pPr>
      <w:r w:rsidRPr="00141B80">
        <w:t xml:space="preserve">Les dépenses </w:t>
      </w:r>
      <w:r>
        <w:t>en matière de nutrition sont chiff</w:t>
      </w:r>
      <w:r w:rsidRPr="00141B80">
        <w:t>r</w:t>
      </w:r>
      <w:r w:rsidRPr="00141B80">
        <w:rPr>
          <w:rFonts w:cs="Arial"/>
        </w:rPr>
        <w:t>é</w:t>
      </w:r>
      <w:r w:rsidRPr="00141B80">
        <w:t>es de mani</w:t>
      </w:r>
      <w:r w:rsidRPr="00141B80">
        <w:rPr>
          <w:rFonts w:cs="Arial"/>
        </w:rPr>
        <w:t>è</w:t>
      </w:r>
      <w:r w:rsidRPr="00141B80">
        <w:t xml:space="preserve">re transparente, suivies et </w:t>
      </w:r>
      <w:r w:rsidRPr="00141B80">
        <w:rPr>
          <w:rFonts w:cs="Arial"/>
        </w:rPr>
        <w:t>é</w:t>
      </w:r>
      <w:r w:rsidRPr="00141B80">
        <w:t>valu</w:t>
      </w:r>
      <w:r w:rsidRPr="00141B80">
        <w:rPr>
          <w:rFonts w:cs="Arial"/>
        </w:rPr>
        <w:t>é</w:t>
      </w:r>
      <w:r w:rsidRPr="00141B80">
        <w:t>es, pour rendre les d</w:t>
      </w:r>
      <w:r w:rsidRPr="00141B80">
        <w:rPr>
          <w:rFonts w:cs="Arial"/>
        </w:rPr>
        <w:t>é</w:t>
      </w:r>
      <w:r w:rsidRPr="00141B80">
        <w:t>penses en cours plus efficaces et mobiliser de nouveaux fonds pour la nutrition</w:t>
      </w:r>
      <w:r>
        <w:t> ;</w:t>
      </w:r>
    </w:p>
    <w:p w14:paraId="590E0B89" w14:textId="77777777" w:rsidR="007E2365" w:rsidRPr="00141B80" w:rsidRDefault="007E2365" w:rsidP="007E2365">
      <w:pPr>
        <w:pStyle w:val="PucesRapportPNIN"/>
      </w:pPr>
      <w:r w:rsidRPr="00141B80">
        <w:t>Les gouvernements nationaux, les donateurs, les mécanismes de financement innovants, le secteur privé et les consommateurs agissent de manière solidaire, pour accélérer collectivement les progrès.</w:t>
      </w:r>
    </w:p>
    <w:p w14:paraId="0ADD7A9D" w14:textId="77777777" w:rsidR="007E2365" w:rsidRDefault="007E2365" w:rsidP="007E2365">
      <w:pPr>
        <w:pStyle w:val="ParagrapheRapportPNIN"/>
      </w:pPr>
      <w:r>
        <w:t>Dans un contexte national de r</w:t>
      </w:r>
      <w:r w:rsidRPr="002375CD">
        <w:t>essources budgétaires limitées</w:t>
      </w:r>
      <w:r>
        <w:t xml:space="preserve">, le financement de la nutrition est un véritable défi. </w:t>
      </w:r>
      <w:r w:rsidRPr="004C6497">
        <w:t>Le PA</w:t>
      </w:r>
      <w:r>
        <w:t> </w:t>
      </w:r>
      <w:r w:rsidRPr="004C6497">
        <w:t xml:space="preserve">PNSN </w:t>
      </w:r>
      <w:r>
        <w:t xml:space="preserve">a </w:t>
      </w:r>
      <w:r w:rsidRPr="004C6497">
        <w:t xml:space="preserve">budgétisé les ressources additionnelles nécessaires pour rendre les secteurs plus sensibles à la nutrition. La question de la mobilisation des ressources reste </w:t>
      </w:r>
      <w:r>
        <w:t>problématique pour les secteurs car ces financements additionnels n’ont pas été pris en compte lors de l’adoption de la loi de finances des secteurs et le budget du PA PNSN repose déjà fortement sur les Partenaires Techniques et Financiers (PTFs).</w:t>
      </w:r>
    </w:p>
    <w:p w14:paraId="6DB58577" w14:textId="77777777" w:rsidR="007E2365" w:rsidRDefault="007E2365" w:rsidP="007E2365">
      <w:pPr>
        <w:pStyle w:val="ParagrapheRapportPNIN"/>
      </w:pPr>
      <w:r>
        <w:t>Peu d’initiatives ont été menées pour le suivi des financements de la nutrition.</w:t>
      </w:r>
      <w:r w:rsidRPr="00E02E38">
        <w:t xml:space="preserve"> </w:t>
      </w:r>
      <w:r w:rsidRPr="0048211E">
        <w:t xml:space="preserve">Le collectif TUN </w:t>
      </w:r>
      <w:r>
        <w:t xml:space="preserve">(Tous Unis pour la Nutrition) de la société civile </w:t>
      </w:r>
      <w:r w:rsidRPr="0048211E">
        <w:t xml:space="preserve">a conduit une analyse </w:t>
      </w:r>
      <w:r w:rsidRPr="0048211E">
        <w:lastRenderedPageBreak/>
        <w:t>du financement de la nutrition entre 2010 et 2013</w:t>
      </w:r>
      <w:r>
        <w:t>. Cette analyse</w:t>
      </w:r>
      <w:r w:rsidRPr="0048211E">
        <w:t xml:space="preserve"> met en évidence un faible engagement de l’Etat pour la nutrition et une forte dépendance aux fonds d’urgence : 81</w:t>
      </w:r>
      <w:r>
        <w:t> </w:t>
      </w:r>
      <w:r w:rsidRPr="0048211E">
        <w:t>% des financements</w:t>
      </w:r>
      <w:r>
        <w:rPr>
          <w:rStyle w:val="Appelnotedebasdep"/>
        </w:rPr>
        <w:footnoteReference w:id="59"/>
      </w:r>
      <w:r>
        <w:t>. Les principaux documents budgétaires de l’État (lois de finances et lois de règlement) ne fournissent pas de données suffisamment désagrégées facilitant l’exercice d’analyse des financements pour la nutrition et les données disponibles sont surtout celles liées à la programmation alors que les données sur la part de ressources mobilisées par les ONGs nationales et internationales sont difficiles à avoir. Dans ce contexte, il est difficile de rendre compte de l’ensemble des ressources financières mobilisées pour lutter contre la malnutrition au Niger.</w:t>
      </w:r>
    </w:p>
    <w:p w14:paraId="67CE1B6B" w14:textId="71D2E18D" w:rsidR="007E2365" w:rsidRPr="004041F2" w:rsidRDefault="00A378A2" w:rsidP="007E2365">
      <w:pPr>
        <w:pStyle w:val="Titre4PNIN"/>
      </w:pPr>
      <w:bookmarkStart w:id="74" w:name="_Toc528222359"/>
      <w:r>
        <w:t xml:space="preserve">5.1.4 </w:t>
      </w:r>
      <w:r w:rsidR="007E2365" w:rsidRPr="004041F2">
        <w:t>La mise en place d’un système d’information pour la nutrition</w:t>
      </w:r>
      <w:bookmarkEnd w:id="74"/>
    </w:p>
    <w:p w14:paraId="68FEB501" w14:textId="77777777" w:rsidR="007E2365" w:rsidRDefault="007E2365" w:rsidP="007E2365">
      <w:pPr>
        <w:pStyle w:val="ParagrapheRapportPNIN"/>
        <w:shd w:val="clear" w:color="auto" w:fill="F2F2F2" w:themeFill="background1" w:themeFillShade="F2"/>
      </w:pPr>
      <w:r w:rsidRPr="00141B80">
        <w:rPr>
          <w:b/>
        </w:rPr>
        <w:t>Recommandation 5 du cadre d’action de la CIN2</w:t>
      </w:r>
      <w:r>
        <w:t> </w:t>
      </w:r>
      <w:r w:rsidRPr="008A68B1">
        <w:t>: Améliorer la disponibilité, la qualité, la quantité, la couverture et la gestion</w:t>
      </w:r>
      <w:r>
        <w:t xml:space="preserve"> </w:t>
      </w:r>
      <w:r w:rsidRPr="008A68B1">
        <w:t>des systèmes d'information multisectoriels relatifs à l'alimentation et à la nutrition pour améliorer</w:t>
      </w:r>
      <w:r>
        <w:t xml:space="preserve"> </w:t>
      </w:r>
      <w:r w:rsidRPr="008A68B1">
        <w:t xml:space="preserve">l'élaboration des politiques et la transparence. </w:t>
      </w:r>
    </w:p>
    <w:p w14:paraId="0E72DF1A" w14:textId="77777777" w:rsidR="007E2365" w:rsidRDefault="007E2365" w:rsidP="007E2365">
      <w:pPr>
        <w:pStyle w:val="ParagrapheRapportPNIN"/>
        <w:shd w:val="clear" w:color="auto" w:fill="F2F2F2" w:themeFill="background1" w:themeFillShade="F2"/>
      </w:pPr>
      <w:r w:rsidRPr="002725B8">
        <w:rPr>
          <w:b/>
        </w:rPr>
        <w:t>Recommandation 6 du cadre d’action de la CIN2</w:t>
      </w:r>
      <w:r>
        <w:t> </w:t>
      </w:r>
      <w:r w:rsidRPr="008A6E0D">
        <w:t>: Promouvoir la collaboration entre pays, notamment la coopération Nord-Sud, la coopération Sud-Sud et la coopération triangulaire, ainsi que la mise en commun d'informations relatives à la nutrition, à l'alimentation, aux technologies, à la recherche, aux politiques et aux programmes.</w:t>
      </w:r>
    </w:p>
    <w:p w14:paraId="67E5A5F6" w14:textId="77777777" w:rsidR="007E2365" w:rsidRPr="00207417" w:rsidRDefault="007E2365" w:rsidP="007E2365">
      <w:pPr>
        <w:pStyle w:val="ParagrapheRapportPNIN"/>
        <w:shd w:val="clear" w:color="auto" w:fill="F2F2F2" w:themeFill="background1" w:themeFillShade="F2"/>
      </w:pPr>
      <w:r w:rsidRPr="002725B8">
        <w:rPr>
          <w:b/>
        </w:rPr>
        <w:t>Recommandation 58 du cadre d’action de la CNI2</w:t>
      </w:r>
      <w:r>
        <w:t> </w:t>
      </w:r>
      <w:r w:rsidRPr="00207417">
        <w:t>: Les gouvernements sont encouragés à fixer des objectifs en matière de nutrition, ainsi que des objectifs d'étape, qui soient cohérents avec le calendrier de mise en œuvre (2016-2025) et les objectifs mondiaux relatifs à la nutrition et aux maladies non transmissibles établis par l'Assemblée mondiale de la Santé. Les gouvernements sont invités à insérer – dans les cadres de suivi nationaux – des indicateurs convenus à l'échelle internationale ayant trait aux résultats obtenus en matière de nutrition (pour suivre les progrès en matière de réalisation des objectifs nationaux), à l'exécution des programmes de nutrition (notamment la couverture des interventions) et à l'environnement politique lié à la nutrition (notamment les arrangements institutionnels, les capacités et les investissements dans le domaine de la nutrition). Dans toute la mesure possible, il faut que le suivi soit réalisé par l'intermédiaire de mécanismes existants.</w:t>
      </w:r>
    </w:p>
    <w:p w14:paraId="701CAD13" w14:textId="77777777" w:rsidR="007E2365" w:rsidRDefault="007E2365" w:rsidP="007E2365">
      <w:pPr>
        <w:pStyle w:val="ParagrapheRapportPNIN"/>
      </w:pPr>
      <w:r w:rsidRPr="00A17EBB">
        <w:t>L’analyse multisectorielle de la situation nutritionnelle passe par une compréhension collective de l'efficacité des différentes approches contribuant à la nutrition. Une telle analyse multisectorielle exige l'accès aux données (quantitatives et qualitatives) de tous les secteurs concernés et qui couvrent tous les niveaux de la chaîne de causalité qui peuvent conduire à la malnutrition. Il est essentiel de comprendre l'étendue, la circonscription et les déterminants de la malnutrition. Une gamme de données relatives aux causes immédiates et sous-jacentes de la malnutrition est donc nécessaire. Ces données doivent être consolidées dans un système d’information nutritionnel cohérent.</w:t>
      </w:r>
      <w:r>
        <w:t xml:space="preserve"> </w:t>
      </w:r>
    </w:p>
    <w:p w14:paraId="1728A286" w14:textId="77777777" w:rsidR="007E2365" w:rsidRDefault="007E2365" w:rsidP="007E2365">
      <w:pPr>
        <w:pStyle w:val="ParagrapheRapportPNIN"/>
      </w:pPr>
      <w:r>
        <w:lastRenderedPageBreak/>
        <w:t>Le Niger n’a pas encore formalisé son système d’information pour la nutrition. La mise en place de la Plateforme Nationale d’Information pour la Nutrition (PNIN) est mentionnée dans le plan d’action comme une alternative pour contourner les difficultés liées à l</w:t>
      </w:r>
      <w:r w:rsidRPr="00004845">
        <w:t>a fragmentation des systèmes générant des données et/ou de l’information utiles à l’analyse de la sécurité nutritionnelle et de son évolution</w:t>
      </w:r>
      <w:r>
        <w:rPr>
          <w:rStyle w:val="Appelnotedebasdep"/>
        </w:rPr>
        <w:footnoteReference w:id="60"/>
      </w:r>
      <w:r w:rsidRPr="00004845">
        <w:t>.</w:t>
      </w:r>
      <w:r>
        <w:t xml:space="preserve"> </w:t>
      </w:r>
    </w:p>
    <w:p w14:paraId="0CEFA275" w14:textId="77777777" w:rsidR="007E2365" w:rsidRDefault="007E2365" w:rsidP="007E2365">
      <w:pPr>
        <w:pStyle w:val="ParagrapheRapportPNIN"/>
      </w:pPr>
      <w:r>
        <w:t xml:space="preserve">Une analyse situationnelle des systèmes d’information et des statistiques est en cours par la PNIN et devrait permettre l’élaboration de plans de renforcement des systèmes d’informations des secteurs sur la nutrition. Cependant, la PNIN ne saurait remplacer un système d’information cohérent pour la nutrition au Niger car n’en possédant pas les attributions. </w:t>
      </w:r>
    </w:p>
    <w:p w14:paraId="603829AF" w14:textId="77777777" w:rsidR="007E2365" w:rsidRPr="002725B8" w:rsidRDefault="007E2365" w:rsidP="007E2365">
      <w:pPr>
        <w:pStyle w:val="ParagrapheRapportPNIN"/>
      </w:pPr>
      <w:r w:rsidRPr="002725B8">
        <w:t>Un enjeu majeur pour le Niger est de concevoir un système d’information national pour la nutrition multisectoriel avec toutes ses composantes et attributions.</w:t>
      </w:r>
    </w:p>
    <w:p w14:paraId="02479E45" w14:textId="64643998" w:rsidR="009F573A" w:rsidRPr="004041F2" w:rsidRDefault="009F573A" w:rsidP="009F573A">
      <w:pPr>
        <w:pStyle w:val="Titre4PNIN"/>
      </w:pPr>
      <w:bookmarkStart w:id="75" w:name="_Toc528222360"/>
      <w:r>
        <w:t>5.1</w:t>
      </w:r>
      <w:r>
        <w:t>.</w:t>
      </w:r>
      <w:r>
        <w:t>5</w:t>
      </w:r>
      <w:r>
        <w:t xml:space="preserve"> </w:t>
      </w:r>
      <w:r w:rsidRPr="004041F2">
        <w:t xml:space="preserve">Le suivi </w:t>
      </w:r>
      <w:r>
        <w:t xml:space="preserve">et évaluation </w:t>
      </w:r>
      <w:r w:rsidRPr="004041F2">
        <w:t>de la mise en œuvre de la PNSN</w:t>
      </w:r>
      <w:bookmarkEnd w:id="75"/>
    </w:p>
    <w:p w14:paraId="108F7EC8" w14:textId="77777777" w:rsidR="009F573A" w:rsidRDefault="009F573A" w:rsidP="009F573A">
      <w:pPr>
        <w:pStyle w:val="ParagrapheRapportPNIN"/>
      </w:pPr>
      <w:r w:rsidRPr="00954BEE">
        <w:t>Le suivi-évaluation constitue la dernière composante d’une bonne gouvernance favorable à la nutrition</w:t>
      </w:r>
      <w:r>
        <w:rPr>
          <w:rStyle w:val="Appelnotedebasdep"/>
        </w:rPr>
        <w:footnoteReference w:id="61"/>
      </w:r>
      <w:r>
        <w:t>. Le rôle du suivi et de l’évaluation des interventions multisectoriels n’est plus a démontré surtout pour des interventions devant passées à l’échelle nationale. La génération d’évidences est plus que déterminante. Les données et informations issus du suivi et de l’évaluation des interventions sont nécessaires pour une bonne rédevabilité des acteurs.</w:t>
      </w:r>
    </w:p>
    <w:p w14:paraId="6BFF7D99" w14:textId="77777777" w:rsidR="009F573A" w:rsidRPr="00954BEE" w:rsidRDefault="009F573A" w:rsidP="009F573A">
      <w:pPr>
        <w:pStyle w:val="ParagrapheRapportPNIN"/>
      </w:pPr>
      <w:r>
        <w:t xml:space="preserve">L’élaboration d’un plan de suivi évaluation du PA de la PNSN est en cours. Ce plan servira de référence pour le suivi des progrès réalisés par chacun des acteurs de la PNSN. Son élaboration dans un processus participatif comme pour le PA PNSN est essentiel pour une appropriation par les différents acteurs de la PNSN. </w:t>
      </w:r>
    </w:p>
    <w:p w14:paraId="068EF39E" w14:textId="448D2151" w:rsidR="007E2365" w:rsidRDefault="00A378A2" w:rsidP="007E2365">
      <w:pPr>
        <w:pStyle w:val="Titre4PNIN"/>
      </w:pPr>
      <w:bookmarkStart w:id="76" w:name="_Toc528222361"/>
      <w:r>
        <w:t>5.1</w:t>
      </w:r>
      <w:r w:rsidR="009F573A">
        <w:t>.6</w:t>
      </w:r>
      <w:r>
        <w:t xml:space="preserve"> </w:t>
      </w:r>
      <w:r w:rsidR="007E2365" w:rsidRPr="004041F2">
        <w:t>La rédevabilité des acteurs de la PNSN</w:t>
      </w:r>
      <w:bookmarkEnd w:id="76"/>
    </w:p>
    <w:p w14:paraId="3524A40E" w14:textId="77777777" w:rsidR="007E2365" w:rsidRPr="007E426D" w:rsidRDefault="007E2365" w:rsidP="007E2365">
      <w:pPr>
        <w:pStyle w:val="ParagrapheRapportPNIN"/>
      </w:pPr>
      <w:r>
        <w:t>La PNSN</w:t>
      </w:r>
      <w:r w:rsidRPr="007E426D">
        <w:t xml:space="preserve"> inclut huit Engagements en faveur de la nutrition</w:t>
      </w:r>
      <w:r>
        <w:t>. C</w:t>
      </w:r>
      <w:r w:rsidRPr="007E426D">
        <w:t xml:space="preserve">haque engagement est placé sous la responsabilité d’un ou plusieurs </w:t>
      </w:r>
      <w:r>
        <w:t>M</w:t>
      </w:r>
      <w:r w:rsidRPr="007E426D">
        <w:t>inistères ou institutions et implique la contribution d’autres ministères et/ou institutions</w:t>
      </w:r>
      <w:r w:rsidRPr="007E426D">
        <w:rPr>
          <w:vertAlign w:val="superscript"/>
        </w:rPr>
        <w:footnoteReference w:id="62"/>
      </w:r>
      <w:r w:rsidRPr="007E426D">
        <w:t>.</w:t>
      </w:r>
    </w:p>
    <w:p w14:paraId="59B674A4" w14:textId="77777777" w:rsidR="007E2365" w:rsidRPr="007E426D" w:rsidRDefault="007E2365" w:rsidP="007E2365">
      <w:pPr>
        <w:pStyle w:val="PucesRapportPNIN"/>
      </w:pPr>
      <w:r w:rsidRPr="007E426D">
        <w:t>Gouvernance et coordination multisectorielle</w:t>
      </w:r>
      <w:r>
        <w:t xml:space="preserve"> de la nutrition (Engagement 1) </w:t>
      </w:r>
      <w:r w:rsidRPr="007E426D">
        <w:t xml:space="preserve">; </w:t>
      </w:r>
    </w:p>
    <w:p w14:paraId="47A5A353" w14:textId="77777777" w:rsidR="007E2365" w:rsidRPr="007E426D" w:rsidRDefault="007E2365" w:rsidP="007E2365">
      <w:pPr>
        <w:pStyle w:val="PucesRapportPNIN"/>
      </w:pPr>
      <w:r w:rsidRPr="007E426D">
        <w:t>Interventions nutritionnelles dans le sec</w:t>
      </w:r>
      <w:r>
        <w:t>teur de la santé (Engagement 2) </w:t>
      </w:r>
      <w:r w:rsidRPr="007E426D">
        <w:t>;</w:t>
      </w:r>
    </w:p>
    <w:p w14:paraId="387788A3" w14:textId="77777777" w:rsidR="007E2365" w:rsidRPr="007E426D" w:rsidRDefault="007E2365" w:rsidP="007E2365">
      <w:pPr>
        <w:pStyle w:val="PucesRapportPNIN"/>
      </w:pPr>
      <w:r w:rsidRPr="007E426D">
        <w:t>Agriculture et systèmes alimentaires sensible</w:t>
      </w:r>
      <w:r>
        <w:t>s à la nutrition (Engagement 3) </w:t>
      </w:r>
      <w:r w:rsidRPr="007E426D">
        <w:t xml:space="preserve">; </w:t>
      </w:r>
    </w:p>
    <w:p w14:paraId="5CC194C1" w14:textId="77777777" w:rsidR="007E2365" w:rsidRPr="007E426D" w:rsidRDefault="007E2365" w:rsidP="007E2365">
      <w:pPr>
        <w:pStyle w:val="PucesRapportPNIN"/>
      </w:pPr>
      <w:r w:rsidRPr="007E426D">
        <w:t>Eau, Hygiène et Assainissement sensibles à la nutrition (Engagement</w:t>
      </w:r>
      <w:r>
        <w:t> </w:t>
      </w:r>
      <w:r w:rsidRPr="007E426D">
        <w:t xml:space="preserve">4) ; </w:t>
      </w:r>
    </w:p>
    <w:p w14:paraId="09748B28" w14:textId="77777777" w:rsidR="007E2365" w:rsidRPr="007E426D" w:rsidRDefault="007E2365" w:rsidP="007E2365">
      <w:pPr>
        <w:pStyle w:val="PucesRapportPNIN"/>
      </w:pPr>
      <w:r w:rsidRPr="007E426D">
        <w:t>Nutrition et Pr</w:t>
      </w:r>
      <w:r>
        <w:t>otection Sociale (Engagement 5) </w:t>
      </w:r>
      <w:r w:rsidRPr="007E426D">
        <w:t xml:space="preserve">; </w:t>
      </w:r>
    </w:p>
    <w:p w14:paraId="570B253E" w14:textId="77777777" w:rsidR="007E2365" w:rsidRPr="007E426D" w:rsidRDefault="007E2365" w:rsidP="007E2365">
      <w:pPr>
        <w:pStyle w:val="PucesRapportPNIN"/>
      </w:pPr>
      <w:r w:rsidRPr="007E426D">
        <w:t>Nutrition et Education (Engagement</w:t>
      </w:r>
      <w:r>
        <w:t> </w:t>
      </w:r>
      <w:r w:rsidRPr="007E426D">
        <w:t xml:space="preserve">6) ; </w:t>
      </w:r>
    </w:p>
    <w:p w14:paraId="61A09FB3" w14:textId="77777777" w:rsidR="007E2365" w:rsidRPr="007E426D" w:rsidRDefault="007E2365" w:rsidP="007E2365">
      <w:pPr>
        <w:pStyle w:val="PucesRapportPNIN"/>
      </w:pPr>
      <w:r w:rsidRPr="007E426D">
        <w:t>Nutrition et Maladies</w:t>
      </w:r>
      <w:r>
        <w:t xml:space="preserve"> Non Transmissibles (Engagement </w:t>
      </w:r>
      <w:r w:rsidRPr="007E426D">
        <w:t>7) ; </w:t>
      </w:r>
    </w:p>
    <w:p w14:paraId="6A1B909C" w14:textId="77777777" w:rsidR="007E2365" w:rsidRDefault="007E2365" w:rsidP="007E2365">
      <w:pPr>
        <w:pStyle w:val="PucesRapportPNIN"/>
      </w:pPr>
      <w:r w:rsidRPr="007E426D">
        <w:t>Communication et Plaidoye</w:t>
      </w:r>
      <w:r>
        <w:t>r pour la nutrition (Engagement </w:t>
      </w:r>
      <w:r w:rsidRPr="007E426D">
        <w:t>8). </w:t>
      </w:r>
    </w:p>
    <w:p w14:paraId="3E8790CE" w14:textId="77777777" w:rsidR="007E2365" w:rsidRDefault="007E2365" w:rsidP="007E2365">
      <w:pPr>
        <w:pStyle w:val="ParagrapheRapportPNIN"/>
      </w:pPr>
      <w:r>
        <w:t xml:space="preserve">Pour chaque engagement, le PA PNSN a défini un Ministère lead et des Ministères collaborateurs. Cette répartition des rôles et responsabilités des acteurs de la </w:t>
      </w:r>
      <w:r>
        <w:lastRenderedPageBreak/>
        <w:t xml:space="preserve">nutrition ne s’est pas concrétisée par l’élaboration d’un plan de rédevabilité. </w:t>
      </w:r>
      <w:r w:rsidRPr="009F288D">
        <w:rPr>
          <w:b/>
        </w:rPr>
        <w:t>Le plan de rédevabilité est un instrument gage d’un suivi des engagements</w:t>
      </w:r>
      <w:r>
        <w:t xml:space="preserve"> de tous les partenaires y compris les ONGs, la société civile, le Système des Nations Unies et autres acteurs de la nutrition au Niger. Son élaboration devient urgente pour une meilleure appropriation du PA PNSN par les secteurs ministériels.</w:t>
      </w:r>
    </w:p>
    <w:p w14:paraId="71CB0A65" w14:textId="77777777" w:rsidR="007E2365" w:rsidRDefault="007E2365" w:rsidP="007E2365">
      <w:pPr>
        <w:pStyle w:val="TitreillustrationPNIN"/>
      </w:pPr>
      <w:bookmarkStart w:id="77" w:name="_Toc528222379"/>
      <w:r>
        <w:t xml:space="preserve">Figure </w:t>
      </w:r>
      <w:r w:rsidR="00B23782">
        <w:fldChar w:fldCharType="begin"/>
      </w:r>
      <w:r w:rsidR="00B23782">
        <w:instrText xml:space="preserve"> SEQ Figure \* ARABIC </w:instrText>
      </w:r>
      <w:r w:rsidR="00B23782">
        <w:fldChar w:fldCharType="separate"/>
      </w:r>
      <w:r>
        <w:rPr>
          <w:noProof/>
        </w:rPr>
        <w:t>6</w:t>
      </w:r>
      <w:r w:rsidR="00B23782">
        <w:rPr>
          <w:noProof/>
        </w:rPr>
        <w:fldChar w:fldCharType="end"/>
      </w:r>
      <w:r>
        <w:rPr>
          <w:noProof/>
        </w:rPr>
        <w:t> </w:t>
      </w:r>
      <w:r w:rsidRPr="003E2C6B">
        <w:t>: Responsabilité et implication institutionnelles par engagement de la PNSN</w:t>
      </w:r>
      <w:bookmarkEnd w:id="77"/>
    </w:p>
    <w:tbl>
      <w:tblPr>
        <w:tblStyle w:val="Grilledutableau1"/>
        <w:tblW w:w="9890" w:type="dxa"/>
        <w:tblLook w:val="04A0" w:firstRow="1" w:lastRow="0" w:firstColumn="1" w:lastColumn="0" w:noHBand="0" w:noVBand="1"/>
      </w:tblPr>
      <w:tblGrid>
        <w:gridCol w:w="1464"/>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7E2365" w:rsidRPr="009F288D" w14:paraId="524DF3B2" w14:textId="77777777" w:rsidTr="00C8628D">
        <w:trPr>
          <w:cantSplit/>
          <w:trHeight w:val="1189"/>
          <w:tblHeader/>
        </w:trPr>
        <w:tc>
          <w:tcPr>
            <w:tcW w:w="1464" w:type="dxa"/>
          </w:tcPr>
          <w:p w14:paraId="155AC38C" w14:textId="77777777" w:rsidR="007E2365" w:rsidRPr="009F288D" w:rsidRDefault="007E2365" w:rsidP="00C8628D">
            <w:pPr>
              <w:jc w:val="both"/>
              <w:rPr>
                <w:rFonts w:ascii="Arial" w:hAnsi="Arial" w:cs="Arial"/>
                <w:sz w:val="14"/>
              </w:rPr>
            </w:pPr>
            <w:r w:rsidRPr="009F288D">
              <w:rPr>
                <w:rFonts w:ascii="Arial" w:hAnsi="Arial" w:cs="Arial"/>
                <w:noProof/>
                <w:sz w:val="20"/>
                <w:lang w:eastAsia="fr-FR"/>
              </w:rPr>
              <mc:AlternateContent>
                <mc:Choice Requires="wps">
                  <w:drawing>
                    <wp:anchor distT="0" distB="0" distL="114300" distR="114300" simplePos="0" relativeHeight="251660288" behindDoc="0" locked="0" layoutInCell="1" allowOverlap="1" wp14:anchorId="0C404D9E" wp14:editId="19EE5C6D">
                      <wp:simplePos x="0" y="0"/>
                      <wp:positionH relativeFrom="column">
                        <wp:posOffset>600263</wp:posOffset>
                      </wp:positionH>
                      <wp:positionV relativeFrom="paragraph">
                        <wp:posOffset>24130</wp:posOffset>
                      </wp:positionV>
                      <wp:extent cx="90805" cy="171450"/>
                      <wp:effectExtent l="13970"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1450"/>
                              </a:xfrm>
                              <a:prstGeom prst="rect">
                                <a:avLst/>
                              </a:prstGeom>
                              <a:solidFill>
                                <a:srgbClr val="4F81BD">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EF94" id="Rectangle 4" o:spid="_x0000_s1026" style="position:absolute;margin-left:47.25pt;margin-top:1.9pt;width:7.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" fillcolor="#dce6f2"/>
                  </w:pict>
                </mc:Fallback>
              </mc:AlternateContent>
            </w:r>
            <w:r w:rsidRPr="009F288D">
              <w:rPr>
                <w:rFonts w:ascii="Arial" w:hAnsi="Arial" w:cs="Arial"/>
                <w:sz w:val="14"/>
              </w:rPr>
              <w:t>Secteurs collaboratifs</w:t>
            </w:r>
          </w:p>
          <w:p w14:paraId="560C9944" w14:textId="77777777" w:rsidR="007E2365" w:rsidRPr="009F288D" w:rsidRDefault="007E2365" w:rsidP="00C8628D">
            <w:pPr>
              <w:jc w:val="both"/>
              <w:rPr>
                <w:rFonts w:ascii="Arial" w:hAnsi="Arial" w:cs="Arial"/>
                <w:sz w:val="14"/>
              </w:rPr>
            </w:pPr>
          </w:p>
          <w:p w14:paraId="3C60A384" w14:textId="77777777" w:rsidR="007E2365" w:rsidRPr="009F288D" w:rsidRDefault="007E2365" w:rsidP="00C8628D">
            <w:pPr>
              <w:jc w:val="both"/>
              <w:rPr>
                <w:rFonts w:ascii="Arial" w:hAnsi="Arial" w:cs="Arial"/>
              </w:rPr>
            </w:pPr>
            <w:r w:rsidRPr="009F288D">
              <w:rPr>
                <w:rFonts w:ascii="Arial" w:hAnsi="Arial" w:cs="Arial"/>
                <w:noProof/>
                <w:sz w:val="20"/>
                <w:lang w:eastAsia="fr-FR"/>
              </w:rPr>
              <mc:AlternateContent>
                <mc:Choice Requires="wps">
                  <w:drawing>
                    <wp:anchor distT="0" distB="0" distL="114300" distR="114300" simplePos="0" relativeHeight="251659264" behindDoc="0" locked="0" layoutInCell="1" allowOverlap="1" wp14:anchorId="685C73A6" wp14:editId="3DCD8E08">
                      <wp:simplePos x="0" y="0"/>
                      <wp:positionH relativeFrom="column">
                        <wp:posOffset>589750</wp:posOffset>
                      </wp:positionH>
                      <wp:positionV relativeFrom="paragraph">
                        <wp:posOffset>15240</wp:posOffset>
                      </wp:positionV>
                      <wp:extent cx="90805" cy="171450"/>
                      <wp:effectExtent l="13970"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1450"/>
                              </a:xfrm>
                              <a:prstGeom prst="rect">
                                <a:avLst/>
                              </a:prstGeom>
                              <a:solidFill>
                                <a:srgbClr val="1F497D">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C89AF" id="Rectangle 3" o:spid="_x0000_s1026" style="position:absolute;margin-left:46.45pt;margin-top:1.2pt;width:7.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" fillcolor="#1f497d"/>
                  </w:pict>
                </mc:Fallback>
              </mc:AlternateContent>
            </w:r>
            <w:r w:rsidRPr="009F288D">
              <w:rPr>
                <w:rFonts w:ascii="Arial" w:hAnsi="Arial" w:cs="Arial"/>
                <w:sz w:val="14"/>
              </w:rPr>
              <w:t>Institution responsable</w:t>
            </w:r>
          </w:p>
        </w:tc>
        <w:tc>
          <w:tcPr>
            <w:tcW w:w="383" w:type="dxa"/>
            <w:textDirection w:val="btLr"/>
            <w:vAlign w:val="center"/>
          </w:tcPr>
          <w:p w14:paraId="626DC250" w14:textId="77777777" w:rsidR="007E2365" w:rsidRPr="009F288D" w:rsidRDefault="007E2365" w:rsidP="00C8628D">
            <w:pPr>
              <w:ind w:right="113"/>
              <w:rPr>
                <w:rFonts w:ascii="Arial" w:hAnsi="Arial" w:cs="Arial"/>
                <w:sz w:val="14"/>
              </w:rPr>
            </w:pPr>
            <w:r w:rsidRPr="009F288D">
              <w:rPr>
                <w:rFonts w:ascii="Arial" w:hAnsi="Arial" w:cs="Arial"/>
                <w:sz w:val="14"/>
              </w:rPr>
              <w:t>HC3N</w:t>
            </w:r>
          </w:p>
        </w:tc>
        <w:tc>
          <w:tcPr>
            <w:tcW w:w="383" w:type="dxa"/>
            <w:textDirection w:val="btLr"/>
            <w:vAlign w:val="center"/>
          </w:tcPr>
          <w:p w14:paraId="27C45C38" w14:textId="77777777" w:rsidR="007E2365" w:rsidRPr="009F288D" w:rsidRDefault="007E2365" w:rsidP="00C8628D">
            <w:pPr>
              <w:ind w:right="113"/>
              <w:rPr>
                <w:rFonts w:ascii="Arial" w:hAnsi="Arial" w:cs="Arial"/>
                <w:sz w:val="14"/>
              </w:rPr>
            </w:pPr>
            <w:r w:rsidRPr="009F288D">
              <w:rPr>
                <w:rFonts w:ascii="Arial" w:hAnsi="Arial" w:cs="Arial"/>
                <w:sz w:val="14"/>
              </w:rPr>
              <w:t>MSP</w:t>
            </w:r>
          </w:p>
        </w:tc>
        <w:tc>
          <w:tcPr>
            <w:tcW w:w="383" w:type="dxa"/>
            <w:textDirection w:val="btLr"/>
            <w:vAlign w:val="center"/>
          </w:tcPr>
          <w:p w14:paraId="33128C10" w14:textId="77777777" w:rsidR="007E2365" w:rsidRPr="009F288D" w:rsidRDefault="007E2365" w:rsidP="00C8628D">
            <w:pPr>
              <w:ind w:right="113"/>
              <w:rPr>
                <w:rFonts w:ascii="Arial" w:hAnsi="Arial" w:cs="Arial"/>
                <w:sz w:val="14"/>
              </w:rPr>
            </w:pPr>
            <w:r w:rsidRPr="009F288D">
              <w:rPr>
                <w:rFonts w:ascii="Arial" w:hAnsi="Arial" w:cs="Arial"/>
                <w:sz w:val="14"/>
              </w:rPr>
              <w:t>MAGEL</w:t>
            </w:r>
          </w:p>
        </w:tc>
        <w:tc>
          <w:tcPr>
            <w:tcW w:w="383" w:type="dxa"/>
            <w:textDirection w:val="btLr"/>
            <w:vAlign w:val="center"/>
          </w:tcPr>
          <w:p w14:paraId="699412BC" w14:textId="77777777" w:rsidR="007E2365" w:rsidRPr="009F288D" w:rsidRDefault="007E2365" w:rsidP="00C8628D">
            <w:pPr>
              <w:ind w:right="113"/>
              <w:rPr>
                <w:rFonts w:ascii="Arial" w:hAnsi="Arial" w:cs="Arial"/>
                <w:sz w:val="14"/>
              </w:rPr>
            </w:pPr>
            <w:r w:rsidRPr="009F288D">
              <w:rPr>
                <w:rFonts w:ascii="Arial" w:hAnsi="Arial" w:cs="Arial"/>
                <w:sz w:val="14"/>
              </w:rPr>
              <w:t>MEDD</w:t>
            </w:r>
          </w:p>
        </w:tc>
        <w:tc>
          <w:tcPr>
            <w:tcW w:w="383" w:type="dxa"/>
            <w:textDirection w:val="btLr"/>
            <w:vAlign w:val="center"/>
          </w:tcPr>
          <w:p w14:paraId="709F96BA" w14:textId="77777777" w:rsidR="007E2365" w:rsidRPr="009F288D" w:rsidRDefault="007E2365" w:rsidP="00C8628D">
            <w:pPr>
              <w:ind w:right="113"/>
              <w:rPr>
                <w:rFonts w:ascii="Arial" w:hAnsi="Arial" w:cs="Arial"/>
                <w:sz w:val="14"/>
              </w:rPr>
            </w:pPr>
            <w:r w:rsidRPr="009F288D">
              <w:rPr>
                <w:rFonts w:ascii="Arial" w:hAnsi="Arial" w:cs="Arial"/>
                <w:sz w:val="14"/>
              </w:rPr>
              <w:t>MEP/A/PLN/EC</w:t>
            </w:r>
          </w:p>
        </w:tc>
        <w:tc>
          <w:tcPr>
            <w:tcW w:w="383" w:type="dxa"/>
            <w:textDirection w:val="btLr"/>
            <w:vAlign w:val="center"/>
          </w:tcPr>
          <w:p w14:paraId="35665502" w14:textId="77777777" w:rsidR="007E2365" w:rsidRPr="009F288D" w:rsidRDefault="007E2365" w:rsidP="00C8628D">
            <w:pPr>
              <w:ind w:right="113"/>
              <w:rPr>
                <w:rFonts w:ascii="Arial" w:hAnsi="Arial" w:cs="Arial"/>
                <w:sz w:val="14"/>
              </w:rPr>
            </w:pPr>
            <w:r w:rsidRPr="009F288D">
              <w:rPr>
                <w:rFonts w:ascii="Arial" w:hAnsi="Arial" w:cs="Arial"/>
                <w:sz w:val="14"/>
              </w:rPr>
              <w:t>MI</w:t>
            </w:r>
          </w:p>
        </w:tc>
        <w:tc>
          <w:tcPr>
            <w:tcW w:w="383" w:type="dxa"/>
            <w:textDirection w:val="btLr"/>
            <w:vAlign w:val="center"/>
          </w:tcPr>
          <w:p w14:paraId="31D7F5E2" w14:textId="77777777" w:rsidR="007E2365" w:rsidRPr="009F288D" w:rsidRDefault="007E2365" w:rsidP="00C8628D">
            <w:pPr>
              <w:ind w:right="113"/>
              <w:rPr>
                <w:rFonts w:ascii="Arial" w:hAnsi="Arial" w:cs="Arial"/>
                <w:sz w:val="14"/>
              </w:rPr>
            </w:pPr>
            <w:r w:rsidRPr="009F288D">
              <w:rPr>
                <w:rFonts w:ascii="Arial" w:hAnsi="Arial" w:cs="Arial"/>
                <w:sz w:val="14"/>
              </w:rPr>
              <w:t>MM</w:t>
            </w:r>
          </w:p>
        </w:tc>
        <w:tc>
          <w:tcPr>
            <w:tcW w:w="383" w:type="dxa"/>
            <w:textDirection w:val="btLr"/>
            <w:vAlign w:val="center"/>
          </w:tcPr>
          <w:p w14:paraId="4500B5DE" w14:textId="77777777" w:rsidR="007E2365" w:rsidRPr="009F288D" w:rsidRDefault="007E2365" w:rsidP="00C8628D">
            <w:pPr>
              <w:ind w:right="113"/>
              <w:rPr>
                <w:rFonts w:ascii="Arial" w:hAnsi="Arial" w:cs="Arial"/>
                <w:sz w:val="14"/>
              </w:rPr>
            </w:pPr>
            <w:r w:rsidRPr="009F288D">
              <w:rPr>
                <w:rFonts w:ascii="Arial" w:hAnsi="Arial" w:cs="Arial"/>
                <w:sz w:val="14"/>
              </w:rPr>
              <w:t>MC</w:t>
            </w:r>
          </w:p>
        </w:tc>
        <w:tc>
          <w:tcPr>
            <w:tcW w:w="383" w:type="dxa"/>
            <w:textDirection w:val="btLr"/>
            <w:vAlign w:val="center"/>
          </w:tcPr>
          <w:p w14:paraId="474DEC86" w14:textId="77777777" w:rsidR="007E2365" w:rsidRPr="009F288D" w:rsidRDefault="007E2365" w:rsidP="00C8628D">
            <w:pPr>
              <w:ind w:right="113"/>
              <w:rPr>
                <w:rFonts w:ascii="Arial" w:hAnsi="Arial" w:cs="Arial"/>
                <w:sz w:val="14"/>
              </w:rPr>
            </w:pPr>
            <w:r w:rsidRPr="009F288D">
              <w:rPr>
                <w:rFonts w:ascii="Arial" w:hAnsi="Arial" w:cs="Arial"/>
                <w:sz w:val="14"/>
              </w:rPr>
              <w:t>MEPT</w:t>
            </w:r>
          </w:p>
        </w:tc>
        <w:tc>
          <w:tcPr>
            <w:tcW w:w="383" w:type="dxa"/>
            <w:textDirection w:val="btLr"/>
            <w:vAlign w:val="center"/>
          </w:tcPr>
          <w:p w14:paraId="1377B995" w14:textId="77777777" w:rsidR="007E2365" w:rsidRPr="009F288D" w:rsidRDefault="007E2365" w:rsidP="00C8628D">
            <w:pPr>
              <w:ind w:right="113"/>
              <w:rPr>
                <w:rFonts w:ascii="Arial" w:hAnsi="Arial" w:cs="Arial"/>
                <w:sz w:val="14"/>
              </w:rPr>
            </w:pPr>
            <w:r w:rsidRPr="009F288D">
              <w:rPr>
                <w:rFonts w:ascii="Arial" w:hAnsi="Arial" w:cs="Arial"/>
                <w:sz w:val="14"/>
              </w:rPr>
              <w:t>MES</w:t>
            </w:r>
          </w:p>
        </w:tc>
        <w:tc>
          <w:tcPr>
            <w:tcW w:w="383" w:type="dxa"/>
            <w:textDirection w:val="btLr"/>
            <w:vAlign w:val="center"/>
          </w:tcPr>
          <w:p w14:paraId="731747FE" w14:textId="77777777" w:rsidR="007E2365" w:rsidRPr="009F288D" w:rsidRDefault="007E2365" w:rsidP="00C8628D">
            <w:pPr>
              <w:ind w:right="113"/>
              <w:rPr>
                <w:rFonts w:ascii="Arial" w:hAnsi="Arial" w:cs="Arial"/>
                <w:sz w:val="14"/>
              </w:rPr>
            </w:pPr>
            <w:r w:rsidRPr="009F288D">
              <w:rPr>
                <w:rFonts w:ascii="Arial" w:hAnsi="Arial" w:cs="Arial"/>
                <w:sz w:val="14"/>
              </w:rPr>
              <w:t>MESRI</w:t>
            </w:r>
          </w:p>
        </w:tc>
        <w:tc>
          <w:tcPr>
            <w:tcW w:w="383" w:type="dxa"/>
            <w:textDirection w:val="btLr"/>
            <w:vAlign w:val="center"/>
          </w:tcPr>
          <w:p w14:paraId="5F31C452" w14:textId="77777777" w:rsidR="007E2365" w:rsidRPr="009F288D" w:rsidRDefault="007E2365" w:rsidP="00C8628D">
            <w:pPr>
              <w:ind w:right="113"/>
              <w:rPr>
                <w:rFonts w:ascii="Arial" w:hAnsi="Arial" w:cs="Arial"/>
                <w:sz w:val="14"/>
              </w:rPr>
            </w:pPr>
            <w:r w:rsidRPr="009F288D">
              <w:rPr>
                <w:rFonts w:ascii="Arial" w:hAnsi="Arial" w:cs="Arial"/>
                <w:sz w:val="14"/>
              </w:rPr>
              <w:t>METSS</w:t>
            </w:r>
          </w:p>
        </w:tc>
        <w:tc>
          <w:tcPr>
            <w:tcW w:w="383" w:type="dxa"/>
            <w:textDirection w:val="btLr"/>
            <w:vAlign w:val="center"/>
          </w:tcPr>
          <w:p w14:paraId="1345711B" w14:textId="77777777" w:rsidR="007E2365" w:rsidRPr="009F288D" w:rsidRDefault="007E2365" w:rsidP="00C8628D">
            <w:pPr>
              <w:ind w:right="113"/>
              <w:rPr>
                <w:rFonts w:ascii="Arial" w:hAnsi="Arial" w:cs="Arial"/>
                <w:sz w:val="14"/>
              </w:rPr>
            </w:pPr>
            <w:r w:rsidRPr="009F288D">
              <w:rPr>
                <w:rFonts w:ascii="Arial" w:hAnsi="Arial" w:cs="Arial"/>
                <w:sz w:val="14"/>
              </w:rPr>
              <w:t>MHA</w:t>
            </w:r>
          </w:p>
        </w:tc>
        <w:tc>
          <w:tcPr>
            <w:tcW w:w="383" w:type="dxa"/>
            <w:textDirection w:val="btLr"/>
            <w:vAlign w:val="center"/>
          </w:tcPr>
          <w:p w14:paraId="6A10E130" w14:textId="77777777" w:rsidR="007E2365" w:rsidRPr="009F288D" w:rsidRDefault="007E2365" w:rsidP="00C8628D">
            <w:pPr>
              <w:ind w:right="113"/>
              <w:rPr>
                <w:rFonts w:ascii="Arial" w:hAnsi="Arial" w:cs="Arial"/>
                <w:sz w:val="14"/>
              </w:rPr>
            </w:pPr>
            <w:r w:rsidRPr="009F288D">
              <w:rPr>
                <w:rFonts w:ascii="Arial" w:hAnsi="Arial" w:cs="Arial"/>
                <w:sz w:val="14"/>
              </w:rPr>
              <w:t>MPop</w:t>
            </w:r>
          </w:p>
        </w:tc>
        <w:tc>
          <w:tcPr>
            <w:tcW w:w="383" w:type="dxa"/>
            <w:textDirection w:val="btLr"/>
            <w:vAlign w:val="center"/>
          </w:tcPr>
          <w:p w14:paraId="249BDA1D" w14:textId="77777777" w:rsidR="007E2365" w:rsidRPr="009F288D" w:rsidRDefault="007E2365" w:rsidP="00C8628D">
            <w:pPr>
              <w:ind w:right="113"/>
              <w:rPr>
                <w:rFonts w:ascii="Arial" w:hAnsi="Arial" w:cs="Arial"/>
                <w:sz w:val="14"/>
              </w:rPr>
            </w:pPr>
            <w:r w:rsidRPr="009F288D">
              <w:rPr>
                <w:rFonts w:ascii="Arial" w:hAnsi="Arial" w:cs="Arial"/>
                <w:sz w:val="14"/>
              </w:rPr>
              <w:t>MP</w:t>
            </w:r>
          </w:p>
        </w:tc>
        <w:tc>
          <w:tcPr>
            <w:tcW w:w="383" w:type="dxa"/>
            <w:textDirection w:val="btLr"/>
            <w:vAlign w:val="center"/>
          </w:tcPr>
          <w:p w14:paraId="0A0B3EB0" w14:textId="77777777" w:rsidR="007E2365" w:rsidRPr="009F288D" w:rsidRDefault="007E2365" w:rsidP="00C8628D">
            <w:pPr>
              <w:ind w:right="113"/>
              <w:rPr>
                <w:rFonts w:ascii="Arial" w:hAnsi="Arial" w:cs="Arial"/>
                <w:sz w:val="14"/>
              </w:rPr>
            </w:pPr>
            <w:r w:rsidRPr="009F288D">
              <w:rPr>
                <w:rFonts w:ascii="Arial" w:hAnsi="Arial" w:cs="Arial"/>
                <w:sz w:val="14"/>
              </w:rPr>
              <w:t>MCPSP</w:t>
            </w:r>
          </w:p>
        </w:tc>
        <w:tc>
          <w:tcPr>
            <w:tcW w:w="383" w:type="dxa"/>
            <w:textDirection w:val="btLr"/>
            <w:vAlign w:val="center"/>
          </w:tcPr>
          <w:p w14:paraId="6C70A998" w14:textId="77777777" w:rsidR="007E2365" w:rsidRPr="009F288D" w:rsidRDefault="007E2365" w:rsidP="00C8628D">
            <w:pPr>
              <w:ind w:right="113"/>
              <w:rPr>
                <w:rFonts w:ascii="Arial" w:hAnsi="Arial" w:cs="Arial"/>
                <w:sz w:val="14"/>
              </w:rPr>
            </w:pPr>
            <w:r w:rsidRPr="009F288D">
              <w:rPr>
                <w:rFonts w:ascii="Arial" w:hAnsi="Arial" w:cs="Arial"/>
                <w:sz w:val="14"/>
              </w:rPr>
              <w:t>MPF/PE</w:t>
            </w:r>
          </w:p>
        </w:tc>
        <w:tc>
          <w:tcPr>
            <w:tcW w:w="383" w:type="dxa"/>
            <w:textDirection w:val="btLr"/>
            <w:vAlign w:val="center"/>
          </w:tcPr>
          <w:p w14:paraId="39272D3F" w14:textId="77777777" w:rsidR="007E2365" w:rsidRPr="009F288D" w:rsidRDefault="007E2365" w:rsidP="00C8628D">
            <w:pPr>
              <w:ind w:right="113"/>
              <w:rPr>
                <w:rFonts w:ascii="Arial" w:hAnsi="Arial" w:cs="Arial"/>
                <w:sz w:val="14"/>
              </w:rPr>
            </w:pPr>
            <w:r w:rsidRPr="009F288D">
              <w:rPr>
                <w:rFonts w:ascii="Arial" w:hAnsi="Arial" w:cs="Arial"/>
                <w:sz w:val="14"/>
              </w:rPr>
              <w:t>MF</w:t>
            </w:r>
          </w:p>
        </w:tc>
        <w:tc>
          <w:tcPr>
            <w:tcW w:w="383" w:type="dxa"/>
            <w:textDirection w:val="btLr"/>
            <w:vAlign w:val="center"/>
          </w:tcPr>
          <w:p w14:paraId="2EFF9BA3" w14:textId="77777777" w:rsidR="007E2365" w:rsidRPr="009F288D" w:rsidRDefault="007E2365" w:rsidP="00C8628D">
            <w:pPr>
              <w:ind w:right="113"/>
              <w:rPr>
                <w:rFonts w:ascii="Arial" w:hAnsi="Arial" w:cs="Arial"/>
                <w:sz w:val="14"/>
              </w:rPr>
            </w:pPr>
            <w:r w:rsidRPr="009F288D">
              <w:rPr>
                <w:rFonts w:ascii="Arial" w:hAnsi="Arial" w:cs="Arial"/>
                <w:sz w:val="14"/>
              </w:rPr>
              <w:t>MDCAT</w:t>
            </w:r>
          </w:p>
        </w:tc>
        <w:tc>
          <w:tcPr>
            <w:tcW w:w="383" w:type="dxa"/>
            <w:textDirection w:val="btLr"/>
            <w:vAlign w:val="center"/>
          </w:tcPr>
          <w:p w14:paraId="1F027636" w14:textId="77777777" w:rsidR="007E2365" w:rsidRPr="009F288D" w:rsidRDefault="007E2365" w:rsidP="00C8628D">
            <w:pPr>
              <w:ind w:right="113"/>
              <w:rPr>
                <w:rFonts w:ascii="Arial" w:hAnsi="Arial" w:cs="Arial"/>
                <w:sz w:val="14"/>
              </w:rPr>
            </w:pPr>
            <w:r w:rsidRPr="009F288D">
              <w:rPr>
                <w:rFonts w:ascii="Arial" w:hAnsi="Arial" w:cs="Arial"/>
                <w:sz w:val="14"/>
              </w:rPr>
              <w:t>MVSU</w:t>
            </w:r>
          </w:p>
        </w:tc>
        <w:tc>
          <w:tcPr>
            <w:tcW w:w="383" w:type="dxa"/>
            <w:textDirection w:val="btLr"/>
            <w:vAlign w:val="center"/>
          </w:tcPr>
          <w:p w14:paraId="3C7DBFB9" w14:textId="77777777" w:rsidR="007E2365" w:rsidRPr="009F288D" w:rsidRDefault="007E2365" w:rsidP="00C8628D">
            <w:pPr>
              <w:ind w:right="113"/>
              <w:rPr>
                <w:rFonts w:ascii="Arial" w:hAnsi="Arial" w:cs="Arial"/>
                <w:sz w:val="14"/>
              </w:rPr>
            </w:pPr>
            <w:r w:rsidRPr="009F288D">
              <w:rPr>
                <w:rFonts w:ascii="Arial" w:hAnsi="Arial" w:cs="Arial"/>
                <w:sz w:val="14"/>
              </w:rPr>
              <w:t>MAHGC</w:t>
            </w:r>
          </w:p>
        </w:tc>
        <w:tc>
          <w:tcPr>
            <w:tcW w:w="383" w:type="dxa"/>
            <w:textDirection w:val="btLr"/>
            <w:vAlign w:val="center"/>
          </w:tcPr>
          <w:p w14:paraId="3F30E856" w14:textId="77777777" w:rsidR="007E2365" w:rsidRPr="009F288D" w:rsidRDefault="007E2365" w:rsidP="00C8628D">
            <w:pPr>
              <w:ind w:right="113"/>
              <w:rPr>
                <w:rFonts w:ascii="Arial" w:hAnsi="Arial" w:cs="Arial"/>
                <w:sz w:val="14"/>
              </w:rPr>
            </w:pPr>
            <w:r w:rsidRPr="009F288D">
              <w:rPr>
                <w:rFonts w:ascii="Arial" w:hAnsi="Arial" w:cs="Arial"/>
                <w:sz w:val="14"/>
              </w:rPr>
              <w:t>MJS</w:t>
            </w:r>
          </w:p>
        </w:tc>
      </w:tr>
      <w:tr w:rsidR="007E2365" w:rsidRPr="009F288D" w14:paraId="56764483" w14:textId="77777777" w:rsidTr="00C8628D">
        <w:trPr>
          <w:trHeight w:val="340"/>
        </w:trPr>
        <w:tc>
          <w:tcPr>
            <w:tcW w:w="1464" w:type="dxa"/>
          </w:tcPr>
          <w:p w14:paraId="138AE64F" w14:textId="77777777" w:rsidR="007E2365" w:rsidRPr="009F288D" w:rsidRDefault="007E2365" w:rsidP="00C8628D">
            <w:pPr>
              <w:jc w:val="both"/>
              <w:rPr>
                <w:rFonts w:ascii="Arial" w:hAnsi="Arial" w:cs="Arial"/>
                <w:sz w:val="18"/>
              </w:rPr>
            </w:pPr>
            <w:r w:rsidRPr="009F288D">
              <w:rPr>
                <w:rFonts w:ascii="Arial" w:hAnsi="Arial" w:cs="Arial"/>
                <w:sz w:val="18"/>
              </w:rPr>
              <w:t>Engagement 1</w:t>
            </w:r>
          </w:p>
        </w:tc>
        <w:tc>
          <w:tcPr>
            <w:tcW w:w="383" w:type="dxa"/>
            <w:shd w:val="clear" w:color="auto" w:fill="1F497D" w:themeFill="text2"/>
            <w:vAlign w:val="center"/>
          </w:tcPr>
          <w:p w14:paraId="52B214B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4D20DF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596EBA3C"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7EB7328"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EAD7376"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F335CF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0826D8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6B0F9A2"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E65A607"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C9F1CC8"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F1FEE03"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6FABC43"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C1521A5"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1B87F7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5DFF1833"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E50552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ADFF0AC"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C20A3BE"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B367EC7"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4AA481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39CBC93"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EFB36E9" w14:textId="77777777" w:rsidR="007E2365" w:rsidRPr="009F288D" w:rsidRDefault="007E2365" w:rsidP="00C8628D">
            <w:pPr>
              <w:rPr>
                <w:rFonts w:ascii="Arial" w:hAnsi="Arial" w:cs="Arial"/>
              </w:rPr>
            </w:pPr>
          </w:p>
        </w:tc>
      </w:tr>
      <w:tr w:rsidR="007E2365" w:rsidRPr="009F288D" w14:paraId="49A5B03C" w14:textId="77777777" w:rsidTr="00C8628D">
        <w:trPr>
          <w:trHeight w:val="340"/>
        </w:trPr>
        <w:tc>
          <w:tcPr>
            <w:tcW w:w="1464" w:type="dxa"/>
          </w:tcPr>
          <w:p w14:paraId="122F3474" w14:textId="77777777" w:rsidR="007E2365" w:rsidRPr="009F288D" w:rsidRDefault="007E2365" w:rsidP="00C8628D">
            <w:pPr>
              <w:jc w:val="both"/>
              <w:rPr>
                <w:rFonts w:ascii="Arial" w:hAnsi="Arial" w:cs="Arial"/>
                <w:sz w:val="18"/>
              </w:rPr>
            </w:pPr>
            <w:r w:rsidRPr="009F288D">
              <w:rPr>
                <w:rFonts w:ascii="Arial" w:hAnsi="Arial" w:cs="Arial"/>
                <w:sz w:val="18"/>
              </w:rPr>
              <w:t>Engagement 2</w:t>
            </w:r>
          </w:p>
        </w:tc>
        <w:tc>
          <w:tcPr>
            <w:tcW w:w="383" w:type="dxa"/>
            <w:vAlign w:val="center"/>
          </w:tcPr>
          <w:p w14:paraId="37FBF7F8" w14:textId="77777777" w:rsidR="007E2365" w:rsidRPr="009F288D" w:rsidRDefault="007E2365" w:rsidP="00C8628D">
            <w:pPr>
              <w:rPr>
                <w:rFonts w:ascii="Arial" w:hAnsi="Arial" w:cs="Arial"/>
              </w:rPr>
            </w:pPr>
          </w:p>
        </w:tc>
        <w:tc>
          <w:tcPr>
            <w:tcW w:w="383" w:type="dxa"/>
            <w:shd w:val="clear" w:color="auto" w:fill="1F497D" w:themeFill="text2"/>
            <w:vAlign w:val="center"/>
          </w:tcPr>
          <w:p w14:paraId="5864B6E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ACA1656" w14:textId="77777777" w:rsidR="007E2365" w:rsidRPr="009F288D" w:rsidRDefault="007E2365" w:rsidP="00C8628D">
            <w:pPr>
              <w:rPr>
                <w:rFonts w:ascii="Arial" w:hAnsi="Arial" w:cs="Arial"/>
              </w:rPr>
            </w:pPr>
          </w:p>
        </w:tc>
        <w:tc>
          <w:tcPr>
            <w:tcW w:w="383" w:type="dxa"/>
            <w:vAlign w:val="center"/>
          </w:tcPr>
          <w:p w14:paraId="25C7A73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77672892"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4B8C5456"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618C4547"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5D4A8D0F"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012513E"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9C3745E"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A540081"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3A44436"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FD97BF3"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7574D2D2"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DC8AF50" w14:textId="77777777" w:rsidR="007E2365" w:rsidRPr="009F288D" w:rsidRDefault="007E2365" w:rsidP="00C8628D">
            <w:pPr>
              <w:rPr>
                <w:rFonts w:ascii="Arial" w:hAnsi="Arial" w:cs="Arial"/>
              </w:rPr>
            </w:pPr>
          </w:p>
        </w:tc>
        <w:tc>
          <w:tcPr>
            <w:tcW w:w="383" w:type="dxa"/>
            <w:vAlign w:val="center"/>
          </w:tcPr>
          <w:p w14:paraId="36FA4EA1"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BA743A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ADBAE0C"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78B0BB4D"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2F0E7AF9"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599081FD"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17D7B775" w14:textId="77777777" w:rsidR="007E2365" w:rsidRPr="009F288D" w:rsidRDefault="007E2365" w:rsidP="00C8628D">
            <w:pPr>
              <w:rPr>
                <w:rFonts w:ascii="Arial" w:hAnsi="Arial" w:cs="Arial"/>
              </w:rPr>
            </w:pPr>
          </w:p>
        </w:tc>
      </w:tr>
      <w:tr w:rsidR="007E2365" w:rsidRPr="009F288D" w14:paraId="22AF65CC" w14:textId="77777777" w:rsidTr="00C8628D">
        <w:trPr>
          <w:trHeight w:val="340"/>
        </w:trPr>
        <w:tc>
          <w:tcPr>
            <w:tcW w:w="1464" w:type="dxa"/>
          </w:tcPr>
          <w:p w14:paraId="7466D87E" w14:textId="77777777" w:rsidR="007E2365" w:rsidRPr="009F288D" w:rsidRDefault="007E2365" w:rsidP="00C8628D">
            <w:pPr>
              <w:jc w:val="both"/>
              <w:rPr>
                <w:rFonts w:ascii="Arial" w:hAnsi="Arial" w:cs="Arial"/>
                <w:sz w:val="18"/>
              </w:rPr>
            </w:pPr>
            <w:r w:rsidRPr="009F288D">
              <w:rPr>
                <w:rFonts w:ascii="Arial" w:hAnsi="Arial" w:cs="Arial"/>
                <w:sz w:val="18"/>
              </w:rPr>
              <w:t>Engagement 3</w:t>
            </w:r>
          </w:p>
        </w:tc>
        <w:tc>
          <w:tcPr>
            <w:tcW w:w="383" w:type="dxa"/>
            <w:vAlign w:val="center"/>
          </w:tcPr>
          <w:p w14:paraId="288C4CC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96AB455" w14:textId="77777777" w:rsidR="007E2365" w:rsidRPr="009F288D" w:rsidRDefault="007E2365" w:rsidP="00C8628D">
            <w:pPr>
              <w:rPr>
                <w:rFonts w:ascii="Arial" w:hAnsi="Arial" w:cs="Arial"/>
              </w:rPr>
            </w:pPr>
          </w:p>
        </w:tc>
        <w:tc>
          <w:tcPr>
            <w:tcW w:w="383" w:type="dxa"/>
            <w:shd w:val="clear" w:color="auto" w:fill="1F497D" w:themeFill="text2"/>
            <w:vAlign w:val="center"/>
          </w:tcPr>
          <w:p w14:paraId="7D94D746"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521393B0" w14:textId="77777777" w:rsidR="007E2365" w:rsidRPr="009F288D" w:rsidRDefault="007E2365" w:rsidP="00C8628D">
            <w:pPr>
              <w:rPr>
                <w:rFonts w:ascii="Arial" w:hAnsi="Arial" w:cs="Arial"/>
              </w:rPr>
            </w:pPr>
          </w:p>
        </w:tc>
        <w:tc>
          <w:tcPr>
            <w:tcW w:w="383" w:type="dxa"/>
            <w:vAlign w:val="center"/>
          </w:tcPr>
          <w:p w14:paraId="54159922" w14:textId="77777777" w:rsidR="007E2365" w:rsidRPr="009F288D" w:rsidRDefault="007E2365" w:rsidP="00C8628D">
            <w:pPr>
              <w:rPr>
                <w:rFonts w:ascii="Arial" w:hAnsi="Arial" w:cs="Arial"/>
              </w:rPr>
            </w:pPr>
          </w:p>
        </w:tc>
        <w:tc>
          <w:tcPr>
            <w:tcW w:w="383" w:type="dxa"/>
            <w:vAlign w:val="center"/>
          </w:tcPr>
          <w:p w14:paraId="5BA09128" w14:textId="77777777" w:rsidR="007E2365" w:rsidRPr="009F288D" w:rsidRDefault="007E2365" w:rsidP="00C8628D">
            <w:pPr>
              <w:rPr>
                <w:rFonts w:ascii="Arial" w:hAnsi="Arial" w:cs="Arial"/>
              </w:rPr>
            </w:pPr>
          </w:p>
        </w:tc>
        <w:tc>
          <w:tcPr>
            <w:tcW w:w="383" w:type="dxa"/>
            <w:vAlign w:val="center"/>
          </w:tcPr>
          <w:p w14:paraId="39ED8346"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7D1E2CD" w14:textId="77777777" w:rsidR="007E2365" w:rsidRPr="009F288D" w:rsidRDefault="007E2365" w:rsidP="00C8628D">
            <w:pPr>
              <w:rPr>
                <w:rFonts w:ascii="Arial" w:hAnsi="Arial" w:cs="Arial"/>
              </w:rPr>
            </w:pPr>
          </w:p>
        </w:tc>
        <w:tc>
          <w:tcPr>
            <w:tcW w:w="383" w:type="dxa"/>
            <w:vAlign w:val="center"/>
          </w:tcPr>
          <w:p w14:paraId="79F6D286" w14:textId="77777777" w:rsidR="007E2365" w:rsidRPr="009F288D" w:rsidRDefault="007E2365" w:rsidP="00C8628D">
            <w:pPr>
              <w:rPr>
                <w:rFonts w:ascii="Arial" w:hAnsi="Arial" w:cs="Arial"/>
              </w:rPr>
            </w:pPr>
          </w:p>
        </w:tc>
        <w:tc>
          <w:tcPr>
            <w:tcW w:w="383" w:type="dxa"/>
            <w:vAlign w:val="center"/>
          </w:tcPr>
          <w:p w14:paraId="0CF748C8" w14:textId="77777777" w:rsidR="007E2365" w:rsidRPr="009F288D" w:rsidRDefault="007E2365" w:rsidP="00C8628D">
            <w:pPr>
              <w:rPr>
                <w:rFonts w:ascii="Arial" w:hAnsi="Arial" w:cs="Arial"/>
              </w:rPr>
            </w:pPr>
          </w:p>
        </w:tc>
        <w:tc>
          <w:tcPr>
            <w:tcW w:w="383" w:type="dxa"/>
            <w:vAlign w:val="center"/>
          </w:tcPr>
          <w:p w14:paraId="05AFDBEE" w14:textId="77777777" w:rsidR="007E2365" w:rsidRPr="009F288D" w:rsidRDefault="007E2365" w:rsidP="00C8628D">
            <w:pPr>
              <w:rPr>
                <w:rFonts w:ascii="Arial" w:hAnsi="Arial" w:cs="Arial"/>
              </w:rPr>
            </w:pPr>
          </w:p>
        </w:tc>
        <w:tc>
          <w:tcPr>
            <w:tcW w:w="383" w:type="dxa"/>
            <w:vAlign w:val="center"/>
          </w:tcPr>
          <w:p w14:paraId="4694E093"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58783A32"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75D855B" w14:textId="77777777" w:rsidR="007E2365" w:rsidRPr="009F288D" w:rsidRDefault="007E2365" w:rsidP="00C8628D">
            <w:pPr>
              <w:rPr>
                <w:rFonts w:ascii="Arial" w:hAnsi="Arial" w:cs="Arial"/>
              </w:rPr>
            </w:pPr>
          </w:p>
        </w:tc>
        <w:tc>
          <w:tcPr>
            <w:tcW w:w="383" w:type="dxa"/>
            <w:vAlign w:val="center"/>
          </w:tcPr>
          <w:p w14:paraId="79D1AAD4" w14:textId="77777777" w:rsidR="007E2365" w:rsidRPr="009F288D" w:rsidRDefault="007E2365" w:rsidP="00C8628D">
            <w:pPr>
              <w:rPr>
                <w:rFonts w:ascii="Arial" w:hAnsi="Arial" w:cs="Arial"/>
              </w:rPr>
            </w:pPr>
          </w:p>
        </w:tc>
        <w:tc>
          <w:tcPr>
            <w:tcW w:w="383" w:type="dxa"/>
            <w:vAlign w:val="center"/>
          </w:tcPr>
          <w:p w14:paraId="7B937EBF"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4726FC7"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5371204" w14:textId="77777777" w:rsidR="007E2365" w:rsidRPr="009F288D" w:rsidRDefault="007E2365" w:rsidP="00C8628D">
            <w:pPr>
              <w:rPr>
                <w:rFonts w:ascii="Arial" w:hAnsi="Arial" w:cs="Arial"/>
              </w:rPr>
            </w:pPr>
          </w:p>
        </w:tc>
        <w:tc>
          <w:tcPr>
            <w:tcW w:w="383" w:type="dxa"/>
            <w:vAlign w:val="center"/>
          </w:tcPr>
          <w:p w14:paraId="7CBAEC6E"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A0D3505" w14:textId="77777777" w:rsidR="007E2365" w:rsidRPr="009F288D" w:rsidRDefault="007E2365" w:rsidP="00C8628D">
            <w:pPr>
              <w:rPr>
                <w:rFonts w:ascii="Arial" w:hAnsi="Arial" w:cs="Arial"/>
              </w:rPr>
            </w:pPr>
          </w:p>
        </w:tc>
        <w:tc>
          <w:tcPr>
            <w:tcW w:w="383" w:type="dxa"/>
            <w:vAlign w:val="center"/>
          </w:tcPr>
          <w:p w14:paraId="57B7BA6F" w14:textId="77777777" w:rsidR="007E2365" w:rsidRPr="009F288D" w:rsidRDefault="007E2365" w:rsidP="00C8628D">
            <w:pPr>
              <w:rPr>
                <w:rFonts w:ascii="Arial" w:hAnsi="Arial" w:cs="Arial"/>
              </w:rPr>
            </w:pPr>
          </w:p>
        </w:tc>
        <w:tc>
          <w:tcPr>
            <w:tcW w:w="383" w:type="dxa"/>
            <w:vAlign w:val="center"/>
          </w:tcPr>
          <w:p w14:paraId="3E782850" w14:textId="77777777" w:rsidR="007E2365" w:rsidRPr="009F288D" w:rsidRDefault="007E2365" w:rsidP="00C8628D">
            <w:pPr>
              <w:rPr>
                <w:rFonts w:ascii="Arial" w:hAnsi="Arial" w:cs="Arial"/>
              </w:rPr>
            </w:pPr>
          </w:p>
        </w:tc>
      </w:tr>
      <w:tr w:rsidR="007E2365" w:rsidRPr="009F288D" w14:paraId="2D423E5F" w14:textId="77777777" w:rsidTr="00C8628D">
        <w:trPr>
          <w:trHeight w:val="340"/>
        </w:trPr>
        <w:tc>
          <w:tcPr>
            <w:tcW w:w="1464" w:type="dxa"/>
          </w:tcPr>
          <w:p w14:paraId="3DE109B1" w14:textId="77777777" w:rsidR="007E2365" w:rsidRPr="009F288D" w:rsidRDefault="007E2365" w:rsidP="00C8628D">
            <w:pPr>
              <w:jc w:val="both"/>
              <w:rPr>
                <w:rFonts w:ascii="Arial" w:hAnsi="Arial" w:cs="Arial"/>
                <w:sz w:val="18"/>
              </w:rPr>
            </w:pPr>
            <w:r w:rsidRPr="009F288D">
              <w:rPr>
                <w:rFonts w:ascii="Arial" w:hAnsi="Arial" w:cs="Arial"/>
                <w:sz w:val="18"/>
              </w:rPr>
              <w:t>Engagement 4</w:t>
            </w:r>
          </w:p>
        </w:tc>
        <w:tc>
          <w:tcPr>
            <w:tcW w:w="383" w:type="dxa"/>
            <w:vAlign w:val="center"/>
          </w:tcPr>
          <w:p w14:paraId="7D3DA92F"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19060C4"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5ADD203C"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702A8040"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9870B04" w14:textId="77777777" w:rsidR="007E2365" w:rsidRPr="009F288D" w:rsidRDefault="007E2365" w:rsidP="00C8628D">
            <w:pPr>
              <w:rPr>
                <w:rFonts w:ascii="Arial" w:hAnsi="Arial" w:cs="Arial"/>
              </w:rPr>
            </w:pPr>
          </w:p>
        </w:tc>
        <w:tc>
          <w:tcPr>
            <w:tcW w:w="383" w:type="dxa"/>
            <w:vAlign w:val="center"/>
          </w:tcPr>
          <w:p w14:paraId="3CBE645B" w14:textId="77777777" w:rsidR="007E2365" w:rsidRPr="009F288D" w:rsidRDefault="007E2365" w:rsidP="00C8628D">
            <w:pPr>
              <w:rPr>
                <w:rFonts w:ascii="Arial" w:hAnsi="Arial" w:cs="Arial"/>
              </w:rPr>
            </w:pPr>
          </w:p>
        </w:tc>
        <w:tc>
          <w:tcPr>
            <w:tcW w:w="383" w:type="dxa"/>
            <w:vAlign w:val="center"/>
          </w:tcPr>
          <w:p w14:paraId="6F1CD0F8" w14:textId="77777777" w:rsidR="007E2365" w:rsidRPr="009F288D" w:rsidRDefault="007E2365" w:rsidP="00C8628D">
            <w:pPr>
              <w:rPr>
                <w:rFonts w:ascii="Arial" w:hAnsi="Arial" w:cs="Arial"/>
              </w:rPr>
            </w:pPr>
          </w:p>
        </w:tc>
        <w:tc>
          <w:tcPr>
            <w:tcW w:w="383" w:type="dxa"/>
            <w:vAlign w:val="center"/>
          </w:tcPr>
          <w:p w14:paraId="3F89B91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18EC96D"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7DD2302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38EA5BC"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278D51F" w14:textId="77777777" w:rsidR="007E2365" w:rsidRPr="009F288D" w:rsidRDefault="007E2365" w:rsidP="00C8628D">
            <w:pPr>
              <w:rPr>
                <w:rFonts w:ascii="Arial" w:hAnsi="Arial" w:cs="Arial"/>
              </w:rPr>
            </w:pPr>
          </w:p>
        </w:tc>
        <w:tc>
          <w:tcPr>
            <w:tcW w:w="383" w:type="dxa"/>
            <w:shd w:val="clear" w:color="auto" w:fill="1F497D" w:themeFill="text2"/>
            <w:vAlign w:val="center"/>
          </w:tcPr>
          <w:p w14:paraId="4094C61A" w14:textId="77777777" w:rsidR="007E2365" w:rsidRPr="009F288D" w:rsidRDefault="007E2365" w:rsidP="00C8628D">
            <w:pPr>
              <w:rPr>
                <w:rFonts w:ascii="Arial" w:hAnsi="Arial" w:cs="Arial"/>
              </w:rPr>
            </w:pPr>
          </w:p>
        </w:tc>
        <w:tc>
          <w:tcPr>
            <w:tcW w:w="383" w:type="dxa"/>
            <w:vAlign w:val="center"/>
          </w:tcPr>
          <w:p w14:paraId="2680A3FF"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0202B3B" w14:textId="77777777" w:rsidR="007E2365" w:rsidRPr="009F288D" w:rsidRDefault="007E2365" w:rsidP="00C8628D">
            <w:pPr>
              <w:rPr>
                <w:rFonts w:ascii="Arial" w:hAnsi="Arial" w:cs="Arial"/>
              </w:rPr>
            </w:pPr>
          </w:p>
        </w:tc>
        <w:tc>
          <w:tcPr>
            <w:tcW w:w="383" w:type="dxa"/>
            <w:vAlign w:val="center"/>
          </w:tcPr>
          <w:p w14:paraId="5D2735BF"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445CCE2"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4D1D48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0D39530"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00F313A" w14:textId="77777777" w:rsidR="007E2365" w:rsidRPr="009F288D" w:rsidRDefault="007E2365" w:rsidP="00C8628D">
            <w:pPr>
              <w:rPr>
                <w:rFonts w:ascii="Arial" w:hAnsi="Arial" w:cs="Arial"/>
              </w:rPr>
            </w:pPr>
          </w:p>
        </w:tc>
        <w:tc>
          <w:tcPr>
            <w:tcW w:w="383" w:type="dxa"/>
            <w:vAlign w:val="center"/>
          </w:tcPr>
          <w:p w14:paraId="31E028EE" w14:textId="77777777" w:rsidR="007E2365" w:rsidRPr="009F288D" w:rsidRDefault="007E2365" w:rsidP="00C8628D">
            <w:pPr>
              <w:rPr>
                <w:rFonts w:ascii="Arial" w:hAnsi="Arial" w:cs="Arial"/>
              </w:rPr>
            </w:pPr>
          </w:p>
        </w:tc>
        <w:tc>
          <w:tcPr>
            <w:tcW w:w="383" w:type="dxa"/>
            <w:vAlign w:val="center"/>
          </w:tcPr>
          <w:p w14:paraId="7F8F0866" w14:textId="77777777" w:rsidR="007E2365" w:rsidRPr="009F288D" w:rsidRDefault="007E2365" w:rsidP="00C8628D">
            <w:pPr>
              <w:rPr>
                <w:rFonts w:ascii="Arial" w:hAnsi="Arial" w:cs="Arial"/>
              </w:rPr>
            </w:pPr>
          </w:p>
        </w:tc>
      </w:tr>
      <w:tr w:rsidR="007E2365" w:rsidRPr="009F288D" w14:paraId="749322BD" w14:textId="77777777" w:rsidTr="00C8628D">
        <w:trPr>
          <w:trHeight w:val="340"/>
        </w:trPr>
        <w:tc>
          <w:tcPr>
            <w:tcW w:w="1464" w:type="dxa"/>
          </w:tcPr>
          <w:p w14:paraId="615F8C2A" w14:textId="77777777" w:rsidR="007E2365" w:rsidRPr="009F288D" w:rsidRDefault="007E2365" w:rsidP="00C8628D">
            <w:pPr>
              <w:jc w:val="both"/>
              <w:rPr>
                <w:rFonts w:ascii="Arial" w:hAnsi="Arial" w:cs="Arial"/>
                <w:sz w:val="18"/>
              </w:rPr>
            </w:pPr>
            <w:r w:rsidRPr="009F288D">
              <w:rPr>
                <w:rFonts w:ascii="Arial" w:hAnsi="Arial" w:cs="Arial"/>
                <w:sz w:val="18"/>
              </w:rPr>
              <w:t>Engagement 5</w:t>
            </w:r>
          </w:p>
        </w:tc>
        <w:tc>
          <w:tcPr>
            <w:tcW w:w="383" w:type="dxa"/>
            <w:vAlign w:val="center"/>
          </w:tcPr>
          <w:p w14:paraId="2991164E"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E116928"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CFBED90" w14:textId="77777777" w:rsidR="007E2365" w:rsidRPr="009F288D" w:rsidRDefault="007E2365" w:rsidP="00C8628D">
            <w:pPr>
              <w:rPr>
                <w:rFonts w:ascii="Arial" w:hAnsi="Arial" w:cs="Arial"/>
              </w:rPr>
            </w:pPr>
          </w:p>
        </w:tc>
        <w:tc>
          <w:tcPr>
            <w:tcW w:w="383" w:type="dxa"/>
            <w:vAlign w:val="center"/>
          </w:tcPr>
          <w:p w14:paraId="27D5727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2955889" w14:textId="77777777" w:rsidR="007E2365" w:rsidRPr="009F288D" w:rsidRDefault="007E2365" w:rsidP="00C8628D">
            <w:pPr>
              <w:rPr>
                <w:rFonts w:ascii="Arial" w:hAnsi="Arial" w:cs="Arial"/>
              </w:rPr>
            </w:pPr>
          </w:p>
        </w:tc>
        <w:tc>
          <w:tcPr>
            <w:tcW w:w="383" w:type="dxa"/>
            <w:vAlign w:val="center"/>
          </w:tcPr>
          <w:p w14:paraId="76724BAB" w14:textId="77777777" w:rsidR="007E2365" w:rsidRPr="009F288D" w:rsidRDefault="007E2365" w:rsidP="00C8628D">
            <w:pPr>
              <w:rPr>
                <w:rFonts w:ascii="Arial" w:hAnsi="Arial" w:cs="Arial"/>
              </w:rPr>
            </w:pPr>
          </w:p>
        </w:tc>
        <w:tc>
          <w:tcPr>
            <w:tcW w:w="383" w:type="dxa"/>
            <w:vAlign w:val="center"/>
          </w:tcPr>
          <w:p w14:paraId="19CDDF67" w14:textId="77777777" w:rsidR="007E2365" w:rsidRPr="009F288D" w:rsidRDefault="007E2365" w:rsidP="00C8628D">
            <w:pPr>
              <w:rPr>
                <w:rFonts w:ascii="Arial" w:hAnsi="Arial" w:cs="Arial"/>
              </w:rPr>
            </w:pPr>
          </w:p>
        </w:tc>
        <w:tc>
          <w:tcPr>
            <w:tcW w:w="383" w:type="dxa"/>
            <w:vAlign w:val="center"/>
          </w:tcPr>
          <w:p w14:paraId="0A0024B3"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28C95EF"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660C06D"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8C2DDD4" w14:textId="77777777" w:rsidR="007E2365" w:rsidRPr="009F288D" w:rsidRDefault="007E2365" w:rsidP="00C8628D">
            <w:pPr>
              <w:rPr>
                <w:rFonts w:ascii="Arial" w:hAnsi="Arial" w:cs="Arial"/>
              </w:rPr>
            </w:pPr>
          </w:p>
        </w:tc>
        <w:tc>
          <w:tcPr>
            <w:tcW w:w="383" w:type="dxa"/>
            <w:shd w:val="clear" w:color="auto" w:fill="1F497D" w:themeFill="text2"/>
            <w:vAlign w:val="center"/>
          </w:tcPr>
          <w:p w14:paraId="16C4EBC1"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B950782" w14:textId="77777777" w:rsidR="007E2365" w:rsidRPr="009F288D" w:rsidRDefault="007E2365" w:rsidP="00C8628D">
            <w:pPr>
              <w:rPr>
                <w:rFonts w:ascii="Arial" w:hAnsi="Arial" w:cs="Arial"/>
              </w:rPr>
            </w:pPr>
          </w:p>
        </w:tc>
        <w:tc>
          <w:tcPr>
            <w:tcW w:w="383" w:type="dxa"/>
            <w:vAlign w:val="center"/>
          </w:tcPr>
          <w:p w14:paraId="3F4DC923" w14:textId="77777777" w:rsidR="007E2365" w:rsidRPr="009F288D" w:rsidRDefault="007E2365" w:rsidP="00C8628D">
            <w:pPr>
              <w:rPr>
                <w:rFonts w:ascii="Arial" w:hAnsi="Arial" w:cs="Arial"/>
              </w:rPr>
            </w:pPr>
          </w:p>
        </w:tc>
        <w:tc>
          <w:tcPr>
            <w:tcW w:w="383" w:type="dxa"/>
            <w:vAlign w:val="center"/>
          </w:tcPr>
          <w:p w14:paraId="262A256C" w14:textId="77777777" w:rsidR="007E2365" w:rsidRPr="009F288D" w:rsidRDefault="007E2365" w:rsidP="00C8628D">
            <w:pPr>
              <w:rPr>
                <w:rFonts w:ascii="Arial" w:hAnsi="Arial" w:cs="Arial"/>
              </w:rPr>
            </w:pPr>
          </w:p>
        </w:tc>
        <w:tc>
          <w:tcPr>
            <w:tcW w:w="383" w:type="dxa"/>
            <w:vAlign w:val="center"/>
          </w:tcPr>
          <w:p w14:paraId="39EA74AE" w14:textId="77777777" w:rsidR="007E2365" w:rsidRPr="009F288D" w:rsidRDefault="007E2365" w:rsidP="00C8628D">
            <w:pPr>
              <w:rPr>
                <w:rFonts w:ascii="Arial" w:hAnsi="Arial" w:cs="Arial"/>
              </w:rPr>
            </w:pPr>
          </w:p>
        </w:tc>
        <w:tc>
          <w:tcPr>
            <w:tcW w:w="383" w:type="dxa"/>
            <w:vAlign w:val="center"/>
          </w:tcPr>
          <w:p w14:paraId="728B05E2" w14:textId="77777777" w:rsidR="007E2365" w:rsidRPr="009F288D" w:rsidRDefault="007E2365" w:rsidP="00C8628D">
            <w:pPr>
              <w:rPr>
                <w:rFonts w:ascii="Arial" w:hAnsi="Arial" w:cs="Arial"/>
              </w:rPr>
            </w:pPr>
          </w:p>
        </w:tc>
        <w:tc>
          <w:tcPr>
            <w:tcW w:w="383" w:type="dxa"/>
            <w:vAlign w:val="center"/>
          </w:tcPr>
          <w:p w14:paraId="5A6DA4AA" w14:textId="77777777" w:rsidR="007E2365" w:rsidRPr="009F288D" w:rsidRDefault="007E2365" w:rsidP="00C8628D">
            <w:pPr>
              <w:rPr>
                <w:rFonts w:ascii="Arial" w:hAnsi="Arial" w:cs="Arial"/>
              </w:rPr>
            </w:pPr>
          </w:p>
        </w:tc>
        <w:tc>
          <w:tcPr>
            <w:tcW w:w="383" w:type="dxa"/>
            <w:vAlign w:val="center"/>
          </w:tcPr>
          <w:p w14:paraId="3B52E773" w14:textId="77777777" w:rsidR="007E2365" w:rsidRPr="009F288D" w:rsidRDefault="007E2365" w:rsidP="00C8628D">
            <w:pPr>
              <w:rPr>
                <w:rFonts w:ascii="Arial" w:hAnsi="Arial" w:cs="Arial"/>
              </w:rPr>
            </w:pPr>
          </w:p>
        </w:tc>
        <w:tc>
          <w:tcPr>
            <w:tcW w:w="383" w:type="dxa"/>
            <w:vAlign w:val="center"/>
          </w:tcPr>
          <w:p w14:paraId="7685EA82"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A82853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C3DA942" w14:textId="77777777" w:rsidR="007E2365" w:rsidRPr="009F288D" w:rsidRDefault="007E2365" w:rsidP="00C8628D">
            <w:pPr>
              <w:rPr>
                <w:rFonts w:ascii="Arial" w:hAnsi="Arial" w:cs="Arial"/>
              </w:rPr>
            </w:pPr>
          </w:p>
        </w:tc>
      </w:tr>
      <w:tr w:rsidR="007E2365" w:rsidRPr="009F288D" w14:paraId="4204ADDF" w14:textId="77777777" w:rsidTr="00C8628D">
        <w:trPr>
          <w:trHeight w:val="340"/>
        </w:trPr>
        <w:tc>
          <w:tcPr>
            <w:tcW w:w="1464" w:type="dxa"/>
          </w:tcPr>
          <w:p w14:paraId="4BA89DBA" w14:textId="77777777" w:rsidR="007E2365" w:rsidRPr="009F288D" w:rsidRDefault="007E2365" w:rsidP="00C8628D">
            <w:pPr>
              <w:jc w:val="both"/>
              <w:rPr>
                <w:rFonts w:ascii="Arial" w:hAnsi="Arial" w:cs="Arial"/>
                <w:sz w:val="18"/>
              </w:rPr>
            </w:pPr>
            <w:r w:rsidRPr="009F288D">
              <w:rPr>
                <w:rFonts w:ascii="Arial" w:hAnsi="Arial" w:cs="Arial"/>
                <w:sz w:val="18"/>
              </w:rPr>
              <w:t>Engagement 6</w:t>
            </w:r>
          </w:p>
        </w:tc>
        <w:tc>
          <w:tcPr>
            <w:tcW w:w="383" w:type="dxa"/>
            <w:vAlign w:val="center"/>
          </w:tcPr>
          <w:p w14:paraId="1EB7C628"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B39C15B"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1BB64D9" w14:textId="77777777" w:rsidR="007E2365" w:rsidRPr="009F288D" w:rsidRDefault="007E2365" w:rsidP="00C8628D">
            <w:pPr>
              <w:rPr>
                <w:rFonts w:ascii="Arial" w:hAnsi="Arial" w:cs="Arial"/>
              </w:rPr>
            </w:pPr>
          </w:p>
        </w:tc>
        <w:tc>
          <w:tcPr>
            <w:tcW w:w="383" w:type="dxa"/>
            <w:vAlign w:val="center"/>
          </w:tcPr>
          <w:p w14:paraId="4D18B9CA" w14:textId="77777777" w:rsidR="007E2365" w:rsidRPr="009F288D" w:rsidRDefault="007E2365" w:rsidP="00C8628D">
            <w:pPr>
              <w:rPr>
                <w:rFonts w:ascii="Arial" w:hAnsi="Arial" w:cs="Arial"/>
              </w:rPr>
            </w:pPr>
          </w:p>
        </w:tc>
        <w:tc>
          <w:tcPr>
            <w:tcW w:w="383" w:type="dxa"/>
            <w:shd w:val="clear" w:color="auto" w:fill="1F497D" w:themeFill="text2"/>
            <w:vAlign w:val="center"/>
          </w:tcPr>
          <w:p w14:paraId="489C55DF"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30971D89"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3054DC39" w14:textId="77777777" w:rsidR="007E2365" w:rsidRPr="009F288D" w:rsidRDefault="007E2365" w:rsidP="00C8628D">
            <w:pPr>
              <w:rPr>
                <w:rFonts w:ascii="Arial" w:hAnsi="Arial" w:cs="Arial"/>
              </w:rPr>
            </w:pPr>
          </w:p>
        </w:tc>
        <w:tc>
          <w:tcPr>
            <w:tcW w:w="383" w:type="dxa"/>
            <w:shd w:val="clear" w:color="auto" w:fill="FFFFFF" w:themeFill="background1"/>
            <w:vAlign w:val="center"/>
          </w:tcPr>
          <w:p w14:paraId="42914D2D" w14:textId="77777777" w:rsidR="007E2365" w:rsidRPr="009F288D" w:rsidRDefault="007E2365" w:rsidP="00C8628D">
            <w:pPr>
              <w:rPr>
                <w:rFonts w:ascii="Arial" w:hAnsi="Arial" w:cs="Arial"/>
              </w:rPr>
            </w:pPr>
          </w:p>
        </w:tc>
        <w:tc>
          <w:tcPr>
            <w:tcW w:w="383" w:type="dxa"/>
            <w:shd w:val="clear" w:color="auto" w:fill="1F497D" w:themeFill="text2"/>
            <w:vAlign w:val="center"/>
          </w:tcPr>
          <w:p w14:paraId="5B4A8259" w14:textId="77777777" w:rsidR="007E2365" w:rsidRPr="009F288D" w:rsidRDefault="007E2365" w:rsidP="00C8628D">
            <w:pPr>
              <w:rPr>
                <w:rFonts w:ascii="Arial" w:hAnsi="Arial" w:cs="Arial"/>
              </w:rPr>
            </w:pPr>
          </w:p>
        </w:tc>
        <w:tc>
          <w:tcPr>
            <w:tcW w:w="383" w:type="dxa"/>
            <w:shd w:val="clear" w:color="auto" w:fill="1F497D" w:themeFill="text2"/>
            <w:vAlign w:val="center"/>
          </w:tcPr>
          <w:p w14:paraId="547789B7" w14:textId="77777777" w:rsidR="007E2365" w:rsidRPr="009F288D" w:rsidRDefault="007E2365" w:rsidP="00C8628D">
            <w:pPr>
              <w:rPr>
                <w:rFonts w:ascii="Arial" w:hAnsi="Arial" w:cs="Arial"/>
              </w:rPr>
            </w:pPr>
          </w:p>
        </w:tc>
        <w:tc>
          <w:tcPr>
            <w:tcW w:w="383" w:type="dxa"/>
            <w:shd w:val="clear" w:color="auto" w:fill="1F497D" w:themeFill="text2"/>
            <w:vAlign w:val="center"/>
          </w:tcPr>
          <w:p w14:paraId="08EB1537" w14:textId="77777777" w:rsidR="007E2365" w:rsidRPr="009F288D" w:rsidRDefault="007E2365" w:rsidP="00C8628D">
            <w:pPr>
              <w:rPr>
                <w:rFonts w:ascii="Arial" w:hAnsi="Arial" w:cs="Arial"/>
              </w:rPr>
            </w:pPr>
          </w:p>
        </w:tc>
        <w:tc>
          <w:tcPr>
            <w:tcW w:w="383" w:type="dxa"/>
            <w:shd w:val="clear" w:color="auto" w:fill="1F497D" w:themeFill="text2"/>
            <w:vAlign w:val="center"/>
          </w:tcPr>
          <w:p w14:paraId="3D998964"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63893D3"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38BDEF9" w14:textId="77777777" w:rsidR="007E2365" w:rsidRPr="009F288D" w:rsidRDefault="007E2365" w:rsidP="00C8628D">
            <w:pPr>
              <w:rPr>
                <w:rFonts w:ascii="Arial" w:hAnsi="Arial" w:cs="Arial"/>
              </w:rPr>
            </w:pPr>
          </w:p>
        </w:tc>
        <w:tc>
          <w:tcPr>
            <w:tcW w:w="383" w:type="dxa"/>
            <w:vAlign w:val="center"/>
          </w:tcPr>
          <w:p w14:paraId="27F5975A" w14:textId="77777777" w:rsidR="007E2365" w:rsidRPr="009F288D" w:rsidRDefault="007E2365" w:rsidP="00C8628D">
            <w:pPr>
              <w:rPr>
                <w:rFonts w:ascii="Arial" w:hAnsi="Arial" w:cs="Arial"/>
              </w:rPr>
            </w:pPr>
          </w:p>
        </w:tc>
        <w:tc>
          <w:tcPr>
            <w:tcW w:w="383" w:type="dxa"/>
            <w:vAlign w:val="center"/>
          </w:tcPr>
          <w:p w14:paraId="13BC2792"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446D7A5" w14:textId="77777777" w:rsidR="007E2365" w:rsidRPr="009F288D" w:rsidRDefault="007E2365" w:rsidP="00C8628D">
            <w:pPr>
              <w:rPr>
                <w:rFonts w:ascii="Arial" w:hAnsi="Arial" w:cs="Arial"/>
              </w:rPr>
            </w:pPr>
          </w:p>
        </w:tc>
        <w:tc>
          <w:tcPr>
            <w:tcW w:w="383" w:type="dxa"/>
            <w:vAlign w:val="center"/>
          </w:tcPr>
          <w:p w14:paraId="1CCB92FC" w14:textId="77777777" w:rsidR="007E2365" w:rsidRPr="009F288D" w:rsidRDefault="007E2365" w:rsidP="00C8628D">
            <w:pPr>
              <w:rPr>
                <w:rFonts w:ascii="Arial" w:hAnsi="Arial" w:cs="Arial"/>
              </w:rPr>
            </w:pPr>
          </w:p>
        </w:tc>
        <w:tc>
          <w:tcPr>
            <w:tcW w:w="383" w:type="dxa"/>
            <w:vAlign w:val="center"/>
          </w:tcPr>
          <w:p w14:paraId="48D2904F" w14:textId="77777777" w:rsidR="007E2365" w:rsidRPr="009F288D" w:rsidRDefault="007E2365" w:rsidP="00C8628D">
            <w:pPr>
              <w:rPr>
                <w:rFonts w:ascii="Arial" w:hAnsi="Arial" w:cs="Arial"/>
              </w:rPr>
            </w:pPr>
          </w:p>
        </w:tc>
        <w:tc>
          <w:tcPr>
            <w:tcW w:w="383" w:type="dxa"/>
            <w:vAlign w:val="center"/>
          </w:tcPr>
          <w:p w14:paraId="50F6FA78" w14:textId="77777777" w:rsidR="007E2365" w:rsidRPr="009F288D" w:rsidRDefault="007E2365" w:rsidP="00C8628D">
            <w:pPr>
              <w:rPr>
                <w:rFonts w:ascii="Arial" w:hAnsi="Arial" w:cs="Arial"/>
              </w:rPr>
            </w:pPr>
          </w:p>
        </w:tc>
        <w:tc>
          <w:tcPr>
            <w:tcW w:w="383" w:type="dxa"/>
            <w:vAlign w:val="center"/>
          </w:tcPr>
          <w:p w14:paraId="2DF3AA48" w14:textId="77777777" w:rsidR="007E2365" w:rsidRPr="009F288D" w:rsidRDefault="007E2365" w:rsidP="00C8628D">
            <w:pPr>
              <w:rPr>
                <w:rFonts w:ascii="Arial" w:hAnsi="Arial" w:cs="Arial"/>
              </w:rPr>
            </w:pPr>
          </w:p>
        </w:tc>
        <w:tc>
          <w:tcPr>
            <w:tcW w:w="383" w:type="dxa"/>
            <w:vAlign w:val="center"/>
          </w:tcPr>
          <w:p w14:paraId="77D85A14" w14:textId="77777777" w:rsidR="007E2365" w:rsidRPr="009F288D" w:rsidRDefault="007E2365" w:rsidP="00C8628D">
            <w:pPr>
              <w:rPr>
                <w:rFonts w:ascii="Arial" w:hAnsi="Arial" w:cs="Arial"/>
              </w:rPr>
            </w:pPr>
          </w:p>
        </w:tc>
      </w:tr>
      <w:tr w:rsidR="007E2365" w:rsidRPr="009F288D" w14:paraId="64A5FD7E" w14:textId="77777777" w:rsidTr="00C8628D">
        <w:trPr>
          <w:trHeight w:val="340"/>
        </w:trPr>
        <w:tc>
          <w:tcPr>
            <w:tcW w:w="1464" w:type="dxa"/>
          </w:tcPr>
          <w:p w14:paraId="488F208C" w14:textId="77777777" w:rsidR="007E2365" w:rsidRPr="009F288D" w:rsidRDefault="007E2365" w:rsidP="00C8628D">
            <w:pPr>
              <w:jc w:val="both"/>
              <w:rPr>
                <w:rFonts w:ascii="Arial" w:hAnsi="Arial" w:cs="Arial"/>
                <w:sz w:val="18"/>
              </w:rPr>
            </w:pPr>
            <w:r w:rsidRPr="009F288D">
              <w:rPr>
                <w:rFonts w:ascii="Arial" w:hAnsi="Arial" w:cs="Arial"/>
                <w:sz w:val="18"/>
              </w:rPr>
              <w:t>Engagement 7</w:t>
            </w:r>
          </w:p>
        </w:tc>
        <w:tc>
          <w:tcPr>
            <w:tcW w:w="383" w:type="dxa"/>
            <w:vAlign w:val="center"/>
          </w:tcPr>
          <w:p w14:paraId="35E08136" w14:textId="77777777" w:rsidR="007E2365" w:rsidRPr="009F288D" w:rsidRDefault="007E2365" w:rsidP="00C8628D">
            <w:pPr>
              <w:rPr>
                <w:rFonts w:ascii="Arial" w:hAnsi="Arial" w:cs="Arial"/>
              </w:rPr>
            </w:pPr>
          </w:p>
        </w:tc>
        <w:tc>
          <w:tcPr>
            <w:tcW w:w="383" w:type="dxa"/>
            <w:shd w:val="clear" w:color="auto" w:fill="1F497D" w:themeFill="text2"/>
            <w:vAlign w:val="center"/>
          </w:tcPr>
          <w:p w14:paraId="00C9D31B"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59B46828"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790CACF5"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765423EB" w14:textId="77777777" w:rsidR="007E2365" w:rsidRPr="009F288D" w:rsidRDefault="007E2365" w:rsidP="00C8628D">
            <w:pPr>
              <w:rPr>
                <w:rFonts w:ascii="Arial" w:hAnsi="Arial" w:cs="Arial"/>
              </w:rPr>
            </w:pPr>
          </w:p>
        </w:tc>
        <w:tc>
          <w:tcPr>
            <w:tcW w:w="383" w:type="dxa"/>
            <w:vAlign w:val="center"/>
          </w:tcPr>
          <w:p w14:paraId="14F2E463" w14:textId="77777777" w:rsidR="007E2365" w:rsidRPr="009F288D" w:rsidRDefault="007E2365" w:rsidP="00C8628D">
            <w:pPr>
              <w:rPr>
                <w:rFonts w:ascii="Arial" w:hAnsi="Arial" w:cs="Arial"/>
              </w:rPr>
            </w:pPr>
          </w:p>
        </w:tc>
        <w:tc>
          <w:tcPr>
            <w:tcW w:w="383" w:type="dxa"/>
            <w:vAlign w:val="center"/>
          </w:tcPr>
          <w:p w14:paraId="453060BD"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BFC0408"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E338AC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5A601FCD"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4B0F30F"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3695C65"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7C0A4F47" w14:textId="77777777" w:rsidR="007E2365" w:rsidRPr="009F288D" w:rsidRDefault="007E2365" w:rsidP="00C8628D">
            <w:pPr>
              <w:rPr>
                <w:rFonts w:ascii="Arial" w:hAnsi="Arial" w:cs="Arial"/>
              </w:rPr>
            </w:pPr>
          </w:p>
        </w:tc>
        <w:tc>
          <w:tcPr>
            <w:tcW w:w="383" w:type="dxa"/>
            <w:vAlign w:val="center"/>
          </w:tcPr>
          <w:p w14:paraId="329046A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3F3A293" w14:textId="77777777" w:rsidR="007E2365" w:rsidRPr="009F288D" w:rsidRDefault="007E2365" w:rsidP="00C8628D">
            <w:pPr>
              <w:rPr>
                <w:rFonts w:ascii="Arial" w:hAnsi="Arial" w:cs="Arial"/>
              </w:rPr>
            </w:pPr>
          </w:p>
        </w:tc>
        <w:tc>
          <w:tcPr>
            <w:tcW w:w="383" w:type="dxa"/>
            <w:vAlign w:val="center"/>
          </w:tcPr>
          <w:p w14:paraId="14B0D1CC" w14:textId="77777777" w:rsidR="007E2365" w:rsidRPr="009F288D" w:rsidRDefault="007E2365" w:rsidP="00C8628D">
            <w:pPr>
              <w:rPr>
                <w:rFonts w:ascii="Arial" w:hAnsi="Arial" w:cs="Arial"/>
              </w:rPr>
            </w:pPr>
          </w:p>
        </w:tc>
        <w:tc>
          <w:tcPr>
            <w:tcW w:w="383" w:type="dxa"/>
            <w:vAlign w:val="center"/>
          </w:tcPr>
          <w:p w14:paraId="5E6D4444"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0E0D7A5" w14:textId="77777777" w:rsidR="007E2365" w:rsidRPr="009F288D" w:rsidRDefault="007E2365" w:rsidP="00C8628D">
            <w:pPr>
              <w:rPr>
                <w:rFonts w:ascii="Arial" w:hAnsi="Arial" w:cs="Arial"/>
              </w:rPr>
            </w:pPr>
          </w:p>
        </w:tc>
        <w:tc>
          <w:tcPr>
            <w:tcW w:w="383" w:type="dxa"/>
            <w:vAlign w:val="center"/>
          </w:tcPr>
          <w:p w14:paraId="6CBDA0D7" w14:textId="77777777" w:rsidR="007E2365" w:rsidRPr="009F288D" w:rsidRDefault="007E2365" w:rsidP="00C8628D">
            <w:pPr>
              <w:rPr>
                <w:rFonts w:ascii="Arial" w:hAnsi="Arial" w:cs="Arial"/>
              </w:rPr>
            </w:pPr>
          </w:p>
        </w:tc>
        <w:tc>
          <w:tcPr>
            <w:tcW w:w="383" w:type="dxa"/>
            <w:vAlign w:val="center"/>
          </w:tcPr>
          <w:p w14:paraId="41D05862" w14:textId="77777777" w:rsidR="007E2365" w:rsidRPr="009F288D" w:rsidRDefault="007E2365" w:rsidP="00C8628D">
            <w:pPr>
              <w:rPr>
                <w:rFonts w:ascii="Arial" w:hAnsi="Arial" w:cs="Arial"/>
              </w:rPr>
            </w:pPr>
          </w:p>
        </w:tc>
        <w:tc>
          <w:tcPr>
            <w:tcW w:w="383" w:type="dxa"/>
            <w:vAlign w:val="center"/>
          </w:tcPr>
          <w:p w14:paraId="70DB803D"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FD39FCB" w14:textId="77777777" w:rsidR="007E2365" w:rsidRPr="009F288D" w:rsidRDefault="007E2365" w:rsidP="00C8628D">
            <w:pPr>
              <w:rPr>
                <w:rFonts w:ascii="Arial" w:hAnsi="Arial" w:cs="Arial"/>
              </w:rPr>
            </w:pPr>
          </w:p>
        </w:tc>
      </w:tr>
      <w:tr w:rsidR="007E2365" w:rsidRPr="009F288D" w14:paraId="0E4DC5A0" w14:textId="77777777" w:rsidTr="00C8628D">
        <w:trPr>
          <w:trHeight w:val="340"/>
        </w:trPr>
        <w:tc>
          <w:tcPr>
            <w:tcW w:w="1464" w:type="dxa"/>
          </w:tcPr>
          <w:p w14:paraId="4EFAC74E" w14:textId="77777777" w:rsidR="007E2365" w:rsidRPr="009F288D" w:rsidRDefault="007E2365" w:rsidP="00C8628D">
            <w:pPr>
              <w:jc w:val="both"/>
              <w:rPr>
                <w:rFonts w:ascii="Arial" w:hAnsi="Arial" w:cs="Arial"/>
              </w:rPr>
            </w:pPr>
            <w:r w:rsidRPr="009F288D">
              <w:rPr>
                <w:rFonts w:ascii="Arial" w:hAnsi="Arial" w:cs="Arial"/>
              </w:rPr>
              <w:t>Engagement 8</w:t>
            </w:r>
          </w:p>
        </w:tc>
        <w:tc>
          <w:tcPr>
            <w:tcW w:w="383" w:type="dxa"/>
            <w:shd w:val="clear" w:color="auto" w:fill="1F497D" w:themeFill="text2"/>
            <w:vAlign w:val="center"/>
          </w:tcPr>
          <w:p w14:paraId="05BCD0D5"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7A43885"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219288C"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A3561B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CF2A809"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4253317"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225E0AE"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2295F8E"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6843BD73"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9C7D014"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518646F0"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75C3D74"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8AE63EF" w14:textId="77777777" w:rsidR="007E2365" w:rsidRPr="009F288D" w:rsidRDefault="007E2365" w:rsidP="00C8628D">
            <w:pPr>
              <w:rPr>
                <w:rFonts w:ascii="Arial" w:hAnsi="Arial" w:cs="Arial"/>
              </w:rPr>
            </w:pPr>
          </w:p>
        </w:tc>
        <w:tc>
          <w:tcPr>
            <w:tcW w:w="383" w:type="dxa"/>
            <w:vAlign w:val="center"/>
          </w:tcPr>
          <w:p w14:paraId="753C84AA"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2DBA5A7B" w14:textId="77777777" w:rsidR="007E2365" w:rsidRPr="009F288D" w:rsidRDefault="007E2365" w:rsidP="00C8628D">
            <w:pPr>
              <w:rPr>
                <w:rFonts w:ascii="Arial" w:hAnsi="Arial" w:cs="Arial"/>
              </w:rPr>
            </w:pPr>
          </w:p>
        </w:tc>
        <w:tc>
          <w:tcPr>
            <w:tcW w:w="383" w:type="dxa"/>
            <w:vAlign w:val="center"/>
          </w:tcPr>
          <w:p w14:paraId="612DE9BD"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396CD552"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1F408694"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0977A2CD" w14:textId="77777777" w:rsidR="007E2365" w:rsidRPr="009F288D" w:rsidRDefault="007E2365" w:rsidP="00C8628D">
            <w:pPr>
              <w:rPr>
                <w:rFonts w:ascii="Arial" w:hAnsi="Arial" w:cs="Arial"/>
              </w:rPr>
            </w:pPr>
          </w:p>
        </w:tc>
        <w:tc>
          <w:tcPr>
            <w:tcW w:w="383" w:type="dxa"/>
            <w:shd w:val="clear" w:color="auto" w:fill="DBE5F1" w:themeFill="accent1" w:themeFillTint="33"/>
            <w:vAlign w:val="center"/>
          </w:tcPr>
          <w:p w14:paraId="4DAD4D71" w14:textId="77777777" w:rsidR="007E2365" w:rsidRPr="009F288D" w:rsidRDefault="007E2365" w:rsidP="00C8628D">
            <w:pPr>
              <w:rPr>
                <w:rFonts w:ascii="Arial" w:hAnsi="Arial" w:cs="Arial"/>
              </w:rPr>
            </w:pPr>
          </w:p>
        </w:tc>
        <w:tc>
          <w:tcPr>
            <w:tcW w:w="383" w:type="dxa"/>
            <w:vAlign w:val="center"/>
          </w:tcPr>
          <w:p w14:paraId="0C80C005" w14:textId="77777777" w:rsidR="007E2365" w:rsidRPr="009F288D" w:rsidRDefault="007E2365" w:rsidP="00C8628D">
            <w:pPr>
              <w:rPr>
                <w:rFonts w:ascii="Arial" w:hAnsi="Arial" w:cs="Arial"/>
              </w:rPr>
            </w:pPr>
          </w:p>
        </w:tc>
        <w:tc>
          <w:tcPr>
            <w:tcW w:w="383" w:type="dxa"/>
            <w:vAlign w:val="center"/>
          </w:tcPr>
          <w:p w14:paraId="42533CBC" w14:textId="77777777" w:rsidR="007E2365" w:rsidRPr="009F288D" w:rsidRDefault="007E2365" w:rsidP="00C8628D">
            <w:pPr>
              <w:rPr>
                <w:rFonts w:ascii="Arial" w:hAnsi="Arial" w:cs="Arial"/>
              </w:rPr>
            </w:pPr>
          </w:p>
        </w:tc>
      </w:tr>
    </w:tbl>
    <w:p w14:paraId="61AAA7F3" w14:textId="77777777" w:rsidR="00EC23BF" w:rsidRDefault="00EC23BF" w:rsidP="007E2365">
      <w:pPr>
        <w:pStyle w:val="Titre3PNIN"/>
        <w:numPr>
          <w:ilvl w:val="0"/>
          <w:numId w:val="0"/>
        </w:numPr>
      </w:pPr>
    </w:p>
    <w:p w14:paraId="269A5E03" w14:textId="62E0B5C8" w:rsidR="00EC23BF" w:rsidRDefault="00EC23BF" w:rsidP="00EC23BF">
      <w:pPr>
        <w:pStyle w:val="Titre3PNIN"/>
      </w:pPr>
      <w:bookmarkStart w:id="78" w:name="_Toc528222362"/>
      <w:r>
        <w:t>Les enjeux d’ordre opérationnels :</w:t>
      </w:r>
      <w:bookmarkEnd w:id="78"/>
    </w:p>
    <w:p w14:paraId="174591A6" w14:textId="36C4F228" w:rsidR="00851C3E" w:rsidRPr="004041F2" w:rsidRDefault="00A378A2" w:rsidP="007E2365">
      <w:pPr>
        <w:pStyle w:val="Titre4PNIN"/>
      </w:pPr>
      <w:bookmarkStart w:id="79" w:name="_Toc528222363"/>
      <w:r>
        <w:t xml:space="preserve">5.2.1 </w:t>
      </w:r>
      <w:r w:rsidR="00851C3E" w:rsidRPr="004041F2">
        <w:t>Le renforcement des capacités institutionnelles et humaines en faveur de la nutrition</w:t>
      </w:r>
      <w:bookmarkEnd w:id="79"/>
    </w:p>
    <w:p w14:paraId="5E4613B2" w14:textId="00446F2B" w:rsidR="00483F20" w:rsidRDefault="00483F20" w:rsidP="008E4B94">
      <w:pPr>
        <w:pStyle w:val="ParagrapheRapportPNIN"/>
      </w:pPr>
      <w:r>
        <w:t>Les ministères des secteurs contributeurs sont en général tous représentés au niveau régional, mais leur capacité et moyens d</w:t>
      </w:r>
      <w:r w:rsidR="008E4B94">
        <w:t>’intervention sont très inégaux </w:t>
      </w:r>
      <w:r>
        <w:t xml:space="preserve">; certains </w:t>
      </w:r>
      <w:r w:rsidR="008E4B94">
        <w:t>M</w:t>
      </w:r>
      <w:r>
        <w:t xml:space="preserve">inistères disposent de ressources humaines qui leur permettent de travailler à des échelles plus locales (niveau province ou commune) alors que d’autres </w:t>
      </w:r>
      <w:r w:rsidR="008E4B94">
        <w:t xml:space="preserve">Ministères </w:t>
      </w:r>
      <w:r>
        <w:t>ne disposent pas de ressources suffisantes pour travailler au niveau régional. Ces différences de moyens d’intervention limitent</w:t>
      </w:r>
      <w:r w:rsidRPr="000C5B80">
        <w:t xml:space="preserve"> </w:t>
      </w:r>
      <w:r>
        <w:t xml:space="preserve">la conduite d’interventions intersectorielles équilibrées. </w:t>
      </w:r>
    </w:p>
    <w:p w14:paraId="458292FE" w14:textId="7CD4E3BE" w:rsidR="00C40B58" w:rsidRPr="00D20118" w:rsidRDefault="00483F20" w:rsidP="008E4B94">
      <w:pPr>
        <w:pStyle w:val="ParagrapheRapportPNIN"/>
      </w:pPr>
      <w:r>
        <w:t>La compréhension de la contribution des secteurs à la nutrition s’améliore avec l’élaboration de la PNSN à travers un processus très participatif. Cependant</w:t>
      </w:r>
      <w:r w:rsidR="00141B80">
        <w:t>,</w:t>
      </w:r>
      <w:r>
        <w:t xml:space="preserve"> la </w:t>
      </w:r>
      <w:r w:rsidR="00C40B58">
        <w:t>compréhension</w:t>
      </w:r>
      <w:r>
        <w:t xml:space="preserve"> de la nutrition à l’atteinte des objectifs des secteurs reste faible. Il y</w:t>
      </w:r>
      <w:r w:rsidR="00C40B58">
        <w:t xml:space="preserve"> </w:t>
      </w:r>
      <w:r>
        <w:t xml:space="preserve">a un réel besoin de renforcer les capacités des acteurs des secteurs en nutrition et surtout de mieux construire le dialogue sur la </w:t>
      </w:r>
      <w:r w:rsidR="00C40B58">
        <w:t>compréhension</w:t>
      </w:r>
      <w:r>
        <w:t xml:space="preserve"> des chemins d’impact au niveau de chaque secteur. </w:t>
      </w:r>
      <w:r w:rsidR="00C40B58">
        <w:t>Malgré le processus de décentralisation engagé, les compétences des services techniques demeurent concentrées au niveau central. Il y a une i</w:t>
      </w:r>
      <w:r w:rsidR="00C40B58" w:rsidRPr="002375CD">
        <w:t>nsuffisance de moyens pour les services déconcentrés des administrations (régions, départements, communes) et les collectivités territoriales auxquels des compétences sectorielles commencent à être transférées.</w:t>
      </w:r>
    </w:p>
    <w:p w14:paraId="701F8AC9" w14:textId="0E31E331" w:rsidR="00483F20" w:rsidRDefault="00483F20" w:rsidP="008E4B94">
      <w:pPr>
        <w:pStyle w:val="ParagrapheRapportPNIN"/>
      </w:pPr>
      <w:r>
        <w:lastRenderedPageBreak/>
        <w:t xml:space="preserve">Les besoins de renforcement de capacités </w:t>
      </w:r>
      <w:r w:rsidR="00C40B58">
        <w:t>déjà énormes au niveau central le sont plus au niveau</w:t>
      </w:r>
      <w:r>
        <w:t xml:space="preserve"> dé</w:t>
      </w:r>
      <w:r w:rsidR="00C40B58">
        <w:t>concentré car les acteurs de ce niveau sont peu impliqués dans la conception, la définition et le suivi des politiques sectorielles</w:t>
      </w:r>
      <w:r w:rsidR="001629EA">
        <w:rPr>
          <w:rStyle w:val="Appelnotedebasdep"/>
        </w:rPr>
        <w:footnoteReference w:id="63"/>
      </w:r>
      <w:r w:rsidR="00C40B58">
        <w:t xml:space="preserve">. </w:t>
      </w:r>
    </w:p>
    <w:p w14:paraId="0EC4D960" w14:textId="3C8AB27C" w:rsidR="00A9419C" w:rsidRPr="004041F2" w:rsidRDefault="00A378A2" w:rsidP="007E2365">
      <w:pPr>
        <w:pStyle w:val="Titre4PNIN"/>
      </w:pPr>
      <w:bookmarkStart w:id="80" w:name="_Toc528222364"/>
      <w:r>
        <w:t xml:space="preserve">5.2.2 </w:t>
      </w:r>
      <w:r w:rsidR="00A9419C" w:rsidRPr="004041F2">
        <w:t>La définition d’un paquet minium d’activités multisectorielles à haut impact</w:t>
      </w:r>
      <w:r w:rsidR="00851C3E" w:rsidRPr="004041F2">
        <w:t xml:space="preserve"> </w:t>
      </w:r>
      <w:r w:rsidR="004041F2">
        <w:t>à mettre à échelle</w:t>
      </w:r>
      <w:bookmarkEnd w:id="80"/>
    </w:p>
    <w:p w14:paraId="4D8B46C5" w14:textId="2593AB3D" w:rsidR="000D3A7C" w:rsidRDefault="000D3A7C" w:rsidP="002725B8">
      <w:pPr>
        <w:pStyle w:val="ParagrapheRapportPNIN"/>
      </w:pPr>
      <w:r>
        <w:t xml:space="preserve">Malgré le consensus au niveau mondial sur les actions visant à améliorer la nutrition, la mise en œuvre en synergie </w:t>
      </w:r>
      <w:r w:rsidR="002725B8">
        <w:t>d’</w:t>
      </w:r>
      <w:r>
        <w:t xml:space="preserve">interventions spécifiques et </w:t>
      </w:r>
      <w:r w:rsidR="002725B8">
        <w:t>d’</w:t>
      </w:r>
      <w:r>
        <w:t>interven</w:t>
      </w:r>
      <w:r w:rsidR="002725B8">
        <w:t>tions sensibles à la nutrition,</w:t>
      </w:r>
      <w:r>
        <w:t xml:space="preserve"> de manière équitable et à grande échelle reste un défi. </w:t>
      </w:r>
    </w:p>
    <w:p w14:paraId="4BD845B6" w14:textId="24A21BA6" w:rsidR="00792723" w:rsidRDefault="000D3A7C" w:rsidP="002725B8">
      <w:pPr>
        <w:pStyle w:val="ParagrapheRapportPNIN"/>
      </w:pPr>
      <w:r>
        <w:t>La cartographie des interventions et des intervenants développées par REACH</w:t>
      </w:r>
      <w:r>
        <w:rPr>
          <w:rStyle w:val="Appelnotedebasdep"/>
        </w:rPr>
        <w:footnoteReference w:id="64"/>
      </w:r>
      <w:r>
        <w:t xml:space="preserve"> </w:t>
      </w:r>
      <w:r w:rsidR="002725B8">
        <w:t>(</w:t>
      </w:r>
      <w:r>
        <w:t>en 2015</w:t>
      </w:r>
      <w:r w:rsidR="002725B8">
        <w:t>)</w:t>
      </w:r>
      <w:r w:rsidR="008A0725">
        <w:t xml:space="preserve"> a identifié</w:t>
      </w:r>
      <w:r>
        <w:t xml:space="preserve"> les partenaires clés de la nutrition et montre l’absence d’un paquet minimum d’interventions à mettre en œuvre par les acteurs, tout comme la faible répartition géographique et la faible couverture des interventions.</w:t>
      </w:r>
      <w:r w:rsidR="00792723">
        <w:t xml:space="preserve"> S</w:t>
      </w:r>
      <w:r w:rsidR="00B26D48">
        <w:t xml:space="preserve">ur </w:t>
      </w:r>
      <w:r w:rsidR="00792723">
        <w:t>seize</w:t>
      </w:r>
      <w:r w:rsidR="002725B8">
        <w:t xml:space="preserve"> (16) </w:t>
      </w:r>
      <w:r w:rsidR="00792723">
        <w:t>interventions</w:t>
      </w:r>
      <w:r w:rsidR="00B26D48">
        <w:t xml:space="preserve"> centrées sur les enfants moins de 5</w:t>
      </w:r>
      <w:r w:rsidR="002725B8">
        <w:t> </w:t>
      </w:r>
      <w:r w:rsidR="00B26D48">
        <w:t>ans, seules quatre</w:t>
      </w:r>
      <w:r w:rsidR="00792723">
        <w:t xml:space="preserve"> interventions</w:t>
      </w:r>
      <w:r w:rsidR="002725B8">
        <w:t> </w:t>
      </w:r>
      <w:r w:rsidR="00B26D48">
        <w:t>(4) avaient une couverture supérieur à 75</w:t>
      </w:r>
      <w:r w:rsidR="002725B8">
        <w:t> </w:t>
      </w:r>
      <w:r w:rsidR="00B26D48">
        <w:t>% et les 12</w:t>
      </w:r>
      <w:r w:rsidR="002725B8">
        <w:t> </w:t>
      </w:r>
      <w:r w:rsidR="00B26D48">
        <w:t>autres avaient une couverture inférieur à 25</w:t>
      </w:r>
      <w:r w:rsidR="002725B8">
        <w:t> </w:t>
      </w:r>
      <w:r w:rsidR="00B26D48">
        <w:t>%.</w:t>
      </w:r>
      <w:r w:rsidR="008A0725">
        <w:t xml:space="preserve"> </w:t>
      </w:r>
      <w:r w:rsidR="002725B8">
        <w:t>L</w:t>
      </w:r>
      <w:r w:rsidR="00CA0F92">
        <w:t>es actions en f</w:t>
      </w:r>
      <w:r w:rsidR="002725B8">
        <w:t>aveur des enfants de moins de 5 </w:t>
      </w:r>
      <w:r w:rsidR="00CA0F92">
        <w:t xml:space="preserve">ans </w:t>
      </w:r>
      <w:r w:rsidR="002725B8">
        <w:t>sont en majorité menées dans 4 </w:t>
      </w:r>
      <w:r w:rsidR="00CA0F92">
        <w:t xml:space="preserve">régions du pays. </w:t>
      </w:r>
    </w:p>
    <w:p w14:paraId="6FF1236C" w14:textId="1471374C" w:rsidR="00822E15" w:rsidRDefault="00070ACD" w:rsidP="002725B8">
      <w:pPr>
        <w:pStyle w:val="ParagrapheRapportPNIN"/>
        <w:rPr>
          <w:rFonts w:cs="Arial"/>
          <w:noProof/>
        </w:rPr>
      </w:pPr>
      <w:r>
        <w:t>L’</w:t>
      </w:r>
      <w:r w:rsidRPr="00070ACD">
        <w:t xml:space="preserve">analyse </w:t>
      </w:r>
      <w:r>
        <w:t>des couts efficacités des interventions spécifiques de nutrition au Niger</w:t>
      </w:r>
      <w:r w:rsidR="0055350F">
        <w:rPr>
          <w:rStyle w:val="Appelnotedebasdep"/>
        </w:rPr>
        <w:footnoteReference w:id="65"/>
      </w:r>
      <w:r>
        <w:t xml:space="preserve"> </w:t>
      </w:r>
      <w:r w:rsidR="007A0C9F">
        <w:t>est</w:t>
      </w:r>
      <w:r w:rsidR="007A0C9F" w:rsidRPr="007A0C9F">
        <w:t xml:space="preserve"> une analyse écon</w:t>
      </w:r>
      <w:r w:rsidR="007A0C9F">
        <w:t>omique des coûts, des bénéfices</w:t>
      </w:r>
      <w:r w:rsidR="007A0C9F" w:rsidRPr="007A0C9F">
        <w:t xml:space="preserve"> et du coût-efficacité de la mise à l’échelle d’interventions spécifiques à la nutrition, en se basant sur différents scénarios couvrant une période de cinq ans, allant de 2017 à 2021</w:t>
      </w:r>
      <w:r w:rsidR="00822E15">
        <w:t>.</w:t>
      </w:r>
      <w:r w:rsidR="007A0C9F">
        <w:t xml:space="preserve"> </w:t>
      </w:r>
      <w:r w:rsidR="007A0C9F" w:rsidRPr="001760F3">
        <w:rPr>
          <w:rFonts w:cs="Arial"/>
        </w:rPr>
        <w:t xml:space="preserve">Cette analyse de coût-efficacité basée sur </w:t>
      </w:r>
      <w:r w:rsidR="007A0C9F">
        <w:rPr>
          <w:rFonts w:cs="Arial"/>
        </w:rPr>
        <w:t>des</w:t>
      </w:r>
      <w:r w:rsidR="007A0C9F" w:rsidRPr="001760F3">
        <w:rPr>
          <w:rFonts w:cs="Arial"/>
        </w:rPr>
        <w:t xml:space="preserve"> scénarios suggère que la mise en œuvre du </w:t>
      </w:r>
      <w:r w:rsidR="002725B8">
        <w:rPr>
          <w:rFonts w:cs="Arial"/>
        </w:rPr>
        <w:t>P</w:t>
      </w:r>
      <w:r w:rsidR="007A0C9F" w:rsidRPr="001760F3">
        <w:rPr>
          <w:rFonts w:cs="Arial"/>
        </w:rPr>
        <w:t>lan d’</w:t>
      </w:r>
      <w:r w:rsidR="002725B8">
        <w:rPr>
          <w:rFonts w:cs="Arial"/>
        </w:rPr>
        <w:t>A</w:t>
      </w:r>
      <w:r w:rsidR="007A0C9F" w:rsidRPr="001760F3">
        <w:rPr>
          <w:rFonts w:cs="Arial"/>
        </w:rPr>
        <w:t>ction</w:t>
      </w:r>
      <w:r w:rsidR="007A0C9F">
        <w:rPr>
          <w:rFonts w:cs="Arial"/>
        </w:rPr>
        <w:t xml:space="preserve"> de la PNSN </w:t>
      </w:r>
      <w:r w:rsidR="007A0C9F" w:rsidRPr="001760F3">
        <w:rPr>
          <w:rFonts w:cs="Arial"/>
        </w:rPr>
        <w:t xml:space="preserve">permettrait une réduction significative du taux </w:t>
      </w:r>
      <w:r w:rsidR="007A0C9F">
        <w:rPr>
          <w:rFonts w:cs="Arial"/>
        </w:rPr>
        <w:t>de mortalité chez les moins de cinq</w:t>
      </w:r>
      <w:r w:rsidR="002725B8">
        <w:rPr>
          <w:rFonts w:cs="Arial"/>
        </w:rPr>
        <w:t> </w:t>
      </w:r>
      <w:r w:rsidR="007A0C9F" w:rsidRPr="001760F3">
        <w:rPr>
          <w:rFonts w:cs="Arial"/>
        </w:rPr>
        <w:t>ans, mais l’</w:t>
      </w:r>
      <w:r w:rsidR="007A0C9F">
        <w:rPr>
          <w:rFonts w:cs="Arial"/>
        </w:rPr>
        <w:t>allocation des ressources telle que mentionnée</w:t>
      </w:r>
      <w:r w:rsidR="007A0C9F" w:rsidRPr="001760F3">
        <w:rPr>
          <w:rFonts w:cs="Arial"/>
        </w:rPr>
        <w:t xml:space="preserve"> ne serait pas le plus coût-efficace en ce qui concerne la réduction du nombre de cas de malnutrition chronique au Niger. Pour cette raison, et en considération des contraintes financières et des capacités actuelles, </w:t>
      </w:r>
      <w:r w:rsidR="007A0C9F">
        <w:rPr>
          <w:rFonts w:cs="Arial"/>
        </w:rPr>
        <w:t xml:space="preserve">le </w:t>
      </w:r>
      <w:r w:rsidR="007A0C9F" w:rsidRPr="001760F3">
        <w:rPr>
          <w:rFonts w:cs="Arial"/>
          <w:noProof/>
        </w:rPr>
        <w:t xml:space="preserve">scénario </w:t>
      </w:r>
      <w:r w:rsidR="007A0C9F">
        <w:rPr>
          <w:rFonts w:cs="Arial"/>
          <w:noProof/>
        </w:rPr>
        <w:t xml:space="preserve">de </w:t>
      </w:r>
      <w:r w:rsidR="007A0C9F" w:rsidRPr="002725B8">
        <w:rPr>
          <w:rFonts w:cs="Arial"/>
          <w:b/>
          <w:noProof/>
        </w:rPr>
        <w:t>la priorisation par régions les plus touchées par la malnutrition chronique avec un paquet d’interventions est decrite comme est la plus rentable</w:t>
      </w:r>
      <w:r w:rsidR="007A0C9F" w:rsidRPr="001760F3">
        <w:rPr>
          <w:rFonts w:cs="Arial"/>
          <w:noProof/>
        </w:rPr>
        <w:t xml:space="preserve"> à la fois en terme de coût par vie</w:t>
      </w:r>
      <w:r w:rsidR="007A0C9F">
        <w:rPr>
          <w:rFonts w:cs="Arial"/>
          <w:noProof/>
        </w:rPr>
        <w:t xml:space="preserve"> additionnelle sauvée </w:t>
      </w:r>
      <w:r w:rsidR="007A0C9F" w:rsidRPr="001760F3">
        <w:rPr>
          <w:rFonts w:cs="Arial"/>
          <w:noProof/>
        </w:rPr>
        <w:t>et en terme de coût par cas additione</w:t>
      </w:r>
      <w:r w:rsidR="002725B8">
        <w:rPr>
          <w:rFonts w:cs="Arial"/>
          <w:noProof/>
        </w:rPr>
        <w:t xml:space="preserve">l de retard de croissance </w:t>
      </w:r>
      <w:r w:rsidR="007A0C9F">
        <w:rPr>
          <w:rFonts w:cs="Arial"/>
          <w:noProof/>
        </w:rPr>
        <w:t xml:space="preserve">évités. </w:t>
      </w:r>
      <w:r w:rsidR="002725B8">
        <w:rPr>
          <w:rFonts w:cs="Arial"/>
          <w:noProof/>
        </w:rPr>
        <w:t>L</w:t>
      </w:r>
      <w:r w:rsidR="007A0C9F">
        <w:rPr>
          <w:rFonts w:cs="Arial"/>
          <w:noProof/>
        </w:rPr>
        <w:t xml:space="preserve">e coût de la mise à échelle de ce </w:t>
      </w:r>
      <w:r w:rsidR="007A0C9F" w:rsidRPr="001760F3">
        <w:rPr>
          <w:rFonts w:cs="Arial"/>
          <w:noProof/>
        </w:rPr>
        <w:t xml:space="preserve">scenario </w:t>
      </w:r>
      <w:r w:rsidR="007A0C9F">
        <w:rPr>
          <w:rFonts w:cs="Arial"/>
          <w:noProof/>
        </w:rPr>
        <w:t>serait</w:t>
      </w:r>
      <w:r w:rsidR="002725B8">
        <w:rPr>
          <w:rFonts w:cs="Arial"/>
          <w:noProof/>
        </w:rPr>
        <w:t xml:space="preserve"> de 344,5 </w:t>
      </w:r>
      <w:r w:rsidR="007A0C9F" w:rsidRPr="001760F3">
        <w:rPr>
          <w:rFonts w:cs="Arial"/>
          <w:noProof/>
        </w:rPr>
        <w:t>milliards de F</w:t>
      </w:r>
      <w:r w:rsidR="002725B8">
        <w:rPr>
          <w:rFonts w:cs="Arial"/>
          <w:noProof/>
        </w:rPr>
        <w:t> </w:t>
      </w:r>
      <w:r w:rsidR="007A0C9F" w:rsidRPr="001760F3">
        <w:rPr>
          <w:rFonts w:cs="Arial"/>
          <w:noProof/>
        </w:rPr>
        <w:t>CFA</w:t>
      </w:r>
      <w:r w:rsidR="007A0C9F">
        <w:rPr>
          <w:rFonts w:cs="Arial"/>
          <w:noProof/>
        </w:rPr>
        <w:t xml:space="preserve"> (</w:t>
      </w:r>
      <w:r w:rsidR="007A0C9F" w:rsidRPr="001760F3">
        <w:rPr>
          <w:rFonts w:cs="Arial"/>
          <w:noProof/>
        </w:rPr>
        <w:t>569</w:t>
      </w:r>
      <w:r w:rsidR="002725B8">
        <w:rPr>
          <w:rFonts w:cs="Arial"/>
          <w:noProof/>
        </w:rPr>
        <w:t> millions de </w:t>
      </w:r>
      <w:r w:rsidR="007A0C9F" w:rsidRPr="001760F3">
        <w:rPr>
          <w:rFonts w:cs="Arial"/>
          <w:noProof/>
        </w:rPr>
        <w:t>USD</w:t>
      </w:r>
      <w:r w:rsidR="007A0C9F">
        <w:rPr>
          <w:rFonts w:cs="Arial"/>
          <w:noProof/>
        </w:rPr>
        <w:t>)</w:t>
      </w:r>
      <w:r w:rsidR="007A0C9F" w:rsidRPr="001760F3">
        <w:rPr>
          <w:rFonts w:cs="Arial"/>
          <w:noProof/>
        </w:rPr>
        <w:t xml:space="preserve"> et son c</w:t>
      </w:r>
      <w:r w:rsidR="002725B8">
        <w:rPr>
          <w:rFonts w:cs="Arial"/>
          <w:noProof/>
        </w:rPr>
        <w:t>oût moyen annuel serait de 68,9 </w:t>
      </w:r>
      <w:r w:rsidR="007A0C9F" w:rsidRPr="001760F3">
        <w:rPr>
          <w:rFonts w:cs="Arial"/>
          <w:noProof/>
        </w:rPr>
        <w:t>milliards de F</w:t>
      </w:r>
      <w:r w:rsidR="002725B8">
        <w:rPr>
          <w:rFonts w:cs="Arial"/>
          <w:noProof/>
        </w:rPr>
        <w:t> </w:t>
      </w:r>
      <w:r w:rsidR="007A0C9F" w:rsidRPr="001760F3">
        <w:rPr>
          <w:rFonts w:cs="Arial"/>
          <w:noProof/>
        </w:rPr>
        <w:t xml:space="preserve">CFA moins que les ressources nécessaires requises pour la mise en oeuvre du plan d’action de la PNSN. </w:t>
      </w:r>
      <w:r w:rsidR="002725B8">
        <w:rPr>
          <w:rFonts w:cs="Arial"/>
          <w:noProof/>
        </w:rPr>
        <w:t>L</w:t>
      </w:r>
      <w:r w:rsidR="00822E15">
        <w:rPr>
          <w:rFonts w:cs="Arial"/>
          <w:noProof/>
        </w:rPr>
        <w:t>a mise en œuvre de ce paquet minimun d’</w:t>
      </w:r>
      <w:r w:rsidR="00D17F0B">
        <w:rPr>
          <w:rFonts w:cs="Arial"/>
          <w:noProof/>
        </w:rPr>
        <w:t>inter</w:t>
      </w:r>
      <w:r w:rsidR="00822E15">
        <w:rPr>
          <w:rFonts w:cs="Arial"/>
          <w:noProof/>
        </w:rPr>
        <w:t>v</w:t>
      </w:r>
      <w:r w:rsidR="00D17F0B">
        <w:rPr>
          <w:rFonts w:cs="Arial"/>
          <w:noProof/>
        </w:rPr>
        <w:t>e</w:t>
      </w:r>
      <w:r w:rsidR="00822E15">
        <w:rPr>
          <w:rFonts w:cs="Arial"/>
          <w:noProof/>
        </w:rPr>
        <w:t>ntions</w:t>
      </w:r>
      <w:r w:rsidR="00D17F0B">
        <w:rPr>
          <w:rFonts w:cs="Arial"/>
          <w:noProof/>
        </w:rPr>
        <w:t xml:space="preserve"> </w:t>
      </w:r>
      <w:r w:rsidR="00822E15">
        <w:rPr>
          <w:rFonts w:cs="Arial"/>
          <w:noProof/>
        </w:rPr>
        <w:t xml:space="preserve">dans les </w:t>
      </w:r>
      <w:r w:rsidR="007A0C9F" w:rsidRPr="001760F3">
        <w:rPr>
          <w:rFonts w:cs="Arial"/>
          <w:noProof/>
        </w:rPr>
        <w:t>cinq régions où les prévalences de malnutrition chronique sont les plus élevées au Niger</w:t>
      </w:r>
      <w:r w:rsidR="002725B8">
        <w:rPr>
          <w:rFonts w:cs="Arial"/>
          <w:noProof/>
        </w:rPr>
        <w:t xml:space="preserve"> est proposée </w:t>
      </w:r>
      <w:r w:rsidR="007A0C9F" w:rsidRPr="001760F3">
        <w:rPr>
          <w:rFonts w:cs="Arial"/>
          <w:noProof/>
        </w:rPr>
        <w:t>: Maradi, Zinder,</w:t>
      </w:r>
      <w:r w:rsidR="007A0C9F">
        <w:rPr>
          <w:rFonts w:cs="Arial"/>
          <w:noProof/>
        </w:rPr>
        <w:t xml:space="preserve"> Dosso, Tahoua et Tillabé</w:t>
      </w:r>
      <w:r w:rsidR="007A0C9F" w:rsidRPr="001760F3">
        <w:rPr>
          <w:rFonts w:cs="Arial"/>
          <w:noProof/>
        </w:rPr>
        <w:t>ry</w:t>
      </w:r>
      <w:r w:rsidR="00822E15">
        <w:rPr>
          <w:rFonts w:cs="Arial"/>
          <w:noProof/>
        </w:rPr>
        <w:t xml:space="preserve"> </w:t>
      </w:r>
      <w:r w:rsidR="002725B8">
        <w:rPr>
          <w:rFonts w:cs="Arial"/>
          <w:noProof/>
        </w:rPr>
        <w:t>(</w:t>
      </w:r>
      <w:r w:rsidR="00822E15">
        <w:rPr>
          <w:rFonts w:cs="Arial"/>
          <w:noProof/>
        </w:rPr>
        <w:t>enquête nationale nutritionnelle de 2016</w:t>
      </w:r>
      <w:r w:rsidR="002725B8">
        <w:rPr>
          <w:rFonts w:cs="Arial"/>
          <w:noProof/>
        </w:rPr>
        <w:t>)</w:t>
      </w:r>
      <w:r w:rsidR="00822E15">
        <w:rPr>
          <w:rFonts w:cs="Arial"/>
          <w:noProof/>
        </w:rPr>
        <w:t>.</w:t>
      </w:r>
    </w:p>
    <w:p w14:paraId="10E8D5CE" w14:textId="4D0F60ED" w:rsidR="00070ACD" w:rsidRDefault="002725B8" w:rsidP="002725B8">
      <w:pPr>
        <w:pStyle w:val="ParagrapheRapportPNIN"/>
      </w:pPr>
      <w:r>
        <w:t>L’étude</w:t>
      </w:r>
      <w:r w:rsidR="000D3A7C">
        <w:t xml:space="preserve"> ne tient co</w:t>
      </w:r>
      <w:r>
        <w:t>m</w:t>
      </w:r>
      <w:r w:rsidR="000D3A7C">
        <w:t xml:space="preserve">pte que des interventions pouvant être </w:t>
      </w:r>
      <w:r w:rsidR="004F0DE5">
        <w:t>modélisées</w:t>
      </w:r>
      <w:r w:rsidR="000D3A7C">
        <w:t xml:space="preserve"> avec l’outil LIST et donc ne </w:t>
      </w:r>
      <w:r>
        <w:t>p</w:t>
      </w:r>
      <w:r w:rsidR="000D3A7C">
        <w:t>rend en compte que des interventions du secteur de la santé et du secteur de l’eau, hygiène et assainissement. La contribution des autres secteurs n’est donc pas évaluée.</w:t>
      </w:r>
      <w:r w:rsidR="007A0C9F" w:rsidRPr="007A0C9F">
        <w:t xml:space="preserve"> </w:t>
      </w:r>
      <w:r>
        <w:t>Enfin</w:t>
      </w:r>
      <w:r w:rsidR="007A0C9F" w:rsidRPr="007A0C9F">
        <w:t xml:space="preserve"> la totalité des bénéfices potentiels que pourrait avoir la mise en œuvre de la PNSN sur le statut nutritionnel de la population </w:t>
      </w:r>
      <w:r>
        <w:t xml:space="preserve">n’est pas </w:t>
      </w:r>
      <w:r>
        <w:lastRenderedPageBreak/>
        <w:t xml:space="preserve">présentée </w:t>
      </w:r>
      <w:r w:rsidR="007A0C9F" w:rsidRPr="007A0C9F">
        <w:t>et les résultats obtenus sous-estiment probablement les bénéfices réels de la mise à l’échelle des interventions de nutrition au Niger.</w:t>
      </w:r>
    </w:p>
    <w:p w14:paraId="0B5536F5" w14:textId="5C597F25" w:rsidR="00A9419C" w:rsidRPr="004041F2" w:rsidRDefault="009F573A" w:rsidP="007E2365">
      <w:pPr>
        <w:pStyle w:val="Titre4PNIN"/>
      </w:pPr>
      <w:bookmarkStart w:id="81" w:name="_Toc528222365"/>
      <w:r>
        <w:t>5.2.3</w:t>
      </w:r>
      <w:r w:rsidR="00A378A2">
        <w:t xml:space="preserve"> </w:t>
      </w:r>
      <w:r w:rsidR="00A9419C" w:rsidRPr="004041F2">
        <w:t xml:space="preserve">Le ciblage des </w:t>
      </w:r>
      <w:r w:rsidR="004041F2">
        <w:t xml:space="preserve">zones d’interventions et des </w:t>
      </w:r>
      <w:r w:rsidR="00A9419C" w:rsidRPr="004041F2">
        <w:t>bénéficiaires</w:t>
      </w:r>
      <w:bookmarkEnd w:id="81"/>
    </w:p>
    <w:p w14:paraId="6D010C6B" w14:textId="62D741F3" w:rsidR="00C31550" w:rsidRDefault="00C31550" w:rsidP="009F288D">
      <w:pPr>
        <w:pStyle w:val="ParagrapheRapportPNIN"/>
      </w:pPr>
      <w:r>
        <w:t xml:space="preserve">Les questions de ciblage géographique et individuel ainsi que de suivi-évaluation et les choix attenants à ces questions ont un impact sur la cohérence entre les </w:t>
      </w:r>
      <w:r w:rsidR="009F288D">
        <w:t>P</w:t>
      </w:r>
      <w:r>
        <w:t>lans d’</w:t>
      </w:r>
      <w:r w:rsidR="009F288D">
        <w:t>A</w:t>
      </w:r>
      <w:r>
        <w:t xml:space="preserve">ction de la PNSN et les programmations sectorielles et donc sur la capacité d’opérationnaliser la PNSN. </w:t>
      </w:r>
      <w:r w:rsidRPr="00C31550">
        <w:t xml:space="preserve">Une planification concertée </w:t>
      </w:r>
      <w:r>
        <w:t>est</w:t>
      </w:r>
      <w:r w:rsidRPr="00C31550">
        <w:t xml:space="preserve"> un atout pour assurer</w:t>
      </w:r>
      <w:r>
        <w:t xml:space="preserve"> </w:t>
      </w:r>
      <w:r w:rsidRPr="00C31550">
        <w:t>le caractère multisectoriel de la PNSN et éviter une juxtaposition d’interventions sectorielles qui</w:t>
      </w:r>
      <w:r>
        <w:t xml:space="preserve"> </w:t>
      </w:r>
      <w:r w:rsidRPr="00C31550">
        <w:t>interviendraient dans des zones et/ou des populations différentes</w:t>
      </w:r>
      <w:r>
        <w:rPr>
          <w:rStyle w:val="Appelnotedebasdep"/>
        </w:rPr>
        <w:footnoteReference w:id="66"/>
      </w:r>
      <w:r>
        <w:t>.</w:t>
      </w:r>
      <w:r w:rsidRPr="00C31550">
        <w:t xml:space="preserve"> </w:t>
      </w:r>
    </w:p>
    <w:p w14:paraId="126429E1" w14:textId="2E7E10B2" w:rsidR="00583D4F" w:rsidRDefault="009F288D" w:rsidP="009F288D">
      <w:pPr>
        <w:pStyle w:val="ParagrapheRapportPNIN"/>
      </w:pPr>
      <w:r>
        <w:t>D</w:t>
      </w:r>
      <w:r w:rsidRPr="00583D4F">
        <w:t>ébut 2016</w:t>
      </w:r>
      <w:r>
        <w:t>, l</w:t>
      </w:r>
      <w:r w:rsidR="00583D4F" w:rsidRPr="00583D4F">
        <w:t>e Niger a opté pour «</w:t>
      </w:r>
      <w:r>
        <w:t> </w:t>
      </w:r>
      <w:r w:rsidR="00583D4F" w:rsidRPr="00583D4F">
        <w:t>la communalisation intégrale</w:t>
      </w:r>
      <w:r>
        <w:t> </w:t>
      </w:r>
      <w:r w:rsidR="00583D4F" w:rsidRPr="00583D4F">
        <w:t>» et statué sur un</w:t>
      </w:r>
      <w:r w:rsidR="00583D4F">
        <w:t xml:space="preserve"> </w:t>
      </w:r>
      <w:r w:rsidR="00583D4F" w:rsidRPr="00583D4F">
        <w:t>transfert des compétences et ressources de l’Etat aux communes dans les domaines de l’Education,</w:t>
      </w:r>
      <w:r w:rsidR="00583D4F">
        <w:t xml:space="preserve"> </w:t>
      </w:r>
      <w:r w:rsidR="00583D4F" w:rsidRPr="00583D4F">
        <w:t xml:space="preserve">de la Santé, de l’Hydraulique et de l’Environnement. </w:t>
      </w:r>
      <w:r w:rsidR="00650CBD">
        <w:t>Cette communalisation pourrait être un atout pour influencer la</w:t>
      </w:r>
      <w:r w:rsidR="00583D4F" w:rsidRPr="00583D4F">
        <w:t xml:space="preserve"> planification </w:t>
      </w:r>
      <w:r w:rsidR="00650CBD">
        <w:t>des secteurs et la mise en œuvre des interventions sensibles à la nutrition.</w:t>
      </w:r>
    </w:p>
    <w:p w14:paraId="58A9008E" w14:textId="1898838F" w:rsidR="00CD4E39" w:rsidRDefault="001D553B" w:rsidP="009F288D">
      <w:pPr>
        <w:pStyle w:val="ParagrapheRapportPNIN"/>
      </w:pPr>
      <w:r w:rsidRPr="001D553B">
        <w:t>Le Niger a expérimenté l’</w:t>
      </w:r>
      <w:r w:rsidR="00C31550" w:rsidRPr="001D553B">
        <w:t xml:space="preserve">approche des communes de convergence dans </w:t>
      </w:r>
      <w:r w:rsidR="00CD4E39">
        <w:t>35</w:t>
      </w:r>
      <w:r w:rsidR="009F288D">
        <w:t> </w:t>
      </w:r>
      <w:r w:rsidR="00C31550" w:rsidRPr="001D553B">
        <w:t>communes depuis 2014</w:t>
      </w:r>
      <w:r w:rsidR="00CD4E39">
        <w:t xml:space="preserve"> avec le soutien des agences du Système des Nations Unies</w:t>
      </w:r>
      <w:r>
        <w:t xml:space="preserve">. </w:t>
      </w:r>
      <w:r w:rsidR="009F288D">
        <w:t>L</w:t>
      </w:r>
      <w:r w:rsidR="009F288D" w:rsidRPr="001D553B">
        <w:t xml:space="preserve">’approche des communes de convergence </w:t>
      </w:r>
      <w:r w:rsidR="0094797D">
        <w:t>opérationnalis</w:t>
      </w:r>
      <w:r w:rsidR="00CD4E39">
        <w:t xml:space="preserve">e </w:t>
      </w:r>
      <w:r w:rsidR="0094797D">
        <w:t>la stratégie de l’initiative 3N au niveau de</w:t>
      </w:r>
      <w:r w:rsidR="00CD4E39">
        <w:t xml:space="preserve">s </w:t>
      </w:r>
      <w:r w:rsidR="0094797D">
        <w:t>communes c</w:t>
      </w:r>
      <w:r w:rsidR="00CD4E39">
        <w:t>oncernées. Elle</w:t>
      </w:r>
      <w:r w:rsidR="0094797D">
        <w:t xml:space="preserve"> </w:t>
      </w:r>
      <w:r w:rsidR="00CD4E39">
        <w:t>consiste donc à promouvoir la collaboration et la coordination des acteurs, en particulier du développement, mais aussi des partenaires humanitaires, pour travailler en synergie sur la base de paquets d'actions consensuels et intégrés identifiés comme prioritaires par les acteurs locaux. L’approche communale de convergence a trois (3)</w:t>
      </w:r>
      <w:r w:rsidR="009F288D">
        <w:t> </w:t>
      </w:r>
      <w:r w:rsidR="00CD4E39">
        <w:t>niveaux de convergence</w:t>
      </w:r>
      <w:r w:rsidR="009F288D">
        <w:t> </w:t>
      </w:r>
      <w:r w:rsidR="00CD4E39">
        <w:t>:</w:t>
      </w:r>
    </w:p>
    <w:p w14:paraId="66873DD2" w14:textId="26F05803" w:rsidR="00CD4E39" w:rsidRDefault="00CD4E39" w:rsidP="00EB3605">
      <w:pPr>
        <w:pStyle w:val="pucesnumrotsPNIN"/>
        <w:numPr>
          <w:ilvl w:val="0"/>
          <w:numId w:val="6"/>
        </w:numPr>
        <w:ind w:left="2061"/>
      </w:pPr>
      <w:r>
        <w:t>Convergence géographique</w:t>
      </w:r>
      <w:r w:rsidR="009F288D">
        <w:t> </w:t>
      </w:r>
      <w:r>
        <w:t>: ciblage convergent sur les mêmes communes, sélectionné sur la base de critères définis</w:t>
      </w:r>
      <w:r w:rsidR="009F288D">
        <w:t> ;</w:t>
      </w:r>
    </w:p>
    <w:p w14:paraId="6D5B9341" w14:textId="0AAFDC1A" w:rsidR="00CD4E39" w:rsidRDefault="00CD4E39" w:rsidP="006551E1">
      <w:pPr>
        <w:pStyle w:val="pucesnumrotsPNIN"/>
        <w:ind w:left="2061"/>
      </w:pPr>
      <w:r>
        <w:t>Convergence programmatique</w:t>
      </w:r>
      <w:r w:rsidR="009F288D">
        <w:t> </w:t>
      </w:r>
      <w:r>
        <w:t>: approche multisectorielle et multipartite, planification, suivi et évaluation conjoints</w:t>
      </w:r>
      <w:r w:rsidR="009F288D">
        <w:t> ;</w:t>
      </w:r>
    </w:p>
    <w:p w14:paraId="6D2D0904" w14:textId="43D70873" w:rsidR="00CD4E39" w:rsidRPr="00C31550" w:rsidRDefault="00CD4E39" w:rsidP="006551E1">
      <w:pPr>
        <w:pStyle w:val="pucesnumrotsPNIN"/>
        <w:ind w:left="2061"/>
      </w:pPr>
      <w:r>
        <w:t>Convergence opérationnelle</w:t>
      </w:r>
      <w:r w:rsidR="009F288D">
        <w:t> </w:t>
      </w:r>
      <w:r>
        <w:t>: exécution, gestion, coordination</w:t>
      </w:r>
      <w:r w:rsidR="009F288D">
        <w:t>.</w:t>
      </w:r>
    </w:p>
    <w:p w14:paraId="1F584C9D" w14:textId="77777777" w:rsidR="00C31550" w:rsidRDefault="00CD4E39" w:rsidP="009F288D">
      <w:pPr>
        <w:pStyle w:val="ParagrapheRapportPNIN"/>
      </w:pPr>
      <w:r>
        <w:t xml:space="preserve">Une enquête initiale a été réalisée au début du projet et une évaluation finale en cours par le système des Nations Unies. Une </w:t>
      </w:r>
      <w:r w:rsidRPr="00CD4E39">
        <w:t xml:space="preserve">étude de capitalisation de l’expérience est </w:t>
      </w:r>
      <w:r>
        <w:t xml:space="preserve">également </w:t>
      </w:r>
      <w:r w:rsidRPr="00CD4E39">
        <w:t>en cours par le réseau Emergency Nutrition Network (ENN).</w:t>
      </w:r>
    </w:p>
    <w:p w14:paraId="493F9721" w14:textId="25D1FCD2" w:rsidR="0099268B" w:rsidRDefault="00A83CFE" w:rsidP="009F288D">
      <w:pPr>
        <w:pStyle w:val="ParagrapheRapportPNIN"/>
      </w:pPr>
      <w:r>
        <w:t xml:space="preserve">Le PA de la PNSN souligne </w:t>
      </w:r>
      <w:r w:rsidRPr="00A83CFE">
        <w:t>la nécessité d’avancer vers des mécanismes harmonisés et convergents d’identification et d’enregistrement des ménages bénéficiaires qui guideraient les ac</w:t>
      </w:r>
      <w:r w:rsidR="009F288D">
        <w:t>tions de différents acteurs et M</w:t>
      </w:r>
      <w:r w:rsidRPr="00A83CFE">
        <w:t>inistères vers des catégories ciblées d’un commun accord.</w:t>
      </w:r>
      <w:r w:rsidR="00CD4E39">
        <w:t xml:space="preserve"> </w:t>
      </w:r>
    </w:p>
    <w:p w14:paraId="339E4A4C" w14:textId="52DEEF1C" w:rsidR="001D553B" w:rsidRDefault="00F97023" w:rsidP="009F288D">
      <w:pPr>
        <w:pStyle w:val="ParagrapheRapportPNIN"/>
      </w:pPr>
      <w:r w:rsidRPr="00F97023">
        <w:rPr>
          <w:b/>
        </w:rPr>
        <w:t>Quelques exemples</w:t>
      </w:r>
      <w:r>
        <w:t xml:space="preserve"> : </w:t>
      </w:r>
      <w:r w:rsidR="00A83CFE">
        <w:t>Le PROSEHA cible prioritairement les ménages les plus pauvres et les plus vulnérables mais il ne met pas en avant la malnutrition comme facteur de vulnérabilité. De ce fait</w:t>
      </w:r>
      <w:r w:rsidR="009F288D">
        <w:t>,</w:t>
      </w:r>
      <w:r w:rsidR="00A83CFE">
        <w:t xml:space="preserve"> les interventions du secteur ne sont pas délibérément ciblées vers les zones touchées par les problèmes de malnutrition.</w:t>
      </w:r>
      <w:r w:rsidR="00CD4E39">
        <w:t xml:space="preserve"> </w:t>
      </w:r>
      <w:r w:rsidR="0099268B" w:rsidRPr="0099268B">
        <w:t xml:space="preserve">Il existe des différences d’approche sur le ciblage géographique entre le </w:t>
      </w:r>
      <w:r w:rsidR="009F288D">
        <w:t>Programme Sectoriel pour l’Education et la Formation</w:t>
      </w:r>
      <w:r w:rsidR="009F288D" w:rsidRPr="0099268B">
        <w:t xml:space="preserve"> </w:t>
      </w:r>
      <w:r w:rsidR="009F288D">
        <w:t>(</w:t>
      </w:r>
      <w:r w:rsidR="0099268B" w:rsidRPr="0099268B">
        <w:t>PSEF</w:t>
      </w:r>
      <w:r w:rsidR="009F288D">
        <w:t>)</w:t>
      </w:r>
      <w:r w:rsidR="0099268B">
        <w:t xml:space="preserve"> du secteur éducation </w:t>
      </w:r>
      <w:r w:rsidR="0099268B" w:rsidRPr="0099268B">
        <w:t xml:space="preserve">et la PNSN. Le PSEF a pour objectif de réduire les inégalités territoriales d’accès quand la PNSN </w:t>
      </w:r>
      <w:r w:rsidR="0099268B" w:rsidRPr="0099268B">
        <w:lastRenderedPageBreak/>
        <w:t>prévoit d’une manière globale un ciblage des zones en insécurité alimentaire et nutritionnelle.</w:t>
      </w:r>
    </w:p>
    <w:p w14:paraId="7A8C0345" w14:textId="77777777" w:rsidR="001025D9" w:rsidRDefault="001025D9" w:rsidP="009F288D">
      <w:pPr>
        <w:pStyle w:val="ParagrapheRapportPNIN"/>
      </w:pPr>
    </w:p>
    <w:p w14:paraId="63F28460" w14:textId="0F6870BC" w:rsidR="001D553B" w:rsidRDefault="002A21D8" w:rsidP="00C8173E">
      <w:pPr>
        <w:pStyle w:val="ParagrapheRapportPNIN"/>
        <w:shd w:val="clear" w:color="auto" w:fill="F2F2F2" w:themeFill="background1" w:themeFillShade="F2"/>
      </w:pPr>
      <w:r w:rsidRPr="002C40EB">
        <w:rPr>
          <w:b/>
        </w:rPr>
        <w:t>Constat</w:t>
      </w:r>
      <w:r w:rsidR="00892FCA" w:rsidRPr="002C40EB">
        <w:rPr>
          <w:b/>
        </w:rPr>
        <w:t>s</w:t>
      </w:r>
      <w:r w:rsidR="002C40EB">
        <w:t> </w:t>
      </w:r>
      <w:r w:rsidRPr="00242670">
        <w:t xml:space="preserve">: </w:t>
      </w:r>
    </w:p>
    <w:p w14:paraId="69CD4B29" w14:textId="0809B0C1" w:rsidR="002A21D8" w:rsidRPr="001D553B" w:rsidRDefault="001D553B" w:rsidP="00EB3605">
      <w:pPr>
        <w:pStyle w:val="pucesnumrotsPNIN"/>
        <w:numPr>
          <w:ilvl w:val="0"/>
          <w:numId w:val="7"/>
        </w:numPr>
        <w:shd w:val="clear" w:color="auto" w:fill="F2F2F2" w:themeFill="background1" w:themeFillShade="F2"/>
      </w:pPr>
      <w:r w:rsidRPr="001D553B">
        <w:t>Bien que les politiques, plans et programmes</w:t>
      </w:r>
      <w:r w:rsidR="002A21D8" w:rsidRPr="001D553B">
        <w:t xml:space="preserve"> </w:t>
      </w:r>
      <w:r w:rsidRPr="001D553B">
        <w:t>sectoriels</w:t>
      </w:r>
      <w:r w:rsidR="002A21D8" w:rsidRPr="001D553B">
        <w:t xml:space="preserve"> comportent des actions </w:t>
      </w:r>
      <w:r w:rsidRPr="001D553B">
        <w:t>et interventions sensibles à</w:t>
      </w:r>
      <w:r w:rsidR="002A21D8" w:rsidRPr="001D553B">
        <w:t xml:space="preserve"> la nutrition, le ciblage des bénéficiaires et des zones d’interventions </w:t>
      </w:r>
      <w:r w:rsidRPr="001D553B">
        <w:t xml:space="preserve">ne tient </w:t>
      </w:r>
      <w:r w:rsidR="00892433">
        <w:t xml:space="preserve">souvent </w:t>
      </w:r>
      <w:r w:rsidRPr="001D553B">
        <w:t>pas compte</w:t>
      </w:r>
      <w:r w:rsidR="00892433">
        <w:t xml:space="preserve"> </w:t>
      </w:r>
      <w:r w:rsidRPr="001D553B">
        <w:t>de la malnutrition.</w:t>
      </w:r>
    </w:p>
    <w:p w14:paraId="03C96081" w14:textId="57537BB0" w:rsidR="001D553B" w:rsidRDefault="001D553B" w:rsidP="00C8173E">
      <w:pPr>
        <w:pStyle w:val="pucesnumrotsPNIN"/>
        <w:shd w:val="clear" w:color="auto" w:fill="F2F2F2" w:themeFill="background1" w:themeFillShade="F2"/>
      </w:pPr>
      <w:r w:rsidRPr="001D553B">
        <w:t xml:space="preserve">Le PA de la PNSN a défini les interventions des secteurs mais </w:t>
      </w:r>
      <w:r w:rsidR="00892FCA">
        <w:t>il y a toujours un besoin de mise en</w:t>
      </w:r>
      <w:r w:rsidR="007F5AFA">
        <w:t xml:space="preserve"> cohéren</w:t>
      </w:r>
      <w:r w:rsidR="002C40EB">
        <w:t>ce</w:t>
      </w:r>
      <w:r w:rsidRPr="001D553B">
        <w:t xml:space="preserve"> avec les</w:t>
      </w:r>
      <w:r>
        <w:t xml:space="preserve"> politiques et plans sectoriels </w:t>
      </w:r>
      <w:r w:rsidR="00892FCA">
        <w:t xml:space="preserve">surtout sur les </w:t>
      </w:r>
      <w:r>
        <w:t>cibles à atteindre.</w:t>
      </w:r>
    </w:p>
    <w:p w14:paraId="4D1F636A" w14:textId="38BCFFC8" w:rsidR="00586624" w:rsidRDefault="00586624" w:rsidP="00C8173E">
      <w:pPr>
        <w:pStyle w:val="pucesnumrotsPNIN"/>
        <w:shd w:val="clear" w:color="auto" w:fill="F2F2F2" w:themeFill="background1" w:themeFillShade="F2"/>
      </w:pPr>
      <w:r>
        <w:t>La plupart des interventions spécifiques et sensibles à la nutrition sont mise</w:t>
      </w:r>
      <w:r w:rsidR="002C40EB">
        <w:t>s</w:t>
      </w:r>
      <w:r>
        <w:t xml:space="preserve"> en œuvre très souvent à petite échelle.</w:t>
      </w:r>
    </w:p>
    <w:p w14:paraId="593EFBC2" w14:textId="00CAC752" w:rsidR="00586624" w:rsidRDefault="009A581B" w:rsidP="00C8173E">
      <w:pPr>
        <w:pStyle w:val="pucesnumrotsPNIN"/>
        <w:shd w:val="clear" w:color="auto" w:fill="F2F2F2" w:themeFill="background1" w:themeFillShade="F2"/>
      </w:pPr>
      <w:r>
        <w:t xml:space="preserve">Il y a un besoin urgent de finaliser le </w:t>
      </w:r>
      <w:r w:rsidR="00586624">
        <w:t xml:space="preserve">plan de suivi évaluation et de plan de </w:t>
      </w:r>
      <w:r w:rsidR="006551E1">
        <w:t>rédevabilité</w:t>
      </w:r>
      <w:r w:rsidR="00586624">
        <w:t xml:space="preserve"> de la PNSN </w:t>
      </w:r>
      <w:r>
        <w:t>pour</w:t>
      </w:r>
      <w:r w:rsidR="00586624">
        <w:t xml:space="preserve"> une mise en œuvre efficiente de la PNSN.</w:t>
      </w:r>
      <w:r w:rsidR="00586624" w:rsidRPr="00E85EFB">
        <w:t xml:space="preserve"> </w:t>
      </w:r>
    </w:p>
    <w:p w14:paraId="22504931" w14:textId="73F13169" w:rsidR="00E85EFB" w:rsidRDefault="00E85EFB" w:rsidP="00C8173E">
      <w:pPr>
        <w:pStyle w:val="pucesnumrotsPNIN"/>
        <w:shd w:val="clear" w:color="auto" w:fill="F2F2F2" w:themeFill="background1" w:themeFillShade="F2"/>
      </w:pPr>
      <w:r>
        <w:t>Il y a un</w:t>
      </w:r>
      <w:r w:rsidRPr="00EF353A">
        <w:t xml:space="preserve"> faible niveau de prise en compte d’indicateurs nutritionnels </w:t>
      </w:r>
      <w:r>
        <w:t xml:space="preserve">dans les secteurs </w:t>
      </w:r>
      <w:r w:rsidRPr="00EF353A">
        <w:t>permettant de mettr</w:t>
      </w:r>
      <w:r>
        <w:t>e en évidence le</w:t>
      </w:r>
      <w:r w:rsidR="00F42A61">
        <w:t>ur</w:t>
      </w:r>
      <w:r>
        <w:t>s contributions</w:t>
      </w:r>
      <w:r w:rsidRPr="00EF353A">
        <w:t>.</w:t>
      </w:r>
    </w:p>
    <w:p w14:paraId="166D6E83" w14:textId="2C426DBD" w:rsidR="00CE241C" w:rsidRDefault="00CE241C" w:rsidP="00C8173E">
      <w:pPr>
        <w:pStyle w:val="pucesnumrotsPNIN"/>
        <w:shd w:val="clear" w:color="auto" w:fill="F2F2F2" w:themeFill="background1" w:themeFillShade="F2"/>
      </w:pPr>
      <w:r>
        <w:t>Il y n’a pas encore un système d’information nati</w:t>
      </w:r>
      <w:r w:rsidR="002C40EB">
        <w:t>onal pour la nutrition au Niger.</w:t>
      </w:r>
    </w:p>
    <w:p w14:paraId="1A17E3A6" w14:textId="361665B7" w:rsidR="00E85EFB" w:rsidRDefault="00E85EFB" w:rsidP="00C8173E">
      <w:pPr>
        <w:pStyle w:val="ParagrapheRapportPNIN"/>
        <w:shd w:val="clear" w:color="auto" w:fill="F2F2F2" w:themeFill="background1" w:themeFillShade="F2"/>
      </w:pPr>
      <w:r w:rsidRPr="002C40EB">
        <w:rPr>
          <w:b/>
        </w:rPr>
        <w:t>Question</w:t>
      </w:r>
      <w:r w:rsidR="004B23B7" w:rsidRPr="002C40EB">
        <w:rPr>
          <w:b/>
        </w:rPr>
        <w:t>s</w:t>
      </w:r>
      <w:r>
        <w:t>:</w:t>
      </w:r>
      <w:r w:rsidRPr="00242670">
        <w:t xml:space="preserve"> </w:t>
      </w:r>
    </w:p>
    <w:p w14:paraId="75039CE8" w14:textId="1D500C02" w:rsidR="00507D43" w:rsidRDefault="00507D43" w:rsidP="00EB3605">
      <w:pPr>
        <w:pStyle w:val="pucesnumrotsPNIN"/>
        <w:numPr>
          <w:ilvl w:val="0"/>
          <w:numId w:val="8"/>
        </w:numPr>
        <w:shd w:val="clear" w:color="auto" w:fill="F2F2F2" w:themeFill="background1" w:themeFillShade="F2"/>
      </w:pPr>
      <w:r>
        <w:t>Comment produire une grille d’évaluation de la sensibilité</w:t>
      </w:r>
      <w:r w:rsidR="00EE166F">
        <w:t xml:space="preserve"> à la nutrition à appliquer lors des processus de révision ou d’élaboration des politiques et programmes ?</w:t>
      </w:r>
    </w:p>
    <w:p w14:paraId="7C126B45" w14:textId="4AA93192" w:rsidR="00507D43" w:rsidRDefault="00507D43" w:rsidP="00C8173E">
      <w:pPr>
        <w:pStyle w:val="pucesnumrotsPNIN"/>
        <w:shd w:val="clear" w:color="auto" w:fill="F2F2F2" w:themeFill="background1" w:themeFillShade="F2"/>
      </w:pPr>
      <w:r>
        <w:t>Comment disposer de données sur les compétences en nutrition au niveau de chaque secteur ?</w:t>
      </w:r>
    </w:p>
    <w:p w14:paraId="7CDE6D42" w14:textId="3015D584" w:rsidR="00507D43" w:rsidRDefault="00507D43" w:rsidP="00C8173E">
      <w:pPr>
        <w:pStyle w:val="pucesnumrotsPNIN"/>
        <w:shd w:val="clear" w:color="auto" w:fill="F2F2F2" w:themeFill="background1" w:themeFillShade="F2"/>
      </w:pPr>
      <w:r w:rsidRPr="001E2BC4">
        <w:t xml:space="preserve">Comment susciter sur une base factuelle un plaidoyer pour une mobilisation suffisante de ressources financières de l’Etat et de </w:t>
      </w:r>
      <w:r w:rsidR="002C40EB">
        <w:t>ses partenaires </w:t>
      </w:r>
      <w:r w:rsidRPr="001E2BC4">
        <w:t>?</w:t>
      </w:r>
    </w:p>
    <w:p w14:paraId="03615C32" w14:textId="5F05DE11" w:rsidR="003B06E7" w:rsidRPr="00A23B99" w:rsidRDefault="003B06E7" w:rsidP="00C8173E">
      <w:pPr>
        <w:pStyle w:val="pucesnumrotsPNIN"/>
        <w:shd w:val="clear" w:color="auto" w:fill="F2F2F2" w:themeFill="background1" w:themeFillShade="F2"/>
      </w:pPr>
      <w:r>
        <w:t>Comment mettre en place un mécanisme de suivi des financements de la nutrition au niveau des secteurs ministériels et des partenaires</w:t>
      </w:r>
      <w:r w:rsidR="00380A2C">
        <w:t xml:space="preserve"> </w:t>
      </w:r>
      <w:r w:rsidR="00422DF4">
        <w:t xml:space="preserve">y compris le secteur privé </w:t>
      </w:r>
      <w:r w:rsidR="00380A2C">
        <w:t xml:space="preserve">afin de renforcer la coordination et la </w:t>
      </w:r>
      <w:r w:rsidR="006551E1">
        <w:t>rédevabilité</w:t>
      </w:r>
      <w:r w:rsidR="00380A2C">
        <w:t xml:space="preserve"> des acteurs de la PNSN</w:t>
      </w:r>
      <w:r>
        <w:t> ?</w:t>
      </w:r>
    </w:p>
    <w:p w14:paraId="036CF4E0" w14:textId="1840F345" w:rsidR="00586624" w:rsidRDefault="00586624" w:rsidP="00C8173E">
      <w:pPr>
        <w:pStyle w:val="pucesnumrotsPNIN"/>
        <w:shd w:val="clear" w:color="auto" w:fill="F2F2F2" w:themeFill="background1" w:themeFillShade="F2"/>
      </w:pPr>
      <w:r w:rsidRPr="002A21D8">
        <w:t>Comment concilier le ciblage des bénéficiaires en tenant compte des exigences d</w:t>
      </w:r>
      <w:r w:rsidR="00576C85">
        <w:t xml:space="preserve">es </w:t>
      </w:r>
      <w:r w:rsidRPr="002A21D8">
        <w:t>secteur</w:t>
      </w:r>
      <w:r w:rsidR="00576C85">
        <w:t>s</w:t>
      </w:r>
      <w:r w:rsidRPr="002A21D8">
        <w:t xml:space="preserve"> </w:t>
      </w:r>
      <w:r>
        <w:t>et les exigences de la PNSN ?</w:t>
      </w:r>
    </w:p>
    <w:p w14:paraId="66DEC9A7" w14:textId="57DF8913" w:rsidR="009A200B" w:rsidRDefault="009A200B" w:rsidP="00C8173E">
      <w:pPr>
        <w:pStyle w:val="pucesnumrotsPNIN"/>
        <w:shd w:val="clear" w:color="auto" w:fill="F2F2F2" w:themeFill="background1" w:themeFillShade="F2"/>
      </w:pPr>
      <w:r>
        <w:t>Comment définir un paquet minimum d’interventions sensibles et spécifiques à la nutrition</w:t>
      </w:r>
      <w:r w:rsidR="002C40EB">
        <w:t xml:space="preserve"> </w:t>
      </w:r>
      <w:r w:rsidRPr="00892433">
        <w:t>à haut impact</w:t>
      </w:r>
      <w:r w:rsidR="002C40EB">
        <w:t> </w:t>
      </w:r>
      <w:r>
        <w:t>?</w:t>
      </w:r>
    </w:p>
    <w:p w14:paraId="65F0AF66" w14:textId="359A9258" w:rsidR="009A200B" w:rsidRDefault="009A200B" w:rsidP="00C8173E">
      <w:pPr>
        <w:pStyle w:val="pucesnumrotsPNIN"/>
        <w:shd w:val="clear" w:color="auto" w:fill="F2F2F2" w:themeFill="background1" w:themeFillShade="F2"/>
      </w:pPr>
      <w:r>
        <w:t>Comment établir un plan de passage à l’échelle d’un paquet minimum d’interventions sensibles et spécifiques à la nutrition à haut impact dans un contexte de rareté des ressources financières ?</w:t>
      </w:r>
    </w:p>
    <w:p w14:paraId="084283BD" w14:textId="05ECF7CA" w:rsidR="00892433" w:rsidRDefault="00E85EFB" w:rsidP="00C8173E">
      <w:pPr>
        <w:pStyle w:val="pucesnumrotsPNIN"/>
        <w:shd w:val="clear" w:color="auto" w:fill="F2F2F2" w:themeFill="background1" w:themeFillShade="F2"/>
      </w:pPr>
      <w:r w:rsidRPr="00242670">
        <w:t xml:space="preserve">Comment suivre </w:t>
      </w:r>
      <w:r>
        <w:t>régulièrement certains</w:t>
      </w:r>
      <w:r w:rsidRPr="00242670">
        <w:t xml:space="preserve"> </w:t>
      </w:r>
      <w:r>
        <w:t xml:space="preserve">indicateurs des interventions spécifiques et sensibles à la nutrition retenus de manière consensuelle </w:t>
      </w:r>
      <w:r w:rsidR="000F6DFC">
        <w:t>et aux niveaux national, ré</w:t>
      </w:r>
      <w:r w:rsidR="002C40EB">
        <w:t>gional, départemental, communal </w:t>
      </w:r>
      <w:r w:rsidRPr="00242670">
        <w:t>?</w:t>
      </w:r>
    </w:p>
    <w:p w14:paraId="02C41D45" w14:textId="6EEAAE3D" w:rsidR="00CE241C" w:rsidRDefault="00CE241C" w:rsidP="00C8173E">
      <w:pPr>
        <w:pStyle w:val="pucesnumrotsPNIN"/>
        <w:shd w:val="clear" w:color="auto" w:fill="F2F2F2" w:themeFill="background1" w:themeFillShade="F2"/>
      </w:pPr>
      <w:r>
        <w:t>Comment mettre en place un système national d’information pour la nutrition ?</w:t>
      </w:r>
    </w:p>
    <w:p w14:paraId="61B9BF62" w14:textId="77777777" w:rsidR="002C40EB" w:rsidRDefault="002C40EB" w:rsidP="00C8173E">
      <w:pPr>
        <w:shd w:val="clear" w:color="auto" w:fill="F2F2F2" w:themeFill="background1" w:themeFillShade="F2"/>
        <w:spacing w:after="200" w:line="276" w:lineRule="auto"/>
        <w:sectPr w:rsidR="002C40EB" w:rsidSect="00A879E1">
          <w:pgSz w:w="11906" w:h="16838"/>
          <w:pgMar w:top="1418" w:right="1418" w:bottom="1418" w:left="1418" w:header="709" w:footer="709" w:gutter="0"/>
          <w:cols w:space="708"/>
          <w:docGrid w:linePitch="360"/>
        </w:sectPr>
      </w:pPr>
    </w:p>
    <w:p w14:paraId="49E8AE26" w14:textId="77777777" w:rsidR="00AD1EAB" w:rsidRPr="005B0736" w:rsidRDefault="00AD1EAB" w:rsidP="002C40EB">
      <w:pPr>
        <w:pStyle w:val="Titre1Situation"/>
      </w:pPr>
      <w:bookmarkStart w:id="82" w:name="_Toc528222366"/>
      <w:r w:rsidRPr="00EB3697">
        <w:lastRenderedPageBreak/>
        <w:t>Conclusion</w:t>
      </w:r>
      <w:bookmarkEnd w:id="82"/>
    </w:p>
    <w:p w14:paraId="0C5658C4" w14:textId="77777777" w:rsidR="000A2551" w:rsidRDefault="00507D43" w:rsidP="002C40EB">
      <w:pPr>
        <w:pStyle w:val="ParagrapheRapportPNIN"/>
      </w:pPr>
      <w:r>
        <w:t>L’analyse</w:t>
      </w:r>
      <w:r w:rsidR="00996ED6">
        <w:t xml:space="preserve"> documentaire réalisée a permis de faire ressortir des constats liés aux politiques, stratégies, plans et programmes </w:t>
      </w:r>
      <w:r w:rsidR="00943413">
        <w:t>nationaux et sectoriels examinés</w:t>
      </w:r>
      <w:r w:rsidR="00996ED6">
        <w:t xml:space="preserve"> et d’identifier certains enjeux de la nutrition.</w:t>
      </w:r>
      <w:r w:rsidR="00816C7D">
        <w:t xml:space="preserve"> </w:t>
      </w:r>
      <w:r w:rsidR="00996ED6">
        <w:t>Ces constats ont permis d’ébaucher des questions que la PNIN pourrait adresser dans son plan cadre d’analyse</w:t>
      </w:r>
      <w:r w:rsidR="00F6247C">
        <w:t>s</w:t>
      </w:r>
      <w:r w:rsidR="00996ED6">
        <w:t xml:space="preserve"> 2019-2020. </w:t>
      </w:r>
    </w:p>
    <w:p w14:paraId="0C8C24DB" w14:textId="6798165E" w:rsidR="00F6247C" w:rsidRDefault="00996ED6" w:rsidP="002C40EB">
      <w:pPr>
        <w:pStyle w:val="ParagrapheRapportPNIN"/>
      </w:pPr>
      <w:r>
        <w:t>Un consensus est à rechercher avec les secteurs pour une formulation de questions pertinentes et répondants à leurs besoins d’informations et à des formulations de recommandations pour des actions concrètes. Des analyses sta</w:t>
      </w:r>
      <w:r w:rsidR="00F6247C">
        <w:t>tistiques simples mais pertinent</w:t>
      </w:r>
      <w:r>
        <w:t>es seront conduites suite à l’élaboration du plan cadre d’analyse</w:t>
      </w:r>
      <w:r w:rsidR="00F6247C">
        <w:t>s</w:t>
      </w:r>
      <w:r>
        <w:t xml:space="preserve"> 2019-2020 de la PNIN. Les résultats de ces analyse</w:t>
      </w:r>
      <w:r w:rsidR="00F6247C">
        <w:t>s</w:t>
      </w:r>
      <w:r>
        <w:t xml:space="preserve"> devraient être traduits en messages explicites et forts afin d’influencer les développements futurs dans les secteurs et au niveau des décideurs. </w:t>
      </w:r>
    </w:p>
    <w:p w14:paraId="6AD4AA36" w14:textId="77777777" w:rsidR="00F6247C" w:rsidRDefault="00F6247C" w:rsidP="002C40EB">
      <w:pPr>
        <w:pStyle w:val="ParagrapheRapportPNIN"/>
      </w:pPr>
    </w:p>
    <w:p w14:paraId="4B6AA2A8" w14:textId="0268E91C" w:rsidR="007E4059" w:rsidRDefault="007E4059">
      <w:pPr>
        <w:spacing w:after="200" w:line="276" w:lineRule="auto"/>
        <w:rPr>
          <w:rFonts w:ascii="Arial" w:eastAsia="Calibri" w:hAnsi="Arial" w:cs="Calibri"/>
          <w:sz w:val="20"/>
        </w:rPr>
      </w:pPr>
      <w:r>
        <w:br w:type="page"/>
      </w:r>
    </w:p>
    <w:p w14:paraId="7C664BE2" w14:textId="4EC5162A" w:rsidR="00F6247C" w:rsidRDefault="007E4059" w:rsidP="00FF500B">
      <w:pPr>
        <w:pStyle w:val="Titre1Situation"/>
      </w:pPr>
      <w:bookmarkStart w:id="83" w:name="_Toc528222367"/>
      <w:r>
        <w:lastRenderedPageBreak/>
        <w:t>ANNEXE</w:t>
      </w:r>
      <w:bookmarkEnd w:id="83"/>
    </w:p>
    <w:p w14:paraId="7155BA63" w14:textId="45355DED" w:rsidR="000024C1" w:rsidRPr="000024C1" w:rsidRDefault="000024C1" w:rsidP="000024C1">
      <w:pPr>
        <w:jc w:val="both"/>
        <w:rPr>
          <w:rFonts w:ascii="Arial" w:eastAsia="Calibri" w:hAnsi="Arial" w:cs="Calibri"/>
          <w:sz w:val="20"/>
        </w:rPr>
      </w:pPr>
      <w:r>
        <w:rPr>
          <w:rFonts w:ascii="Arial" w:eastAsia="Calibri" w:hAnsi="Arial" w:cs="Calibri"/>
          <w:sz w:val="20"/>
        </w:rPr>
        <w:t xml:space="preserve"> </w:t>
      </w:r>
    </w:p>
    <w:p w14:paraId="00DC5810" w14:textId="77777777" w:rsidR="000024C1" w:rsidRPr="000024C1" w:rsidRDefault="000024C1" w:rsidP="000024C1">
      <w:pPr>
        <w:jc w:val="both"/>
      </w:pPr>
      <w:r w:rsidRPr="000024C1">
        <w:rPr>
          <w:noProof/>
          <w:lang w:eastAsia="fr-FR"/>
        </w:rPr>
        <w:drawing>
          <wp:inline distT="0" distB="0" distL="0" distR="0" wp14:anchorId="202B12A4" wp14:editId="2F76D33B">
            <wp:extent cx="5759450" cy="3394710"/>
            <wp:effectExtent l="0" t="0" r="0" b="0"/>
            <wp:docPr id="10"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94710"/>
                    </a:xfrm>
                    <a:prstGeom prst="rect">
                      <a:avLst/>
                    </a:prstGeom>
                    <a:noFill/>
                    <a:ln>
                      <a:noFill/>
                    </a:ln>
                  </pic:spPr>
                </pic:pic>
              </a:graphicData>
            </a:graphic>
          </wp:inline>
        </w:drawing>
      </w:r>
    </w:p>
    <w:p w14:paraId="79F025F1" w14:textId="55678D2F" w:rsidR="000024C1" w:rsidRPr="00016322" w:rsidRDefault="00161653" w:rsidP="007E4059">
      <w:pPr>
        <w:spacing w:after="200" w:line="276" w:lineRule="auto"/>
        <w:rPr>
          <w:lang w:val="en-US"/>
        </w:rPr>
      </w:pPr>
      <w:r w:rsidRPr="00016322">
        <w:rPr>
          <w:lang w:val="en-US"/>
        </w:rPr>
        <w:t xml:space="preserve"> </w:t>
      </w:r>
      <w:r w:rsidR="00E01D8A" w:rsidRPr="00016322">
        <w:rPr>
          <w:lang w:val="en-US"/>
        </w:rPr>
        <w:t>Source:</w:t>
      </w:r>
      <w:r w:rsidRPr="00016322">
        <w:rPr>
          <w:lang w:val="en-US"/>
        </w:rPr>
        <w:t xml:space="preserve"> </w:t>
      </w:r>
      <w:r w:rsidR="00016322" w:rsidRPr="00016322">
        <w:rPr>
          <w:lang w:val="en-US"/>
        </w:rPr>
        <w:t>The Lancet Maternal and child nutrition Series: Papers 1, 2, 3, 4 as well as the five comments published in June 2013.</w:t>
      </w:r>
    </w:p>
    <w:p w14:paraId="75D76976" w14:textId="77777777" w:rsidR="000024C1" w:rsidRPr="000024C1" w:rsidRDefault="000024C1" w:rsidP="000024C1">
      <w:pPr>
        <w:jc w:val="both"/>
        <w:rPr>
          <w:rFonts w:ascii="Arial" w:eastAsia="Calibri" w:hAnsi="Arial" w:cs="Calibri"/>
          <w:sz w:val="20"/>
        </w:rPr>
      </w:pPr>
      <w:r w:rsidRPr="000024C1">
        <w:rPr>
          <w:rFonts w:ascii="Arial" w:eastAsia="Calibri" w:hAnsi="Arial" w:cs="Calibri"/>
          <w:sz w:val="20"/>
        </w:rPr>
        <w:t>Le cadre  d’action pour permettre une nutrition et un développement optimaux du fœtus et du jeune enfant qui comporte :</w:t>
      </w:r>
    </w:p>
    <w:p w14:paraId="63F5DC89" w14:textId="77777777" w:rsidR="000024C1" w:rsidRPr="000024C1" w:rsidRDefault="000024C1" w:rsidP="000024C1">
      <w:pPr>
        <w:jc w:val="both"/>
        <w:rPr>
          <w:rFonts w:ascii="Arial" w:eastAsia="Calibri" w:hAnsi="Arial" w:cs="Calibri"/>
          <w:sz w:val="20"/>
        </w:rPr>
      </w:pPr>
    </w:p>
    <w:p w14:paraId="6A1A5998" w14:textId="77777777" w:rsidR="000024C1" w:rsidRPr="000024C1" w:rsidRDefault="000024C1" w:rsidP="000024C1">
      <w:pPr>
        <w:numPr>
          <w:ilvl w:val="0"/>
          <w:numId w:val="24"/>
        </w:numPr>
        <w:contextualSpacing/>
        <w:jc w:val="both"/>
        <w:rPr>
          <w:rFonts w:ascii="Arial" w:eastAsia="Calibri" w:hAnsi="Arial" w:cs="Calibri"/>
          <w:sz w:val="20"/>
        </w:rPr>
      </w:pPr>
      <w:r w:rsidRPr="000024C1">
        <w:rPr>
          <w:rFonts w:ascii="Arial" w:eastAsia="Calibri" w:hAnsi="Arial" w:cs="Calibri"/>
          <w:sz w:val="20"/>
        </w:rPr>
        <w:t>Les interventions spécifiques en nutrition</w:t>
      </w:r>
    </w:p>
    <w:p w14:paraId="0FEC16A8"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Santé de l’adolescent</w:t>
      </w:r>
    </w:p>
    <w:p w14:paraId="6F2DD6DD"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Nutrition avant la grossesse et nutrition avant la grossesse de la mère</w:t>
      </w:r>
    </w:p>
    <w:p w14:paraId="4C98C017"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Supplémentation nutritionnelle de la mère</w:t>
      </w:r>
    </w:p>
    <w:p w14:paraId="1B0E0A19"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Supplémentation en micronutriment ou fortification</w:t>
      </w:r>
    </w:p>
    <w:p w14:paraId="04A62F76"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Allaitement au sein et alimentation de complément</w:t>
      </w:r>
    </w:p>
    <w:p w14:paraId="76777531"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Supplémentation nutritionnelle pour les enfants</w:t>
      </w:r>
    </w:p>
    <w:p w14:paraId="5FD7C2E6"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Diversification alimentaire</w:t>
      </w:r>
    </w:p>
    <w:p w14:paraId="735CD32F"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Comportements alimentaires et stimulation</w:t>
      </w:r>
    </w:p>
    <w:p w14:paraId="4B1EA5EA"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Traitement de la malnutrition aigüe sévère</w:t>
      </w:r>
    </w:p>
    <w:p w14:paraId="71CFD4F3"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 xml:space="preserve">Prévention et gestion des maladies </w:t>
      </w:r>
    </w:p>
    <w:p w14:paraId="4D297167"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 xml:space="preserve">Interventions nutritionnelles en situation d’urgence </w:t>
      </w:r>
    </w:p>
    <w:p w14:paraId="49F05176" w14:textId="77777777" w:rsidR="000024C1" w:rsidRPr="000024C1" w:rsidRDefault="000024C1" w:rsidP="000024C1">
      <w:pPr>
        <w:jc w:val="both"/>
        <w:rPr>
          <w:rFonts w:ascii="Arial" w:eastAsia="Calibri" w:hAnsi="Arial" w:cs="Calibri"/>
          <w:sz w:val="20"/>
        </w:rPr>
      </w:pPr>
    </w:p>
    <w:p w14:paraId="2371FBED" w14:textId="77777777" w:rsidR="000024C1" w:rsidRPr="000024C1" w:rsidRDefault="000024C1" w:rsidP="000024C1">
      <w:pPr>
        <w:numPr>
          <w:ilvl w:val="0"/>
          <w:numId w:val="24"/>
        </w:numPr>
        <w:contextualSpacing/>
        <w:jc w:val="both"/>
        <w:rPr>
          <w:rFonts w:ascii="Arial" w:eastAsia="Calibri" w:hAnsi="Arial" w:cs="Calibri"/>
          <w:sz w:val="20"/>
        </w:rPr>
      </w:pPr>
      <w:r w:rsidRPr="000024C1">
        <w:rPr>
          <w:rFonts w:ascii="Arial" w:eastAsia="Calibri" w:hAnsi="Arial" w:cs="Calibri"/>
          <w:sz w:val="20"/>
        </w:rPr>
        <w:t>Les programmes et approches sensibles à la nutrition</w:t>
      </w:r>
    </w:p>
    <w:p w14:paraId="66DA87B1"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Agriculture et sécurité alimentaire</w:t>
      </w:r>
    </w:p>
    <w:p w14:paraId="68946DE9"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Filets sociaux</w:t>
      </w:r>
    </w:p>
    <w:p w14:paraId="214970F8"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Développement de la petite enfance</w:t>
      </w:r>
    </w:p>
    <w:p w14:paraId="197F8E19"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Protection de l’enfant</w:t>
      </w:r>
    </w:p>
    <w:p w14:paraId="4D7B0ACE"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Santé mentale de la mère</w:t>
      </w:r>
    </w:p>
    <w:p w14:paraId="045A63BF"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Enseignement en classe</w:t>
      </w:r>
    </w:p>
    <w:p w14:paraId="1AB140E0"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Eau et assainissement</w:t>
      </w:r>
    </w:p>
    <w:p w14:paraId="1D12847B"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lastRenderedPageBreak/>
        <w:t>Services de santé et planification familiale</w:t>
      </w:r>
    </w:p>
    <w:p w14:paraId="6A711183"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Autonomisation des femmes</w:t>
      </w:r>
    </w:p>
    <w:p w14:paraId="0EB9BC97" w14:textId="77777777" w:rsidR="000024C1" w:rsidRPr="000024C1" w:rsidRDefault="000024C1" w:rsidP="000024C1">
      <w:pPr>
        <w:ind w:left="1068"/>
        <w:contextualSpacing/>
        <w:jc w:val="both"/>
        <w:rPr>
          <w:rFonts w:ascii="Arial" w:eastAsia="Calibri" w:hAnsi="Arial" w:cs="Calibri"/>
          <w:sz w:val="20"/>
        </w:rPr>
      </w:pPr>
    </w:p>
    <w:p w14:paraId="068492D9" w14:textId="511431C2" w:rsidR="000024C1" w:rsidRPr="000024C1" w:rsidRDefault="000024C1" w:rsidP="000024C1">
      <w:pPr>
        <w:jc w:val="both"/>
        <w:rPr>
          <w:rFonts w:ascii="Arial" w:eastAsia="Calibri" w:hAnsi="Arial" w:cs="Calibri"/>
          <w:sz w:val="20"/>
        </w:rPr>
      </w:pPr>
      <w:r w:rsidRPr="000024C1">
        <w:rPr>
          <w:rFonts w:ascii="Arial" w:eastAsia="Calibri" w:hAnsi="Arial" w:cs="Calibri"/>
          <w:sz w:val="20"/>
        </w:rPr>
        <w:t>La c</w:t>
      </w:r>
      <w:r>
        <w:rPr>
          <w:rFonts w:ascii="Arial" w:eastAsia="Calibri" w:hAnsi="Arial" w:cs="Calibri"/>
          <w:sz w:val="20"/>
        </w:rPr>
        <w:t>réation</w:t>
      </w:r>
      <w:r w:rsidRPr="000024C1">
        <w:rPr>
          <w:rFonts w:ascii="Arial" w:eastAsia="Calibri" w:hAnsi="Arial" w:cs="Calibri"/>
          <w:sz w:val="20"/>
        </w:rPr>
        <w:t xml:space="preserve"> d’un environnement favorable</w:t>
      </w:r>
    </w:p>
    <w:p w14:paraId="270245D5"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Evaluations rigoureuses</w:t>
      </w:r>
    </w:p>
    <w:p w14:paraId="1D3DBC4C"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Stratégies de plaidoyer</w:t>
      </w:r>
    </w:p>
    <w:p w14:paraId="646D60C3"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Coordination horizontale verticale</w:t>
      </w:r>
    </w:p>
    <w:p w14:paraId="5325F8AC"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Redevabilité, régulation des motivations, législation</w:t>
      </w:r>
    </w:p>
    <w:p w14:paraId="72C1C489"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Programmes de leadership</w:t>
      </w:r>
    </w:p>
    <w:p w14:paraId="0E9DA4BF"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Capacité d’investissements</w:t>
      </w:r>
    </w:p>
    <w:p w14:paraId="50C5F94B" w14:textId="77777777" w:rsidR="000024C1" w:rsidRPr="000024C1" w:rsidRDefault="000024C1" w:rsidP="000024C1">
      <w:pPr>
        <w:numPr>
          <w:ilvl w:val="0"/>
          <w:numId w:val="25"/>
        </w:numPr>
        <w:contextualSpacing/>
        <w:jc w:val="both"/>
        <w:rPr>
          <w:rFonts w:ascii="Arial" w:eastAsia="Calibri" w:hAnsi="Arial" w:cs="Calibri"/>
          <w:sz w:val="20"/>
        </w:rPr>
      </w:pPr>
      <w:r w:rsidRPr="000024C1">
        <w:rPr>
          <w:rFonts w:ascii="Arial" w:eastAsia="Calibri" w:hAnsi="Arial" w:cs="Calibri"/>
          <w:sz w:val="20"/>
        </w:rPr>
        <w:t>Mobilisation des ressources intérieure</w:t>
      </w:r>
    </w:p>
    <w:p w14:paraId="55F99E24" w14:textId="77777777" w:rsidR="000024C1" w:rsidRPr="000024C1" w:rsidRDefault="000024C1" w:rsidP="000024C1">
      <w:pPr>
        <w:jc w:val="both"/>
        <w:rPr>
          <w:rFonts w:ascii="Arial" w:eastAsia="Calibri" w:hAnsi="Arial" w:cs="Calibri"/>
          <w:sz w:val="20"/>
        </w:rPr>
      </w:pPr>
    </w:p>
    <w:p w14:paraId="0CEC82D8" w14:textId="77777777" w:rsidR="000024C1" w:rsidRDefault="000024C1" w:rsidP="007E4059">
      <w:pPr>
        <w:spacing w:after="200" w:line="276" w:lineRule="auto"/>
      </w:pPr>
    </w:p>
    <w:p w14:paraId="68644859" w14:textId="77777777" w:rsidR="000024C1" w:rsidRDefault="000024C1" w:rsidP="007E4059">
      <w:pPr>
        <w:spacing w:after="200" w:line="276" w:lineRule="auto"/>
      </w:pPr>
    </w:p>
    <w:p w14:paraId="49CEADD6" w14:textId="77777777" w:rsidR="000024C1" w:rsidRDefault="000024C1" w:rsidP="007E4059">
      <w:pPr>
        <w:spacing w:after="200" w:line="276" w:lineRule="auto"/>
      </w:pPr>
    </w:p>
    <w:p w14:paraId="6408C6A3" w14:textId="77777777" w:rsidR="000024C1" w:rsidRDefault="000024C1" w:rsidP="007E4059">
      <w:pPr>
        <w:spacing w:after="200" w:line="276" w:lineRule="auto"/>
        <w:sectPr w:rsidR="000024C1" w:rsidSect="00A879E1">
          <w:pgSz w:w="11906" w:h="16838"/>
          <w:pgMar w:top="1418" w:right="1418" w:bottom="1418" w:left="1418" w:header="709" w:footer="709" w:gutter="0"/>
          <w:cols w:space="708"/>
          <w:docGrid w:linePitch="360"/>
        </w:sectPr>
      </w:pPr>
    </w:p>
    <w:p w14:paraId="61A20E56" w14:textId="77777777" w:rsidR="000F6412" w:rsidRPr="006872B9" w:rsidRDefault="007A522F" w:rsidP="00F6247C">
      <w:pPr>
        <w:pStyle w:val="Titre1Situation"/>
      </w:pPr>
      <w:bookmarkStart w:id="84" w:name="_Toc528222368"/>
      <w:r w:rsidRPr="006872B9">
        <w:lastRenderedPageBreak/>
        <w:t>REFERENCES</w:t>
      </w:r>
      <w:bookmarkEnd w:id="84"/>
    </w:p>
    <w:p w14:paraId="407C2880" w14:textId="29D0AAD7" w:rsidR="007A209B" w:rsidRDefault="007A209B" w:rsidP="0029166D">
      <w:pPr>
        <w:pStyle w:val="ParagrapheRapportPNIN"/>
      </w:pPr>
      <w:r>
        <w:t>Action Contre la Faim, 2013. Réconcilier l’agriculture et la nutrition, Étude de cas sur les politiques agricoles et la nutrition au Burkina Faso</w:t>
      </w:r>
    </w:p>
    <w:p w14:paraId="762A7AFB" w14:textId="53F96CBC" w:rsidR="007A209B" w:rsidRDefault="007A209B" w:rsidP="001535F0">
      <w:pPr>
        <w:pStyle w:val="ParagrapheRapportPNIN"/>
      </w:pPr>
      <w:r w:rsidRPr="007A209B">
        <w:t>Action Contre la Faim</w:t>
      </w:r>
      <w:r w:rsidRPr="001535F0">
        <w:t>, 2015. Intégration de la nutrition dans les politiques et programmes des secteurs contributeurs.</w:t>
      </w:r>
    </w:p>
    <w:p w14:paraId="56BCF022" w14:textId="77777777" w:rsidR="007A209B" w:rsidRDefault="007A209B" w:rsidP="001535F0">
      <w:pPr>
        <w:pStyle w:val="ParagrapheRapportPNIN"/>
      </w:pPr>
      <w:r>
        <w:t>Aide-mémoire de l’OMS sur une alimentation saine, aide-mémoire n° 394, accessible à http://www.who.int/mediacentre/factsheets/fs394/fr/</w:t>
      </w:r>
    </w:p>
    <w:p w14:paraId="45889B62" w14:textId="77777777" w:rsidR="007A209B" w:rsidRDefault="007A209B" w:rsidP="0029166D">
      <w:pPr>
        <w:pStyle w:val="ParagrapheRapportPNIN"/>
      </w:pPr>
      <w:r>
        <w:t>Analyse de coût-efficacité de la mise à l’échelle des interventions spécifiques à la nutrition au Niger</w:t>
      </w:r>
    </w:p>
    <w:p w14:paraId="20594D6B" w14:textId="77777777" w:rsidR="007A209B" w:rsidRDefault="007A209B" w:rsidP="00190C0A">
      <w:pPr>
        <w:pStyle w:val="ParagrapheRapportPNIN"/>
      </w:pPr>
      <w:r>
        <w:t xml:space="preserve">Document final de la Conférence – Cadre d’action, consultable à </w:t>
      </w:r>
      <w:hyperlink r:id="rId17" w:history="1">
        <w:r w:rsidRPr="007A209B">
          <w:t>http://www.fao.org/3/a-mm215f.pdf</w:t>
        </w:r>
      </w:hyperlink>
    </w:p>
    <w:p w14:paraId="1CFBBC18" w14:textId="77777777" w:rsidR="007A209B" w:rsidRPr="006872B9" w:rsidRDefault="007A209B" w:rsidP="00190C0A">
      <w:pPr>
        <w:pStyle w:val="ParagrapheRapportPNIN"/>
        <w:rPr>
          <w:lang w:val="en-US"/>
        </w:rPr>
      </w:pPr>
      <w:r w:rsidRPr="006872B9">
        <w:rPr>
          <w:lang w:val="en-US"/>
        </w:rPr>
        <w:t>Emergency Nutrition Network, USAID (2014) “Technical Briefing Paper, Associations between Wasting and Stunting, policy, programming and research implications”.</w:t>
      </w:r>
    </w:p>
    <w:p w14:paraId="006B9D5E" w14:textId="3DF32BF3" w:rsidR="007A209B" w:rsidRDefault="007A209B" w:rsidP="001535F0">
      <w:pPr>
        <w:pStyle w:val="ParagrapheRapportPNIN"/>
      </w:pPr>
      <w:r w:rsidRPr="007A209B">
        <w:t>Organisation des Nations Unies pour l’alimentation et l’agriculture</w:t>
      </w:r>
      <w:r>
        <w:t xml:space="preserve"> 2015. Concevoir des programmes d’investissement agricoles sensibles à la nutrition. Guide pour la formulation de programmes</w:t>
      </w:r>
    </w:p>
    <w:p w14:paraId="3B80DEEA" w14:textId="4C582E52" w:rsidR="007A209B" w:rsidRDefault="007A209B" w:rsidP="001535F0">
      <w:pPr>
        <w:pStyle w:val="ParagrapheRapportPNIN"/>
      </w:pPr>
      <w:r w:rsidRPr="007A209B">
        <w:t>Organisation des Nations Unies pour l’alimentation et l’agriculture</w:t>
      </w:r>
      <w:r>
        <w:t>, 2013. La situation mondiale de l’alimentation et de l’agriculture: Mettre les systèmes alimentaires au service d’une meilleure nutrition. Rome</w:t>
      </w:r>
    </w:p>
    <w:p w14:paraId="59F48096" w14:textId="0F5F8AFE" w:rsidR="007A209B" w:rsidRDefault="007A209B" w:rsidP="001535F0">
      <w:pPr>
        <w:pStyle w:val="ParagrapheRapportPNIN"/>
      </w:pPr>
      <w:r w:rsidRPr="007A209B">
        <w:t>Organisation des Nations Unies pour l’alimentation et l’agriculture</w:t>
      </w:r>
      <w:r w:rsidRPr="001535F0">
        <w:t>, 2015. Nutrition et protection sociale</w:t>
      </w:r>
    </w:p>
    <w:p w14:paraId="13F5EE09" w14:textId="622A3328" w:rsidR="007A209B" w:rsidRDefault="007A209B" w:rsidP="001535F0">
      <w:pPr>
        <w:pStyle w:val="ParagrapheRapportPNIN"/>
      </w:pPr>
      <w:r w:rsidRPr="007A209B">
        <w:t>Organisation des Nations Unies pour l’alimentation et l’agriculture</w:t>
      </w:r>
      <w:r>
        <w:t>, 2015. Recommandations clés pour améliorer la nutrition à travers l’agriculture et les systèmes alimentaires</w:t>
      </w:r>
    </w:p>
    <w:p w14:paraId="5CB98631" w14:textId="275C4762" w:rsidR="007A209B" w:rsidRDefault="007A209B" w:rsidP="001535F0">
      <w:pPr>
        <w:pStyle w:val="ParagrapheRapportPNIN"/>
      </w:pPr>
      <w:r w:rsidRPr="007A209B">
        <w:t xml:space="preserve">Organisation des Nations Unies pour l’alimentation et l’agriculture, 2016. Diversifying production and diets. </w:t>
      </w:r>
      <w:r>
        <w:t>Easier said than done</w:t>
      </w:r>
    </w:p>
    <w:p w14:paraId="545DE51C" w14:textId="385A7F28" w:rsidR="007A209B" w:rsidRDefault="007A209B" w:rsidP="001535F0">
      <w:pPr>
        <w:pStyle w:val="ParagrapheRapportPNIN"/>
      </w:pPr>
      <w:r w:rsidRPr="007A209B">
        <w:t>Organisation des Nations Unies pour l’alimentation et l’agriculture</w:t>
      </w:r>
      <w:r>
        <w:t>, 2018. Agriculture et systèmes alimentaires sensibles à la nutrition en pratique : options d’interventions</w:t>
      </w:r>
    </w:p>
    <w:p w14:paraId="312B3ECF" w14:textId="4A3C12CB" w:rsidR="007A209B" w:rsidRDefault="007A209B" w:rsidP="001535F0">
      <w:pPr>
        <w:pStyle w:val="ParagrapheRapportPNIN"/>
      </w:pPr>
      <w:r w:rsidRPr="007A209B">
        <w:lastRenderedPageBreak/>
        <w:t>Organisation des Nations Unies pour l’alimentation et l’agriculture</w:t>
      </w:r>
      <w:r>
        <w:t>, 2018. Agriculture et systèmes alimentaires sensibles à la nutrition en pratique : options d’interventions</w:t>
      </w:r>
    </w:p>
    <w:p w14:paraId="63156AA8" w14:textId="09DF3F10" w:rsidR="007A209B" w:rsidRDefault="007A209B" w:rsidP="001535F0">
      <w:pPr>
        <w:pStyle w:val="ParagrapheRapportPNIN"/>
      </w:pPr>
      <w:r w:rsidRPr="007A209B">
        <w:t>Organisation des Nations Unies pour l’alimentation et l’agriculture</w:t>
      </w:r>
      <w:r>
        <w:t>, 2018. Recueil d’indicateurs pour une agriculture sensible à la nutrition</w:t>
      </w:r>
    </w:p>
    <w:p w14:paraId="47A9989B" w14:textId="77777777" w:rsidR="007A209B" w:rsidRPr="006872B9" w:rsidRDefault="007A209B" w:rsidP="0029166D">
      <w:pPr>
        <w:pStyle w:val="ParagrapheRapportPNIN"/>
        <w:rPr>
          <w:lang w:val="en-US"/>
        </w:rPr>
      </w:pPr>
      <w:r w:rsidRPr="007A209B">
        <w:t xml:space="preserve">Fenn B, Bulti AT, Nduna T, Duffield A, Watson F (2012). </w:t>
      </w:r>
      <w:r w:rsidRPr="006872B9">
        <w:rPr>
          <w:lang w:val="en-US"/>
        </w:rPr>
        <w:t>An evaluation of an operations research project to reduce childhoodstunting in a food-insecure area in Ethiopia. Public Health Nutr. 15(9):1746–54.</w:t>
      </w:r>
    </w:p>
    <w:p w14:paraId="50504986" w14:textId="77777777" w:rsidR="007A209B" w:rsidRPr="006872B9" w:rsidRDefault="007A209B" w:rsidP="001535F0">
      <w:pPr>
        <w:pStyle w:val="ParagrapheRapportPNIN"/>
        <w:rPr>
          <w:lang w:val="en-US"/>
        </w:rPr>
      </w:pPr>
      <w:r w:rsidRPr="006872B9">
        <w:rPr>
          <w:lang w:val="en-US"/>
        </w:rPr>
        <w:t xml:space="preserve">Haddad L, Mejia Acosta A, Fanzo J. Accelerating reductions in undernutrition: what can nutrition governance tell us? Brighton, UK: IDS, 2012. </w:t>
      </w:r>
      <w:hyperlink r:id="rId18" w:history="1">
        <w:r w:rsidRPr="006872B9">
          <w:rPr>
            <w:lang w:val="en-US"/>
          </w:rPr>
          <w:t>http://www.ids.ac.uk/files/dmfile/InFocus22.pdf</w:t>
        </w:r>
      </w:hyperlink>
    </w:p>
    <w:p w14:paraId="33218401" w14:textId="77777777" w:rsidR="007A209B" w:rsidRDefault="007A209B" w:rsidP="0029166D">
      <w:pPr>
        <w:pStyle w:val="ParagrapheRapportPNIN"/>
      </w:pPr>
      <w:r>
        <w:t>Initiative 3N, juin 2016 : Bilan consolidé 2011-2015</w:t>
      </w:r>
    </w:p>
    <w:p w14:paraId="27D1EA8A" w14:textId="77777777" w:rsidR="007A209B" w:rsidRDefault="007A209B" w:rsidP="0029166D">
      <w:pPr>
        <w:pStyle w:val="ParagrapheRapportPNIN"/>
      </w:pPr>
      <w:r>
        <w:t>Initiative 3N. Plan d’action 2016-2020 de l’initiative 3N.</w:t>
      </w:r>
    </w:p>
    <w:p w14:paraId="3B1F713F" w14:textId="77777777" w:rsidR="007A209B" w:rsidRDefault="007A209B" w:rsidP="0029166D">
      <w:pPr>
        <w:pStyle w:val="ParagrapheRapportPNIN"/>
      </w:pPr>
      <w:r>
        <w:t>Institut National de la Statistique, 2012. Enquête Démographique et de Santé et à Indicateurs Multiples (EDSN-MICS IV) 2012</w:t>
      </w:r>
    </w:p>
    <w:p w14:paraId="039F1E98" w14:textId="77777777" w:rsidR="007A209B" w:rsidRDefault="007A209B" w:rsidP="0029166D">
      <w:pPr>
        <w:pStyle w:val="ParagrapheRapportPNIN"/>
      </w:pPr>
      <w:r w:rsidRPr="0029166D">
        <w:t>Institut National de la Statistique</w:t>
      </w:r>
      <w:r>
        <w:t>, 2016. Evaluation nationale de la situation nutritionnelle par la méthodologie SMART au Niger</w:t>
      </w:r>
    </w:p>
    <w:p w14:paraId="0A656D49" w14:textId="77777777" w:rsidR="007A209B" w:rsidRDefault="007A209B" w:rsidP="00190C0A">
      <w:pPr>
        <w:pStyle w:val="ParagrapheRapportPNIN"/>
      </w:pPr>
      <w:r>
        <w:t>Institut National de la Statistique, Enquête nationale nutritionnelle 2016.</w:t>
      </w:r>
    </w:p>
    <w:p w14:paraId="701E489B" w14:textId="77777777" w:rsidR="007A209B" w:rsidRDefault="007A209B" w:rsidP="0029166D">
      <w:pPr>
        <w:pStyle w:val="ParagrapheRapportPNIN"/>
      </w:pPr>
      <w:r w:rsidRPr="0029166D">
        <w:t>La Stratégie de Développement Durable et de Croissance Inclusive (SDDCI) Niger 2035</w:t>
      </w:r>
    </w:p>
    <w:p w14:paraId="54D46043" w14:textId="77777777" w:rsidR="007A209B" w:rsidRPr="006872B9" w:rsidRDefault="007A209B" w:rsidP="00EF716B">
      <w:pPr>
        <w:pStyle w:val="ParagrapheRapportPNIN"/>
        <w:jc w:val="left"/>
        <w:rPr>
          <w:lang w:val="en-US"/>
        </w:rPr>
      </w:pPr>
      <w:r w:rsidRPr="006872B9">
        <w:rPr>
          <w:lang w:val="en-US"/>
        </w:rPr>
        <w:t xml:space="preserve">LiST: from WHO estimates (2000-2015); </w:t>
      </w:r>
      <w:hyperlink r:id="rId19" w:history="1">
        <w:r w:rsidRPr="006872B9">
          <w:rPr>
            <w:lang w:val="en-US"/>
          </w:rPr>
          <w:t>http://www.who.int/healthinfo/global_burden_disease/estimates_child_cod_2015/en/</w:t>
        </w:r>
      </w:hyperlink>
    </w:p>
    <w:p w14:paraId="727DD137" w14:textId="77777777" w:rsidR="007A209B" w:rsidRPr="006872B9" w:rsidRDefault="007A209B" w:rsidP="00EF716B">
      <w:pPr>
        <w:pStyle w:val="ParagrapheRapportPNIN"/>
        <w:jc w:val="left"/>
        <w:rPr>
          <w:lang w:val="en-US"/>
        </w:rPr>
      </w:pPr>
      <w:r w:rsidRPr="006872B9">
        <w:rPr>
          <w:lang w:val="en-US"/>
        </w:rPr>
        <w:t xml:space="preserve">LiST: from WHO estimates (2000-2015); </w:t>
      </w:r>
      <w:hyperlink r:id="rId20" w:history="1">
        <w:r w:rsidRPr="006872B9">
          <w:rPr>
            <w:lang w:val="en-US"/>
          </w:rPr>
          <w:t>http://www.who.int/healthinfo/global_burden_disease/estimates_child_cod_2015/en/</w:t>
        </w:r>
      </w:hyperlink>
    </w:p>
    <w:p w14:paraId="5FD013E1" w14:textId="501991DC" w:rsidR="007A209B" w:rsidRPr="006872B9" w:rsidRDefault="007A209B" w:rsidP="001535F0">
      <w:pPr>
        <w:pStyle w:val="ParagrapheRapportPNIN"/>
        <w:rPr>
          <w:lang w:val="en-US"/>
        </w:rPr>
      </w:pPr>
      <w:r w:rsidRPr="006872B9">
        <w:rPr>
          <w:lang w:val="en-US"/>
        </w:rPr>
        <w:t>Melissa C. Daniels and Linda S. Adair, 2004. “Growth in young Filipino children predicts schooling trajectories through high school”, The Journal of Nutrition, March 22, 2004, Jn.nutrition.org</w:t>
      </w:r>
    </w:p>
    <w:p w14:paraId="4C9783F7" w14:textId="77777777" w:rsidR="007A209B" w:rsidRDefault="007A209B" w:rsidP="0029166D">
      <w:pPr>
        <w:pStyle w:val="ParagrapheRapportPNIN"/>
      </w:pPr>
      <w:r>
        <w:t>Ministère de la Santé Publique, 2016. Annuaire des statistiques sanitaires du Niger année 2016.</w:t>
      </w:r>
    </w:p>
    <w:p w14:paraId="21025C76" w14:textId="77777777" w:rsidR="007A209B" w:rsidRDefault="007A209B" w:rsidP="0029166D">
      <w:pPr>
        <w:pStyle w:val="ParagrapheRapportPNIN"/>
      </w:pPr>
      <w:r>
        <w:t>Mouvement SUN. Stratégie et feuille de route (2016 - 2020)</w:t>
      </w:r>
    </w:p>
    <w:p w14:paraId="72A1D562" w14:textId="77777777" w:rsidR="007A209B" w:rsidRDefault="007A209B" w:rsidP="001535F0">
      <w:pPr>
        <w:pStyle w:val="ParagrapheRapportPNIN"/>
      </w:pPr>
      <w:r>
        <w:t>Nelson GC, Rosegrant MW, Koo J, Robertson R, Sulser T, Zhu T, et al., (2009) Impact on Agriculture and Costs of Adaptation. Institut international de recherche sur les politiques alimentaires (IFPRI), Washington DC.</w:t>
      </w:r>
    </w:p>
    <w:p w14:paraId="45840B7C" w14:textId="77777777" w:rsidR="007A209B" w:rsidRDefault="007A209B" w:rsidP="00190C0A">
      <w:pPr>
        <w:pStyle w:val="ParagrapheRapportPNIN"/>
      </w:pPr>
      <w:r>
        <w:t>Organisation Mondiale de la Santé (2013). Plan d’action mondial pour la lutte contre les maladies non transmissibles 2013- 2020. Genève</w:t>
      </w:r>
    </w:p>
    <w:p w14:paraId="75B969B0" w14:textId="77777777" w:rsidR="007A209B" w:rsidRDefault="007A209B" w:rsidP="00190C0A">
      <w:pPr>
        <w:pStyle w:val="ParagrapheRapportPNIN"/>
      </w:pPr>
      <w:r>
        <w:t xml:space="preserve">Organisation Mondiale de la Santé (2014). Cibles mondiales de nutrition 2025: Notes d’orientation (WHO/NMH/NHD/14.2). Genève: Organisation mondiale de la Santé </w:t>
      </w:r>
    </w:p>
    <w:p w14:paraId="65187661" w14:textId="77777777" w:rsidR="007A209B" w:rsidRDefault="007A209B" w:rsidP="0029166D">
      <w:pPr>
        <w:pStyle w:val="ParagrapheRapportPNIN"/>
      </w:pPr>
      <w:r>
        <w:t>Organisation Mondiale de la Santé, Rapport annuel 2016 du Bureau de la Représentation de l’OMS au Niger.</w:t>
      </w:r>
    </w:p>
    <w:p w14:paraId="7E12ED6B" w14:textId="77777777" w:rsidR="007A209B" w:rsidRDefault="007A209B" w:rsidP="001535F0">
      <w:pPr>
        <w:pStyle w:val="ParagrapheRapportPNIN"/>
      </w:pPr>
      <w:r>
        <w:t>PAM, 2018. Le coût de la faim en Afrique : l’incidence sociale et économique de la malnutrition chez l’enfant au Niger.</w:t>
      </w:r>
    </w:p>
    <w:p w14:paraId="372B114A" w14:textId="77777777" w:rsidR="007A209B" w:rsidRDefault="007A209B" w:rsidP="001535F0">
      <w:pPr>
        <w:pStyle w:val="ParagrapheRapportPNIN"/>
      </w:pPr>
      <w:r>
        <w:lastRenderedPageBreak/>
        <w:t>Plan d’action multisectoriel 2017-2019 de la politique nationale de sécurité nutritionnelle (PNSN)</w:t>
      </w:r>
    </w:p>
    <w:p w14:paraId="4FB0A2C2" w14:textId="77777777" w:rsidR="007A209B" w:rsidRDefault="007A209B" w:rsidP="0029166D">
      <w:pPr>
        <w:pStyle w:val="ParagrapheRapportPNIN"/>
      </w:pPr>
      <w:r w:rsidRPr="0029166D">
        <w:t>Plan d’Actions Prioritaires du PDES 2017-2021.</w:t>
      </w:r>
    </w:p>
    <w:p w14:paraId="4660C0EC" w14:textId="77777777" w:rsidR="007A209B" w:rsidRDefault="007A209B" w:rsidP="0029166D">
      <w:pPr>
        <w:pStyle w:val="ParagrapheRapportPNIN"/>
      </w:pPr>
      <w:r w:rsidRPr="0029166D">
        <w:t>Plan de Développement Economique et Social 2017-2021 Un Niger renaissant pour un peuple prospère</w:t>
      </w:r>
    </w:p>
    <w:p w14:paraId="08D5EC6A" w14:textId="77777777" w:rsidR="007A209B" w:rsidRDefault="007A209B" w:rsidP="0029166D">
      <w:pPr>
        <w:pStyle w:val="ParagrapheRapportPNIN"/>
      </w:pPr>
      <w:r w:rsidRPr="0029166D">
        <w:t>Politique Nationale de Sécurité Nutritionnelle au Niger (2016-2025)</w:t>
      </w:r>
    </w:p>
    <w:p w14:paraId="11DB4759" w14:textId="77777777" w:rsidR="007A209B" w:rsidRDefault="007A209B" w:rsidP="00190C0A">
      <w:pPr>
        <w:pStyle w:val="ParagrapheRapportPNIN"/>
      </w:pPr>
      <w:r>
        <w:t>Programme Alimentaire Mondial, 2018. Coût de la faim au Niger : l’incidence sociale et économique de la malnutrition chez l’enfant au Niger.</w:t>
      </w:r>
    </w:p>
    <w:p w14:paraId="244CD496" w14:textId="77777777" w:rsidR="007A209B" w:rsidRDefault="007A209B" w:rsidP="001535F0">
      <w:pPr>
        <w:pStyle w:val="ParagrapheRapportPNIN"/>
      </w:pPr>
      <w:r w:rsidRPr="001535F0">
        <w:t xml:space="preserve">Rapport de l’Etude des déterminants des politiques  en matière de nutrition au Niger : Comprendre les liens entre la politique multisectorielle de nutrition et les politiques sectorielles et les liens avec les évidences qui sous-tendent ces politiques. </w:t>
      </w:r>
      <w:hyperlink r:id="rId21" w:history="1">
        <w:r w:rsidRPr="007A209B">
          <w:t>http://www.nipn-nutrition-platforms.org/IMG/pdf/nutrition-policy-niger.pdf</w:t>
        </w:r>
      </w:hyperlink>
    </w:p>
    <w:p w14:paraId="022ACE97" w14:textId="77777777" w:rsidR="007A209B" w:rsidRDefault="007A209B" w:rsidP="001535F0">
      <w:pPr>
        <w:pStyle w:val="ParagrapheRapportPNIN"/>
      </w:pPr>
      <w:r>
        <w:t>REACH - Cartographie des interventions et des intervenants dans le domaine de la nutrition au Niger.</w:t>
      </w:r>
    </w:p>
    <w:p w14:paraId="3F4433EC" w14:textId="3A429888" w:rsidR="007A209B" w:rsidRDefault="007A209B" w:rsidP="001535F0">
      <w:pPr>
        <w:pStyle w:val="ParagrapheRapportPNIN"/>
      </w:pPr>
      <w:bookmarkStart w:id="85" w:name="_GoBack"/>
      <w:r w:rsidRPr="00EF716B">
        <w:rPr>
          <w:lang w:val="en-US"/>
        </w:rPr>
        <w:t xml:space="preserve">S. Horton, M. Shekar, C. McDonald, A. Mahal and J.K. Brooks, Scaling Up Nutrition: </w:t>
      </w:r>
      <w:bookmarkEnd w:id="85"/>
      <w:r w:rsidRPr="00EF716B">
        <w:rPr>
          <w:lang w:val="en-US"/>
        </w:rPr>
        <w:t xml:space="preserve">What Will it Cost? </w:t>
      </w:r>
      <w:r>
        <w:t>World Bank, 2009.</w:t>
      </w:r>
    </w:p>
    <w:p w14:paraId="3688C000" w14:textId="3366A0D7" w:rsidR="007A209B" w:rsidRPr="006872B9" w:rsidRDefault="007A209B" w:rsidP="001535F0">
      <w:pPr>
        <w:pStyle w:val="ParagrapheRapportPNIN"/>
      </w:pPr>
      <w:r w:rsidRPr="006872B9">
        <w:t>Scaling Up Nutrition A Framework For Action, 2010</w:t>
      </w:r>
    </w:p>
    <w:p w14:paraId="373A939F" w14:textId="77777777" w:rsidR="007A209B" w:rsidRDefault="007A209B" w:rsidP="0029166D">
      <w:pPr>
        <w:pStyle w:val="ParagrapheRapportPNIN"/>
      </w:pPr>
      <w:r>
        <w:t>Stratégie de Développement Durable et de Croissance Inclusive Niger 2035 : Un pays et un peuple prospères</w:t>
      </w:r>
    </w:p>
    <w:p w14:paraId="5D3E0983" w14:textId="77777777" w:rsidR="007A209B" w:rsidRDefault="007A209B" w:rsidP="0029166D">
      <w:pPr>
        <w:pStyle w:val="ParagrapheRapportPNIN"/>
      </w:pPr>
      <w:r>
        <w:t>Stratégie de Développement Durable et de Croissance Inclusive Niger 2035 : Un pays et un peuple prospères</w:t>
      </w:r>
    </w:p>
    <w:p w14:paraId="2FFFBCC2" w14:textId="77777777" w:rsidR="007A209B" w:rsidRDefault="007A209B" w:rsidP="001535F0">
      <w:pPr>
        <w:pStyle w:val="ParagrapheRapportPNIN"/>
        <w:rPr>
          <w:lang w:val="en-US"/>
        </w:rPr>
      </w:pPr>
      <w:r w:rsidRPr="006872B9">
        <w:rPr>
          <w:lang w:val="en-US"/>
        </w:rPr>
        <w:t>The Lancet, “Maternal and Child Undernutrition,” Special Series, January, 2008</w:t>
      </w:r>
    </w:p>
    <w:p w14:paraId="1FF8ADBF" w14:textId="1030E518" w:rsidR="00161653" w:rsidRPr="00161653" w:rsidRDefault="00161653" w:rsidP="00190C0A">
      <w:pPr>
        <w:pStyle w:val="ParagrapheRapportPNIN"/>
        <w:rPr>
          <w:lang w:val="en-US"/>
        </w:rPr>
      </w:pPr>
      <w:r w:rsidRPr="00161653">
        <w:rPr>
          <w:lang w:val="en-US"/>
        </w:rPr>
        <w:t>The Lancet Maternal and child nutrition Series: Papers 1, 2, 3, 4 as well as the five comments published in June 2013.</w:t>
      </w:r>
    </w:p>
    <w:p w14:paraId="00F933F9" w14:textId="222E4BB6" w:rsidR="007A209B" w:rsidRDefault="007A209B" w:rsidP="00190C0A">
      <w:pPr>
        <w:pStyle w:val="ParagrapheRapportPNIN"/>
      </w:pPr>
      <w:r>
        <w:t>Tous Unis pour la Nutrition (TUN), décembre 2015 - Rapport d’étude sur l’intégration multisectorielle de La nutrition dans les politiques et Stratégies de développement au Niger</w:t>
      </w:r>
    </w:p>
    <w:p w14:paraId="359093D1" w14:textId="77777777" w:rsidR="007A209B" w:rsidRDefault="007A209B" w:rsidP="001535F0">
      <w:pPr>
        <w:pStyle w:val="ParagrapheRapportPNIN"/>
      </w:pPr>
      <w:r w:rsidRPr="00EF716B">
        <w:rPr>
          <w:lang w:val="en-US"/>
        </w:rPr>
        <w:t xml:space="preserve">United Nations System Standing Committee on Nutrition, Avril 2017. </w:t>
      </w:r>
      <w:r>
        <w:t>D’ici à 2030, mettre fin à toutes les formes de malnutrition et ne laisser personne de côté</w:t>
      </w:r>
    </w:p>
    <w:p w14:paraId="7D60A060" w14:textId="77777777" w:rsidR="007A209B" w:rsidRPr="007A209B" w:rsidRDefault="007A209B" w:rsidP="001535F0">
      <w:pPr>
        <w:pStyle w:val="ParagrapheRapportPNIN"/>
      </w:pPr>
      <w:r w:rsidRPr="006872B9">
        <w:rPr>
          <w:lang w:val="en-US"/>
        </w:rPr>
        <w:t xml:space="preserve">Whaley, Shannon et al., 2003. “The Impact of Dietary Intervention on the Cognitive Development of Kenyan School Children”, The Journal of Nutrition. </w:t>
      </w:r>
      <w:r w:rsidRPr="007A209B">
        <w:t>133: 3965S–3971S</w:t>
      </w:r>
    </w:p>
    <w:p w14:paraId="2C106833" w14:textId="6CFC9FD5" w:rsidR="00190C0A" w:rsidRPr="001B350D" w:rsidRDefault="00190C0A" w:rsidP="00190C0A">
      <w:pPr>
        <w:pStyle w:val="ParagrapheRapportPNIN"/>
      </w:pPr>
    </w:p>
    <w:p w14:paraId="75043EDF" w14:textId="77777777" w:rsidR="0029166D" w:rsidRPr="001B350D" w:rsidRDefault="0029166D" w:rsidP="0029166D">
      <w:pPr>
        <w:pStyle w:val="ParagrapheRapportPNIN"/>
      </w:pPr>
    </w:p>
    <w:sectPr w:rsidR="0029166D" w:rsidRPr="001B350D" w:rsidSect="00A879E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4592A" w14:textId="77777777" w:rsidR="00B23782" w:rsidRDefault="00B23782" w:rsidP="0023549F">
      <w:r>
        <w:separator/>
      </w:r>
    </w:p>
  </w:endnote>
  <w:endnote w:type="continuationSeparator" w:id="0">
    <w:p w14:paraId="21199A2A" w14:textId="77777777" w:rsidR="00B23782" w:rsidRDefault="00B23782" w:rsidP="0023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258961"/>
      <w:docPartObj>
        <w:docPartGallery w:val="Page Numbers (Bottom of Page)"/>
        <w:docPartUnique/>
      </w:docPartObj>
    </w:sdtPr>
    <w:sdtEndPr/>
    <w:sdtContent>
      <w:p w14:paraId="13DB298D" w14:textId="7A4FB685" w:rsidR="00EB5093" w:rsidRDefault="00EB5093">
        <w:pPr>
          <w:pStyle w:val="Pieddepage"/>
          <w:jc w:val="right"/>
        </w:pPr>
        <w:r>
          <w:fldChar w:fldCharType="begin"/>
        </w:r>
        <w:r>
          <w:instrText>PAGE   \* MERGEFORMAT</w:instrText>
        </w:r>
        <w:r>
          <w:fldChar w:fldCharType="separate"/>
        </w:r>
        <w:r w:rsidR="009F573A">
          <w:rPr>
            <w:noProof/>
          </w:rPr>
          <w:t>52</w:t>
        </w:r>
        <w:r>
          <w:fldChar w:fldCharType="end"/>
        </w:r>
      </w:p>
    </w:sdtContent>
  </w:sdt>
  <w:p w14:paraId="38C9E99A" w14:textId="77777777" w:rsidR="00EB5093" w:rsidRDefault="00EB509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072641"/>
      <w:docPartObj>
        <w:docPartGallery w:val="Page Numbers (Bottom of Page)"/>
        <w:docPartUnique/>
      </w:docPartObj>
    </w:sdtPr>
    <w:sdtEndPr/>
    <w:sdtContent>
      <w:p w14:paraId="282D0839" w14:textId="77777777" w:rsidR="00EB5093" w:rsidRDefault="00EB5093">
        <w:pPr>
          <w:pStyle w:val="Pieddepage"/>
          <w:jc w:val="center"/>
        </w:pPr>
        <w:r>
          <w:fldChar w:fldCharType="begin"/>
        </w:r>
        <w:r>
          <w:instrText xml:space="preserve"> PAGE   \* MERGEFORMAT </w:instrText>
        </w:r>
        <w:r>
          <w:fldChar w:fldCharType="separate"/>
        </w:r>
        <w:r w:rsidR="009F573A">
          <w:rPr>
            <w:noProof/>
          </w:rPr>
          <w:t>69</w:t>
        </w:r>
        <w:r>
          <w:rPr>
            <w:noProof/>
          </w:rPr>
          <w:fldChar w:fldCharType="end"/>
        </w:r>
      </w:p>
    </w:sdtContent>
  </w:sdt>
  <w:p w14:paraId="62A14547" w14:textId="77777777" w:rsidR="00EB5093" w:rsidRDefault="00EB50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8AE6A" w14:textId="77777777" w:rsidR="00B23782" w:rsidRDefault="00B23782" w:rsidP="0023549F">
      <w:r>
        <w:separator/>
      </w:r>
    </w:p>
  </w:footnote>
  <w:footnote w:type="continuationSeparator" w:id="0">
    <w:p w14:paraId="7ED368F7" w14:textId="77777777" w:rsidR="00B23782" w:rsidRDefault="00B23782" w:rsidP="0023549F">
      <w:r>
        <w:continuationSeparator/>
      </w:r>
    </w:p>
  </w:footnote>
  <w:footnote w:id="1">
    <w:p w14:paraId="2E9AB6AB" w14:textId="77777777" w:rsidR="00EB5093" w:rsidRPr="00545726" w:rsidRDefault="00EB5093" w:rsidP="00843880">
      <w:pPr>
        <w:pStyle w:val="Notedebasdepage"/>
        <w:ind w:left="1560"/>
        <w:rPr>
          <w:rFonts w:ascii="Arial" w:hAnsi="Arial" w:cs="Arial"/>
          <w:sz w:val="18"/>
          <w:lang w:val="en-US"/>
        </w:rPr>
      </w:pPr>
      <w:r w:rsidRPr="00545726">
        <w:rPr>
          <w:rStyle w:val="Appelnotedebasdep"/>
          <w:rFonts w:ascii="Arial" w:hAnsi="Arial" w:cs="Arial"/>
          <w:sz w:val="18"/>
        </w:rPr>
        <w:footnoteRef/>
      </w:r>
      <w:r w:rsidRPr="00545726">
        <w:rPr>
          <w:rFonts w:ascii="Arial" w:hAnsi="Arial" w:cs="Arial"/>
          <w:sz w:val="18"/>
          <w:lang w:val="en-US"/>
        </w:rPr>
        <w:t xml:space="preserve"> The Lancet, “Maternal and Child Undernutrition,” Special Series, January, 2008</w:t>
      </w:r>
    </w:p>
  </w:footnote>
  <w:footnote w:id="2">
    <w:p w14:paraId="005E8648" w14:textId="77777777" w:rsidR="00EB5093" w:rsidRPr="00545726" w:rsidRDefault="00EB5093" w:rsidP="00843880">
      <w:pPr>
        <w:pStyle w:val="Notedebasdepage"/>
        <w:ind w:left="1560"/>
        <w:rPr>
          <w:rFonts w:ascii="Arial" w:hAnsi="Arial" w:cs="Arial"/>
          <w:sz w:val="18"/>
          <w:lang w:val="en-US"/>
        </w:rPr>
      </w:pPr>
      <w:r w:rsidRPr="00545726">
        <w:rPr>
          <w:rStyle w:val="Appelnotedebasdep"/>
          <w:rFonts w:ascii="Arial" w:hAnsi="Arial" w:cs="Arial"/>
          <w:sz w:val="18"/>
        </w:rPr>
        <w:footnoteRef/>
      </w:r>
      <w:r w:rsidRPr="00545726">
        <w:rPr>
          <w:rFonts w:ascii="Arial" w:hAnsi="Arial" w:cs="Arial"/>
          <w:sz w:val="18"/>
          <w:lang w:val="en-US"/>
        </w:rPr>
        <w:t xml:space="preserve"> S. Horton, M. Shekar, C. McDonald, A. Mahal and J.K. Brooks, Scaling Up Nutrition: What Will it Cost? World Bank, 2009.</w:t>
      </w:r>
    </w:p>
  </w:footnote>
  <w:footnote w:id="3">
    <w:p w14:paraId="4552288F" w14:textId="77777777" w:rsidR="00EB5093" w:rsidRPr="00576C85" w:rsidRDefault="00EB5093" w:rsidP="00843880">
      <w:pPr>
        <w:pStyle w:val="Notedebasdepage"/>
        <w:ind w:left="1560"/>
        <w:rPr>
          <w:lang w:val="en-US"/>
        </w:rPr>
      </w:pPr>
      <w:r w:rsidRPr="00545726">
        <w:rPr>
          <w:rStyle w:val="Appelnotedebasdep"/>
          <w:rFonts w:ascii="Arial" w:hAnsi="Arial" w:cs="Arial"/>
          <w:sz w:val="18"/>
        </w:rPr>
        <w:footnoteRef/>
      </w:r>
      <w:r w:rsidRPr="00545726">
        <w:rPr>
          <w:rFonts w:ascii="Arial" w:hAnsi="Arial" w:cs="Arial"/>
          <w:sz w:val="18"/>
          <w:lang w:val="en-US"/>
        </w:rPr>
        <w:t xml:space="preserve"> Scaling Up Nutrition A Framework For Action, 2010</w:t>
      </w:r>
    </w:p>
  </w:footnote>
  <w:footnote w:id="4">
    <w:p w14:paraId="7BEADCD3" w14:textId="687C5185" w:rsidR="00EB5093" w:rsidRPr="006E0579" w:rsidRDefault="00EB5093" w:rsidP="002B68C0">
      <w:pPr>
        <w:pStyle w:val="Notedebasdepage"/>
        <w:ind w:left="1701"/>
        <w:rPr>
          <w:rFonts w:ascii="Arial" w:hAnsi="Arial" w:cs="Arial"/>
        </w:rPr>
      </w:pPr>
      <w:r w:rsidRPr="006E0579">
        <w:rPr>
          <w:rStyle w:val="Appelnotedebasdep"/>
          <w:rFonts w:ascii="Arial" w:hAnsi="Arial" w:cs="Arial"/>
          <w:sz w:val="18"/>
        </w:rPr>
        <w:footnoteRef/>
      </w:r>
      <w:r w:rsidRPr="006872B9">
        <w:rPr>
          <w:rFonts w:ascii="Arial" w:hAnsi="Arial" w:cs="Arial"/>
          <w:sz w:val="18"/>
          <w:lang w:val="en-US"/>
        </w:rPr>
        <w:t xml:space="preserve"> </w:t>
      </w:r>
      <w:r w:rsidRPr="009E1F97">
        <w:rPr>
          <w:rFonts w:ascii="Arial" w:hAnsi="Arial" w:cs="Arial"/>
          <w:sz w:val="18"/>
          <w:lang w:val="en-US"/>
        </w:rPr>
        <w:t xml:space="preserve">Organisation Mondiale de la Santé (2014). Cibles mondiales de nutrition 2025: Notes d’orientation (WHO/NMH/NHD/14.2). </w:t>
      </w:r>
      <w:r w:rsidRPr="006872B9">
        <w:rPr>
          <w:rFonts w:ascii="Arial" w:hAnsi="Arial" w:cs="Arial"/>
          <w:sz w:val="18"/>
        </w:rPr>
        <w:t>Genève: Organisation mondiale de la Santé</w:t>
      </w:r>
      <w:r w:rsidRPr="006E0579">
        <w:rPr>
          <w:rFonts w:ascii="Arial" w:hAnsi="Arial" w:cs="Arial"/>
          <w:sz w:val="18"/>
        </w:rPr>
        <w:t xml:space="preserve"> </w:t>
      </w:r>
    </w:p>
  </w:footnote>
  <w:footnote w:id="5">
    <w:p w14:paraId="7C2681EF" w14:textId="67ECD6D6" w:rsidR="00EB5093" w:rsidRPr="006872B9" w:rsidRDefault="00EB5093" w:rsidP="002B68C0">
      <w:pPr>
        <w:pStyle w:val="Notedebasdepage"/>
        <w:ind w:left="1701"/>
        <w:rPr>
          <w:rFonts w:ascii="Arial" w:hAnsi="Arial" w:cs="Arial"/>
          <w:sz w:val="18"/>
        </w:rPr>
      </w:pPr>
      <w:r w:rsidRPr="006E0579">
        <w:rPr>
          <w:rStyle w:val="Appelnotedebasdep"/>
          <w:rFonts w:ascii="Arial" w:hAnsi="Arial" w:cs="Arial"/>
          <w:sz w:val="18"/>
        </w:rPr>
        <w:footnoteRef/>
      </w:r>
      <w:r w:rsidRPr="006E0579">
        <w:rPr>
          <w:rFonts w:ascii="Arial" w:hAnsi="Arial" w:cs="Arial"/>
          <w:sz w:val="18"/>
        </w:rPr>
        <w:t xml:space="preserve"> </w:t>
      </w:r>
      <w:r w:rsidRPr="006872B9">
        <w:rPr>
          <w:rFonts w:ascii="Arial" w:hAnsi="Arial" w:cs="Arial"/>
          <w:sz w:val="18"/>
        </w:rPr>
        <w:t>Organisation Mondiale de la Santé (2013). Plan d’action mondial pour la lutte contre les maladies non transmissibles 2013- 2020. Genève</w:t>
      </w:r>
    </w:p>
  </w:footnote>
  <w:footnote w:id="6">
    <w:p w14:paraId="6C53B49E" w14:textId="77777777" w:rsidR="00EB5093" w:rsidRPr="006E0579" w:rsidRDefault="00EB5093" w:rsidP="002B68C0">
      <w:pPr>
        <w:pStyle w:val="Notedebasdepage"/>
        <w:ind w:left="1701"/>
        <w:rPr>
          <w:rFonts w:ascii="Arial" w:hAnsi="Arial" w:cs="Arial"/>
          <w:sz w:val="18"/>
        </w:rPr>
      </w:pPr>
      <w:r w:rsidRPr="006E0579">
        <w:rPr>
          <w:rStyle w:val="Appelnotedebasdep"/>
          <w:rFonts w:ascii="Arial" w:hAnsi="Arial" w:cs="Arial"/>
          <w:sz w:val="18"/>
        </w:rPr>
        <w:footnoteRef/>
      </w:r>
      <w:r w:rsidRPr="006E0579">
        <w:rPr>
          <w:rFonts w:ascii="Arial" w:hAnsi="Arial" w:cs="Arial"/>
          <w:sz w:val="18"/>
        </w:rPr>
        <w:t xml:space="preserve"> </w:t>
      </w:r>
      <w:r w:rsidRPr="006872B9">
        <w:rPr>
          <w:rFonts w:ascii="Arial" w:hAnsi="Arial" w:cs="Arial"/>
          <w:sz w:val="18"/>
        </w:rPr>
        <w:t>Document final de la Conférence – Cadre d’action, consultable à http://www.fao.org/3/a-mm215f.pdf.</w:t>
      </w:r>
    </w:p>
  </w:footnote>
  <w:footnote w:id="7">
    <w:p w14:paraId="624508E8" w14:textId="7D15DDF2" w:rsidR="00EB5093" w:rsidRPr="006872B9" w:rsidRDefault="00EB5093" w:rsidP="002E24A5">
      <w:pPr>
        <w:pStyle w:val="Notedebasdepage"/>
        <w:ind w:left="1701"/>
        <w:rPr>
          <w:rFonts w:ascii="Arial" w:hAnsi="Arial" w:cs="Arial"/>
          <w:sz w:val="18"/>
        </w:rPr>
      </w:pPr>
      <w:r w:rsidRPr="006E0579">
        <w:rPr>
          <w:rStyle w:val="Appelnotedebasdep"/>
          <w:rFonts w:ascii="Arial" w:hAnsi="Arial" w:cs="Arial"/>
          <w:sz w:val="18"/>
        </w:rPr>
        <w:footnoteRef/>
      </w:r>
      <w:r w:rsidRPr="006872B9">
        <w:rPr>
          <w:rFonts w:ascii="Arial" w:hAnsi="Arial" w:cs="Arial"/>
          <w:sz w:val="18"/>
        </w:rPr>
        <w:t>Tous Unis pour la Nutrition (TUN), décembre 2015 - Rapport d’étude sur l’intégration multisectorielle de La nutrition dans les politiques et Stratégies de développement au Niger</w:t>
      </w:r>
    </w:p>
  </w:footnote>
  <w:footnote w:id="8">
    <w:p w14:paraId="0D73A1B3" w14:textId="77777777" w:rsidR="00EB5093" w:rsidRPr="006872B9" w:rsidRDefault="00EB5093" w:rsidP="00C2578F">
      <w:pPr>
        <w:pStyle w:val="Notedebasdepage"/>
        <w:ind w:left="1701"/>
        <w:rPr>
          <w:rFonts w:ascii="Arial" w:hAnsi="Arial" w:cs="Arial"/>
          <w:sz w:val="18"/>
        </w:rPr>
      </w:pPr>
      <w:r w:rsidRPr="00104D28">
        <w:rPr>
          <w:rStyle w:val="Appelnotedebasdep"/>
          <w:rFonts w:ascii="Arial" w:hAnsi="Arial" w:cs="Arial"/>
          <w:sz w:val="18"/>
        </w:rPr>
        <w:footnoteRef/>
      </w:r>
      <w:r w:rsidRPr="00104D28">
        <w:rPr>
          <w:rFonts w:ascii="Arial" w:hAnsi="Arial" w:cs="Arial"/>
          <w:sz w:val="18"/>
        </w:rPr>
        <w:t xml:space="preserve"> </w:t>
      </w:r>
      <w:r w:rsidRPr="006872B9">
        <w:rPr>
          <w:rFonts w:ascii="Arial" w:hAnsi="Arial" w:cs="Arial"/>
          <w:sz w:val="18"/>
        </w:rPr>
        <w:t>TUN, décembre 2015 - Rapport d’étude sur l’intégration multisectorielle de La nutrition dans les politiques et Stratégies de développement au Niger</w:t>
      </w:r>
    </w:p>
  </w:footnote>
  <w:footnote w:id="9">
    <w:p w14:paraId="60E6F5FA" w14:textId="79F703FE" w:rsidR="00EB5093" w:rsidRPr="006872B9" w:rsidRDefault="00EB5093" w:rsidP="00C2578F">
      <w:pPr>
        <w:pStyle w:val="Notedebasdepage"/>
        <w:ind w:left="1701"/>
        <w:rPr>
          <w:rFonts w:ascii="Arial" w:hAnsi="Arial" w:cs="Arial"/>
          <w:sz w:val="18"/>
        </w:rPr>
      </w:pPr>
      <w:r w:rsidRPr="00104D28">
        <w:rPr>
          <w:rStyle w:val="Appelnotedebasdep"/>
          <w:rFonts w:ascii="Arial" w:hAnsi="Arial" w:cs="Arial"/>
          <w:sz w:val="18"/>
        </w:rPr>
        <w:footnoteRef/>
      </w:r>
      <w:r w:rsidRPr="00104D28">
        <w:rPr>
          <w:rFonts w:ascii="Arial" w:hAnsi="Arial" w:cs="Arial"/>
          <w:sz w:val="18"/>
        </w:rPr>
        <w:t xml:space="preserve"> </w:t>
      </w:r>
      <w:r w:rsidRPr="006872B9">
        <w:rPr>
          <w:rFonts w:ascii="Arial" w:hAnsi="Arial" w:cs="Arial"/>
          <w:sz w:val="18"/>
        </w:rPr>
        <w:t>Stratégie de Développement Durable et de Croissance Inclusive Niger 2035 : Un pays et un peuple prospères</w:t>
      </w:r>
    </w:p>
  </w:footnote>
  <w:footnote w:id="10">
    <w:p w14:paraId="17775CD4" w14:textId="146132CB" w:rsidR="00EB5093" w:rsidRPr="006872B9" w:rsidRDefault="00EB5093" w:rsidP="009E1F97">
      <w:pPr>
        <w:pStyle w:val="Notedebasdepage"/>
        <w:ind w:left="1701"/>
        <w:rPr>
          <w:rFonts w:ascii="Arial" w:hAnsi="Arial" w:cs="Arial"/>
          <w:sz w:val="18"/>
        </w:rPr>
      </w:pPr>
      <w:r w:rsidRPr="009E1F97">
        <w:rPr>
          <w:rStyle w:val="Appelnotedebasdep"/>
          <w:rFonts w:ascii="Arial" w:hAnsi="Arial" w:cs="Arial"/>
          <w:sz w:val="18"/>
        </w:rPr>
        <w:footnoteRef/>
      </w:r>
      <w:r w:rsidRPr="006872B9">
        <w:rPr>
          <w:rFonts w:ascii="Arial" w:hAnsi="Arial" w:cs="Arial"/>
          <w:sz w:val="18"/>
        </w:rPr>
        <w:t xml:space="preserve"> Stratégie de Développement Durable et de Croissance Inclusive Niger 2035 : Un pays et un peuple prospères</w:t>
      </w:r>
    </w:p>
  </w:footnote>
  <w:footnote w:id="11">
    <w:p w14:paraId="4A5E1823" w14:textId="30C37BC3" w:rsidR="00EB5093" w:rsidRDefault="00EB5093" w:rsidP="009E1F97">
      <w:pPr>
        <w:pStyle w:val="Notedebasdepage"/>
        <w:ind w:left="1701"/>
      </w:pPr>
      <w:r w:rsidRPr="009E1F97">
        <w:rPr>
          <w:rStyle w:val="Appelnotedebasdep"/>
        </w:rPr>
        <w:footnoteRef/>
      </w:r>
      <w:r w:rsidRPr="009E1F97">
        <w:rPr>
          <w:rStyle w:val="Appelnotedebasdep"/>
        </w:rPr>
        <w:t xml:space="preserve"> </w:t>
      </w:r>
      <w:r w:rsidRPr="006872B9">
        <w:rPr>
          <w:rFonts w:ascii="Arial" w:hAnsi="Arial" w:cs="Arial"/>
          <w:sz w:val="18"/>
        </w:rPr>
        <w:t>Le coefficient de Gini est un nombre variant de 0 à 1, où 0 signifie l'égalité parfaite et 1 signifie une inégalité parfaite. L'inégalité est d'autant plus forte que l'indice de Gini est élevé.</w:t>
      </w:r>
    </w:p>
  </w:footnote>
  <w:footnote w:id="12">
    <w:p w14:paraId="3CCE8F08" w14:textId="603D0D41" w:rsidR="00EB5093" w:rsidRPr="006872B9" w:rsidRDefault="00EB5093" w:rsidP="009E1F97">
      <w:pPr>
        <w:pStyle w:val="Notedebasdepage"/>
        <w:ind w:left="1701"/>
        <w:rPr>
          <w:rFonts w:ascii="Arial" w:hAnsi="Arial" w:cs="Arial"/>
          <w:sz w:val="18"/>
        </w:rPr>
      </w:pPr>
      <w:r w:rsidRPr="006E0579">
        <w:rPr>
          <w:rStyle w:val="Appelnotedebasdep"/>
          <w:rFonts w:ascii="Arial" w:hAnsi="Arial" w:cs="Arial"/>
          <w:sz w:val="18"/>
        </w:rPr>
        <w:footnoteRef/>
      </w:r>
      <w:r w:rsidRPr="009E1F97">
        <w:rPr>
          <w:rStyle w:val="Appelnotedebasdep"/>
        </w:rPr>
        <w:t xml:space="preserve"> </w:t>
      </w:r>
      <w:r w:rsidRPr="006872B9">
        <w:rPr>
          <w:rFonts w:ascii="Arial" w:hAnsi="Arial" w:cs="Arial"/>
          <w:sz w:val="18"/>
        </w:rPr>
        <w:t>Institut National de la Statistique, Enquête nationale nutritionnelle 2016.</w:t>
      </w:r>
    </w:p>
  </w:footnote>
  <w:footnote w:id="13">
    <w:p w14:paraId="5B520211" w14:textId="44D83CC6" w:rsidR="00EB5093" w:rsidRPr="009E1F97" w:rsidRDefault="00EB5093" w:rsidP="009E1F97">
      <w:pPr>
        <w:pStyle w:val="Notedebasdepage"/>
        <w:ind w:left="1701"/>
        <w:rPr>
          <w:rFonts w:ascii="Arial" w:hAnsi="Arial" w:cs="Arial"/>
          <w:sz w:val="18"/>
          <w:lang w:val="en-US"/>
        </w:rPr>
      </w:pPr>
      <w:r w:rsidRPr="006E0579">
        <w:rPr>
          <w:rStyle w:val="Appelnotedebasdep"/>
          <w:rFonts w:ascii="Arial" w:hAnsi="Arial" w:cs="Arial"/>
          <w:sz w:val="18"/>
        </w:rPr>
        <w:footnoteRef/>
      </w:r>
      <w:r w:rsidRPr="006872B9">
        <w:rPr>
          <w:rStyle w:val="Appelnotedebasdep"/>
          <w:lang w:val="en-US"/>
        </w:rPr>
        <w:t xml:space="preserve"> </w:t>
      </w:r>
      <w:r w:rsidRPr="009E1F97">
        <w:rPr>
          <w:rFonts w:ascii="Arial" w:hAnsi="Arial" w:cs="Arial"/>
          <w:sz w:val="18"/>
          <w:lang w:val="en-US"/>
        </w:rPr>
        <w:t>Emergency Nutrition Network, USAID (2014) “Technical Briefing Paper, Associations between Wasting and Stunting, policy, programming and research implications”.</w:t>
      </w:r>
    </w:p>
  </w:footnote>
  <w:footnote w:id="14">
    <w:p w14:paraId="7426300C" w14:textId="5FB1F2C2" w:rsidR="00EB5093" w:rsidRPr="006872B9" w:rsidRDefault="00EB5093" w:rsidP="009E1F97">
      <w:pPr>
        <w:pStyle w:val="Notedebasdepage"/>
        <w:ind w:left="1701"/>
        <w:rPr>
          <w:rFonts w:ascii="Arial" w:hAnsi="Arial" w:cs="Arial"/>
          <w:sz w:val="18"/>
        </w:rPr>
      </w:pPr>
      <w:r w:rsidRPr="008329C3">
        <w:rPr>
          <w:rStyle w:val="Appelnotedebasdep"/>
          <w:rFonts w:ascii="Arial" w:hAnsi="Arial" w:cs="Arial"/>
          <w:sz w:val="18"/>
        </w:rPr>
        <w:footnoteRef/>
      </w:r>
      <w:r w:rsidRPr="009E1F97">
        <w:rPr>
          <w:rStyle w:val="Appelnotedebasdep"/>
        </w:rPr>
        <w:t xml:space="preserve"> </w:t>
      </w:r>
      <w:r w:rsidRPr="006872B9">
        <w:rPr>
          <w:rFonts w:ascii="Arial" w:hAnsi="Arial" w:cs="Arial"/>
          <w:sz w:val="18"/>
        </w:rPr>
        <w:t>Programme Alimentaire Mondial, 2018. Coût de la faim au Niger : l’incidence sociale et économique de la malnutrition chez l’enfant au Niger.</w:t>
      </w:r>
    </w:p>
  </w:footnote>
  <w:footnote w:id="15">
    <w:p w14:paraId="780E2F72" w14:textId="77EE69EF" w:rsidR="00EB5093" w:rsidRPr="00DE1F61" w:rsidRDefault="00EB5093" w:rsidP="008B6077">
      <w:pPr>
        <w:pStyle w:val="Notedebasdepage"/>
        <w:ind w:left="1701"/>
        <w:rPr>
          <w:rFonts w:ascii="Arial" w:hAnsi="Arial" w:cs="Arial"/>
          <w:sz w:val="18"/>
        </w:rPr>
      </w:pPr>
      <w:r w:rsidRPr="007F1DAF">
        <w:rPr>
          <w:rStyle w:val="Appelnotedebasdep"/>
          <w:rFonts w:ascii="Arial" w:hAnsi="Arial" w:cs="Arial"/>
          <w:sz w:val="18"/>
        </w:rPr>
        <w:footnoteRef/>
      </w:r>
      <w:r w:rsidRPr="007F1DAF">
        <w:rPr>
          <w:rFonts w:ascii="Arial" w:hAnsi="Arial" w:cs="Arial"/>
          <w:sz w:val="18"/>
        </w:rPr>
        <w:t xml:space="preserve"> </w:t>
      </w:r>
      <w:r w:rsidRPr="001B350D">
        <w:rPr>
          <w:rFonts w:ascii="Arial" w:hAnsi="Arial" w:cs="Arial"/>
          <w:sz w:val="18"/>
        </w:rPr>
        <w:t>Institut National de la Statistique</w:t>
      </w:r>
      <w:r w:rsidRPr="007F1DAF">
        <w:rPr>
          <w:rFonts w:ascii="Arial" w:hAnsi="Arial" w:cs="Arial"/>
          <w:sz w:val="18"/>
        </w:rPr>
        <w:t>, 2012. Enquête Démographique et de Santé et à Indicateurs Multiples (EDSN-MICS IV) 2012</w:t>
      </w:r>
      <w:r>
        <w:rPr>
          <w:rFonts w:ascii="Arial" w:hAnsi="Arial" w:cs="Arial"/>
          <w:sz w:val="18"/>
        </w:rPr>
        <w:t>.</w:t>
      </w:r>
    </w:p>
  </w:footnote>
  <w:footnote w:id="16">
    <w:p w14:paraId="533F289E" w14:textId="5EF9B853" w:rsidR="00EB5093" w:rsidRPr="00DE1F61" w:rsidRDefault="00EB5093" w:rsidP="00890B49">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lang w:val="en-US"/>
        </w:rPr>
        <w:t xml:space="preserve"> United Nations System Standing Committee on Nutrition, Avril 2017. </w:t>
      </w:r>
      <w:r w:rsidRPr="00DE1F61">
        <w:rPr>
          <w:rFonts w:ascii="Arial" w:hAnsi="Arial" w:cs="Arial"/>
          <w:sz w:val="18"/>
          <w:szCs w:val="18"/>
        </w:rPr>
        <w:t>D’ici à 2030, mettre fin à toutes les formes de malnutrition et ne laisser personne de côté</w:t>
      </w:r>
    </w:p>
  </w:footnote>
  <w:footnote w:id="17">
    <w:p w14:paraId="39060725" w14:textId="6C7578C8" w:rsidR="00EB5093" w:rsidRPr="00DE1F61" w:rsidRDefault="00EB5093" w:rsidP="004F5A11">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rPr>
        <w:t xml:space="preserve"> </w:t>
      </w:r>
      <w:r w:rsidRPr="001B350D">
        <w:rPr>
          <w:rFonts w:ascii="Arial" w:hAnsi="Arial" w:cs="Arial"/>
          <w:sz w:val="18"/>
          <w:szCs w:val="18"/>
        </w:rPr>
        <w:t>Institut National de la Statistique</w:t>
      </w:r>
      <w:r w:rsidRPr="00DE1F61">
        <w:rPr>
          <w:rFonts w:ascii="Arial" w:hAnsi="Arial" w:cs="Arial"/>
          <w:sz w:val="18"/>
          <w:szCs w:val="18"/>
        </w:rPr>
        <w:t>, 2016. Evaluation nationale de la situation nutritionnelle par la méthodologie SMART au Niger</w:t>
      </w:r>
    </w:p>
  </w:footnote>
  <w:footnote w:id="18">
    <w:p w14:paraId="374CF6CD" w14:textId="1DBCC535" w:rsidR="00EB5093" w:rsidRPr="00DE1F61" w:rsidRDefault="00EB5093" w:rsidP="00F42C6B">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rPr>
        <w:t xml:space="preserve"> I</w:t>
      </w:r>
      <w:r w:rsidRPr="001B350D">
        <w:t xml:space="preserve"> </w:t>
      </w:r>
      <w:r w:rsidRPr="001B350D">
        <w:rPr>
          <w:rFonts w:ascii="Arial" w:hAnsi="Arial" w:cs="Arial"/>
          <w:sz w:val="18"/>
          <w:szCs w:val="18"/>
        </w:rPr>
        <w:t>Institut National de la Statistique</w:t>
      </w:r>
      <w:r w:rsidRPr="00DE1F61">
        <w:rPr>
          <w:rFonts w:ascii="Arial" w:hAnsi="Arial" w:cs="Arial"/>
          <w:sz w:val="18"/>
          <w:szCs w:val="18"/>
        </w:rPr>
        <w:t>, 2012. Enquête Démographique et de Santé et à Indicateurs Multiples (EDSN-MICS IV) 2012</w:t>
      </w:r>
    </w:p>
  </w:footnote>
  <w:footnote w:id="19">
    <w:p w14:paraId="1EA4E094" w14:textId="24BD4BCC" w:rsidR="00EB5093" w:rsidRPr="00DE1F61" w:rsidRDefault="00EB5093" w:rsidP="00F42C6B">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rPr>
        <w:t xml:space="preserve"> M</w:t>
      </w:r>
      <w:r>
        <w:rPr>
          <w:rFonts w:ascii="Arial" w:hAnsi="Arial" w:cs="Arial"/>
          <w:sz w:val="18"/>
          <w:szCs w:val="18"/>
        </w:rPr>
        <w:t xml:space="preserve">inistère de la </w:t>
      </w:r>
      <w:r w:rsidRPr="00DE1F61">
        <w:rPr>
          <w:rFonts w:ascii="Arial" w:hAnsi="Arial" w:cs="Arial"/>
          <w:sz w:val="18"/>
          <w:szCs w:val="18"/>
        </w:rPr>
        <w:t>S</w:t>
      </w:r>
      <w:r>
        <w:rPr>
          <w:rFonts w:ascii="Arial" w:hAnsi="Arial" w:cs="Arial"/>
          <w:sz w:val="18"/>
          <w:szCs w:val="18"/>
        </w:rPr>
        <w:t xml:space="preserve">anté </w:t>
      </w:r>
      <w:r w:rsidRPr="00DE1F61">
        <w:rPr>
          <w:rFonts w:ascii="Arial" w:hAnsi="Arial" w:cs="Arial"/>
          <w:sz w:val="18"/>
          <w:szCs w:val="18"/>
        </w:rPr>
        <w:t>P</w:t>
      </w:r>
      <w:r>
        <w:rPr>
          <w:rFonts w:ascii="Arial" w:hAnsi="Arial" w:cs="Arial"/>
          <w:sz w:val="18"/>
          <w:szCs w:val="18"/>
        </w:rPr>
        <w:t>ublique</w:t>
      </w:r>
      <w:r w:rsidRPr="00DE1F61">
        <w:rPr>
          <w:rFonts w:ascii="Arial" w:hAnsi="Arial" w:cs="Arial"/>
          <w:sz w:val="18"/>
          <w:szCs w:val="18"/>
        </w:rPr>
        <w:t>, 2016. Annuaire des statistiques sanitaires du Niger année 2016.</w:t>
      </w:r>
    </w:p>
  </w:footnote>
  <w:footnote w:id="20">
    <w:p w14:paraId="364859E5" w14:textId="77777777" w:rsidR="00EB5093" w:rsidRPr="00DE1F61" w:rsidRDefault="00EB5093" w:rsidP="00007766">
      <w:pPr>
        <w:pStyle w:val="Notedebasdepage"/>
        <w:ind w:left="1701"/>
        <w:rPr>
          <w:rFonts w:ascii="Arial" w:hAnsi="Arial" w:cs="Arial"/>
          <w:sz w:val="18"/>
          <w:szCs w:val="18"/>
          <w:lang w:val="en-US"/>
        </w:rPr>
      </w:pPr>
      <w:r w:rsidRPr="00DE1F61">
        <w:rPr>
          <w:rStyle w:val="Appelnotedebasdep"/>
          <w:rFonts w:ascii="Arial" w:hAnsi="Arial" w:cs="Arial"/>
          <w:sz w:val="18"/>
          <w:szCs w:val="18"/>
        </w:rPr>
        <w:footnoteRef/>
      </w:r>
      <w:r w:rsidRPr="00DE1F61">
        <w:rPr>
          <w:rFonts w:ascii="Arial" w:hAnsi="Arial" w:cs="Arial"/>
          <w:sz w:val="18"/>
          <w:szCs w:val="18"/>
          <w:lang w:val="en-US"/>
        </w:rPr>
        <w:t xml:space="preserve"> LiST: from WHO estimates (2000-2015); http://www.who.int/healthinfo/global_burden_disease/estimates_child_cod_2015/en/</w:t>
      </w:r>
    </w:p>
  </w:footnote>
  <w:footnote w:id="21">
    <w:p w14:paraId="10AD6EA6" w14:textId="6C1E2F45" w:rsidR="00EB5093" w:rsidRPr="00DE1F61" w:rsidRDefault="00EB5093" w:rsidP="005C017F">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rPr>
        <w:t xml:space="preserve"> </w:t>
      </w:r>
      <w:r w:rsidRPr="001B350D">
        <w:rPr>
          <w:rFonts w:ascii="Arial" w:hAnsi="Arial" w:cs="Arial"/>
          <w:sz w:val="18"/>
          <w:szCs w:val="18"/>
        </w:rPr>
        <w:t>Ministère de la Santé Publique</w:t>
      </w:r>
      <w:r w:rsidRPr="00DE1F61">
        <w:rPr>
          <w:rFonts w:ascii="Arial" w:hAnsi="Arial" w:cs="Arial"/>
          <w:sz w:val="18"/>
          <w:szCs w:val="18"/>
        </w:rPr>
        <w:t>, 2016. Annuaire des statistiques sanitaires du Niger année 2016.</w:t>
      </w:r>
    </w:p>
  </w:footnote>
  <w:footnote w:id="22">
    <w:p w14:paraId="687AA294" w14:textId="77777777" w:rsidR="00EB5093" w:rsidRPr="00DE1F61" w:rsidRDefault="00EB5093">
      <w:pPr>
        <w:pStyle w:val="Notedebasdepage"/>
        <w:ind w:left="1701"/>
        <w:rPr>
          <w:rFonts w:ascii="Arial" w:hAnsi="Arial" w:cs="Arial"/>
          <w:sz w:val="18"/>
          <w:szCs w:val="18"/>
          <w:lang w:val="en-US"/>
        </w:rPr>
      </w:pPr>
      <w:r w:rsidRPr="00DE1F61">
        <w:rPr>
          <w:rStyle w:val="Appelnotedebasdep"/>
          <w:rFonts w:ascii="Arial" w:hAnsi="Arial" w:cs="Arial"/>
          <w:sz w:val="18"/>
          <w:szCs w:val="18"/>
        </w:rPr>
        <w:footnoteRef/>
      </w:r>
      <w:r w:rsidRPr="00DE1F61">
        <w:rPr>
          <w:rFonts w:ascii="Arial" w:hAnsi="Arial" w:cs="Arial"/>
          <w:sz w:val="18"/>
          <w:szCs w:val="18"/>
          <w:lang w:val="en-US"/>
        </w:rPr>
        <w:t xml:space="preserve"> LiST: from WHO estimates (2000-2015); http://www.who.int/healthinfo/global_burden_disease/estimates_child_cod_2015/en/</w:t>
      </w:r>
    </w:p>
  </w:footnote>
  <w:footnote w:id="23">
    <w:p w14:paraId="43BC0485" w14:textId="510FCB48" w:rsidR="00EB5093" w:rsidRDefault="00EB5093">
      <w:pPr>
        <w:pStyle w:val="Notedebasdepage"/>
        <w:ind w:left="1701"/>
      </w:pPr>
      <w:r w:rsidRPr="00DE1F61">
        <w:rPr>
          <w:rStyle w:val="Appelnotedebasdep"/>
          <w:rFonts w:ascii="Arial" w:hAnsi="Arial" w:cs="Arial"/>
          <w:sz w:val="18"/>
          <w:szCs w:val="18"/>
        </w:rPr>
        <w:footnoteRef/>
      </w:r>
      <w:r w:rsidRPr="00DE1F61">
        <w:rPr>
          <w:rFonts w:ascii="Arial" w:hAnsi="Arial" w:cs="Arial"/>
          <w:sz w:val="18"/>
          <w:szCs w:val="18"/>
        </w:rPr>
        <w:t xml:space="preserve"> O</w:t>
      </w:r>
      <w:r>
        <w:rPr>
          <w:rFonts w:ascii="Arial" w:hAnsi="Arial" w:cs="Arial"/>
          <w:sz w:val="18"/>
          <w:szCs w:val="18"/>
        </w:rPr>
        <w:t>rganisation Mondiale de la Santé</w:t>
      </w:r>
      <w:r w:rsidRPr="00DE1F61">
        <w:rPr>
          <w:rFonts w:ascii="Arial" w:hAnsi="Arial" w:cs="Arial"/>
          <w:sz w:val="18"/>
          <w:szCs w:val="18"/>
        </w:rPr>
        <w:t>, Rapport annuel 2016 du Bureau de la Représentation de l’OMS au Niger.</w:t>
      </w:r>
    </w:p>
  </w:footnote>
  <w:footnote w:id="24">
    <w:p w14:paraId="1F064CB8" w14:textId="119F56C9" w:rsidR="00EB5093" w:rsidRPr="00DE1F61" w:rsidRDefault="00EB5093" w:rsidP="001F604C">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I</w:t>
      </w:r>
      <w:r w:rsidRPr="0029166D">
        <w:t xml:space="preserve"> </w:t>
      </w:r>
      <w:r w:rsidRPr="0029166D">
        <w:rPr>
          <w:rFonts w:ascii="Arial" w:hAnsi="Arial" w:cs="Arial"/>
          <w:sz w:val="18"/>
        </w:rPr>
        <w:t>Institut National de la Statistique</w:t>
      </w:r>
      <w:r w:rsidRPr="00DE1F61">
        <w:rPr>
          <w:rFonts w:ascii="Arial" w:hAnsi="Arial" w:cs="Arial"/>
          <w:sz w:val="18"/>
        </w:rPr>
        <w:t>, 2012. Enquête Démographique et de Santé et à Indicateurs Multiples (EDSN-MICS IV) 2012</w:t>
      </w:r>
    </w:p>
  </w:footnote>
  <w:footnote w:id="25">
    <w:p w14:paraId="4FB9DF9F" w14:textId="2357F2A4" w:rsidR="00EB5093" w:rsidRPr="00DE1F61" w:rsidRDefault="00EB5093" w:rsidP="001F604C">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w:t>
      </w:r>
      <w:r w:rsidRPr="0029166D">
        <w:rPr>
          <w:rFonts w:ascii="Arial" w:hAnsi="Arial" w:cs="Arial"/>
          <w:sz w:val="18"/>
        </w:rPr>
        <w:t>Institut National de la Statistique</w:t>
      </w:r>
      <w:r w:rsidRPr="00DE1F61">
        <w:rPr>
          <w:rFonts w:ascii="Arial" w:hAnsi="Arial" w:cs="Arial"/>
          <w:sz w:val="18"/>
        </w:rPr>
        <w:t>, 2012. Enquête Démographique et de Santé et à Indicateurs Multiples (EDSN-MICS IV) 2012</w:t>
      </w:r>
    </w:p>
  </w:footnote>
  <w:footnote w:id="26">
    <w:p w14:paraId="28C4BA1E" w14:textId="29BF6E52" w:rsidR="00EB5093" w:rsidRPr="00DE1F61" w:rsidRDefault="00EB5093" w:rsidP="001F604C">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w:t>
      </w:r>
      <w:r w:rsidRPr="0029166D">
        <w:rPr>
          <w:rFonts w:ascii="Arial" w:hAnsi="Arial" w:cs="Arial"/>
          <w:sz w:val="18"/>
        </w:rPr>
        <w:t>Organisation Mondiale de la Santé</w:t>
      </w:r>
      <w:r w:rsidRPr="00DE1F61">
        <w:rPr>
          <w:rFonts w:ascii="Arial" w:hAnsi="Arial" w:cs="Arial"/>
          <w:sz w:val="18"/>
        </w:rPr>
        <w:t>, Rapport annuel 2016 du Bureau de la Représentation de l’OMS au Niger</w:t>
      </w:r>
    </w:p>
  </w:footnote>
  <w:footnote w:id="27">
    <w:p w14:paraId="1E24E532" w14:textId="77777777" w:rsidR="00EB5093" w:rsidRPr="00DE1F61" w:rsidRDefault="00EB5093" w:rsidP="001F604C">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lang w:val="en-US"/>
        </w:rPr>
        <w:t xml:space="preserve"> Fenn B, Bulti AT, Nduna T, Duffield A, Watson F (2012). An evaluation of an operations research project to reduce childhoodstunting in a food-insecure area in Ethiopia. </w:t>
      </w:r>
      <w:r w:rsidRPr="00DE1F61">
        <w:rPr>
          <w:rFonts w:ascii="Arial" w:hAnsi="Arial" w:cs="Arial"/>
          <w:sz w:val="18"/>
        </w:rPr>
        <w:t>Public Health Nutr. 15(9):1746–54.</w:t>
      </w:r>
    </w:p>
  </w:footnote>
  <w:footnote w:id="28">
    <w:p w14:paraId="08796FE8" w14:textId="08534CE8" w:rsidR="00EB5093" w:rsidRDefault="00EB5093" w:rsidP="001F604C">
      <w:pPr>
        <w:pStyle w:val="Notedebasdepage"/>
        <w:ind w:left="1701"/>
      </w:pPr>
      <w:r w:rsidRPr="00DE1F61">
        <w:rPr>
          <w:rStyle w:val="Appelnotedebasdep"/>
          <w:rFonts w:ascii="Arial" w:hAnsi="Arial" w:cs="Arial"/>
          <w:sz w:val="18"/>
        </w:rPr>
        <w:footnoteRef/>
      </w:r>
      <w:r w:rsidRPr="00DE1F61">
        <w:rPr>
          <w:rFonts w:ascii="Arial" w:hAnsi="Arial" w:cs="Arial"/>
          <w:sz w:val="18"/>
        </w:rPr>
        <w:t xml:space="preserve"> </w:t>
      </w:r>
      <w:r w:rsidRPr="0029166D">
        <w:rPr>
          <w:rFonts w:ascii="Arial" w:hAnsi="Arial" w:cs="Arial"/>
          <w:sz w:val="18"/>
        </w:rPr>
        <w:t>Institut National de la Statistique</w:t>
      </w:r>
      <w:r w:rsidRPr="00DE1F61">
        <w:rPr>
          <w:rFonts w:ascii="Arial" w:hAnsi="Arial" w:cs="Arial"/>
          <w:sz w:val="18"/>
        </w:rPr>
        <w:t>, 2012. Enquête Démographique et de Santé et à Indicateurs Multiples (EDSN-MICS IV) 2012</w:t>
      </w:r>
    </w:p>
  </w:footnote>
  <w:footnote w:id="29">
    <w:p w14:paraId="35C6C85C" w14:textId="7955A6F2" w:rsidR="00EB5093" w:rsidRPr="00DE1F61" w:rsidRDefault="00EB5093" w:rsidP="009D41A3">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I</w:t>
      </w:r>
      <w:r w:rsidRPr="0029166D">
        <w:t xml:space="preserve"> </w:t>
      </w:r>
      <w:r w:rsidRPr="0029166D">
        <w:rPr>
          <w:rFonts w:ascii="Arial" w:hAnsi="Arial" w:cs="Arial"/>
          <w:sz w:val="18"/>
        </w:rPr>
        <w:t>Institut National de la Statistique</w:t>
      </w:r>
      <w:r w:rsidRPr="00DE1F61">
        <w:rPr>
          <w:rFonts w:ascii="Arial" w:hAnsi="Arial" w:cs="Arial"/>
          <w:sz w:val="18"/>
        </w:rPr>
        <w:t>, 2012. Enquête Démographique et de Santé et à Indicateurs Multiples (EDSN-MICS IV) 2012</w:t>
      </w:r>
    </w:p>
  </w:footnote>
  <w:footnote w:id="30">
    <w:p w14:paraId="26014A4A" w14:textId="156963CD" w:rsidR="00EB5093" w:rsidRPr="00DE1F61" w:rsidRDefault="00EB5093" w:rsidP="009D41A3">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Stratégie de Développement Durable et de Croissance Inclusive Niger 2035</w:t>
      </w:r>
      <w:r>
        <w:rPr>
          <w:rFonts w:ascii="Arial" w:hAnsi="Arial" w:cs="Arial"/>
          <w:sz w:val="18"/>
        </w:rPr>
        <w:t> </w:t>
      </w:r>
      <w:r w:rsidRPr="00DE1F61">
        <w:rPr>
          <w:rFonts w:ascii="Arial" w:hAnsi="Arial" w:cs="Arial"/>
          <w:sz w:val="18"/>
        </w:rPr>
        <w:t>: Un pays et un peuple prospères</w:t>
      </w:r>
    </w:p>
  </w:footnote>
  <w:footnote w:id="31">
    <w:p w14:paraId="1A8BBCB2" w14:textId="07266C9E" w:rsidR="00EB5093" w:rsidRDefault="00EB5093" w:rsidP="009D41A3">
      <w:pPr>
        <w:pStyle w:val="Notedebasdepage"/>
        <w:ind w:left="1701"/>
      </w:pPr>
      <w:r w:rsidRPr="00DE1F61">
        <w:rPr>
          <w:rStyle w:val="Appelnotedebasdep"/>
          <w:rFonts w:ascii="Arial" w:hAnsi="Arial" w:cs="Arial"/>
          <w:sz w:val="18"/>
        </w:rPr>
        <w:footnoteRef/>
      </w:r>
      <w:r w:rsidRPr="00DE1F61">
        <w:rPr>
          <w:rFonts w:ascii="Arial" w:hAnsi="Arial" w:cs="Arial"/>
          <w:sz w:val="18"/>
        </w:rPr>
        <w:t xml:space="preserve"> Stratégie de Développement Durable et de Croissance Inclusive Niger 2035</w:t>
      </w:r>
      <w:r>
        <w:rPr>
          <w:rFonts w:ascii="Arial" w:hAnsi="Arial" w:cs="Arial"/>
          <w:sz w:val="18"/>
        </w:rPr>
        <w:t> </w:t>
      </w:r>
      <w:r w:rsidRPr="00DE1F61">
        <w:rPr>
          <w:rFonts w:ascii="Arial" w:hAnsi="Arial" w:cs="Arial"/>
          <w:sz w:val="18"/>
        </w:rPr>
        <w:t>: Un pays et un peuple prospères</w:t>
      </w:r>
    </w:p>
  </w:footnote>
  <w:footnote w:id="32">
    <w:p w14:paraId="7DD2BAE6" w14:textId="77777777" w:rsidR="00EB5093" w:rsidRPr="00DE1F61" w:rsidRDefault="00EB5093" w:rsidP="001F5367">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La Stratégie de Développement Durable et de Croissance Inclusive (SDDCI) Niger 2035</w:t>
      </w:r>
    </w:p>
  </w:footnote>
  <w:footnote w:id="33">
    <w:p w14:paraId="1858F947" w14:textId="77777777" w:rsidR="00EB5093" w:rsidRPr="00DE1F61" w:rsidRDefault="00EB5093" w:rsidP="00FE2E1D">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Plan de Développement Economique et Social 2017-2021 Un Niger renaissant pour un peuple prospère</w:t>
      </w:r>
    </w:p>
  </w:footnote>
  <w:footnote w:id="34">
    <w:p w14:paraId="285FC5AD" w14:textId="7E620135" w:rsidR="00EB5093" w:rsidRPr="007F1DAF" w:rsidRDefault="00EB5093" w:rsidP="0068054C">
      <w:pPr>
        <w:pStyle w:val="Notedebasdepage"/>
        <w:ind w:left="1701"/>
        <w:rPr>
          <w:rFonts w:ascii="Arial" w:hAnsi="Arial" w:cs="Arial"/>
        </w:rPr>
      </w:pPr>
      <w:r w:rsidRPr="00DE1F61">
        <w:rPr>
          <w:rStyle w:val="Appelnotedebasdep"/>
          <w:rFonts w:ascii="Arial" w:hAnsi="Arial" w:cs="Arial"/>
          <w:sz w:val="18"/>
        </w:rPr>
        <w:footnoteRef/>
      </w:r>
      <w:r w:rsidRPr="00DE1F61">
        <w:rPr>
          <w:rFonts w:ascii="Arial" w:hAnsi="Arial" w:cs="Arial"/>
          <w:sz w:val="18"/>
        </w:rPr>
        <w:t xml:space="preserve"> Plan d’Actions Prioritaires du PDES 2017-2021</w:t>
      </w:r>
      <w:r>
        <w:rPr>
          <w:rFonts w:ascii="Arial" w:hAnsi="Arial" w:cs="Arial"/>
          <w:sz w:val="18"/>
        </w:rPr>
        <w:t>.</w:t>
      </w:r>
    </w:p>
  </w:footnote>
  <w:footnote w:id="35">
    <w:p w14:paraId="7D2F501E" w14:textId="20D2B3B1" w:rsidR="00EB5093" w:rsidRPr="00DE1F61" w:rsidRDefault="00EB5093" w:rsidP="00F260D1">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Initiative 3N, juin 2016</w:t>
      </w:r>
      <w:r>
        <w:rPr>
          <w:rFonts w:ascii="Arial" w:hAnsi="Arial" w:cs="Arial"/>
          <w:sz w:val="18"/>
        </w:rPr>
        <w:t> </w:t>
      </w:r>
      <w:r w:rsidRPr="00DE1F61">
        <w:rPr>
          <w:rFonts w:ascii="Arial" w:hAnsi="Arial" w:cs="Arial"/>
          <w:sz w:val="18"/>
        </w:rPr>
        <w:t>: Bilan consolidé 2011-2015</w:t>
      </w:r>
    </w:p>
  </w:footnote>
  <w:footnote w:id="36">
    <w:p w14:paraId="1B2179AD" w14:textId="2E1D77D7" w:rsidR="00EB5093" w:rsidRPr="007F1DAF" w:rsidRDefault="00EB5093" w:rsidP="00EB6370">
      <w:pPr>
        <w:pStyle w:val="Notedebasdepage"/>
        <w:ind w:left="1701"/>
        <w:rPr>
          <w:rFonts w:ascii="Arial" w:hAnsi="Arial" w:cs="Arial"/>
        </w:rPr>
      </w:pPr>
      <w:r w:rsidRPr="007F1DAF">
        <w:rPr>
          <w:rStyle w:val="Appelnotedebasdep"/>
          <w:rFonts w:ascii="Arial" w:hAnsi="Arial" w:cs="Arial"/>
        </w:rPr>
        <w:footnoteRef/>
      </w:r>
      <w:r w:rsidRPr="007F1DAF">
        <w:rPr>
          <w:rFonts w:ascii="Arial" w:hAnsi="Arial" w:cs="Arial"/>
        </w:rPr>
        <w:t xml:space="preserve"> </w:t>
      </w:r>
      <w:r>
        <w:rPr>
          <w:rFonts w:ascii="Arial" w:hAnsi="Arial" w:cs="Arial"/>
        </w:rPr>
        <w:t>Initiative 3N</w:t>
      </w:r>
      <w:r w:rsidRPr="007F1DAF">
        <w:rPr>
          <w:rFonts w:ascii="Arial" w:hAnsi="Arial" w:cs="Arial"/>
        </w:rPr>
        <w:t>. Plan d’action 2016-2020 de l’initiative 3N.</w:t>
      </w:r>
    </w:p>
  </w:footnote>
  <w:footnote w:id="37">
    <w:p w14:paraId="6E458F2D" w14:textId="3DC924C4" w:rsidR="00EB5093" w:rsidRPr="00DE1F61" w:rsidRDefault="00EB5093" w:rsidP="00890B49">
      <w:pPr>
        <w:pStyle w:val="Notedebasdepage"/>
        <w:ind w:left="1701"/>
        <w:rPr>
          <w:rFonts w:ascii="Arial" w:hAnsi="Arial" w:cs="Arial"/>
          <w:sz w:val="18"/>
          <w:szCs w:val="18"/>
        </w:rPr>
      </w:pPr>
      <w:r w:rsidRPr="00DE1F61">
        <w:rPr>
          <w:rStyle w:val="Appelnotedebasdep"/>
          <w:rFonts w:ascii="Arial" w:hAnsi="Arial" w:cs="Arial"/>
          <w:sz w:val="18"/>
          <w:szCs w:val="18"/>
        </w:rPr>
        <w:footnoteRef/>
      </w:r>
      <w:r>
        <w:rPr>
          <w:rFonts w:ascii="Arial" w:hAnsi="Arial" w:cs="Arial"/>
          <w:sz w:val="18"/>
          <w:szCs w:val="18"/>
        </w:rPr>
        <w:t> </w:t>
      </w:r>
      <w:r w:rsidRPr="00DE1F61">
        <w:rPr>
          <w:rFonts w:ascii="Arial" w:hAnsi="Arial" w:cs="Arial"/>
          <w:sz w:val="18"/>
          <w:szCs w:val="18"/>
        </w:rPr>
        <w:t>Politique Nationale de Sécurité Nutritionnelle au Niger (2016-2025)</w:t>
      </w:r>
    </w:p>
  </w:footnote>
  <w:footnote w:id="38">
    <w:p w14:paraId="7F142701" w14:textId="77777777" w:rsidR="00EB5093" w:rsidRPr="00DE1F61" w:rsidRDefault="00EB5093" w:rsidP="00F42C6B">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rPr>
        <w:t>Plan d’action multisectoriel 2017-2019 de la politique nationale de sécurité nutritionnelle (PNSN)</w:t>
      </w:r>
    </w:p>
  </w:footnote>
  <w:footnote w:id="39">
    <w:p w14:paraId="43294DAB" w14:textId="77777777" w:rsidR="00EB5093" w:rsidRPr="00DE1F61" w:rsidRDefault="00EB5093" w:rsidP="00F42C6B">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rPr>
        <w:t xml:space="preserve"> Analyse de coût-efficacité de la mise à l’échelle des interventions spécifiques à la nutrition au Niger</w:t>
      </w:r>
    </w:p>
  </w:footnote>
  <w:footnote w:id="40">
    <w:p w14:paraId="22958026" w14:textId="77777777" w:rsidR="00EB5093" w:rsidRPr="00DE1F61" w:rsidRDefault="00EB5093" w:rsidP="005C017F">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rPr>
        <w:t xml:space="preserve"> Rapport de l’Etude des déterminants des politiques  en matière de nutrition au Niger : Comprendre les liens entre la politique multisectorielle de nutrition et les politiques sectorielles et les liens avec les évidences qui sous-tendent ces politiques. </w:t>
      </w:r>
      <w:hyperlink r:id="rId1" w:history="1">
        <w:r w:rsidRPr="00DE1F61">
          <w:rPr>
            <w:rStyle w:val="Lienhypertexte"/>
            <w:rFonts w:ascii="Arial" w:hAnsi="Arial" w:cs="Arial"/>
            <w:sz w:val="18"/>
            <w:szCs w:val="18"/>
          </w:rPr>
          <w:t>http://www.nipn-nutrition-platforms.org/IMG/pdf/nutrition-policy-niger.pdf</w:t>
        </w:r>
      </w:hyperlink>
    </w:p>
  </w:footnote>
  <w:footnote w:id="41">
    <w:p w14:paraId="5C620247" w14:textId="77777777" w:rsidR="00EB5093" w:rsidRPr="00C72A49" w:rsidRDefault="00EB5093" w:rsidP="005C017F">
      <w:pPr>
        <w:pStyle w:val="Notedebasdepage"/>
        <w:ind w:left="1701"/>
      </w:pPr>
      <w:r w:rsidRPr="00DE1F61">
        <w:rPr>
          <w:rFonts w:ascii="Arial" w:hAnsi="Arial" w:cs="Arial"/>
          <w:sz w:val="18"/>
          <w:szCs w:val="18"/>
          <w:vertAlign w:val="superscript"/>
        </w:rPr>
        <w:footnoteRef/>
      </w:r>
      <w:r w:rsidRPr="00DE1F61">
        <w:rPr>
          <w:rFonts w:ascii="Arial" w:hAnsi="Arial" w:cs="Arial"/>
          <w:sz w:val="18"/>
          <w:szCs w:val="18"/>
        </w:rPr>
        <w:t xml:space="preserve"> Plan d’action multisectoriel 2017-2019 de la politique nationale de sécurité nutritionnelle (PNSN)</w:t>
      </w:r>
    </w:p>
  </w:footnote>
  <w:footnote w:id="42">
    <w:p w14:paraId="36FE3AC8" w14:textId="77777777" w:rsidR="00EB5093" w:rsidRPr="00DE1F61" w:rsidRDefault="00EB5093" w:rsidP="00492DDF">
      <w:pPr>
        <w:pStyle w:val="Notedebasdepage"/>
        <w:ind w:left="1843"/>
        <w:rPr>
          <w:rFonts w:ascii="Arial" w:hAnsi="Arial" w:cs="Arial"/>
          <w:sz w:val="18"/>
        </w:rPr>
      </w:pPr>
      <w:r w:rsidRPr="00DE1F61">
        <w:rPr>
          <w:rFonts w:ascii="Arial" w:hAnsi="Arial" w:cs="Arial"/>
          <w:sz w:val="18"/>
          <w:vertAlign w:val="superscript"/>
        </w:rPr>
        <w:footnoteRef/>
      </w:r>
      <w:r w:rsidRPr="00DE1F61">
        <w:rPr>
          <w:rFonts w:ascii="Arial" w:hAnsi="Arial" w:cs="Arial"/>
          <w:sz w:val="18"/>
          <w:vertAlign w:val="superscript"/>
        </w:rPr>
        <w:t xml:space="preserve"> </w:t>
      </w:r>
      <w:r w:rsidRPr="00DE1F61">
        <w:rPr>
          <w:rFonts w:ascii="Arial" w:hAnsi="Arial" w:cs="Arial"/>
          <w:sz w:val="18"/>
        </w:rPr>
        <w:t xml:space="preserve"> ACF, 2013. Réconcilier l’agriculture et la nutrition, Étude de cas sur les politiques agricoles et la nutrition au Burkina Faso</w:t>
      </w:r>
    </w:p>
  </w:footnote>
  <w:footnote w:id="43">
    <w:p w14:paraId="5221CE17" w14:textId="77777777" w:rsidR="00EB5093" w:rsidRPr="00480401" w:rsidRDefault="00EB5093" w:rsidP="00492DDF">
      <w:pPr>
        <w:pStyle w:val="Notedebasdepage"/>
        <w:ind w:left="1843"/>
      </w:pPr>
      <w:r w:rsidRPr="00DE1F61">
        <w:rPr>
          <w:rFonts w:ascii="Arial" w:hAnsi="Arial" w:cs="Arial"/>
          <w:sz w:val="18"/>
          <w:vertAlign w:val="superscript"/>
        </w:rPr>
        <w:footnoteRef/>
      </w:r>
      <w:r w:rsidRPr="00DE1F61">
        <w:rPr>
          <w:rFonts w:ascii="Arial" w:hAnsi="Arial" w:cs="Arial"/>
          <w:sz w:val="18"/>
        </w:rPr>
        <w:t xml:space="preserve"> Mouvement SUN. Stratégie et feuille de route (2016 - 2020)</w:t>
      </w:r>
    </w:p>
  </w:footnote>
  <w:footnote w:id="44">
    <w:p w14:paraId="75EC3479" w14:textId="73159ED6" w:rsidR="00EB5093" w:rsidRPr="00DE1F61" w:rsidRDefault="00EB5093" w:rsidP="00540DAE">
      <w:pPr>
        <w:pStyle w:val="Notedebasdepage"/>
        <w:ind w:left="1701"/>
        <w:rPr>
          <w:rFonts w:ascii="Arial" w:hAnsi="Arial" w:cs="Arial"/>
          <w:sz w:val="18"/>
        </w:rPr>
      </w:pPr>
      <w:r w:rsidRPr="00DE1F61">
        <w:rPr>
          <w:rStyle w:val="Appelnotedebasdep"/>
          <w:rFonts w:ascii="Arial" w:hAnsi="Arial" w:cs="Arial"/>
          <w:sz w:val="18"/>
        </w:rPr>
        <w:footnoteRef/>
      </w:r>
      <w:r w:rsidRPr="007A209B">
        <w:rPr>
          <w:rFonts w:ascii="Arial" w:hAnsi="Arial" w:cs="Arial"/>
          <w:sz w:val="18"/>
        </w:rPr>
        <w:t xml:space="preserve"> Organisation des Nations Unies pour l’alimentation et l’agriculture, 2016. </w:t>
      </w:r>
      <w:r w:rsidRPr="006872B9">
        <w:rPr>
          <w:rFonts w:ascii="Arial" w:hAnsi="Arial" w:cs="Arial"/>
          <w:sz w:val="18"/>
        </w:rPr>
        <w:t xml:space="preserve">Diversifying production and diets. </w:t>
      </w:r>
      <w:r w:rsidRPr="00DE1F61">
        <w:rPr>
          <w:rFonts w:ascii="Arial" w:hAnsi="Arial" w:cs="Arial"/>
          <w:sz w:val="18"/>
        </w:rPr>
        <w:t>Easier said than done</w:t>
      </w:r>
    </w:p>
  </w:footnote>
  <w:footnote w:id="45">
    <w:p w14:paraId="01A60A49" w14:textId="77777777" w:rsidR="00EB5093" w:rsidRPr="00DE1F61" w:rsidRDefault="00EB5093" w:rsidP="00540DAE">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Aide-mémoire de l’OMS sur une alimentation saine, aide-mémoire n° 394, accessible à http://www.who.int/mediacentre/factsheets/fs394/fr/</w:t>
      </w:r>
    </w:p>
  </w:footnote>
  <w:footnote w:id="46">
    <w:p w14:paraId="59E53D9A" w14:textId="6894476C" w:rsidR="00EB5093" w:rsidRPr="00DE1F61" w:rsidRDefault="00EB5093" w:rsidP="00540DAE">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lang w:val="en-US"/>
        </w:rPr>
        <w:t xml:space="preserve"> United Nations System Standing Committee on Nutrition, Avril 2017. </w:t>
      </w:r>
      <w:r w:rsidRPr="00DE1F61">
        <w:rPr>
          <w:rFonts w:ascii="Arial" w:hAnsi="Arial" w:cs="Arial"/>
          <w:sz w:val="18"/>
        </w:rPr>
        <w:t>D’ici à 2030, mettre fin à toutes les formes de malnutrition et ne laisser personne de côté</w:t>
      </w:r>
    </w:p>
  </w:footnote>
  <w:footnote w:id="47">
    <w:p w14:paraId="4A7927CB" w14:textId="52A3795A" w:rsidR="00EB5093" w:rsidRPr="00DE1F61" w:rsidRDefault="00EB5093" w:rsidP="00540DAE">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w:t>
      </w:r>
      <w:r w:rsidRPr="007A209B">
        <w:rPr>
          <w:rFonts w:ascii="Arial" w:hAnsi="Arial" w:cs="Arial"/>
          <w:sz w:val="18"/>
        </w:rPr>
        <w:t>Organisation des Nations Unies pour l’alimentation et l’agriculture</w:t>
      </w:r>
      <w:r w:rsidRPr="00DE1F61">
        <w:rPr>
          <w:rFonts w:ascii="Arial" w:hAnsi="Arial" w:cs="Arial"/>
          <w:sz w:val="18"/>
        </w:rPr>
        <w:t>, 2013. La situation mondiale de l’alimentation et de l’agriculture: Mettre les systèmes alimentaires au service d’une meilleure nutrition. Rome</w:t>
      </w:r>
    </w:p>
  </w:footnote>
  <w:footnote w:id="48">
    <w:p w14:paraId="24F87CCD" w14:textId="4FC12638" w:rsidR="00EB5093" w:rsidRPr="00DE1F61" w:rsidRDefault="00EB5093" w:rsidP="00540DAE">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w:t>
      </w:r>
      <w:r w:rsidRPr="007A209B">
        <w:rPr>
          <w:rFonts w:ascii="Arial" w:hAnsi="Arial" w:cs="Arial"/>
          <w:sz w:val="18"/>
        </w:rPr>
        <w:t>Organisation des Nations Unies pour l’alimentation et l’agriculture</w:t>
      </w:r>
      <w:r w:rsidRPr="00DE1F61">
        <w:rPr>
          <w:rFonts w:ascii="Arial" w:hAnsi="Arial" w:cs="Arial"/>
          <w:sz w:val="18"/>
        </w:rPr>
        <w:t xml:space="preserve"> 2015. Concevoir des programmes d’investissement agricoles sensibles à la nutrition. Guide pour la formulation de programmes</w:t>
      </w:r>
    </w:p>
  </w:footnote>
  <w:footnote w:id="49">
    <w:p w14:paraId="6BD88715" w14:textId="40CAD7AB" w:rsidR="00EB5093" w:rsidRPr="00DE1F61" w:rsidRDefault="00EB5093" w:rsidP="00540DAE">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w:t>
      </w:r>
      <w:r w:rsidRPr="007A209B">
        <w:rPr>
          <w:rFonts w:ascii="Arial" w:hAnsi="Arial" w:cs="Arial"/>
          <w:sz w:val="18"/>
        </w:rPr>
        <w:t>Organisation des Nations Unies pour l’alimentation et l’agriculture</w:t>
      </w:r>
      <w:r w:rsidRPr="00DE1F61">
        <w:rPr>
          <w:rFonts w:ascii="Arial" w:hAnsi="Arial" w:cs="Arial"/>
          <w:sz w:val="18"/>
        </w:rPr>
        <w:t>, 2015. Recommandations clés pour améliorer la nutrition à travers l’agriculture et les systèmes alimentaires</w:t>
      </w:r>
    </w:p>
  </w:footnote>
  <w:footnote w:id="50">
    <w:p w14:paraId="6CC31CD3" w14:textId="2C852C4C" w:rsidR="00EB5093" w:rsidRPr="00DE1F61" w:rsidRDefault="00EB5093" w:rsidP="00540DAE">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w:t>
      </w:r>
      <w:r w:rsidRPr="007A209B">
        <w:rPr>
          <w:rFonts w:ascii="Arial" w:hAnsi="Arial" w:cs="Arial"/>
          <w:sz w:val="18"/>
        </w:rPr>
        <w:t>Organisation des Nations Unies pour l’alimentation et l’agriculture</w:t>
      </w:r>
      <w:r w:rsidRPr="00DE1F61">
        <w:rPr>
          <w:rFonts w:ascii="Arial" w:hAnsi="Arial" w:cs="Arial"/>
          <w:sz w:val="18"/>
        </w:rPr>
        <w:t>, 2018. Agriculture et systèmes alimentaires sensibles à la nutrition en pratique</w:t>
      </w:r>
      <w:r>
        <w:rPr>
          <w:rFonts w:ascii="Arial" w:hAnsi="Arial" w:cs="Arial"/>
          <w:sz w:val="18"/>
        </w:rPr>
        <w:t> </w:t>
      </w:r>
      <w:r w:rsidRPr="00DE1F61">
        <w:rPr>
          <w:rFonts w:ascii="Arial" w:hAnsi="Arial" w:cs="Arial"/>
          <w:sz w:val="18"/>
        </w:rPr>
        <w:t>: options d’interventions</w:t>
      </w:r>
    </w:p>
  </w:footnote>
  <w:footnote w:id="51">
    <w:p w14:paraId="1435AF95" w14:textId="4614C8B2" w:rsidR="00EB5093" w:rsidRPr="00DE1F61" w:rsidRDefault="00EB5093" w:rsidP="00540DAE">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w:t>
      </w:r>
      <w:r w:rsidRPr="007A209B">
        <w:rPr>
          <w:rFonts w:ascii="Arial" w:hAnsi="Arial" w:cs="Arial"/>
          <w:sz w:val="18"/>
        </w:rPr>
        <w:t>Organisation des Nations Unies pour l’alimentation et l’agriculture</w:t>
      </w:r>
      <w:r w:rsidRPr="00DE1F61">
        <w:rPr>
          <w:rFonts w:ascii="Arial" w:hAnsi="Arial" w:cs="Arial"/>
          <w:sz w:val="18"/>
        </w:rPr>
        <w:t>, 2018. Agriculture et systèmes alimentaires sensibles à la nutrition en pratique</w:t>
      </w:r>
      <w:r>
        <w:rPr>
          <w:rFonts w:ascii="Arial" w:hAnsi="Arial" w:cs="Arial"/>
          <w:sz w:val="18"/>
        </w:rPr>
        <w:t> </w:t>
      </w:r>
      <w:r w:rsidRPr="00DE1F61">
        <w:rPr>
          <w:rFonts w:ascii="Arial" w:hAnsi="Arial" w:cs="Arial"/>
          <w:sz w:val="18"/>
        </w:rPr>
        <w:t>: options d’interventions</w:t>
      </w:r>
    </w:p>
  </w:footnote>
  <w:footnote w:id="52">
    <w:p w14:paraId="6A9DB461" w14:textId="50DFF064" w:rsidR="00EB5093" w:rsidRPr="00DE1F61" w:rsidRDefault="00EB5093" w:rsidP="00540DAE">
      <w:pPr>
        <w:pStyle w:val="Notedebasdepage"/>
        <w:ind w:left="1701"/>
        <w:rPr>
          <w:rFonts w:ascii="Arial" w:hAnsi="Arial" w:cs="Arial"/>
          <w:sz w:val="18"/>
        </w:rPr>
      </w:pPr>
      <w:r w:rsidRPr="00DE1F61">
        <w:rPr>
          <w:rStyle w:val="Appelnotedebasdep"/>
          <w:rFonts w:ascii="Arial" w:hAnsi="Arial" w:cs="Arial"/>
          <w:sz w:val="18"/>
        </w:rPr>
        <w:footnoteRef/>
      </w:r>
      <w:r w:rsidRPr="00DE1F61">
        <w:rPr>
          <w:rFonts w:ascii="Arial" w:hAnsi="Arial" w:cs="Arial"/>
          <w:sz w:val="18"/>
        </w:rPr>
        <w:t xml:space="preserve"> </w:t>
      </w:r>
      <w:r w:rsidRPr="007A209B">
        <w:rPr>
          <w:rFonts w:ascii="Arial" w:hAnsi="Arial" w:cs="Arial"/>
          <w:sz w:val="18"/>
        </w:rPr>
        <w:t xml:space="preserve">Organisation des Nations Unies pour l’alimentation et l’agriculture </w:t>
      </w:r>
      <w:r w:rsidRPr="00DE1F61">
        <w:rPr>
          <w:rFonts w:ascii="Arial" w:hAnsi="Arial" w:cs="Arial"/>
          <w:sz w:val="18"/>
        </w:rPr>
        <w:t>2018. Recueil d’indicateurs pour une agriculture sensible à la nutrition</w:t>
      </w:r>
    </w:p>
  </w:footnote>
  <w:footnote w:id="53">
    <w:p w14:paraId="3F1DD17E" w14:textId="77777777" w:rsidR="00EB5093" w:rsidRPr="00DE1F61" w:rsidRDefault="00EB5093" w:rsidP="0093089E">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rPr>
        <w:t xml:space="preserve"> Plan d’action multisectoriel 2017-2019 de la politique nationale de sécurité nutritionnelle (PNSN)</w:t>
      </w:r>
    </w:p>
  </w:footnote>
  <w:footnote w:id="54">
    <w:p w14:paraId="75FAA9F5" w14:textId="77777777" w:rsidR="00EB5093" w:rsidRPr="00DE1F61" w:rsidRDefault="00EB5093" w:rsidP="0093089E">
      <w:pPr>
        <w:pStyle w:val="Notedebasdepage"/>
        <w:ind w:left="1701"/>
        <w:rPr>
          <w:rFonts w:ascii="Arial" w:hAnsi="Arial" w:cs="Arial"/>
          <w:sz w:val="18"/>
          <w:szCs w:val="18"/>
        </w:rPr>
      </w:pPr>
      <w:r w:rsidRPr="00DE1F61">
        <w:rPr>
          <w:rStyle w:val="Appelnotedebasdep"/>
          <w:rFonts w:ascii="Arial" w:hAnsi="Arial" w:cs="Arial"/>
          <w:sz w:val="18"/>
          <w:szCs w:val="18"/>
        </w:rPr>
        <w:footnoteRef/>
      </w:r>
      <w:r w:rsidRPr="00DE1F61">
        <w:rPr>
          <w:rFonts w:ascii="Arial" w:hAnsi="Arial" w:cs="Arial"/>
          <w:sz w:val="18"/>
          <w:szCs w:val="18"/>
        </w:rPr>
        <w:t xml:space="preserve"> Nelson GC, Rosegrant MW, Koo J, Robertson R, Sulser T, Zhu T, et al., (2009) Impact on Agriculture and Costs of Adaptation. Institut international de recherche sur les politiques alimentaires (IFPRI), Washington DC.</w:t>
      </w:r>
    </w:p>
  </w:footnote>
  <w:footnote w:id="55">
    <w:p w14:paraId="7A51BC90" w14:textId="21D95C6F" w:rsidR="00EB5093" w:rsidRPr="0083175B" w:rsidRDefault="00EB5093" w:rsidP="0083175B">
      <w:pPr>
        <w:pStyle w:val="Notedebasdepage"/>
        <w:ind w:left="1701"/>
        <w:rPr>
          <w:rFonts w:ascii="Arial" w:hAnsi="Arial" w:cs="Arial"/>
          <w:sz w:val="18"/>
          <w:lang w:val="en-US"/>
        </w:rPr>
      </w:pPr>
      <w:r w:rsidRPr="0083175B">
        <w:rPr>
          <w:rStyle w:val="Appelnotedebasdep"/>
          <w:rFonts w:ascii="Arial" w:hAnsi="Arial" w:cs="Arial"/>
          <w:sz w:val="18"/>
        </w:rPr>
        <w:footnoteRef/>
      </w:r>
      <w:r w:rsidRPr="0083175B">
        <w:rPr>
          <w:rFonts w:ascii="Arial" w:hAnsi="Arial" w:cs="Arial"/>
          <w:sz w:val="18"/>
          <w:lang w:val="en-US"/>
        </w:rPr>
        <w:t xml:space="preserve"> Whaley, Shannon et al., 2003. “The Impact of Dietary Intervention on the Cognitive Development of Kenyan School Children”, The Journal of Nutrition. 133: 3965S–3971S</w:t>
      </w:r>
    </w:p>
  </w:footnote>
  <w:footnote w:id="56">
    <w:p w14:paraId="0362207B" w14:textId="424B8D3E" w:rsidR="00EB5093" w:rsidRPr="0083175B" w:rsidRDefault="00EB5093" w:rsidP="0083175B">
      <w:pPr>
        <w:pStyle w:val="Notedebasdepage"/>
        <w:ind w:left="1701"/>
        <w:rPr>
          <w:rFonts w:ascii="Arial" w:hAnsi="Arial" w:cs="Arial"/>
          <w:sz w:val="18"/>
          <w:lang w:val="en-US"/>
        </w:rPr>
      </w:pPr>
      <w:r w:rsidRPr="0083175B">
        <w:rPr>
          <w:rStyle w:val="Appelnotedebasdep"/>
          <w:rFonts w:ascii="Arial" w:hAnsi="Arial" w:cs="Arial"/>
          <w:sz w:val="18"/>
        </w:rPr>
        <w:footnoteRef/>
      </w:r>
      <w:r w:rsidRPr="0083175B">
        <w:rPr>
          <w:rFonts w:ascii="Arial" w:hAnsi="Arial" w:cs="Arial"/>
          <w:sz w:val="18"/>
          <w:lang w:val="en-US"/>
        </w:rPr>
        <w:t xml:space="preserve"> Melissa C. Daniels and Linda S. Adair, 2004. “Growth in young Filipino children predicts schooling trajectories through high school”, The Journal of Nutrition, March 22, 2004, Jn.nutrition.org</w:t>
      </w:r>
    </w:p>
  </w:footnote>
  <w:footnote w:id="57">
    <w:p w14:paraId="45414F6E" w14:textId="20B39359" w:rsidR="00EB5093" w:rsidRDefault="00EB5093" w:rsidP="0083175B">
      <w:pPr>
        <w:pStyle w:val="Notedebasdepage"/>
        <w:ind w:left="1701"/>
      </w:pPr>
      <w:r w:rsidRPr="0083175B">
        <w:rPr>
          <w:rStyle w:val="Appelnotedebasdep"/>
          <w:rFonts w:ascii="Arial" w:hAnsi="Arial" w:cs="Arial"/>
          <w:sz w:val="18"/>
        </w:rPr>
        <w:footnoteRef/>
      </w:r>
      <w:r w:rsidRPr="0083175B">
        <w:rPr>
          <w:rFonts w:ascii="Arial" w:hAnsi="Arial" w:cs="Arial"/>
          <w:sz w:val="18"/>
        </w:rPr>
        <w:t xml:space="preserve"> PAM, 2018. Le coût de la faim en Afrique : l’incidence sociale et économique de la malnutrition chez l’enfant au Niger.</w:t>
      </w:r>
    </w:p>
  </w:footnote>
  <w:footnote w:id="58">
    <w:p w14:paraId="458F526E" w14:textId="37AC5D0A" w:rsidR="00EB5093" w:rsidRPr="006872B9" w:rsidRDefault="00EB5093" w:rsidP="007A209B">
      <w:pPr>
        <w:pStyle w:val="Notedebasdepage"/>
        <w:ind w:left="1701"/>
        <w:rPr>
          <w:rFonts w:ascii="Arial" w:hAnsi="Arial" w:cs="Arial"/>
          <w:sz w:val="18"/>
        </w:rPr>
      </w:pPr>
      <w:r w:rsidRPr="007A209B">
        <w:rPr>
          <w:rStyle w:val="Appelnotedebasdep"/>
          <w:rFonts w:ascii="Arial" w:hAnsi="Arial" w:cs="Arial"/>
          <w:sz w:val="18"/>
          <w:szCs w:val="18"/>
        </w:rPr>
        <w:footnoteRef/>
      </w:r>
      <w:r w:rsidRPr="007A209B">
        <w:rPr>
          <w:rStyle w:val="Appelnotedebasdep"/>
          <w:rFonts w:ascii="Arial" w:hAnsi="Arial" w:cs="Arial"/>
          <w:sz w:val="18"/>
          <w:szCs w:val="18"/>
        </w:rPr>
        <w:t xml:space="preserve"> </w:t>
      </w:r>
      <w:r w:rsidRPr="006872B9">
        <w:t>Organisation des Nations Unies pour l’alimentation et l’agriculture, 2015. Nutrition et protection sociale</w:t>
      </w:r>
    </w:p>
  </w:footnote>
  <w:footnote w:id="59">
    <w:p w14:paraId="65A40DD7" w14:textId="77777777" w:rsidR="00EB5093" w:rsidRDefault="00EB5093" w:rsidP="007E2365">
      <w:pPr>
        <w:pStyle w:val="Notedebasdepage"/>
        <w:ind w:left="1701"/>
      </w:pPr>
      <w:r w:rsidRPr="002725B8">
        <w:rPr>
          <w:rStyle w:val="Appelnotedebasdep"/>
          <w:rFonts w:ascii="Arial" w:hAnsi="Arial" w:cs="Arial"/>
          <w:sz w:val="18"/>
          <w:szCs w:val="18"/>
        </w:rPr>
        <w:footnoteRef/>
      </w:r>
      <w:r w:rsidRPr="002725B8">
        <w:rPr>
          <w:rFonts w:ascii="Arial" w:hAnsi="Arial" w:cs="Arial"/>
          <w:sz w:val="18"/>
          <w:szCs w:val="18"/>
        </w:rPr>
        <w:t xml:space="preserve"> Rapport de l’Etude des déterminants des politiques  en matière de nutrition au Niger : Comprendre les liens entre la politique multisectorielle de nutrition et les politiques sectorielles et les liens avec les évidences qui sous-tendent ces politiques. </w:t>
      </w:r>
      <w:hyperlink r:id="rId2" w:history="1">
        <w:r w:rsidRPr="002725B8">
          <w:rPr>
            <w:rStyle w:val="Lienhypertexte"/>
            <w:rFonts w:ascii="Arial" w:hAnsi="Arial" w:cs="Arial"/>
            <w:sz w:val="18"/>
            <w:szCs w:val="18"/>
          </w:rPr>
          <w:t>http://www.nipn-nutrition-platforms.org/IMG/pdf/nutrition-policy-niger.pdf</w:t>
        </w:r>
      </w:hyperlink>
    </w:p>
  </w:footnote>
  <w:footnote w:id="60">
    <w:p w14:paraId="61B3E731" w14:textId="77777777" w:rsidR="00EB5093" w:rsidRPr="002725B8" w:rsidRDefault="00EB5093" w:rsidP="007E2365">
      <w:pPr>
        <w:pStyle w:val="Notedebasdepage"/>
        <w:ind w:left="1843"/>
        <w:rPr>
          <w:rFonts w:ascii="Arial" w:hAnsi="Arial" w:cs="Arial"/>
          <w:sz w:val="18"/>
        </w:rPr>
      </w:pPr>
      <w:r w:rsidRPr="002725B8">
        <w:rPr>
          <w:rStyle w:val="Appelnotedebasdep"/>
          <w:rFonts w:ascii="Arial" w:hAnsi="Arial" w:cs="Arial"/>
          <w:sz w:val="18"/>
        </w:rPr>
        <w:footnoteRef/>
      </w:r>
      <w:r w:rsidRPr="002725B8">
        <w:rPr>
          <w:rFonts w:ascii="Arial" w:hAnsi="Arial" w:cs="Arial"/>
          <w:sz w:val="18"/>
        </w:rPr>
        <w:t xml:space="preserve"> Plan d’action multisectoriel 2017-2019 de la politique nationale de sécurité nutritionnelle (PNSN)</w:t>
      </w:r>
    </w:p>
  </w:footnote>
  <w:footnote w:id="61">
    <w:p w14:paraId="4382373D" w14:textId="77777777" w:rsidR="009F573A" w:rsidRPr="00954BEE" w:rsidRDefault="009F573A" w:rsidP="009F573A">
      <w:pPr>
        <w:pStyle w:val="Notedebasdepage"/>
        <w:ind w:left="1701"/>
        <w:rPr>
          <w:lang w:val="en-US"/>
        </w:rPr>
      </w:pPr>
      <w:r w:rsidRPr="009F288D">
        <w:rPr>
          <w:rStyle w:val="Appelnotedebasdep"/>
          <w:rFonts w:ascii="Arial" w:hAnsi="Arial" w:cs="Arial"/>
          <w:sz w:val="18"/>
          <w:szCs w:val="18"/>
        </w:rPr>
        <w:footnoteRef/>
      </w:r>
      <w:r w:rsidRPr="009F288D">
        <w:rPr>
          <w:rFonts w:ascii="Arial" w:hAnsi="Arial" w:cs="Arial"/>
          <w:sz w:val="18"/>
          <w:szCs w:val="18"/>
          <w:lang w:val="en-US"/>
        </w:rPr>
        <w:t xml:space="preserve"> Haddad L, Mejia Acosta A, Fanzo J. Accelerating reductions in undernutrition: what can nutrition governance tell us? Brighton, UK: IDS, 2012. http://www.ids.ac.uk/files/dmfile/InFocus22.pdf</w:t>
      </w:r>
    </w:p>
  </w:footnote>
  <w:footnote w:id="62">
    <w:p w14:paraId="3F71691E" w14:textId="77777777" w:rsidR="00EB5093" w:rsidRPr="003404C7" w:rsidRDefault="00EB5093" w:rsidP="007E2365">
      <w:pPr>
        <w:pStyle w:val="Notedebasdepage"/>
        <w:rPr>
          <w:sz w:val="16"/>
        </w:rPr>
      </w:pPr>
      <w:r>
        <w:rPr>
          <w:rStyle w:val="Appelnotedebasdep"/>
        </w:rPr>
        <w:footnoteRef/>
      </w:r>
      <w:r w:rsidRPr="008561E8">
        <w:rPr>
          <w:sz w:val="16"/>
        </w:rPr>
        <w:t xml:space="preserve">Rapport de l’Etude des déterminants des politiques  en matière de nutrition au Niger : Comprendre les liens entre la politique multisectorielle de nutrition et les politiques sectorielles et les liens avec les évidences qui sous-tendent ces politiques. </w:t>
      </w:r>
      <w:hyperlink r:id="rId3" w:history="1">
        <w:r w:rsidRPr="008561E8">
          <w:rPr>
            <w:rStyle w:val="Lienhypertexte"/>
            <w:sz w:val="16"/>
          </w:rPr>
          <w:t>http://www.nipn-nutrition-platforms.org/IMG/pdf/nutrition-policy-niger.pdf</w:t>
        </w:r>
      </w:hyperlink>
    </w:p>
  </w:footnote>
  <w:footnote w:id="63">
    <w:p w14:paraId="2C571E61" w14:textId="77777777" w:rsidR="00EB5093" w:rsidRPr="00141B80" w:rsidRDefault="00EB5093" w:rsidP="00141B80">
      <w:pPr>
        <w:pStyle w:val="Notedebasdepage"/>
        <w:ind w:left="1701"/>
        <w:rPr>
          <w:rFonts w:ascii="Arial" w:hAnsi="Arial" w:cs="Arial"/>
          <w:sz w:val="18"/>
          <w:szCs w:val="18"/>
        </w:rPr>
      </w:pPr>
      <w:r w:rsidRPr="00141B80">
        <w:rPr>
          <w:rStyle w:val="Appelnotedebasdep"/>
          <w:rFonts w:ascii="Arial" w:hAnsi="Arial" w:cs="Arial"/>
          <w:sz w:val="18"/>
          <w:szCs w:val="18"/>
        </w:rPr>
        <w:footnoteRef/>
      </w:r>
      <w:r w:rsidRPr="00141B80">
        <w:rPr>
          <w:rFonts w:ascii="Arial" w:hAnsi="Arial" w:cs="Arial"/>
          <w:sz w:val="18"/>
          <w:szCs w:val="18"/>
        </w:rPr>
        <w:t xml:space="preserve"> ACF, 2015. Intégration de la nutrition dans les politiques et programmes des secteurs contributeurs.</w:t>
      </w:r>
    </w:p>
  </w:footnote>
  <w:footnote w:id="64">
    <w:p w14:paraId="39240EAB" w14:textId="77777777" w:rsidR="00EB5093" w:rsidRPr="009F288D" w:rsidRDefault="00EB5093" w:rsidP="009F288D">
      <w:pPr>
        <w:pStyle w:val="Notedebasdepage"/>
        <w:ind w:left="1701"/>
        <w:rPr>
          <w:rFonts w:ascii="Arial" w:hAnsi="Arial" w:cs="Arial"/>
          <w:sz w:val="18"/>
          <w:szCs w:val="18"/>
        </w:rPr>
      </w:pPr>
      <w:r w:rsidRPr="009F288D">
        <w:rPr>
          <w:rStyle w:val="Appelnotedebasdep"/>
          <w:rFonts w:ascii="Arial" w:hAnsi="Arial" w:cs="Arial"/>
          <w:sz w:val="18"/>
          <w:szCs w:val="18"/>
        </w:rPr>
        <w:footnoteRef/>
      </w:r>
      <w:r w:rsidRPr="009F288D">
        <w:rPr>
          <w:rFonts w:ascii="Arial" w:hAnsi="Arial" w:cs="Arial"/>
          <w:sz w:val="18"/>
          <w:szCs w:val="18"/>
        </w:rPr>
        <w:t xml:space="preserve"> REACH - Cartographie des interventions et des intervenants dans le domaine de la nutrition au Niger.</w:t>
      </w:r>
    </w:p>
  </w:footnote>
  <w:footnote w:id="65">
    <w:p w14:paraId="3753925C" w14:textId="77777777" w:rsidR="00EB5093" w:rsidRPr="009F288D" w:rsidRDefault="00EB5093" w:rsidP="009F288D">
      <w:pPr>
        <w:pStyle w:val="Notedebasdepage"/>
        <w:ind w:left="1701"/>
        <w:rPr>
          <w:rFonts w:ascii="Arial" w:hAnsi="Arial" w:cs="Arial"/>
          <w:sz w:val="18"/>
          <w:szCs w:val="18"/>
        </w:rPr>
      </w:pPr>
      <w:r w:rsidRPr="009F288D">
        <w:rPr>
          <w:rStyle w:val="Appelnotedebasdep"/>
          <w:rFonts w:ascii="Arial" w:hAnsi="Arial" w:cs="Arial"/>
          <w:sz w:val="18"/>
          <w:szCs w:val="18"/>
        </w:rPr>
        <w:footnoteRef/>
      </w:r>
      <w:r w:rsidRPr="009F288D">
        <w:rPr>
          <w:rFonts w:ascii="Arial" w:hAnsi="Arial" w:cs="Arial"/>
          <w:sz w:val="18"/>
          <w:szCs w:val="18"/>
        </w:rPr>
        <w:t xml:space="preserve"> Analyse de coût-efficacité de la mise à l’échelle des interventions spécifiques à la nutrition au Niger</w:t>
      </w:r>
    </w:p>
  </w:footnote>
  <w:footnote w:id="66">
    <w:p w14:paraId="1C229DE7" w14:textId="7F992A2D" w:rsidR="00EB5093" w:rsidRPr="009F288D" w:rsidRDefault="00EB5093" w:rsidP="009F288D">
      <w:pPr>
        <w:pStyle w:val="Notedebasdepage"/>
        <w:ind w:left="1701"/>
        <w:rPr>
          <w:rFonts w:ascii="Arial" w:hAnsi="Arial" w:cs="Arial"/>
          <w:sz w:val="18"/>
          <w:szCs w:val="18"/>
        </w:rPr>
      </w:pPr>
      <w:r w:rsidRPr="009F288D">
        <w:rPr>
          <w:rStyle w:val="Appelnotedebasdep"/>
          <w:rFonts w:ascii="Arial" w:hAnsi="Arial" w:cs="Arial"/>
          <w:sz w:val="18"/>
          <w:szCs w:val="18"/>
        </w:rPr>
        <w:footnoteRef/>
      </w:r>
      <w:r w:rsidRPr="009F288D">
        <w:rPr>
          <w:rFonts w:ascii="Arial" w:hAnsi="Arial" w:cs="Arial"/>
          <w:sz w:val="18"/>
          <w:szCs w:val="18"/>
        </w:rPr>
        <w:t xml:space="preserve"> Rapport de l’Etude des déterminants des politiques en matière de nutrition au Niger</w:t>
      </w:r>
      <w:r>
        <w:rPr>
          <w:rFonts w:ascii="Arial" w:hAnsi="Arial" w:cs="Arial"/>
          <w:sz w:val="18"/>
          <w:szCs w:val="18"/>
        </w:rPr>
        <w:t> </w:t>
      </w:r>
      <w:r w:rsidRPr="009F288D">
        <w:rPr>
          <w:rFonts w:ascii="Arial" w:hAnsi="Arial" w:cs="Arial"/>
          <w:sz w:val="18"/>
          <w:szCs w:val="18"/>
        </w:rPr>
        <w:t>: Comprendre les liens entre la politique multisectorielle de nutrition et les politiques sectorielles et les liens avec les évidences qui sous-tendent ces politiques. http://www.nipn-nutrition-platforms.org/IMG/pdf/nutrition-policy-niger.pdf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55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2420"/>
      <w:gridCol w:w="3888"/>
    </w:tblGrid>
    <w:tr w:rsidR="00EB5093" w14:paraId="6367E80F" w14:textId="77777777" w:rsidTr="00F6247C">
      <w:tc>
        <w:tcPr>
          <w:tcW w:w="4243" w:type="dxa"/>
          <w:vAlign w:val="center"/>
        </w:tcPr>
        <w:p w14:paraId="4055CE12" w14:textId="77777777" w:rsidR="00EB5093" w:rsidRDefault="00EB5093" w:rsidP="00F6247C">
          <w:pPr>
            <w:pStyle w:val="En-tte"/>
          </w:pPr>
          <w:r>
            <w:rPr>
              <w:noProof/>
              <w:lang w:eastAsia="fr-FR"/>
            </w:rPr>
            <w:drawing>
              <wp:inline distT="0" distB="0" distL="0" distR="0" wp14:anchorId="243E7931" wp14:editId="0BBC1C4E">
                <wp:extent cx="2557263" cy="1169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IPN couleur FR (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826" cy="1170207"/>
                        </a:xfrm>
                        <a:prstGeom prst="rect">
                          <a:avLst/>
                        </a:prstGeom>
                      </pic:spPr>
                    </pic:pic>
                  </a:graphicData>
                </a:graphic>
              </wp:inline>
            </w:drawing>
          </w:r>
        </w:p>
      </w:tc>
      <w:tc>
        <w:tcPr>
          <w:tcW w:w="2420" w:type="dxa"/>
          <w:vAlign w:val="center"/>
        </w:tcPr>
        <w:p w14:paraId="36CF5A23" w14:textId="77777777" w:rsidR="00EB5093" w:rsidRDefault="00EB5093" w:rsidP="00F6247C">
          <w:pPr>
            <w:pStyle w:val="En-tte"/>
            <w:jc w:val="center"/>
          </w:pPr>
          <w:r>
            <w:rPr>
              <w:noProof/>
              <w:lang w:eastAsia="fr-FR"/>
            </w:rPr>
            <w:drawing>
              <wp:inline distT="0" distB="0" distL="0" distR="0" wp14:anchorId="4A968519" wp14:editId="0B7CE2BB">
                <wp:extent cx="1181100" cy="11144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INS Niger.jpg"/>
                        <pic:cNvPicPr/>
                      </pic:nvPicPr>
                      <pic:blipFill>
                        <a:blip r:embed="rId2">
                          <a:extLst>
                            <a:ext uri="{28A0092B-C50C-407E-A947-70E740481C1C}">
                              <a14:useLocalDpi xmlns:a14="http://schemas.microsoft.com/office/drawing/2010/main" val="0"/>
                            </a:ext>
                          </a:extLst>
                        </a:blip>
                        <a:stretch>
                          <a:fillRect/>
                        </a:stretch>
                      </pic:blipFill>
                      <pic:spPr>
                        <a:xfrm>
                          <a:off x="0" y="0"/>
                          <a:ext cx="1181100" cy="1114425"/>
                        </a:xfrm>
                        <a:prstGeom prst="rect">
                          <a:avLst/>
                        </a:prstGeom>
                      </pic:spPr>
                    </pic:pic>
                  </a:graphicData>
                </a:graphic>
              </wp:inline>
            </w:drawing>
          </w:r>
        </w:p>
      </w:tc>
      <w:tc>
        <w:tcPr>
          <w:tcW w:w="3888" w:type="dxa"/>
          <w:vAlign w:val="center"/>
        </w:tcPr>
        <w:p w14:paraId="4BC1C323" w14:textId="77777777" w:rsidR="00EB5093" w:rsidRDefault="00EB5093" w:rsidP="00F6247C">
          <w:pPr>
            <w:pStyle w:val="En-tte"/>
            <w:jc w:val="right"/>
          </w:pPr>
          <w:r>
            <w:rPr>
              <w:noProof/>
              <w:lang w:eastAsia="fr-FR"/>
            </w:rPr>
            <w:drawing>
              <wp:inline distT="0" distB="0" distL="0" distR="0" wp14:anchorId="5112E0D2" wp14:editId="56434DF4">
                <wp:extent cx="1582167" cy="1196308"/>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UE 1.jpg"/>
                        <pic:cNvPicPr/>
                      </pic:nvPicPr>
                      <pic:blipFill>
                        <a:blip r:embed="rId3">
                          <a:extLst>
                            <a:ext uri="{28A0092B-C50C-407E-A947-70E740481C1C}">
                              <a14:useLocalDpi xmlns:a14="http://schemas.microsoft.com/office/drawing/2010/main" val="0"/>
                            </a:ext>
                          </a:extLst>
                        </a:blip>
                        <a:stretch>
                          <a:fillRect/>
                        </a:stretch>
                      </pic:blipFill>
                      <pic:spPr>
                        <a:xfrm>
                          <a:off x="0" y="0"/>
                          <a:ext cx="1597037" cy="1207552"/>
                        </a:xfrm>
                        <a:prstGeom prst="rect">
                          <a:avLst/>
                        </a:prstGeom>
                      </pic:spPr>
                    </pic:pic>
                  </a:graphicData>
                </a:graphic>
              </wp:inline>
            </w:drawing>
          </w:r>
        </w:p>
      </w:tc>
    </w:tr>
  </w:tbl>
  <w:p w14:paraId="02448A4A" w14:textId="77777777" w:rsidR="00EB5093" w:rsidRDefault="00EB50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7FF6"/>
    <w:multiLevelType w:val="hybridMultilevel"/>
    <w:tmpl w:val="DE60AE84"/>
    <w:lvl w:ilvl="0" w:tplc="B256FBE4">
      <w:start w:val="1"/>
      <w:numFmt w:val="bullet"/>
      <w:pStyle w:val="PucesRapportPNIN"/>
      <w:lvlText w:val=""/>
      <w:lvlJc w:val="left"/>
      <w:pPr>
        <w:ind w:left="2421" w:hanging="360"/>
      </w:pPr>
      <w:rPr>
        <w:rFonts w:ascii="Wingdings" w:hAnsi="Wingdings" w:hint="default"/>
        <w:color w:val="1F497D" w:themeColor="text2"/>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
    <w:nsid w:val="15EC3AA9"/>
    <w:multiLevelType w:val="hybridMultilevel"/>
    <w:tmpl w:val="52421C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E4399A"/>
    <w:multiLevelType w:val="hybridMultilevel"/>
    <w:tmpl w:val="137E4668"/>
    <w:lvl w:ilvl="0" w:tplc="ABBAB428">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
    <w:nsid w:val="31AA79CE"/>
    <w:multiLevelType w:val="hybridMultilevel"/>
    <w:tmpl w:val="6C0C8B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3AEF2D7D"/>
    <w:multiLevelType w:val="hybridMultilevel"/>
    <w:tmpl w:val="82FC5B84"/>
    <w:lvl w:ilvl="0" w:tplc="040C000D">
      <w:start w:val="1"/>
      <w:numFmt w:val="bullet"/>
      <w:lvlText w:val=""/>
      <w:lvlJc w:val="left"/>
      <w:pPr>
        <w:ind w:left="3141" w:hanging="360"/>
      </w:pPr>
      <w:rPr>
        <w:rFonts w:ascii="Wingdings" w:hAnsi="Wingdings" w:hint="default"/>
      </w:rPr>
    </w:lvl>
    <w:lvl w:ilvl="1" w:tplc="040C0003" w:tentative="1">
      <w:start w:val="1"/>
      <w:numFmt w:val="bullet"/>
      <w:lvlText w:val="o"/>
      <w:lvlJc w:val="left"/>
      <w:pPr>
        <w:ind w:left="3861" w:hanging="360"/>
      </w:pPr>
      <w:rPr>
        <w:rFonts w:ascii="Courier New" w:hAnsi="Courier New" w:cs="Courier New" w:hint="default"/>
      </w:rPr>
    </w:lvl>
    <w:lvl w:ilvl="2" w:tplc="040C0005" w:tentative="1">
      <w:start w:val="1"/>
      <w:numFmt w:val="bullet"/>
      <w:lvlText w:val=""/>
      <w:lvlJc w:val="left"/>
      <w:pPr>
        <w:ind w:left="4581" w:hanging="360"/>
      </w:pPr>
      <w:rPr>
        <w:rFonts w:ascii="Wingdings" w:hAnsi="Wingdings" w:hint="default"/>
      </w:rPr>
    </w:lvl>
    <w:lvl w:ilvl="3" w:tplc="040C0001" w:tentative="1">
      <w:start w:val="1"/>
      <w:numFmt w:val="bullet"/>
      <w:lvlText w:val=""/>
      <w:lvlJc w:val="left"/>
      <w:pPr>
        <w:ind w:left="5301" w:hanging="360"/>
      </w:pPr>
      <w:rPr>
        <w:rFonts w:ascii="Symbol" w:hAnsi="Symbol" w:hint="default"/>
      </w:rPr>
    </w:lvl>
    <w:lvl w:ilvl="4" w:tplc="040C0003" w:tentative="1">
      <w:start w:val="1"/>
      <w:numFmt w:val="bullet"/>
      <w:lvlText w:val="o"/>
      <w:lvlJc w:val="left"/>
      <w:pPr>
        <w:ind w:left="6021" w:hanging="360"/>
      </w:pPr>
      <w:rPr>
        <w:rFonts w:ascii="Courier New" w:hAnsi="Courier New" w:cs="Courier New" w:hint="default"/>
      </w:rPr>
    </w:lvl>
    <w:lvl w:ilvl="5" w:tplc="040C0005" w:tentative="1">
      <w:start w:val="1"/>
      <w:numFmt w:val="bullet"/>
      <w:lvlText w:val=""/>
      <w:lvlJc w:val="left"/>
      <w:pPr>
        <w:ind w:left="6741" w:hanging="360"/>
      </w:pPr>
      <w:rPr>
        <w:rFonts w:ascii="Wingdings" w:hAnsi="Wingdings" w:hint="default"/>
      </w:rPr>
    </w:lvl>
    <w:lvl w:ilvl="6" w:tplc="040C0001" w:tentative="1">
      <w:start w:val="1"/>
      <w:numFmt w:val="bullet"/>
      <w:lvlText w:val=""/>
      <w:lvlJc w:val="left"/>
      <w:pPr>
        <w:ind w:left="7461" w:hanging="360"/>
      </w:pPr>
      <w:rPr>
        <w:rFonts w:ascii="Symbol" w:hAnsi="Symbol" w:hint="default"/>
      </w:rPr>
    </w:lvl>
    <w:lvl w:ilvl="7" w:tplc="040C0003" w:tentative="1">
      <w:start w:val="1"/>
      <w:numFmt w:val="bullet"/>
      <w:lvlText w:val="o"/>
      <w:lvlJc w:val="left"/>
      <w:pPr>
        <w:ind w:left="8181" w:hanging="360"/>
      </w:pPr>
      <w:rPr>
        <w:rFonts w:ascii="Courier New" w:hAnsi="Courier New" w:cs="Courier New" w:hint="default"/>
      </w:rPr>
    </w:lvl>
    <w:lvl w:ilvl="8" w:tplc="040C0005" w:tentative="1">
      <w:start w:val="1"/>
      <w:numFmt w:val="bullet"/>
      <w:lvlText w:val=""/>
      <w:lvlJc w:val="left"/>
      <w:pPr>
        <w:ind w:left="8901" w:hanging="360"/>
      </w:pPr>
      <w:rPr>
        <w:rFonts w:ascii="Wingdings" w:hAnsi="Wingdings" w:hint="default"/>
      </w:rPr>
    </w:lvl>
  </w:abstractNum>
  <w:abstractNum w:abstractNumId="5">
    <w:nsid w:val="45DC4363"/>
    <w:multiLevelType w:val="multilevel"/>
    <w:tmpl w:val="8F121900"/>
    <w:lvl w:ilvl="0">
      <w:start w:val="1"/>
      <w:numFmt w:val="upperRoman"/>
      <w:pStyle w:val="Titre2situation"/>
      <w:lvlText w:val="%1."/>
      <w:lvlJc w:val="left"/>
      <w:pPr>
        <w:ind w:left="1080" w:hanging="720"/>
      </w:pPr>
      <w:rPr>
        <w:rFonts w:hint="default"/>
      </w:rPr>
    </w:lvl>
    <w:lvl w:ilvl="1">
      <w:start w:val="1"/>
      <w:numFmt w:val="decimal"/>
      <w:pStyle w:val="Titre3PNIN"/>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9004F1F"/>
    <w:multiLevelType w:val="hybridMultilevel"/>
    <w:tmpl w:val="35764AAE"/>
    <w:lvl w:ilvl="0" w:tplc="5CDCE0B0">
      <w:start w:val="1"/>
      <w:numFmt w:val="bullet"/>
      <w:pStyle w:val="pucetitrePNIN"/>
      <w:lvlText w:val=""/>
      <w:lvlJc w:val="left"/>
      <w:pPr>
        <w:ind w:left="2421" w:hanging="360"/>
      </w:pPr>
      <w:rPr>
        <w:rFonts w:ascii="Wingdings" w:hAnsi="Wingdings" w:hint="default"/>
        <w:color w:val="1F497D" w:themeColor="text2"/>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7">
    <w:nsid w:val="60975697"/>
    <w:multiLevelType w:val="hybridMultilevel"/>
    <w:tmpl w:val="72522AE2"/>
    <w:lvl w:ilvl="0" w:tplc="78142BE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517D42"/>
    <w:multiLevelType w:val="hybridMultilevel"/>
    <w:tmpl w:val="AA0C3700"/>
    <w:lvl w:ilvl="0" w:tplc="4C2EE1DE">
      <w:start w:val="1"/>
      <w:numFmt w:val="decimal"/>
      <w:pStyle w:val="pucesnumrotsPNI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076CF2"/>
    <w:multiLevelType w:val="hybridMultilevel"/>
    <w:tmpl w:val="213677F2"/>
    <w:lvl w:ilvl="0" w:tplc="ABBAB428">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0">
    <w:nsid w:val="7CA75A92"/>
    <w:multiLevelType w:val="hybridMultilevel"/>
    <w:tmpl w:val="99EA4360"/>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1">
    <w:nsid w:val="7D532854"/>
    <w:multiLevelType w:val="hybridMultilevel"/>
    <w:tmpl w:val="C1AC5FC4"/>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7"/>
  </w:num>
  <w:num w:numId="10">
    <w:abstractNumId w:val="11"/>
  </w:num>
  <w:num w:numId="11">
    <w:abstractNumId w:val="2"/>
  </w:num>
  <w:num w:numId="12">
    <w:abstractNumId w:val="9"/>
  </w:num>
  <w:num w:numId="13">
    <w:abstractNumId w:val="0"/>
  </w:num>
  <w:num w:numId="14">
    <w:abstractNumId w:val="0"/>
  </w:num>
  <w:num w:numId="15">
    <w:abstractNumId w:val="0"/>
  </w:num>
  <w:num w:numId="16">
    <w:abstractNumId w:val="10"/>
  </w:num>
  <w:num w:numId="17">
    <w:abstractNumId w:val="0"/>
  </w:num>
  <w:num w:numId="18">
    <w:abstractNumId w:val="5"/>
  </w:num>
  <w:num w:numId="19">
    <w:abstractNumId w:val="5"/>
  </w:num>
  <w:num w:numId="20">
    <w:abstractNumId w:val="5"/>
  </w:num>
  <w:num w:numId="21">
    <w:abstractNumId w:val="5"/>
  </w:num>
  <w:num w:numId="22">
    <w:abstractNumId w:val="4"/>
  </w:num>
  <w:num w:numId="23">
    <w:abstractNumId w:val="0"/>
  </w:num>
  <w:num w:numId="24">
    <w:abstractNumId w:val="1"/>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D5"/>
    <w:rsid w:val="000024C1"/>
    <w:rsid w:val="00004845"/>
    <w:rsid w:val="00004869"/>
    <w:rsid w:val="00006C5B"/>
    <w:rsid w:val="00007766"/>
    <w:rsid w:val="000078AE"/>
    <w:rsid w:val="0001459A"/>
    <w:rsid w:val="000156B5"/>
    <w:rsid w:val="00016322"/>
    <w:rsid w:val="00021039"/>
    <w:rsid w:val="000220D9"/>
    <w:rsid w:val="00022B65"/>
    <w:rsid w:val="000256A5"/>
    <w:rsid w:val="00030617"/>
    <w:rsid w:val="00032B92"/>
    <w:rsid w:val="000331DC"/>
    <w:rsid w:val="000334F3"/>
    <w:rsid w:val="000346B9"/>
    <w:rsid w:val="000348C7"/>
    <w:rsid w:val="00035340"/>
    <w:rsid w:val="00035FBB"/>
    <w:rsid w:val="000401B7"/>
    <w:rsid w:val="000420FF"/>
    <w:rsid w:val="000424B3"/>
    <w:rsid w:val="0004784B"/>
    <w:rsid w:val="00057049"/>
    <w:rsid w:val="00065B79"/>
    <w:rsid w:val="0006786E"/>
    <w:rsid w:val="000707AF"/>
    <w:rsid w:val="00070ACD"/>
    <w:rsid w:val="000715F5"/>
    <w:rsid w:val="00072A08"/>
    <w:rsid w:val="00077E0E"/>
    <w:rsid w:val="000878C0"/>
    <w:rsid w:val="00093348"/>
    <w:rsid w:val="00093782"/>
    <w:rsid w:val="00093D10"/>
    <w:rsid w:val="00097F71"/>
    <w:rsid w:val="000A2551"/>
    <w:rsid w:val="000A79E8"/>
    <w:rsid w:val="000B17CF"/>
    <w:rsid w:val="000B1AD6"/>
    <w:rsid w:val="000B30A9"/>
    <w:rsid w:val="000B366F"/>
    <w:rsid w:val="000B3DD7"/>
    <w:rsid w:val="000B5830"/>
    <w:rsid w:val="000C3CEE"/>
    <w:rsid w:val="000C5B80"/>
    <w:rsid w:val="000C654F"/>
    <w:rsid w:val="000D0DFA"/>
    <w:rsid w:val="000D1E5E"/>
    <w:rsid w:val="000D3A7C"/>
    <w:rsid w:val="000D3E81"/>
    <w:rsid w:val="000D3FFD"/>
    <w:rsid w:val="000D4D35"/>
    <w:rsid w:val="000D58E5"/>
    <w:rsid w:val="000D6F30"/>
    <w:rsid w:val="000D7E69"/>
    <w:rsid w:val="000E6CC2"/>
    <w:rsid w:val="000F0133"/>
    <w:rsid w:val="000F21EC"/>
    <w:rsid w:val="000F37DE"/>
    <w:rsid w:val="000F6412"/>
    <w:rsid w:val="000F69FC"/>
    <w:rsid w:val="000F6C97"/>
    <w:rsid w:val="000F6DFC"/>
    <w:rsid w:val="000F7385"/>
    <w:rsid w:val="001005F2"/>
    <w:rsid w:val="001025D9"/>
    <w:rsid w:val="00103AC1"/>
    <w:rsid w:val="00103F6A"/>
    <w:rsid w:val="00104D28"/>
    <w:rsid w:val="001057D2"/>
    <w:rsid w:val="001067AA"/>
    <w:rsid w:val="00107497"/>
    <w:rsid w:val="001114E1"/>
    <w:rsid w:val="00123B96"/>
    <w:rsid w:val="00124E1E"/>
    <w:rsid w:val="00130A18"/>
    <w:rsid w:val="00130D6E"/>
    <w:rsid w:val="00132BAA"/>
    <w:rsid w:val="00133B63"/>
    <w:rsid w:val="00141537"/>
    <w:rsid w:val="001416E3"/>
    <w:rsid w:val="00141B80"/>
    <w:rsid w:val="0014230B"/>
    <w:rsid w:val="001450C9"/>
    <w:rsid w:val="00145251"/>
    <w:rsid w:val="001452E8"/>
    <w:rsid w:val="00146A70"/>
    <w:rsid w:val="00151681"/>
    <w:rsid w:val="001535F0"/>
    <w:rsid w:val="00154EB9"/>
    <w:rsid w:val="00155D91"/>
    <w:rsid w:val="00160EF0"/>
    <w:rsid w:val="0016158C"/>
    <w:rsid w:val="00161653"/>
    <w:rsid w:val="00162282"/>
    <w:rsid w:val="001629EA"/>
    <w:rsid w:val="00167451"/>
    <w:rsid w:val="00170F05"/>
    <w:rsid w:val="00171911"/>
    <w:rsid w:val="0017398F"/>
    <w:rsid w:val="00173BCC"/>
    <w:rsid w:val="00174197"/>
    <w:rsid w:val="00175FE2"/>
    <w:rsid w:val="0017783A"/>
    <w:rsid w:val="001821BF"/>
    <w:rsid w:val="00186542"/>
    <w:rsid w:val="00187C15"/>
    <w:rsid w:val="0019009A"/>
    <w:rsid w:val="00190AF8"/>
    <w:rsid w:val="00190C0A"/>
    <w:rsid w:val="00192DD6"/>
    <w:rsid w:val="001938AE"/>
    <w:rsid w:val="00193B46"/>
    <w:rsid w:val="001960AA"/>
    <w:rsid w:val="001A03FF"/>
    <w:rsid w:val="001A05CA"/>
    <w:rsid w:val="001A19EE"/>
    <w:rsid w:val="001A1BA2"/>
    <w:rsid w:val="001A2F33"/>
    <w:rsid w:val="001A714B"/>
    <w:rsid w:val="001B1226"/>
    <w:rsid w:val="001B350D"/>
    <w:rsid w:val="001B4597"/>
    <w:rsid w:val="001B556A"/>
    <w:rsid w:val="001B64AB"/>
    <w:rsid w:val="001B72FE"/>
    <w:rsid w:val="001B778F"/>
    <w:rsid w:val="001C1A76"/>
    <w:rsid w:val="001C2230"/>
    <w:rsid w:val="001C2C49"/>
    <w:rsid w:val="001C4BE7"/>
    <w:rsid w:val="001C6587"/>
    <w:rsid w:val="001D0432"/>
    <w:rsid w:val="001D04AF"/>
    <w:rsid w:val="001D2292"/>
    <w:rsid w:val="001D31E6"/>
    <w:rsid w:val="001D553B"/>
    <w:rsid w:val="001D5793"/>
    <w:rsid w:val="001D757F"/>
    <w:rsid w:val="001E10AB"/>
    <w:rsid w:val="001E1395"/>
    <w:rsid w:val="001E2BC4"/>
    <w:rsid w:val="001F5367"/>
    <w:rsid w:val="001F604C"/>
    <w:rsid w:val="001F6C26"/>
    <w:rsid w:val="00202F5E"/>
    <w:rsid w:val="00207417"/>
    <w:rsid w:val="00212955"/>
    <w:rsid w:val="00212DB7"/>
    <w:rsid w:val="0021423B"/>
    <w:rsid w:val="00215444"/>
    <w:rsid w:val="00221066"/>
    <w:rsid w:val="002225CC"/>
    <w:rsid w:val="0022460B"/>
    <w:rsid w:val="00234BB9"/>
    <w:rsid w:val="0023549F"/>
    <w:rsid w:val="002375CD"/>
    <w:rsid w:val="00241436"/>
    <w:rsid w:val="00242670"/>
    <w:rsid w:val="002441FC"/>
    <w:rsid w:val="00247D20"/>
    <w:rsid w:val="00250BBF"/>
    <w:rsid w:val="002545BA"/>
    <w:rsid w:val="00265A22"/>
    <w:rsid w:val="00265B4B"/>
    <w:rsid w:val="00266824"/>
    <w:rsid w:val="00270098"/>
    <w:rsid w:val="00271A73"/>
    <w:rsid w:val="002725B8"/>
    <w:rsid w:val="002755E6"/>
    <w:rsid w:val="0027780C"/>
    <w:rsid w:val="002820EE"/>
    <w:rsid w:val="00283BA5"/>
    <w:rsid w:val="00287916"/>
    <w:rsid w:val="00287C9A"/>
    <w:rsid w:val="002911B1"/>
    <w:rsid w:val="0029166D"/>
    <w:rsid w:val="0029317E"/>
    <w:rsid w:val="00295247"/>
    <w:rsid w:val="00295846"/>
    <w:rsid w:val="00295C5C"/>
    <w:rsid w:val="00296914"/>
    <w:rsid w:val="0029707E"/>
    <w:rsid w:val="002A18C0"/>
    <w:rsid w:val="002A21D8"/>
    <w:rsid w:val="002A3DEE"/>
    <w:rsid w:val="002A47EE"/>
    <w:rsid w:val="002A7DD2"/>
    <w:rsid w:val="002B0276"/>
    <w:rsid w:val="002B16D3"/>
    <w:rsid w:val="002B1B3E"/>
    <w:rsid w:val="002B2C12"/>
    <w:rsid w:val="002B4A2D"/>
    <w:rsid w:val="002B4C83"/>
    <w:rsid w:val="002B5742"/>
    <w:rsid w:val="002B68C0"/>
    <w:rsid w:val="002B774B"/>
    <w:rsid w:val="002C30C7"/>
    <w:rsid w:val="002C40EB"/>
    <w:rsid w:val="002C5413"/>
    <w:rsid w:val="002D199B"/>
    <w:rsid w:val="002D673C"/>
    <w:rsid w:val="002E189D"/>
    <w:rsid w:val="002E24A5"/>
    <w:rsid w:val="002E2B7D"/>
    <w:rsid w:val="002E2F53"/>
    <w:rsid w:val="002E5BF6"/>
    <w:rsid w:val="002E6CDE"/>
    <w:rsid w:val="002F4239"/>
    <w:rsid w:val="00300955"/>
    <w:rsid w:val="0030166A"/>
    <w:rsid w:val="00302130"/>
    <w:rsid w:val="00304C54"/>
    <w:rsid w:val="00310EFB"/>
    <w:rsid w:val="00314404"/>
    <w:rsid w:val="0031640F"/>
    <w:rsid w:val="0032104E"/>
    <w:rsid w:val="003253DC"/>
    <w:rsid w:val="0032560C"/>
    <w:rsid w:val="00327210"/>
    <w:rsid w:val="0032774C"/>
    <w:rsid w:val="003400C9"/>
    <w:rsid w:val="003404C7"/>
    <w:rsid w:val="00342029"/>
    <w:rsid w:val="00342BB5"/>
    <w:rsid w:val="00343C54"/>
    <w:rsid w:val="00344760"/>
    <w:rsid w:val="00352376"/>
    <w:rsid w:val="00355A90"/>
    <w:rsid w:val="003573C0"/>
    <w:rsid w:val="003574BD"/>
    <w:rsid w:val="003579C0"/>
    <w:rsid w:val="0036095E"/>
    <w:rsid w:val="0036163C"/>
    <w:rsid w:val="00363567"/>
    <w:rsid w:val="00363B69"/>
    <w:rsid w:val="00364C31"/>
    <w:rsid w:val="00371AA8"/>
    <w:rsid w:val="00373701"/>
    <w:rsid w:val="00376375"/>
    <w:rsid w:val="00376B7D"/>
    <w:rsid w:val="003804C0"/>
    <w:rsid w:val="00380A2C"/>
    <w:rsid w:val="00380D18"/>
    <w:rsid w:val="0038162B"/>
    <w:rsid w:val="003858B4"/>
    <w:rsid w:val="00385919"/>
    <w:rsid w:val="00390E52"/>
    <w:rsid w:val="00392B73"/>
    <w:rsid w:val="00392F29"/>
    <w:rsid w:val="003934AA"/>
    <w:rsid w:val="003941DE"/>
    <w:rsid w:val="003951D1"/>
    <w:rsid w:val="00396218"/>
    <w:rsid w:val="003A3AD7"/>
    <w:rsid w:val="003A4E42"/>
    <w:rsid w:val="003A5C76"/>
    <w:rsid w:val="003A6E20"/>
    <w:rsid w:val="003B0333"/>
    <w:rsid w:val="003B06E7"/>
    <w:rsid w:val="003C1DF2"/>
    <w:rsid w:val="003C3045"/>
    <w:rsid w:val="003C47C2"/>
    <w:rsid w:val="003C4CE5"/>
    <w:rsid w:val="003C7478"/>
    <w:rsid w:val="003C798F"/>
    <w:rsid w:val="003E12A9"/>
    <w:rsid w:val="003E2C6B"/>
    <w:rsid w:val="003E3E07"/>
    <w:rsid w:val="003E645F"/>
    <w:rsid w:val="003F426A"/>
    <w:rsid w:val="003F43BC"/>
    <w:rsid w:val="003F69ED"/>
    <w:rsid w:val="00400F81"/>
    <w:rsid w:val="00403883"/>
    <w:rsid w:val="004041F2"/>
    <w:rsid w:val="0040675D"/>
    <w:rsid w:val="004122F5"/>
    <w:rsid w:val="004126F3"/>
    <w:rsid w:val="00415CAA"/>
    <w:rsid w:val="00416ED6"/>
    <w:rsid w:val="00421088"/>
    <w:rsid w:val="00422DF4"/>
    <w:rsid w:val="0043214B"/>
    <w:rsid w:val="004337C3"/>
    <w:rsid w:val="00436850"/>
    <w:rsid w:val="004400AB"/>
    <w:rsid w:val="00440459"/>
    <w:rsid w:val="00440ABF"/>
    <w:rsid w:val="00442E59"/>
    <w:rsid w:val="004452BA"/>
    <w:rsid w:val="00446F99"/>
    <w:rsid w:val="00450385"/>
    <w:rsid w:val="00451066"/>
    <w:rsid w:val="0045252E"/>
    <w:rsid w:val="00460533"/>
    <w:rsid w:val="00460B7F"/>
    <w:rsid w:val="00460D3F"/>
    <w:rsid w:val="00461A06"/>
    <w:rsid w:val="004625CE"/>
    <w:rsid w:val="004627BA"/>
    <w:rsid w:val="00466396"/>
    <w:rsid w:val="00466ED8"/>
    <w:rsid w:val="00471352"/>
    <w:rsid w:val="0047165D"/>
    <w:rsid w:val="00480178"/>
    <w:rsid w:val="00480401"/>
    <w:rsid w:val="0048211E"/>
    <w:rsid w:val="00483F20"/>
    <w:rsid w:val="004863C6"/>
    <w:rsid w:val="00487A8B"/>
    <w:rsid w:val="00487FD3"/>
    <w:rsid w:val="004902A9"/>
    <w:rsid w:val="00492DDF"/>
    <w:rsid w:val="00493B85"/>
    <w:rsid w:val="00496E5E"/>
    <w:rsid w:val="00497F56"/>
    <w:rsid w:val="004A22E0"/>
    <w:rsid w:val="004B001D"/>
    <w:rsid w:val="004B023A"/>
    <w:rsid w:val="004B23B7"/>
    <w:rsid w:val="004B51B9"/>
    <w:rsid w:val="004B6A00"/>
    <w:rsid w:val="004C0E4B"/>
    <w:rsid w:val="004C150D"/>
    <w:rsid w:val="004C6497"/>
    <w:rsid w:val="004C6D80"/>
    <w:rsid w:val="004D3BD8"/>
    <w:rsid w:val="004D3CA0"/>
    <w:rsid w:val="004D4736"/>
    <w:rsid w:val="004D583B"/>
    <w:rsid w:val="004D6260"/>
    <w:rsid w:val="004E0EB7"/>
    <w:rsid w:val="004E45CA"/>
    <w:rsid w:val="004E47FE"/>
    <w:rsid w:val="004E51DD"/>
    <w:rsid w:val="004E5751"/>
    <w:rsid w:val="004F0DE5"/>
    <w:rsid w:val="004F41C4"/>
    <w:rsid w:val="004F597E"/>
    <w:rsid w:val="004F5A11"/>
    <w:rsid w:val="00501112"/>
    <w:rsid w:val="0050182D"/>
    <w:rsid w:val="005031A3"/>
    <w:rsid w:val="0050358E"/>
    <w:rsid w:val="00504670"/>
    <w:rsid w:val="005055D9"/>
    <w:rsid w:val="00507590"/>
    <w:rsid w:val="00507D43"/>
    <w:rsid w:val="00510886"/>
    <w:rsid w:val="00510904"/>
    <w:rsid w:val="00513BF4"/>
    <w:rsid w:val="00515001"/>
    <w:rsid w:val="005164D4"/>
    <w:rsid w:val="0051675E"/>
    <w:rsid w:val="00517890"/>
    <w:rsid w:val="00520F0A"/>
    <w:rsid w:val="005223FD"/>
    <w:rsid w:val="005241BC"/>
    <w:rsid w:val="0052511B"/>
    <w:rsid w:val="005259AD"/>
    <w:rsid w:val="00525D73"/>
    <w:rsid w:val="005264F8"/>
    <w:rsid w:val="0052660A"/>
    <w:rsid w:val="00532AB0"/>
    <w:rsid w:val="00535FE0"/>
    <w:rsid w:val="00537ABC"/>
    <w:rsid w:val="00540DAE"/>
    <w:rsid w:val="0054363D"/>
    <w:rsid w:val="00544714"/>
    <w:rsid w:val="00545726"/>
    <w:rsid w:val="00546212"/>
    <w:rsid w:val="005505EE"/>
    <w:rsid w:val="00550B43"/>
    <w:rsid w:val="005529FD"/>
    <w:rsid w:val="00552CB7"/>
    <w:rsid w:val="0055350F"/>
    <w:rsid w:val="00553E85"/>
    <w:rsid w:val="0055659F"/>
    <w:rsid w:val="00557658"/>
    <w:rsid w:val="00563D2D"/>
    <w:rsid w:val="00563EA3"/>
    <w:rsid w:val="005644FC"/>
    <w:rsid w:val="005662E3"/>
    <w:rsid w:val="005716B4"/>
    <w:rsid w:val="0057493F"/>
    <w:rsid w:val="00574FE9"/>
    <w:rsid w:val="00576C85"/>
    <w:rsid w:val="0057726E"/>
    <w:rsid w:val="00582ED5"/>
    <w:rsid w:val="00583715"/>
    <w:rsid w:val="00583D4F"/>
    <w:rsid w:val="005845D0"/>
    <w:rsid w:val="00586624"/>
    <w:rsid w:val="00586BC2"/>
    <w:rsid w:val="005875AC"/>
    <w:rsid w:val="005914C1"/>
    <w:rsid w:val="00592140"/>
    <w:rsid w:val="005A2E8A"/>
    <w:rsid w:val="005A3A80"/>
    <w:rsid w:val="005A592C"/>
    <w:rsid w:val="005A61D8"/>
    <w:rsid w:val="005B0736"/>
    <w:rsid w:val="005B1589"/>
    <w:rsid w:val="005B1E92"/>
    <w:rsid w:val="005B5A77"/>
    <w:rsid w:val="005B5EE4"/>
    <w:rsid w:val="005B7B9F"/>
    <w:rsid w:val="005C017F"/>
    <w:rsid w:val="005C39E5"/>
    <w:rsid w:val="005C580B"/>
    <w:rsid w:val="005C5F81"/>
    <w:rsid w:val="005D1DEB"/>
    <w:rsid w:val="005D310D"/>
    <w:rsid w:val="005E1AE4"/>
    <w:rsid w:val="005E53E4"/>
    <w:rsid w:val="005E55E5"/>
    <w:rsid w:val="005E64BF"/>
    <w:rsid w:val="005E6C34"/>
    <w:rsid w:val="005E7282"/>
    <w:rsid w:val="005F278E"/>
    <w:rsid w:val="005F3AA4"/>
    <w:rsid w:val="005F6AC5"/>
    <w:rsid w:val="00610EB2"/>
    <w:rsid w:val="00611024"/>
    <w:rsid w:val="006114E2"/>
    <w:rsid w:val="006120B6"/>
    <w:rsid w:val="00612C33"/>
    <w:rsid w:val="00613204"/>
    <w:rsid w:val="006143B4"/>
    <w:rsid w:val="00614C8D"/>
    <w:rsid w:val="0061749F"/>
    <w:rsid w:val="00622244"/>
    <w:rsid w:val="0062271D"/>
    <w:rsid w:val="00625A52"/>
    <w:rsid w:val="006265D2"/>
    <w:rsid w:val="006265D8"/>
    <w:rsid w:val="006311FF"/>
    <w:rsid w:val="00633A1E"/>
    <w:rsid w:val="00634E58"/>
    <w:rsid w:val="00636FBE"/>
    <w:rsid w:val="006371A5"/>
    <w:rsid w:val="00640B49"/>
    <w:rsid w:val="00641906"/>
    <w:rsid w:val="0064646C"/>
    <w:rsid w:val="006471F2"/>
    <w:rsid w:val="00647EA0"/>
    <w:rsid w:val="00650CBD"/>
    <w:rsid w:val="00652F3F"/>
    <w:rsid w:val="00654A74"/>
    <w:rsid w:val="006551E1"/>
    <w:rsid w:val="006619A6"/>
    <w:rsid w:val="00662BB8"/>
    <w:rsid w:val="00664FC8"/>
    <w:rsid w:val="006653BC"/>
    <w:rsid w:val="0066594D"/>
    <w:rsid w:val="00665A5A"/>
    <w:rsid w:val="00670860"/>
    <w:rsid w:val="0067196D"/>
    <w:rsid w:val="006719B9"/>
    <w:rsid w:val="00674929"/>
    <w:rsid w:val="0067549B"/>
    <w:rsid w:val="0068054C"/>
    <w:rsid w:val="00683E59"/>
    <w:rsid w:val="006872B9"/>
    <w:rsid w:val="0069760B"/>
    <w:rsid w:val="006979A6"/>
    <w:rsid w:val="00697ECB"/>
    <w:rsid w:val="006A5083"/>
    <w:rsid w:val="006A5211"/>
    <w:rsid w:val="006A538F"/>
    <w:rsid w:val="006A6C31"/>
    <w:rsid w:val="006B3E37"/>
    <w:rsid w:val="006B3FB2"/>
    <w:rsid w:val="006B6033"/>
    <w:rsid w:val="006B62F4"/>
    <w:rsid w:val="006C2640"/>
    <w:rsid w:val="006C2E8E"/>
    <w:rsid w:val="006C458E"/>
    <w:rsid w:val="006C5342"/>
    <w:rsid w:val="006C74FA"/>
    <w:rsid w:val="006D41F1"/>
    <w:rsid w:val="006D595D"/>
    <w:rsid w:val="006D7EFF"/>
    <w:rsid w:val="006E0579"/>
    <w:rsid w:val="006E31A3"/>
    <w:rsid w:val="006E4547"/>
    <w:rsid w:val="006E6A89"/>
    <w:rsid w:val="006E6D20"/>
    <w:rsid w:val="006F0573"/>
    <w:rsid w:val="006F05CF"/>
    <w:rsid w:val="006F2CDF"/>
    <w:rsid w:val="006F3583"/>
    <w:rsid w:val="006F714B"/>
    <w:rsid w:val="00702A2E"/>
    <w:rsid w:val="00704E38"/>
    <w:rsid w:val="00704ED5"/>
    <w:rsid w:val="00712F9A"/>
    <w:rsid w:val="007149E1"/>
    <w:rsid w:val="00716E22"/>
    <w:rsid w:val="0072101C"/>
    <w:rsid w:val="00722C03"/>
    <w:rsid w:val="00722C6D"/>
    <w:rsid w:val="00725AAA"/>
    <w:rsid w:val="00731F12"/>
    <w:rsid w:val="007359F3"/>
    <w:rsid w:val="00736390"/>
    <w:rsid w:val="00736453"/>
    <w:rsid w:val="00736FCA"/>
    <w:rsid w:val="00737B41"/>
    <w:rsid w:val="00740481"/>
    <w:rsid w:val="00741842"/>
    <w:rsid w:val="007426C6"/>
    <w:rsid w:val="00742744"/>
    <w:rsid w:val="00747C61"/>
    <w:rsid w:val="007510D3"/>
    <w:rsid w:val="00751993"/>
    <w:rsid w:val="007528CB"/>
    <w:rsid w:val="00754477"/>
    <w:rsid w:val="00754DA9"/>
    <w:rsid w:val="007579B3"/>
    <w:rsid w:val="00762AE1"/>
    <w:rsid w:val="00763CAD"/>
    <w:rsid w:val="007715A8"/>
    <w:rsid w:val="0077353A"/>
    <w:rsid w:val="00776E25"/>
    <w:rsid w:val="00780F34"/>
    <w:rsid w:val="007824E0"/>
    <w:rsid w:val="0078261B"/>
    <w:rsid w:val="00782C9B"/>
    <w:rsid w:val="00784407"/>
    <w:rsid w:val="00786B4B"/>
    <w:rsid w:val="00786DB3"/>
    <w:rsid w:val="0079011D"/>
    <w:rsid w:val="00792723"/>
    <w:rsid w:val="00795EA5"/>
    <w:rsid w:val="007962E0"/>
    <w:rsid w:val="007A0C9F"/>
    <w:rsid w:val="007A1395"/>
    <w:rsid w:val="007A2058"/>
    <w:rsid w:val="007A209B"/>
    <w:rsid w:val="007A2805"/>
    <w:rsid w:val="007A2CC8"/>
    <w:rsid w:val="007A3034"/>
    <w:rsid w:val="007A405A"/>
    <w:rsid w:val="007A4516"/>
    <w:rsid w:val="007A4CD3"/>
    <w:rsid w:val="007A522F"/>
    <w:rsid w:val="007A6F4A"/>
    <w:rsid w:val="007B0146"/>
    <w:rsid w:val="007B2B6F"/>
    <w:rsid w:val="007B3375"/>
    <w:rsid w:val="007B353D"/>
    <w:rsid w:val="007B4ED2"/>
    <w:rsid w:val="007B53AD"/>
    <w:rsid w:val="007B62C0"/>
    <w:rsid w:val="007B6A7F"/>
    <w:rsid w:val="007C25F4"/>
    <w:rsid w:val="007C40D8"/>
    <w:rsid w:val="007C622B"/>
    <w:rsid w:val="007E2365"/>
    <w:rsid w:val="007E26D4"/>
    <w:rsid w:val="007E4059"/>
    <w:rsid w:val="007E426D"/>
    <w:rsid w:val="007E6905"/>
    <w:rsid w:val="007E6CD5"/>
    <w:rsid w:val="007F1728"/>
    <w:rsid w:val="007F1DAF"/>
    <w:rsid w:val="007F245F"/>
    <w:rsid w:val="007F3024"/>
    <w:rsid w:val="007F5AFA"/>
    <w:rsid w:val="007F5F2F"/>
    <w:rsid w:val="00800D9C"/>
    <w:rsid w:val="008030F8"/>
    <w:rsid w:val="00806378"/>
    <w:rsid w:val="00810436"/>
    <w:rsid w:val="00810C8C"/>
    <w:rsid w:val="00812929"/>
    <w:rsid w:val="00813A13"/>
    <w:rsid w:val="00814372"/>
    <w:rsid w:val="00814EB0"/>
    <w:rsid w:val="00815739"/>
    <w:rsid w:val="00816C7D"/>
    <w:rsid w:val="0081711E"/>
    <w:rsid w:val="00820C6D"/>
    <w:rsid w:val="00821436"/>
    <w:rsid w:val="00821A6A"/>
    <w:rsid w:val="00822E15"/>
    <w:rsid w:val="00823F4D"/>
    <w:rsid w:val="008240D2"/>
    <w:rsid w:val="0082543D"/>
    <w:rsid w:val="00826A05"/>
    <w:rsid w:val="0082776C"/>
    <w:rsid w:val="0083175B"/>
    <w:rsid w:val="00831FAA"/>
    <w:rsid w:val="0083268E"/>
    <w:rsid w:val="008329C3"/>
    <w:rsid w:val="00833B09"/>
    <w:rsid w:val="00834A5A"/>
    <w:rsid w:val="00834F95"/>
    <w:rsid w:val="00835EB1"/>
    <w:rsid w:val="00843880"/>
    <w:rsid w:val="008455DA"/>
    <w:rsid w:val="0084769D"/>
    <w:rsid w:val="00851C3E"/>
    <w:rsid w:val="00852A8D"/>
    <w:rsid w:val="00852DFD"/>
    <w:rsid w:val="0085446C"/>
    <w:rsid w:val="00854D1E"/>
    <w:rsid w:val="008561E8"/>
    <w:rsid w:val="008605AB"/>
    <w:rsid w:val="00864206"/>
    <w:rsid w:val="00866F52"/>
    <w:rsid w:val="0087007E"/>
    <w:rsid w:val="0087620B"/>
    <w:rsid w:val="00881E06"/>
    <w:rsid w:val="008846B8"/>
    <w:rsid w:val="00885CF0"/>
    <w:rsid w:val="00886E14"/>
    <w:rsid w:val="0088764F"/>
    <w:rsid w:val="00890B49"/>
    <w:rsid w:val="00892433"/>
    <w:rsid w:val="00892FCA"/>
    <w:rsid w:val="00893564"/>
    <w:rsid w:val="0089670C"/>
    <w:rsid w:val="008A0725"/>
    <w:rsid w:val="008A0756"/>
    <w:rsid w:val="008A17DA"/>
    <w:rsid w:val="008A3309"/>
    <w:rsid w:val="008A3F54"/>
    <w:rsid w:val="008A4189"/>
    <w:rsid w:val="008A4D6F"/>
    <w:rsid w:val="008A68B1"/>
    <w:rsid w:val="008A6E0D"/>
    <w:rsid w:val="008B25B2"/>
    <w:rsid w:val="008B2B8E"/>
    <w:rsid w:val="008B5C1E"/>
    <w:rsid w:val="008B6077"/>
    <w:rsid w:val="008B6C6E"/>
    <w:rsid w:val="008C093E"/>
    <w:rsid w:val="008C166C"/>
    <w:rsid w:val="008C3058"/>
    <w:rsid w:val="008C40B5"/>
    <w:rsid w:val="008C4587"/>
    <w:rsid w:val="008C65F3"/>
    <w:rsid w:val="008D0E73"/>
    <w:rsid w:val="008D1217"/>
    <w:rsid w:val="008D2387"/>
    <w:rsid w:val="008D30F5"/>
    <w:rsid w:val="008D3C79"/>
    <w:rsid w:val="008D5D9D"/>
    <w:rsid w:val="008E0165"/>
    <w:rsid w:val="008E23DC"/>
    <w:rsid w:val="008E274D"/>
    <w:rsid w:val="008E4B94"/>
    <w:rsid w:val="008E55D2"/>
    <w:rsid w:val="008E6662"/>
    <w:rsid w:val="008E71B0"/>
    <w:rsid w:val="008E7355"/>
    <w:rsid w:val="008F347D"/>
    <w:rsid w:val="008F4960"/>
    <w:rsid w:val="008F52AD"/>
    <w:rsid w:val="008F5E56"/>
    <w:rsid w:val="009030EE"/>
    <w:rsid w:val="00904509"/>
    <w:rsid w:val="009054FB"/>
    <w:rsid w:val="0091424B"/>
    <w:rsid w:val="009154C2"/>
    <w:rsid w:val="00916C2C"/>
    <w:rsid w:val="00916D22"/>
    <w:rsid w:val="009174CA"/>
    <w:rsid w:val="00917BC1"/>
    <w:rsid w:val="00921671"/>
    <w:rsid w:val="00925C8B"/>
    <w:rsid w:val="00926AB8"/>
    <w:rsid w:val="00926F96"/>
    <w:rsid w:val="00927C20"/>
    <w:rsid w:val="0093089E"/>
    <w:rsid w:val="00930DC9"/>
    <w:rsid w:val="00934A84"/>
    <w:rsid w:val="00935403"/>
    <w:rsid w:val="00937553"/>
    <w:rsid w:val="00943413"/>
    <w:rsid w:val="00944B73"/>
    <w:rsid w:val="00945635"/>
    <w:rsid w:val="009470F7"/>
    <w:rsid w:val="0094797D"/>
    <w:rsid w:val="009515ED"/>
    <w:rsid w:val="009527F9"/>
    <w:rsid w:val="00954BEE"/>
    <w:rsid w:val="009552FE"/>
    <w:rsid w:val="00961086"/>
    <w:rsid w:val="00962724"/>
    <w:rsid w:val="00964C04"/>
    <w:rsid w:val="009660B3"/>
    <w:rsid w:val="00966887"/>
    <w:rsid w:val="00966C33"/>
    <w:rsid w:val="00973A77"/>
    <w:rsid w:val="00973C50"/>
    <w:rsid w:val="009754C9"/>
    <w:rsid w:val="00977D4E"/>
    <w:rsid w:val="00981E88"/>
    <w:rsid w:val="00985EA4"/>
    <w:rsid w:val="009870BE"/>
    <w:rsid w:val="00987429"/>
    <w:rsid w:val="00990E49"/>
    <w:rsid w:val="009913E5"/>
    <w:rsid w:val="00991657"/>
    <w:rsid w:val="0099268B"/>
    <w:rsid w:val="0099591A"/>
    <w:rsid w:val="0099591D"/>
    <w:rsid w:val="00996ED6"/>
    <w:rsid w:val="00997FD6"/>
    <w:rsid w:val="009A200B"/>
    <w:rsid w:val="009A2C27"/>
    <w:rsid w:val="009A581B"/>
    <w:rsid w:val="009A5CD0"/>
    <w:rsid w:val="009B2320"/>
    <w:rsid w:val="009B445A"/>
    <w:rsid w:val="009B53E7"/>
    <w:rsid w:val="009B5472"/>
    <w:rsid w:val="009B5DD4"/>
    <w:rsid w:val="009C01FE"/>
    <w:rsid w:val="009C0F75"/>
    <w:rsid w:val="009C72A4"/>
    <w:rsid w:val="009C7542"/>
    <w:rsid w:val="009D03CC"/>
    <w:rsid w:val="009D41A3"/>
    <w:rsid w:val="009D43D5"/>
    <w:rsid w:val="009D4A32"/>
    <w:rsid w:val="009D53A3"/>
    <w:rsid w:val="009D6D71"/>
    <w:rsid w:val="009D76F9"/>
    <w:rsid w:val="009E0F9A"/>
    <w:rsid w:val="009E18CB"/>
    <w:rsid w:val="009E1F97"/>
    <w:rsid w:val="009E3579"/>
    <w:rsid w:val="009F25AD"/>
    <w:rsid w:val="009F288D"/>
    <w:rsid w:val="009F39E8"/>
    <w:rsid w:val="009F3F4C"/>
    <w:rsid w:val="009F573A"/>
    <w:rsid w:val="009F64E1"/>
    <w:rsid w:val="009F64F0"/>
    <w:rsid w:val="00A00CC6"/>
    <w:rsid w:val="00A012BC"/>
    <w:rsid w:val="00A0393A"/>
    <w:rsid w:val="00A04148"/>
    <w:rsid w:val="00A05694"/>
    <w:rsid w:val="00A05BE6"/>
    <w:rsid w:val="00A123CB"/>
    <w:rsid w:val="00A143D7"/>
    <w:rsid w:val="00A1703D"/>
    <w:rsid w:val="00A17EBB"/>
    <w:rsid w:val="00A212D0"/>
    <w:rsid w:val="00A2138A"/>
    <w:rsid w:val="00A21E6A"/>
    <w:rsid w:val="00A22068"/>
    <w:rsid w:val="00A230A3"/>
    <w:rsid w:val="00A23B99"/>
    <w:rsid w:val="00A26317"/>
    <w:rsid w:val="00A27E30"/>
    <w:rsid w:val="00A340B0"/>
    <w:rsid w:val="00A3547A"/>
    <w:rsid w:val="00A378A2"/>
    <w:rsid w:val="00A37A54"/>
    <w:rsid w:val="00A407D8"/>
    <w:rsid w:val="00A42058"/>
    <w:rsid w:val="00A4209D"/>
    <w:rsid w:val="00A424A3"/>
    <w:rsid w:val="00A451B0"/>
    <w:rsid w:val="00A46938"/>
    <w:rsid w:val="00A4715E"/>
    <w:rsid w:val="00A51F9E"/>
    <w:rsid w:val="00A52E04"/>
    <w:rsid w:val="00A53469"/>
    <w:rsid w:val="00A53BA3"/>
    <w:rsid w:val="00A55461"/>
    <w:rsid w:val="00A56F06"/>
    <w:rsid w:val="00A57DCD"/>
    <w:rsid w:val="00A64710"/>
    <w:rsid w:val="00A658EB"/>
    <w:rsid w:val="00A6652B"/>
    <w:rsid w:val="00A72DAC"/>
    <w:rsid w:val="00A75CFB"/>
    <w:rsid w:val="00A83CFE"/>
    <w:rsid w:val="00A879E1"/>
    <w:rsid w:val="00A935C5"/>
    <w:rsid w:val="00A9419C"/>
    <w:rsid w:val="00A956D6"/>
    <w:rsid w:val="00A96E3E"/>
    <w:rsid w:val="00A96FBE"/>
    <w:rsid w:val="00A97016"/>
    <w:rsid w:val="00AA1EE1"/>
    <w:rsid w:val="00AA21CF"/>
    <w:rsid w:val="00AA2CBC"/>
    <w:rsid w:val="00AA4EAF"/>
    <w:rsid w:val="00AA7A52"/>
    <w:rsid w:val="00AB0F84"/>
    <w:rsid w:val="00AB2281"/>
    <w:rsid w:val="00AB3094"/>
    <w:rsid w:val="00AB43C5"/>
    <w:rsid w:val="00AB6C9F"/>
    <w:rsid w:val="00AD1EAB"/>
    <w:rsid w:val="00AD3CFF"/>
    <w:rsid w:val="00AD6F1B"/>
    <w:rsid w:val="00AD7034"/>
    <w:rsid w:val="00AD74BC"/>
    <w:rsid w:val="00AD75C0"/>
    <w:rsid w:val="00AE0951"/>
    <w:rsid w:val="00AE20A7"/>
    <w:rsid w:val="00AE687E"/>
    <w:rsid w:val="00AE68C9"/>
    <w:rsid w:val="00AF0396"/>
    <w:rsid w:val="00AF1BF9"/>
    <w:rsid w:val="00AF201B"/>
    <w:rsid w:val="00AF683F"/>
    <w:rsid w:val="00B10DE4"/>
    <w:rsid w:val="00B1480F"/>
    <w:rsid w:val="00B164E2"/>
    <w:rsid w:val="00B20E16"/>
    <w:rsid w:val="00B215C3"/>
    <w:rsid w:val="00B21C9C"/>
    <w:rsid w:val="00B22807"/>
    <w:rsid w:val="00B23782"/>
    <w:rsid w:val="00B25099"/>
    <w:rsid w:val="00B26D48"/>
    <w:rsid w:val="00B2721A"/>
    <w:rsid w:val="00B27700"/>
    <w:rsid w:val="00B323D7"/>
    <w:rsid w:val="00B332D3"/>
    <w:rsid w:val="00B33615"/>
    <w:rsid w:val="00B3669E"/>
    <w:rsid w:val="00B36ACD"/>
    <w:rsid w:val="00B4263E"/>
    <w:rsid w:val="00B431AF"/>
    <w:rsid w:val="00B43F17"/>
    <w:rsid w:val="00B441DF"/>
    <w:rsid w:val="00B44D7E"/>
    <w:rsid w:val="00B4722B"/>
    <w:rsid w:val="00B5172D"/>
    <w:rsid w:val="00B534A9"/>
    <w:rsid w:val="00B62A79"/>
    <w:rsid w:val="00B63D0A"/>
    <w:rsid w:val="00B7120B"/>
    <w:rsid w:val="00B73524"/>
    <w:rsid w:val="00B76AA6"/>
    <w:rsid w:val="00B80CF4"/>
    <w:rsid w:val="00B82105"/>
    <w:rsid w:val="00B82F71"/>
    <w:rsid w:val="00B8454A"/>
    <w:rsid w:val="00B84725"/>
    <w:rsid w:val="00B87188"/>
    <w:rsid w:val="00B90E52"/>
    <w:rsid w:val="00B94EEB"/>
    <w:rsid w:val="00B95E86"/>
    <w:rsid w:val="00B969DB"/>
    <w:rsid w:val="00B96E5B"/>
    <w:rsid w:val="00B97637"/>
    <w:rsid w:val="00B97FC3"/>
    <w:rsid w:val="00BA14EA"/>
    <w:rsid w:val="00BA4580"/>
    <w:rsid w:val="00BA49C5"/>
    <w:rsid w:val="00BA4EF5"/>
    <w:rsid w:val="00BA56EF"/>
    <w:rsid w:val="00BB02DA"/>
    <w:rsid w:val="00BB3D90"/>
    <w:rsid w:val="00BB5E42"/>
    <w:rsid w:val="00BB6787"/>
    <w:rsid w:val="00BB7D76"/>
    <w:rsid w:val="00BC0B69"/>
    <w:rsid w:val="00BC1197"/>
    <w:rsid w:val="00BC3613"/>
    <w:rsid w:val="00BC6E6E"/>
    <w:rsid w:val="00BD0A41"/>
    <w:rsid w:val="00BD4952"/>
    <w:rsid w:val="00BD5701"/>
    <w:rsid w:val="00BD5A5D"/>
    <w:rsid w:val="00BD6B37"/>
    <w:rsid w:val="00BD6BB2"/>
    <w:rsid w:val="00BD74B6"/>
    <w:rsid w:val="00BE64A5"/>
    <w:rsid w:val="00BE7C50"/>
    <w:rsid w:val="00BF042A"/>
    <w:rsid w:val="00BF2788"/>
    <w:rsid w:val="00BF2BC6"/>
    <w:rsid w:val="00BF5405"/>
    <w:rsid w:val="00C00205"/>
    <w:rsid w:val="00C0318A"/>
    <w:rsid w:val="00C0713F"/>
    <w:rsid w:val="00C07897"/>
    <w:rsid w:val="00C10271"/>
    <w:rsid w:val="00C11F7B"/>
    <w:rsid w:val="00C1220E"/>
    <w:rsid w:val="00C123F8"/>
    <w:rsid w:val="00C13E28"/>
    <w:rsid w:val="00C14071"/>
    <w:rsid w:val="00C14A41"/>
    <w:rsid w:val="00C23186"/>
    <w:rsid w:val="00C2578F"/>
    <w:rsid w:val="00C27B00"/>
    <w:rsid w:val="00C27B7D"/>
    <w:rsid w:val="00C27CB9"/>
    <w:rsid w:val="00C30CDF"/>
    <w:rsid w:val="00C30E96"/>
    <w:rsid w:val="00C31550"/>
    <w:rsid w:val="00C32024"/>
    <w:rsid w:val="00C35306"/>
    <w:rsid w:val="00C40B58"/>
    <w:rsid w:val="00C424BA"/>
    <w:rsid w:val="00C43157"/>
    <w:rsid w:val="00C43C11"/>
    <w:rsid w:val="00C51950"/>
    <w:rsid w:val="00C5496D"/>
    <w:rsid w:val="00C56AC6"/>
    <w:rsid w:val="00C6012C"/>
    <w:rsid w:val="00C607C9"/>
    <w:rsid w:val="00C61247"/>
    <w:rsid w:val="00C62F0A"/>
    <w:rsid w:val="00C62FD3"/>
    <w:rsid w:val="00C6317B"/>
    <w:rsid w:val="00C6448E"/>
    <w:rsid w:val="00C675F6"/>
    <w:rsid w:val="00C67B56"/>
    <w:rsid w:val="00C711D5"/>
    <w:rsid w:val="00C71AAB"/>
    <w:rsid w:val="00C72A49"/>
    <w:rsid w:val="00C74DE2"/>
    <w:rsid w:val="00C76CBA"/>
    <w:rsid w:val="00C8173E"/>
    <w:rsid w:val="00C8206D"/>
    <w:rsid w:val="00C82EE7"/>
    <w:rsid w:val="00C8628D"/>
    <w:rsid w:val="00C908BC"/>
    <w:rsid w:val="00C919B5"/>
    <w:rsid w:val="00C921E6"/>
    <w:rsid w:val="00C92FD1"/>
    <w:rsid w:val="00C96638"/>
    <w:rsid w:val="00CA0F92"/>
    <w:rsid w:val="00CA5D2A"/>
    <w:rsid w:val="00CB3846"/>
    <w:rsid w:val="00CB6294"/>
    <w:rsid w:val="00CB6535"/>
    <w:rsid w:val="00CB657D"/>
    <w:rsid w:val="00CB6B8A"/>
    <w:rsid w:val="00CB6E9F"/>
    <w:rsid w:val="00CB7B5D"/>
    <w:rsid w:val="00CC1681"/>
    <w:rsid w:val="00CC53BF"/>
    <w:rsid w:val="00CC59D2"/>
    <w:rsid w:val="00CC6DC8"/>
    <w:rsid w:val="00CD0954"/>
    <w:rsid w:val="00CD3F21"/>
    <w:rsid w:val="00CD4E39"/>
    <w:rsid w:val="00CE05B2"/>
    <w:rsid w:val="00CE1804"/>
    <w:rsid w:val="00CE241C"/>
    <w:rsid w:val="00CE2E8A"/>
    <w:rsid w:val="00CE5E19"/>
    <w:rsid w:val="00CE66D5"/>
    <w:rsid w:val="00CF33E6"/>
    <w:rsid w:val="00CF4066"/>
    <w:rsid w:val="00CF44C8"/>
    <w:rsid w:val="00CF62F1"/>
    <w:rsid w:val="00D002B4"/>
    <w:rsid w:val="00D02705"/>
    <w:rsid w:val="00D02F76"/>
    <w:rsid w:val="00D06686"/>
    <w:rsid w:val="00D06D24"/>
    <w:rsid w:val="00D12E83"/>
    <w:rsid w:val="00D17AEE"/>
    <w:rsid w:val="00D17F0B"/>
    <w:rsid w:val="00D20118"/>
    <w:rsid w:val="00D22EEC"/>
    <w:rsid w:val="00D26F7F"/>
    <w:rsid w:val="00D27504"/>
    <w:rsid w:val="00D30BAE"/>
    <w:rsid w:val="00D37E4A"/>
    <w:rsid w:val="00D409B6"/>
    <w:rsid w:val="00D4456F"/>
    <w:rsid w:val="00D4567A"/>
    <w:rsid w:val="00D45AB7"/>
    <w:rsid w:val="00D47090"/>
    <w:rsid w:val="00D510C4"/>
    <w:rsid w:val="00D5196D"/>
    <w:rsid w:val="00D563FE"/>
    <w:rsid w:val="00D61194"/>
    <w:rsid w:val="00D61245"/>
    <w:rsid w:val="00D6438F"/>
    <w:rsid w:val="00D6525F"/>
    <w:rsid w:val="00D656BC"/>
    <w:rsid w:val="00D657A4"/>
    <w:rsid w:val="00D6733B"/>
    <w:rsid w:val="00D6792D"/>
    <w:rsid w:val="00D704C1"/>
    <w:rsid w:val="00D72426"/>
    <w:rsid w:val="00D76B9E"/>
    <w:rsid w:val="00D8235A"/>
    <w:rsid w:val="00D86FEC"/>
    <w:rsid w:val="00D875B3"/>
    <w:rsid w:val="00D879AC"/>
    <w:rsid w:val="00D90795"/>
    <w:rsid w:val="00D9212F"/>
    <w:rsid w:val="00D92925"/>
    <w:rsid w:val="00D96C60"/>
    <w:rsid w:val="00D971D1"/>
    <w:rsid w:val="00DA15E7"/>
    <w:rsid w:val="00DA1AD6"/>
    <w:rsid w:val="00DA686D"/>
    <w:rsid w:val="00DA6E69"/>
    <w:rsid w:val="00DB513B"/>
    <w:rsid w:val="00DB534C"/>
    <w:rsid w:val="00DC0A11"/>
    <w:rsid w:val="00DC2726"/>
    <w:rsid w:val="00DC3B53"/>
    <w:rsid w:val="00DC6BE1"/>
    <w:rsid w:val="00DD15E4"/>
    <w:rsid w:val="00DD3DD3"/>
    <w:rsid w:val="00DD3E5E"/>
    <w:rsid w:val="00DD4459"/>
    <w:rsid w:val="00DD4554"/>
    <w:rsid w:val="00DD688F"/>
    <w:rsid w:val="00DD7A8C"/>
    <w:rsid w:val="00DE1F61"/>
    <w:rsid w:val="00DE23F5"/>
    <w:rsid w:val="00DE68D8"/>
    <w:rsid w:val="00DF19CA"/>
    <w:rsid w:val="00DF7F2E"/>
    <w:rsid w:val="00E0023E"/>
    <w:rsid w:val="00E0175D"/>
    <w:rsid w:val="00E01D8A"/>
    <w:rsid w:val="00E02E38"/>
    <w:rsid w:val="00E0393C"/>
    <w:rsid w:val="00E0505B"/>
    <w:rsid w:val="00E06485"/>
    <w:rsid w:val="00E10D79"/>
    <w:rsid w:val="00E12FD3"/>
    <w:rsid w:val="00E131F5"/>
    <w:rsid w:val="00E1491D"/>
    <w:rsid w:val="00E30499"/>
    <w:rsid w:val="00E340BB"/>
    <w:rsid w:val="00E3609C"/>
    <w:rsid w:val="00E37C0D"/>
    <w:rsid w:val="00E40D4E"/>
    <w:rsid w:val="00E41F73"/>
    <w:rsid w:val="00E42044"/>
    <w:rsid w:val="00E4437F"/>
    <w:rsid w:val="00E46190"/>
    <w:rsid w:val="00E47B3D"/>
    <w:rsid w:val="00E50BEA"/>
    <w:rsid w:val="00E51FB3"/>
    <w:rsid w:val="00E5623D"/>
    <w:rsid w:val="00E56BFF"/>
    <w:rsid w:val="00E6003E"/>
    <w:rsid w:val="00E66C33"/>
    <w:rsid w:val="00E7343C"/>
    <w:rsid w:val="00E73F80"/>
    <w:rsid w:val="00E741B2"/>
    <w:rsid w:val="00E754BB"/>
    <w:rsid w:val="00E764D0"/>
    <w:rsid w:val="00E771D0"/>
    <w:rsid w:val="00E77CF8"/>
    <w:rsid w:val="00E81472"/>
    <w:rsid w:val="00E824EB"/>
    <w:rsid w:val="00E827A9"/>
    <w:rsid w:val="00E82B2A"/>
    <w:rsid w:val="00E85EFB"/>
    <w:rsid w:val="00E90DE3"/>
    <w:rsid w:val="00E944F4"/>
    <w:rsid w:val="00E948D6"/>
    <w:rsid w:val="00E949BA"/>
    <w:rsid w:val="00EA1C5C"/>
    <w:rsid w:val="00EA58D1"/>
    <w:rsid w:val="00EA5CEC"/>
    <w:rsid w:val="00EB2715"/>
    <w:rsid w:val="00EB3605"/>
    <w:rsid w:val="00EB3697"/>
    <w:rsid w:val="00EB4CEB"/>
    <w:rsid w:val="00EB5093"/>
    <w:rsid w:val="00EB6370"/>
    <w:rsid w:val="00EC148F"/>
    <w:rsid w:val="00EC1F28"/>
    <w:rsid w:val="00EC23BF"/>
    <w:rsid w:val="00EC338C"/>
    <w:rsid w:val="00EC3775"/>
    <w:rsid w:val="00EC3A55"/>
    <w:rsid w:val="00EC5B81"/>
    <w:rsid w:val="00ED36F8"/>
    <w:rsid w:val="00ED551D"/>
    <w:rsid w:val="00ED619E"/>
    <w:rsid w:val="00ED69E4"/>
    <w:rsid w:val="00ED748E"/>
    <w:rsid w:val="00EE0F16"/>
    <w:rsid w:val="00EE166F"/>
    <w:rsid w:val="00EE1E34"/>
    <w:rsid w:val="00EE2A97"/>
    <w:rsid w:val="00EE50C8"/>
    <w:rsid w:val="00EE517D"/>
    <w:rsid w:val="00EE79D7"/>
    <w:rsid w:val="00EF03E6"/>
    <w:rsid w:val="00EF168B"/>
    <w:rsid w:val="00EF180B"/>
    <w:rsid w:val="00EF1D46"/>
    <w:rsid w:val="00EF353A"/>
    <w:rsid w:val="00EF4917"/>
    <w:rsid w:val="00EF5EDA"/>
    <w:rsid w:val="00EF6556"/>
    <w:rsid w:val="00EF716B"/>
    <w:rsid w:val="00F00AB7"/>
    <w:rsid w:val="00F02749"/>
    <w:rsid w:val="00F0683D"/>
    <w:rsid w:val="00F07BA9"/>
    <w:rsid w:val="00F115F6"/>
    <w:rsid w:val="00F116AD"/>
    <w:rsid w:val="00F12786"/>
    <w:rsid w:val="00F1279B"/>
    <w:rsid w:val="00F1796D"/>
    <w:rsid w:val="00F23BE9"/>
    <w:rsid w:val="00F260D1"/>
    <w:rsid w:val="00F268B7"/>
    <w:rsid w:val="00F27A65"/>
    <w:rsid w:val="00F27B47"/>
    <w:rsid w:val="00F27D3F"/>
    <w:rsid w:val="00F3313E"/>
    <w:rsid w:val="00F34D23"/>
    <w:rsid w:val="00F37163"/>
    <w:rsid w:val="00F40899"/>
    <w:rsid w:val="00F42A61"/>
    <w:rsid w:val="00F42C6B"/>
    <w:rsid w:val="00F43620"/>
    <w:rsid w:val="00F44ACA"/>
    <w:rsid w:val="00F5029F"/>
    <w:rsid w:val="00F510BB"/>
    <w:rsid w:val="00F521C0"/>
    <w:rsid w:val="00F56B72"/>
    <w:rsid w:val="00F6247C"/>
    <w:rsid w:val="00F62BCF"/>
    <w:rsid w:val="00F64F63"/>
    <w:rsid w:val="00F65226"/>
    <w:rsid w:val="00F71C1B"/>
    <w:rsid w:val="00F72BDB"/>
    <w:rsid w:val="00F75386"/>
    <w:rsid w:val="00F76CC2"/>
    <w:rsid w:val="00F76D15"/>
    <w:rsid w:val="00F804E0"/>
    <w:rsid w:val="00F8078D"/>
    <w:rsid w:val="00F811DE"/>
    <w:rsid w:val="00F81348"/>
    <w:rsid w:val="00F90AD3"/>
    <w:rsid w:val="00F97023"/>
    <w:rsid w:val="00FA083D"/>
    <w:rsid w:val="00FA253C"/>
    <w:rsid w:val="00FA4B73"/>
    <w:rsid w:val="00FA58F4"/>
    <w:rsid w:val="00FA6C5B"/>
    <w:rsid w:val="00FA717D"/>
    <w:rsid w:val="00FB54EC"/>
    <w:rsid w:val="00FB59CD"/>
    <w:rsid w:val="00FB6527"/>
    <w:rsid w:val="00FB7D12"/>
    <w:rsid w:val="00FC1A01"/>
    <w:rsid w:val="00FC238A"/>
    <w:rsid w:val="00FC39CC"/>
    <w:rsid w:val="00FC6353"/>
    <w:rsid w:val="00FC6CD7"/>
    <w:rsid w:val="00FD1D7E"/>
    <w:rsid w:val="00FD1F1A"/>
    <w:rsid w:val="00FD2782"/>
    <w:rsid w:val="00FD47A7"/>
    <w:rsid w:val="00FD6460"/>
    <w:rsid w:val="00FD7096"/>
    <w:rsid w:val="00FD7125"/>
    <w:rsid w:val="00FE0D1A"/>
    <w:rsid w:val="00FE2B40"/>
    <w:rsid w:val="00FE2E1D"/>
    <w:rsid w:val="00FE4760"/>
    <w:rsid w:val="00FE697B"/>
    <w:rsid w:val="00FF2760"/>
    <w:rsid w:val="00FF33E0"/>
    <w:rsid w:val="00FF500B"/>
    <w:rsid w:val="00FF726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D8E0A"/>
  <w15:docId w15:val="{D6004526-4C23-4322-839C-8FD6296A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1E6"/>
    <w:pPr>
      <w:spacing w:after="0" w:line="240" w:lineRule="auto"/>
    </w:pPr>
  </w:style>
  <w:style w:type="paragraph" w:styleId="Titre1">
    <w:name w:val="heading 1"/>
    <w:basedOn w:val="Normal"/>
    <w:next w:val="Normal"/>
    <w:link w:val="Titre1Car"/>
    <w:uiPriority w:val="9"/>
    <w:qFormat/>
    <w:rsid w:val="00ED55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D55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D551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6CD5"/>
    <w:rPr>
      <w:rFonts w:ascii="Tahoma" w:hAnsi="Tahoma" w:cs="Tahoma"/>
      <w:sz w:val="16"/>
      <w:szCs w:val="16"/>
    </w:rPr>
  </w:style>
  <w:style w:type="character" w:customStyle="1" w:styleId="TextedebullesCar">
    <w:name w:val="Texte de bulles Car"/>
    <w:basedOn w:val="Policepardfaut"/>
    <w:link w:val="Textedebulles"/>
    <w:uiPriority w:val="99"/>
    <w:semiHidden/>
    <w:rsid w:val="007E6CD5"/>
    <w:rPr>
      <w:rFonts w:ascii="Tahoma" w:hAnsi="Tahoma" w:cs="Tahoma"/>
      <w:sz w:val="16"/>
      <w:szCs w:val="16"/>
    </w:rPr>
  </w:style>
  <w:style w:type="paragraph" w:styleId="Paragraphedeliste">
    <w:name w:val="List Paragraph"/>
    <w:aliases w:val="Dot pt,No Spacing1,List Paragraph Char Char Char,Indicator Text,List Paragraph1,Numbered Para 1,List Paragraph12,Bullet Points,MAIN CONTENT,Colorful List - Accent 11,List Tables,Bullets,Objectifs,Titre1,References,Liste 1,Premier,RM1"/>
    <w:basedOn w:val="Normal"/>
    <w:link w:val="ParagraphedelisteCar"/>
    <w:uiPriority w:val="34"/>
    <w:qFormat/>
    <w:rsid w:val="00A879E1"/>
    <w:pPr>
      <w:ind w:left="720"/>
      <w:contextualSpacing/>
    </w:pPr>
  </w:style>
  <w:style w:type="paragraph" w:styleId="Notedebasdepage">
    <w:name w:val="footnote text"/>
    <w:basedOn w:val="Normal"/>
    <w:link w:val="NotedebasdepageCar"/>
    <w:uiPriority w:val="99"/>
    <w:unhideWhenUsed/>
    <w:rsid w:val="0023549F"/>
    <w:rPr>
      <w:sz w:val="20"/>
      <w:szCs w:val="20"/>
    </w:rPr>
  </w:style>
  <w:style w:type="character" w:customStyle="1" w:styleId="NotedebasdepageCar">
    <w:name w:val="Note de bas de page Car"/>
    <w:basedOn w:val="Policepardfaut"/>
    <w:link w:val="Notedebasdepage"/>
    <w:uiPriority w:val="99"/>
    <w:rsid w:val="0023549F"/>
    <w:rPr>
      <w:sz w:val="20"/>
      <w:szCs w:val="20"/>
    </w:rPr>
  </w:style>
  <w:style w:type="character" w:styleId="Appelnotedebasdep">
    <w:name w:val="footnote reference"/>
    <w:basedOn w:val="Policepardfaut"/>
    <w:uiPriority w:val="99"/>
    <w:semiHidden/>
    <w:unhideWhenUsed/>
    <w:rsid w:val="0023549F"/>
    <w:rPr>
      <w:vertAlign w:val="superscript"/>
    </w:rPr>
  </w:style>
  <w:style w:type="character" w:styleId="Lienhypertexte">
    <w:name w:val="Hyperlink"/>
    <w:basedOn w:val="Policepardfaut"/>
    <w:uiPriority w:val="99"/>
    <w:unhideWhenUsed/>
    <w:rsid w:val="008561E8"/>
    <w:rPr>
      <w:color w:val="0000FF" w:themeColor="hyperlink"/>
      <w:u w:val="single"/>
    </w:rPr>
  </w:style>
  <w:style w:type="character" w:customStyle="1" w:styleId="ParagraphedelisteCar">
    <w:name w:val="Paragraphe de liste Car"/>
    <w:aliases w:val="Dot pt Car,No Spacing1 Car,List Paragraph Char Char Char Car,Indicator Text Car,List Paragraph1 Car,Numbered Para 1 Car,List Paragraph12 Car,Bullet Points Car,MAIN CONTENT Car,Colorful List - Accent 11 Car,List Tables Car,RM1 Car"/>
    <w:link w:val="Paragraphedeliste"/>
    <w:uiPriority w:val="34"/>
    <w:qFormat/>
    <w:locked/>
    <w:rsid w:val="001A1BA2"/>
  </w:style>
  <w:style w:type="table" w:styleId="Grilledutableau">
    <w:name w:val="Table Grid"/>
    <w:basedOn w:val="TableauNormal"/>
    <w:uiPriority w:val="59"/>
    <w:rsid w:val="00340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D551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D551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D551D"/>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B82105"/>
    <w:pPr>
      <w:tabs>
        <w:tab w:val="center" w:pos="4536"/>
        <w:tab w:val="right" w:pos="9072"/>
      </w:tabs>
    </w:pPr>
  </w:style>
  <w:style w:type="character" w:customStyle="1" w:styleId="En-tteCar">
    <w:name w:val="En-tête Car"/>
    <w:basedOn w:val="Policepardfaut"/>
    <w:link w:val="En-tte"/>
    <w:uiPriority w:val="99"/>
    <w:rsid w:val="00B82105"/>
  </w:style>
  <w:style w:type="paragraph" w:styleId="Pieddepage">
    <w:name w:val="footer"/>
    <w:basedOn w:val="Normal"/>
    <w:link w:val="PieddepageCar"/>
    <w:uiPriority w:val="99"/>
    <w:unhideWhenUsed/>
    <w:rsid w:val="00B82105"/>
    <w:pPr>
      <w:tabs>
        <w:tab w:val="center" w:pos="4536"/>
        <w:tab w:val="right" w:pos="9072"/>
      </w:tabs>
    </w:pPr>
  </w:style>
  <w:style w:type="character" w:customStyle="1" w:styleId="PieddepageCar">
    <w:name w:val="Pied de page Car"/>
    <w:basedOn w:val="Policepardfaut"/>
    <w:link w:val="Pieddepage"/>
    <w:uiPriority w:val="99"/>
    <w:rsid w:val="00B82105"/>
  </w:style>
  <w:style w:type="paragraph" w:styleId="Lgende">
    <w:name w:val="caption"/>
    <w:aliases w:val="Légende Car Car Car Car"/>
    <w:basedOn w:val="Normal"/>
    <w:next w:val="Normal"/>
    <w:link w:val="LgendeCar"/>
    <w:uiPriority w:val="35"/>
    <w:unhideWhenUsed/>
    <w:qFormat/>
    <w:rsid w:val="00885CF0"/>
    <w:pPr>
      <w:spacing w:before="100" w:after="200" w:line="276" w:lineRule="auto"/>
    </w:pPr>
    <w:rPr>
      <w:rFonts w:ascii="Calibri" w:eastAsiaTheme="minorEastAsia" w:hAnsi="Calibri"/>
      <w:b/>
      <w:bCs/>
      <w:color w:val="365F91" w:themeColor="accent1" w:themeShade="BF"/>
      <w:szCs w:val="16"/>
      <w:lang w:eastAsia="fr-FR"/>
    </w:rPr>
  </w:style>
  <w:style w:type="character" w:customStyle="1" w:styleId="LgendeCar">
    <w:name w:val="Légende Car"/>
    <w:aliases w:val="Légende Car Car Car Car Car"/>
    <w:link w:val="Lgende"/>
    <w:uiPriority w:val="35"/>
    <w:rsid w:val="00885CF0"/>
    <w:rPr>
      <w:rFonts w:ascii="Calibri" w:eastAsiaTheme="minorEastAsia" w:hAnsi="Calibri"/>
      <w:b/>
      <w:bCs/>
      <w:color w:val="365F91" w:themeColor="accent1" w:themeShade="BF"/>
      <w:szCs w:val="16"/>
      <w:lang w:eastAsia="fr-FR"/>
    </w:rPr>
  </w:style>
  <w:style w:type="paragraph" w:customStyle="1" w:styleId="xl70">
    <w:name w:val="xl70"/>
    <w:basedOn w:val="Normal"/>
    <w:rsid w:val="009C01FE"/>
    <w:pPr>
      <w:spacing w:before="100" w:beforeAutospacing="1" w:after="100" w:afterAutospacing="1" w:line="276" w:lineRule="auto"/>
    </w:pPr>
    <w:rPr>
      <w:rFonts w:ascii="Times New Roman" w:eastAsiaTheme="minorEastAsia" w:hAnsi="Times New Roman"/>
      <w:b/>
      <w:bCs/>
      <w:color w:val="0070C0"/>
      <w:sz w:val="20"/>
      <w:szCs w:val="20"/>
      <w:lang w:val="en-US"/>
    </w:rPr>
  </w:style>
  <w:style w:type="paragraph" w:styleId="Sansinterligne">
    <w:name w:val="No Spacing"/>
    <w:uiPriority w:val="1"/>
    <w:qFormat/>
    <w:rsid w:val="00C72A49"/>
    <w:pPr>
      <w:spacing w:after="0" w:line="240" w:lineRule="auto"/>
    </w:pPr>
    <w:rPr>
      <w:rFonts w:ascii="Arial" w:eastAsia="Times New Roman" w:hAnsi="Arial" w:cs="Times New Roman"/>
      <w:color w:val="595959"/>
      <w:lang w:val="en-US"/>
    </w:rPr>
  </w:style>
  <w:style w:type="paragraph" w:styleId="En-ttedetabledesmatires">
    <w:name w:val="TOC Heading"/>
    <w:basedOn w:val="Titre1"/>
    <w:next w:val="Normal"/>
    <w:uiPriority w:val="39"/>
    <w:unhideWhenUsed/>
    <w:qFormat/>
    <w:rsid w:val="00EE517D"/>
    <w:pPr>
      <w:spacing w:line="276" w:lineRule="auto"/>
      <w:outlineLvl w:val="9"/>
    </w:pPr>
  </w:style>
  <w:style w:type="paragraph" w:styleId="TM1">
    <w:name w:val="toc 1"/>
    <w:basedOn w:val="Normal"/>
    <w:next w:val="Normal"/>
    <w:autoRedefine/>
    <w:uiPriority w:val="39"/>
    <w:unhideWhenUsed/>
    <w:rsid w:val="00EE517D"/>
    <w:pPr>
      <w:spacing w:after="100"/>
    </w:pPr>
  </w:style>
  <w:style w:type="paragraph" w:styleId="TM2">
    <w:name w:val="toc 2"/>
    <w:basedOn w:val="Normal"/>
    <w:next w:val="Normal"/>
    <w:autoRedefine/>
    <w:uiPriority w:val="39"/>
    <w:unhideWhenUsed/>
    <w:rsid w:val="00EE517D"/>
    <w:pPr>
      <w:spacing w:after="100"/>
      <w:ind w:left="220"/>
    </w:pPr>
  </w:style>
  <w:style w:type="paragraph" w:styleId="TM3">
    <w:name w:val="toc 3"/>
    <w:basedOn w:val="Normal"/>
    <w:next w:val="Normal"/>
    <w:autoRedefine/>
    <w:uiPriority w:val="39"/>
    <w:unhideWhenUsed/>
    <w:rsid w:val="00EE517D"/>
    <w:pPr>
      <w:spacing w:after="100"/>
      <w:ind w:left="440"/>
    </w:pPr>
  </w:style>
  <w:style w:type="character" w:styleId="Titredulivre">
    <w:name w:val="Book Title"/>
    <w:basedOn w:val="Policepardfaut"/>
    <w:uiPriority w:val="33"/>
    <w:qFormat/>
    <w:rsid w:val="00EE517D"/>
    <w:rPr>
      <w:b/>
      <w:bCs/>
      <w:smallCaps/>
      <w:spacing w:val="5"/>
    </w:rPr>
  </w:style>
  <w:style w:type="paragraph" w:styleId="Titre">
    <w:name w:val="Title"/>
    <w:basedOn w:val="Normal"/>
    <w:next w:val="Normal"/>
    <w:link w:val="TitreCar"/>
    <w:uiPriority w:val="10"/>
    <w:qFormat/>
    <w:rsid w:val="00EE51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E517D"/>
    <w:rPr>
      <w:rFonts w:asciiTheme="majorHAnsi" w:eastAsiaTheme="majorEastAsia" w:hAnsiTheme="majorHAnsi" w:cstheme="majorBidi"/>
      <w:color w:val="17365D" w:themeColor="text2" w:themeShade="BF"/>
      <w:spacing w:val="5"/>
      <w:kern w:val="28"/>
      <w:sz w:val="52"/>
      <w:szCs w:val="52"/>
    </w:rPr>
  </w:style>
  <w:style w:type="table" w:customStyle="1" w:styleId="Ombrageclair1">
    <w:name w:val="Ombrage clair1"/>
    <w:basedOn w:val="TableauNormal"/>
    <w:uiPriority w:val="60"/>
    <w:rsid w:val="00813A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desillustrations">
    <w:name w:val="table of figures"/>
    <w:basedOn w:val="Normal"/>
    <w:next w:val="Normal"/>
    <w:uiPriority w:val="99"/>
    <w:unhideWhenUsed/>
    <w:rsid w:val="00160EF0"/>
  </w:style>
  <w:style w:type="character" w:styleId="Marquedecommentaire">
    <w:name w:val="annotation reference"/>
    <w:basedOn w:val="Policepardfaut"/>
    <w:uiPriority w:val="99"/>
    <w:semiHidden/>
    <w:unhideWhenUsed/>
    <w:rsid w:val="008A4189"/>
    <w:rPr>
      <w:sz w:val="16"/>
      <w:szCs w:val="16"/>
    </w:rPr>
  </w:style>
  <w:style w:type="paragraph" w:styleId="Commentaire">
    <w:name w:val="annotation text"/>
    <w:basedOn w:val="Normal"/>
    <w:link w:val="CommentaireCar"/>
    <w:uiPriority w:val="99"/>
    <w:semiHidden/>
    <w:unhideWhenUsed/>
    <w:rsid w:val="008A4189"/>
    <w:pPr>
      <w:jc w:val="both"/>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8A4189"/>
    <w:rPr>
      <w:rFonts w:ascii="Calibri" w:eastAsia="Calibri" w:hAnsi="Calibri" w:cs="Times New Roman"/>
      <w:sz w:val="20"/>
      <w:szCs w:val="20"/>
    </w:rPr>
  </w:style>
  <w:style w:type="paragraph" w:customStyle="1" w:styleId="Default">
    <w:name w:val="Default"/>
    <w:rsid w:val="007544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Policepardfaut"/>
    <w:rsid w:val="00167451"/>
  </w:style>
  <w:style w:type="numbering" w:customStyle="1" w:styleId="Aucuneliste1">
    <w:name w:val="Aucune liste1"/>
    <w:next w:val="Aucuneliste"/>
    <w:uiPriority w:val="99"/>
    <w:semiHidden/>
    <w:unhideWhenUsed/>
    <w:rsid w:val="007E426D"/>
  </w:style>
  <w:style w:type="table" w:customStyle="1" w:styleId="Grilledutableau1">
    <w:name w:val="Grille du tableau1"/>
    <w:basedOn w:val="TableauNormal"/>
    <w:next w:val="Grilledutableau"/>
    <w:uiPriority w:val="59"/>
    <w:rsid w:val="007E4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1">
    <w:name w:val="Ombrage clair11"/>
    <w:basedOn w:val="TableauNormal"/>
    <w:uiPriority w:val="60"/>
    <w:rsid w:val="007E42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Policepardfaut"/>
    <w:rsid w:val="00E66C33"/>
    <w:rPr>
      <w:rFonts w:ascii="Helvetica" w:hAnsi="Helvetica" w:cs="Helvetica" w:hint="default"/>
      <w:b w:val="0"/>
      <w:bCs w:val="0"/>
      <w:i w:val="0"/>
      <w:iCs w:val="0"/>
      <w:color w:val="242021"/>
      <w:sz w:val="22"/>
      <w:szCs w:val="22"/>
    </w:rPr>
  </w:style>
  <w:style w:type="paragraph" w:styleId="Objetducommentaire">
    <w:name w:val="annotation subject"/>
    <w:basedOn w:val="Commentaire"/>
    <w:next w:val="Commentaire"/>
    <w:link w:val="ObjetducommentaireCar"/>
    <w:uiPriority w:val="99"/>
    <w:semiHidden/>
    <w:unhideWhenUsed/>
    <w:rsid w:val="008F5E56"/>
    <w:pPr>
      <w:jc w:val="left"/>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8F5E56"/>
    <w:rPr>
      <w:rFonts w:ascii="Calibri" w:eastAsia="Calibri" w:hAnsi="Calibri" w:cs="Times New Roman"/>
      <w:b/>
      <w:bCs/>
      <w:sz w:val="20"/>
      <w:szCs w:val="20"/>
    </w:rPr>
  </w:style>
  <w:style w:type="paragraph" w:customStyle="1" w:styleId="ParagrapheRapportPNIN">
    <w:name w:val="Paragraphe Rapport PNIN"/>
    <w:basedOn w:val="Normal"/>
    <w:qFormat/>
    <w:rsid w:val="00843880"/>
    <w:pPr>
      <w:spacing w:before="120" w:after="120" w:line="288" w:lineRule="auto"/>
      <w:ind w:left="1701"/>
      <w:jc w:val="both"/>
    </w:pPr>
    <w:rPr>
      <w:rFonts w:ascii="Arial" w:eastAsia="Calibri" w:hAnsi="Arial" w:cs="Calibri"/>
      <w:sz w:val="20"/>
    </w:rPr>
  </w:style>
  <w:style w:type="paragraph" w:customStyle="1" w:styleId="PucesRapportPNIN">
    <w:name w:val="Puces Rapport PNIN"/>
    <w:basedOn w:val="Normal"/>
    <w:autoRedefine/>
    <w:qFormat/>
    <w:rsid w:val="007F3024"/>
    <w:pPr>
      <w:numPr>
        <w:numId w:val="3"/>
      </w:numPr>
      <w:spacing w:line="288" w:lineRule="auto"/>
      <w:jc w:val="both"/>
    </w:pPr>
    <w:rPr>
      <w:rFonts w:ascii="Arial" w:eastAsia="Times New Roman" w:hAnsi="Arial" w:cs="Times New Roman"/>
      <w:sz w:val="20"/>
      <w:szCs w:val="20"/>
      <w:lang w:bidi="en-US"/>
    </w:rPr>
  </w:style>
  <w:style w:type="paragraph" w:customStyle="1" w:styleId="Titre2situation">
    <w:name w:val="Titre 2 situation"/>
    <w:basedOn w:val="Titre2"/>
    <w:autoRedefine/>
    <w:qFormat/>
    <w:rsid w:val="003C47C2"/>
    <w:pPr>
      <w:numPr>
        <w:numId w:val="1"/>
      </w:numPr>
      <w:suppressAutoHyphens/>
      <w:spacing w:before="240" w:after="120"/>
      <w:jc w:val="both"/>
    </w:pPr>
    <w:rPr>
      <w:rFonts w:ascii="Arial" w:hAnsi="Arial" w:cs="Times New Roman"/>
      <w:b w:val="0"/>
      <w:bCs w:val="0"/>
      <w:color w:val="1F497D"/>
      <w:sz w:val="36"/>
      <w:szCs w:val="28"/>
    </w:rPr>
  </w:style>
  <w:style w:type="paragraph" w:customStyle="1" w:styleId="Titre1Situation">
    <w:name w:val="Titre 1 Situation"/>
    <w:basedOn w:val="Titre1"/>
    <w:qFormat/>
    <w:rsid w:val="00843880"/>
    <w:pPr>
      <w:pageBreakBefore/>
      <w:pBdr>
        <w:bottom w:val="single" w:sz="4" w:space="1" w:color="auto"/>
      </w:pBdr>
      <w:suppressAutoHyphens/>
      <w:spacing w:before="3000" w:after="1000"/>
      <w:jc w:val="right"/>
    </w:pPr>
    <w:rPr>
      <w:rFonts w:ascii="Arial" w:eastAsia="Times New Roman" w:hAnsi="Arial" w:cs="Times New Roman"/>
      <w:b w:val="0"/>
      <w:bCs w:val="0"/>
      <w:caps/>
      <w:color w:val="5082BE"/>
      <w:sz w:val="52"/>
      <w:szCs w:val="32"/>
    </w:rPr>
  </w:style>
  <w:style w:type="paragraph" w:customStyle="1" w:styleId="Titre3PNIN">
    <w:name w:val="Titre 3 PNIN"/>
    <w:basedOn w:val="Titre2"/>
    <w:autoRedefine/>
    <w:qFormat/>
    <w:rsid w:val="006551E1"/>
    <w:pPr>
      <w:numPr>
        <w:ilvl w:val="1"/>
        <w:numId w:val="1"/>
      </w:numPr>
      <w:spacing w:before="240" w:after="120"/>
    </w:pPr>
    <w:rPr>
      <w:rFonts w:ascii="Arial" w:hAnsi="Arial" w:cs="Arial"/>
      <w:color w:val="1F497D" w:themeColor="text2"/>
      <w:sz w:val="24"/>
    </w:rPr>
  </w:style>
  <w:style w:type="paragraph" w:customStyle="1" w:styleId="Titre4PNIN">
    <w:name w:val="Titre 4 PNIN"/>
    <w:basedOn w:val="Titre3"/>
    <w:autoRedefine/>
    <w:qFormat/>
    <w:rsid w:val="00EC23BF"/>
    <w:pPr>
      <w:spacing w:before="240" w:after="120"/>
      <w:ind w:left="1701"/>
      <w:jc w:val="both"/>
    </w:pPr>
    <w:rPr>
      <w:rFonts w:ascii="Arial" w:hAnsi="Arial" w:cs="Arial"/>
    </w:rPr>
  </w:style>
  <w:style w:type="paragraph" w:customStyle="1" w:styleId="pucetitrePNIN">
    <w:name w:val="puce titre PNIN"/>
    <w:basedOn w:val="ParagrapheRapportPNIN"/>
    <w:qFormat/>
    <w:rsid w:val="00F12786"/>
    <w:pPr>
      <w:numPr>
        <w:numId w:val="4"/>
      </w:numPr>
      <w:spacing w:before="240"/>
      <w:ind w:left="2415" w:hanging="357"/>
    </w:pPr>
    <w:rPr>
      <w:b/>
    </w:rPr>
  </w:style>
  <w:style w:type="paragraph" w:customStyle="1" w:styleId="TitreillustrationPNIN">
    <w:name w:val="Titre illustration PNIN"/>
    <w:basedOn w:val="Normal"/>
    <w:autoRedefine/>
    <w:qFormat/>
    <w:rsid w:val="005C017F"/>
    <w:pPr>
      <w:spacing w:before="240" w:after="120" w:line="276" w:lineRule="auto"/>
      <w:ind w:left="1701"/>
      <w:jc w:val="both"/>
    </w:pPr>
    <w:rPr>
      <w:rFonts w:ascii="Arial" w:eastAsiaTheme="minorEastAsia" w:hAnsi="Arial" w:cs="Arial"/>
      <w:b/>
      <w:bCs/>
      <w:color w:val="365F91" w:themeColor="accent1" w:themeShade="BF"/>
      <w:sz w:val="20"/>
      <w:szCs w:val="16"/>
      <w:lang w:eastAsia="fr-FR"/>
    </w:rPr>
  </w:style>
  <w:style w:type="table" w:styleId="TableauListe4-Accentuation1">
    <w:name w:val="List Table 4 Accent 1"/>
    <w:basedOn w:val="TableauNormal"/>
    <w:uiPriority w:val="49"/>
    <w:rsid w:val="0068054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egendeetsourcePNIN">
    <w:name w:val="Legende et source PNIN"/>
    <w:basedOn w:val="Normal"/>
    <w:autoRedefine/>
    <w:qFormat/>
    <w:rsid w:val="006551E1"/>
    <w:pPr>
      <w:spacing w:after="240"/>
      <w:ind w:left="1701"/>
      <w:jc w:val="both"/>
    </w:pPr>
    <w:rPr>
      <w:rFonts w:ascii="Arial" w:hAnsi="Arial" w:cs="Arial"/>
      <w:sz w:val="20"/>
    </w:rPr>
  </w:style>
  <w:style w:type="table" w:styleId="TableauGrille4-Accentuation1">
    <w:name w:val="Grid Table 4 Accent 1"/>
    <w:basedOn w:val="TableauNormal"/>
    <w:uiPriority w:val="49"/>
    <w:rsid w:val="00EB637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itre5PNIN">
    <w:name w:val="Titre 5 PNIN"/>
    <w:basedOn w:val="Titre2"/>
    <w:autoRedefine/>
    <w:qFormat/>
    <w:rsid w:val="00BA49C5"/>
    <w:pPr>
      <w:spacing w:after="120"/>
      <w:ind w:left="2410" w:hanging="850"/>
      <w:jc w:val="both"/>
    </w:pPr>
    <w:rPr>
      <w:rFonts w:ascii="Arial" w:hAnsi="Arial" w:cs="Arial"/>
      <w:color w:val="1F497D" w:themeColor="text2"/>
      <w:sz w:val="20"/>
    </w:rPr>
  </w:style>
  <w:style w:type="paragraph" w:customStyle="1" w:styleId="pucesnumrotsPNIN">
    <w:name w:val="puces numérotés PNIN"/>
    <w:basedOn w:val="Paragraphedeliste"/>
    <w:autoRedefine/>
    <w:qFormat/>
    <w:rsid w:val="006551E1"/>
    <w:pPr>
      <w:numPr>
        <w:numId w:val="2"/>
      </w:numPr>
      <w:spacing w:before="60" w:after="60"/>
      <w:contextualSpacing w:val="0"/>
      <w:jc w:val="both"/>
    </w:pPr>
    <w:rPr>
      <w:rFonts w:ascii="Arial" w:hAnsi="Arial" w:cs="Arial"/>
      <w:sz w:val="20"/>
    </w:rPr>
  </w:style>
  <w:style w:type="paragraph" w:styleId="Rvision">
    <w:name w:val="Revision"/>
    <w:hidden/>
    <w:uiPriority w:val="99"/>
    <w:semiHidden/>
    <w:rsid w:val="00655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56445">
      <w:bodyDiv w:val="1"/>
      <w:marLeft w:val="0"/>
      <w:marRight w:val="0"/>
      <w:marTop w:val="0"/>
      <w:marBottom w:val="0"/>
      <w:divBdr>
        <w:top w:val="none" w:sz="0" w:space="0" w:color="auto"/>
        <w:left w:val="none" w:sz="0" w:space="0" w:color="auto"/>
        <w:bottom w:val="none" w:sz="0" w:space="0" w:color="auto"/>
        <w:right w:val="none" w:sz="0" w:space="0" w:color="auto"/>
      </w:divBdr>
    </w:div>
    <w:div w:id="1223828450">
      <w:bodyDiv w:val="1"/>
      <w:marLeft w:val="0"/>
      <w:marRight w:val="0"/>
      <w:marTop w:val="0"/>
      <w:marBottom w:val="0"/>
      <w:divBdr>
        <w:top w:val="none" w:sz="0" w:space="0" w:color="auto"/>
        <w:left w:val="none" w:sz="0" w:space="0" w:color="auto"/>
        <w:bottom w:val="none" w:sz="0" w:space="0" w:color="auto"/>
        <w:right w:val="none" w:sz="0" w:space="0" w:color="auto"/>
      </w:divBdr>
    </w:div>
    <w:div w:id="1441029883">
      <w:bodyDiv w:val="1"/>
      <w:marLeft w:val="0"/>
      <w:marRight w:val="0"/>
      <w:marTop w:val="0"/>
      <w:marBottom w:val="0"/>
      <w:divBdr>
        <w:top w:val="none" w:sz="0" w:space="0" w:color="auto"/>
        <w:left w:val="none" w:sz="0" w:space="0" w:color="auto"/>
        <w:bottom w:val="none" w:sz="0" w:space="0" w:color="auto"/>
        <w:right w:val="none" w:sz="0" w:space="0" w:color="auto"/>
      </w:divBdr>
    </w:div>
    <w:div w:id="1530754043">
      <w:bodyDiv w:val="1"/>
      <w:marLeft w:val="0"/>
      <w:marRight w:val="0"/>
      <w:marTop w:val="0"/>
      <w:marBottom w:val="0"/>
      <w:divBdr>
        <w:top w:val="none" w:sz="0" w:space="0" w:color="auto"/>
        <w:left w:val="none" w:sz="0" w:space="0" w:color="auto"/>
        <w:bottom w:val="none" w:sz="0" w:space="0" w:color="auto"/>
        <w:right w:val="none" w:sz="0" w:space="0" w:color="auto"/>
      </w:divBdr>
    </w:div>
    <w:div w:id="1556890406">
      <w:bodyDiv w:val="1"/>
      <w:marLeft w:val="0"/>
      <w:marRight w:val="0"/>
      <w:marTop w:val="0"/>
      <w:marBottom w:val="0"/>
      <w:divBdr>
        <w:top w:val="none" w:sz="0" w:space="0" w:color="auto"/>
        <w:left w:val="none" w:sz="0" w:space="0" w:color="auto"/>
        <w:bottom w:val="none" w:sz="0" w:space="0" w:color="auto"/>
        <w:right w:val="none" w:sz="0" w:space="0" w:color="auto"/>
      </w:divBdr>
      <w:divsChild>
        <w:div w:id="82995413">
          <w:marLeft w:val="533"/>
          <w:marRight w:val="0"/>
          <w:marTop w:val="200"/>
          <w:marBottom w:val="0"/>
          <w:divBdr>
            <w:top w:val="none" w:sz="0" w:space="0" w:color="auto"/>
            <w:left w:val="none" w:sz="0" w:space="0" w:color="auto"/>
            <w:bottom w:val="none" w:sz="0" w:space="0" w:color="auto"/>
            <w:right w:val="none" w:sz="0" w:space="0" w:color="auto"/>
          </w:divBdr>
        </w:div>
      </w:divsChild>
    </w:div>
    <w:div w:id="1580599378">
      <w:bodyDiv w:val="1"/>
      <w:marLeft w:val="0"/>
      <w:marRight w:val="0"/>
      <w:marTop w:val="0"/>
      <w:marBottom w:val="0"/>
      <w:divBdr>
        <w:top w:val="none" w:sz="0" w:space="0" w:color="auto"/>
        <w:left w:val="none" w:sz="0" w:space="0" w:color="auto"/>
        <w:bottom w:val="none" w:sz="0" w:space="0" w:color="auto"/>
        <w:right w:val="none" w:sz="0" w:space="0" w:color="auto"/>
      </w:divBdr>
    </w:div>
    <w:div w:id="1648393856">
      <w:bodyDiv w:val="1"/>
      <w:marLeft w:val="0"/>
      <w:marRight w:val="0"/>
      <w:marTop w:val="0"/>
      <w:marBottom w:val="0"/>
      <w:divBdr>
        <w:top w:val="none" w:sz="0" w:space="0" w:color="auto"/>
        <w:left w:val="none" w:sz="0" w:space="0" w:color="auto"/>
        <w:bottom w:val="none" w:sz="0" w:space="0" w:color="auto"/>
        <w:right w:val="none" w:sz="0" w:space="0" w:color="auto"/>
      </w:divBdr>
      <w:divsChild>
        <w:div w:id="112528534">
          <w:marLeft w:val="533"/>
          <w:marRight w:val="0"/>
          <w:marTop w:val="200"/>
          <w:marBottom w:val="0"/>
          <w:divBdr>
            <w:top w:val="none" w:sz="0" w:space="0" w:color="auto"/>
            <w:left w:val="none" w:sz="0" w:space="0" w:color="auto"/>
            <w:bottom w:val="none" w:sz="0" w:space="0" w:color="auto"/>
            <w:right w:val="none" w:sz="0" w:space="0" w:color="auto"/>
          </w:divBdr>
        </w:div>
      </w:divsChild>
    </w:div>
    <w:div w:id="1880582360">
      <w:bodyDiv w:val="1"/>
      <w:marLeft w:val="0"/>
      <w:marRight w:val="0"/>
      <w:marTop w:val="0"/>
      <w:marBottom w:val="0"/>
      <w:divBdr>
        <w:top w:val="none" w:sz="0" w:space="0" w:color="auto"/>
        <w:left w:val="none" w:sz="0" w:space="0" w:color="auto"/>
        <w:bottom w:val="none" w:sz="0" w:space="0" w:color="auto"/>
        <w:right w:val="none" w:sz="0" w:space="0" w:color="auto"/>
      </w:divBdr>
    </w:div>
    <w:div w:id="1951738878">
      <w:bodyDiv w:val="1"/>
      <w:marLeft w:val="0"/>
      <w:marRight w:val="0"/>
      <w:marTop w:val="0"/>
      <w:marBottom w:val="0"/>
      <w:divBdr>
        <w:top w:val="none" w:sz="0" w:space="0" w:color="auto"/>
        <w:left w:val="none" w:sz="0" w:space="0" w:color="auto"/>
        <w:bottom w:val="none" w:sz="0" w:space="0" w:color="auto"/>
        <w:right w:val="none" w:sz="0" w:space="0" w:color="auto"/>
      </w:divBdr>
    </w:div>
    <w:div w:id="1956132466">
      <w:bodyDiv w:val="1"/>
      <w:marLeft w:val="0"/>
      <w:marRight w:val="0"/>
      <w:marTop w:val="0"/>
      <w:marBottom w:val="0"/>
      <w:divBdr>
        <w:top w:val="none" w:sz="0" w:space="0" w:color="auto"/>
        <w:left w:val="none" w:sz="0" w:space="0" w:color="auto"/>
        <w:bottom w:val="none" w:sz="0" w:space="0" w:color="auto"/>
        <w:right w:val="none" w:sz="0" w:space="0" w:color="auto"/>
      </w:divBdr>
    </w:div>
    <w:div w:id="1973439142">
      <w:bodyDiv w:val="1"/>
      <w:marLeft w:val="0"/>
      <w:marRight w:val="0"/>
      <w:marTop w:val="0"/>
      <w:marBottom w:val="0"/>
      <w:divBdr>
        <w:top w:val="none" w:sz="0" w:space="0" w:color="auto"/>
        <w:left w:val="none" w:sz="0" w:space="0" w:color="auto"/>
        <w:bottom w:val="none" w:sz="0" w:space="0" w:color="auto"/>
        <w:right w:val="none" w:sz="0" w:space="0" w:color="auto"/>
      </w:divBdr>
    </w:div>
    <w:div w:id="20808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www.ids.ac.uk/files/dmfile/InFocus22.pdf" TargetMode="External"/><Relationship Id="rId3" Type="http://schemas.openxmlformats.org/officeDocument/2006/relationships/styles" Target="styles.xml"/><Relationship Id="rId21" Type="http://schemas.openxmlformats.org/officeDocument/2006/relationships/hyperlink" Target="http://www.nipn-nutrition-platforms.org/IMG/pdf/nutrition-policy-niger.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fao.org/3/a-mm215f.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who.int/healthinfo/global_burden_disease/estimates_child_cod_2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tif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who.int/healthinfo/global_burden_disease/estimates_child_cod_2015/e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ipn-nutrition-platforms.org/IMG/pdf/nutrition-policy-niger.pdf" TargetMode="External"/><Relationship Id="rId2" Type="http://schemas.openxmlformats.org/officeDocument/2006/relationships/hyperlink" Target="http://www.nipn-nutrition-platforms.org/IMG/pdf/nutrition-policy-niger.pdf" TargetMode="External"/><Relationship Id="rId1" Type="http://schemas.openxmlformats.org/officeDocument/2006/relationships/hyperlink" Target="http://www.nipn-nutrition-platforms.org/IMG/pdf/nutrition-policy-niger.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euille_de_calcul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Feuille_de_calcul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23651210265383"/>
          <c:y val="7.1428571428571425E-2"/>
          <c:w val="0.83830052493438323"/>
          <c:h val="0.47141419822522185"/>
        </c:manualLayout>
      </c:layout>
      <c:barChart>
        <c:barDir val="col"/>
        <c:grouping val="clustered"/>
        <c:varyColors val="0"/>
        <c:ser>
          <c:idx val="0"/>
          <c:order val="0"/>
          <c:tx>
            <c:strRef>
              <c:f>Feuil1!#REF!</c:f>
              <c:strCache>
                <c:ptCount val="1"/>
                <c:pt idx="0">
                  <c:v>#REF!</c:v>
                </c:pt>
              </c:strCache>
            </c:strRef>
          </c:tx>
          <c:spPr>
            <a:solidFill>
              <a:schemeClr val="accent1"/>
            </a:solidFill>
            <a:ln>
              <a:noFill/>
            </a:ln>
            <a:effectLst/>
          </c:spPr>
          <c:invertIfNegative val="0"/>
          <c:dLbls>
            <c:delete val="1"/>
          </c:dLbls>
          <c:cat>
            <c:strRef>
              <c:f>Feuil1!$A$2:$A$6</c:f>
              <c:strCache>
                <c:ptCount val="5"/>
                <c:pt idx="0">
                  <c:v>Renforcer la gouvernance nutritionnelle </c:v>
                </c:pt>
                <c:pt idx="1">
                  <c:v>Accroitre l’offre des services de promotion et de prévention nutritionnelle </c:v>
                </c:pt>
                <c:pt idx="2">
                  <c:v>Assurer la fourniture des services adéquats de prise en charge nutritionnelle </c:v>
                </c:pt>
                <c:pt idx="3">
                  <c:v>Renforcer la sensibilité à la nutrition des interventions sectorielles </c:v>
                </c:pt>
                <c:pt idx="4">
                  <c:v>Mettre en œuvre la stratégie multisectorielle de communication pour la sécurité nutritionnelle. </c:v>
                </c:pt>
              </c:strCache>
            </c:strRef>
          </c:cat>
          <c:val>
            <c:numRef>
              <c:f>Feuil1!#REF!</c:f>
              <c:numCache>
                <c:formatCode>General</c:formatCode>
                <c:ptCount val="1"/>
                <c:pt idx="0">
                  <c:v>1</c:v>
                </c:pt>
              </c:numCache>
            </c:numRef>
          </c:val>
        </c:ser>
        <c:ser>
          <c:idx val="1"/>
          <c:order val="1"/>
          <c:tx>
            <c:strRef>
              <c:f>Feuil1!$B$1</c:f>
              <c:strCache>
                <c:ptCount val="1"/>
                <c:pt idx="0">
                  <c:v>Financement Budget national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Feuil1!$A$2:$A$6</c:f>
              <c:strCache>
                <c:ptCount val="5"/>
                <c:pt idx="0">
                  <c:v>Renforcer la gouvernance nutritionnelle </c:v>
                </c:pt>
                <c:pt idx="1">
                  <c:v>Accroitre l’offre des services de promotion et de prévention nutritionnelle </c:v>
                </c:pt>
                <c:pt idx="2">
                  <c:v>Assurer la fourniture des services adéquats de prise en charge nutritionnelle </c:v>
                </c:pt>
                <c:pt idx="3">
                  <c:v>Renforcer la sensibilité à la nutrition des interventions sectorielles </c:v>
                </c:pt>
                <c:pt idx="4">
                  <c:v>Mettre en œuvre la stratégie multisectorielle de communication pour la sécurité nutritionnelle. </c:v>
                </c:pt>
              </c:strCache>
            </c:strRef>
          </c:cat>
          <c:val>
            <c:numRef>
              <c:f>Feuil1!$B$2:$B$6</c:f>
              <c:numCache>
                <c:formatCode>General</c:formatCode>
                <c:ptCount val="5"/>
                <c:pt idx="0">
                  <c:v>680</c:v>
                </c:pt>
                <c:pt idx="1">
                  <c:v>18749</c:v>
                </c:pt>
                <c:pt idx="2">
                  <c:v>7177</c:v>
                </c:pt>
                <c:pt idx="3">
                  <c:v>14850</c:v>
                </c:pt>
                <c:pt idx="4">
                  <c:v>612</c:v>
                </c:pt>
              </c:numCache>
            </c:numRef>
          </c:val>
        </c:ser>
        <c:ser>
          <c:idx val="2"/>
          <c:order val="2"/>
          <c:tx>
            <c:strRef>
              <c:f>Feuil1!$C$1</c:f>
              <c:strCache>
                <c:ptCount val="1"/>
                <c:pt idx="0">
                  <c:v>Financement PTF</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Feuil1!$A$2:$A$6</c:f>
              <c:strCache>
                <c:ptCount val="5"/>
                <c:pt idx="0">
                  <c:v>Renforcer la gouvernance nutritionnelle </c:v>
                </c:pt>
                <c:pt idx="1">
                  <c:v>Accroitre l’offre des services de promotion et de prévention nutritionnelle </c:v>
                </c:pt>
                <c:pt idx="2">
                  <c:v>Assurer la fourniture des services adéquats de prise en charge nutritionnelle </c:v>
                </c:pt>
                <c:pt idx="3">
                  <c:v>Renforcer la sensibilité à la nutrition des interventions sectorielles </c:v>
                </c:pt>
                <c:pt idx="4">
                  <c:v>Mettre en œuvre la stratégie multisectorielle de communication pour la sécurité nutritionnelle. </c:v>
                </c:pt>
              </c:strCache>
            </c:strRef>
          </c:cat>
          <c:val>
            <c:numRef>
              <c:f>Feuil1!$C$2:$C$6</c:f>
              <c:numCache>
                <c:formatCode>General</c:formatCode>
                <c:ptCount val="5"/>
                <c:pt idx="0">
                  <c:v>2564</c:v>
                </c:pt>
                <c:pt idx="1">
                  <c:v>30651</c:v>
                </c:pt>
                <c:pt idx="2">
                  <c:v>26110</c:v>
                </c:pt>
                <c:pt idx="3">
                  <c:v>3613</c:v>
                </c:pt>
                <c:pt idx="4">
                  <c:v>1586</c:v>
                </c:pt>
              </c:numCache>
            </c:numRef>
          </c:val>
        </c:ser>
        <c:ser>
          <c:idx val="3"/>
          <c:order val="3"/>
          <c:tx>
            <c:strRef>
              <c:f>Feuil1!$D$1</c:f>
              <c:strCache>
                <c:ptCount val="1"/>
                <c:pt idx="0">
                  <c:v>Gap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Feuil1!$A$2:$A$6</c:f>
              <c:strCache>
                <c:ptCount val="5"/>
                <c:pt idx="0">
                  <c:v>Renforcer la gouvernance nutritionnelle </c:v>
                </c:pt>
                <c:pt idx="1">
                  <c:v>Accroitre l’offre des services de promotion et de prévention nutritionnelle </c:v>
                </c:pt>
                <c:pt idx="2">
                  <c:v>Assurer la fourniture des services adéquats de prise en charge nutritionnelle </c:v>
                </c:pt>
                <c:pt idx="3">
                  <c:v>Renforcer la sensibilité à la nutrition des interventions sectorielles </c:v>
                </c:pt>
                <c:pt idx="4">
                  <c:v>Mettre en œuvre la stratégie multisectorielle de communication pour la sécurité nutritionnelle. </c:v>
                </c:pt>
              </c:strCache>
            </c:strRef>
          </c:cat>
          <c:val>
            <c:numRef>
              <c:f>Feuil1!$D$2:$D$6</c:f>
              <c:numCache>
                <c:formatCode>General</c:formatCode>
                <c:ptCount val="5"/>
                <c:pt idx="0">
                  <c:v>6920</c:v>
                </c:pt>
                <c:pt idx="1">
                  <c:v>21967</c:v>
                </c:pt>
                <c:pt idx="2">
                  <c:v>79876</c:v>
                </c:pt>
                <c:pt idx="3">
                  <c:v>2361</c:v>
                </c:pt>
                <c:pt idx="4">
                  <c:v>8250</c:v>
                </c:pt>
              </c:numCache>
            </c:numRef>
          </c:val>
        </c:ser>
        <c:dLbls>
          <c:dLblPos val="outEnd"/>
          <c:showLegendKey val="0"/>
          <c:showVal val="1"/>
          <c:showCatName val="0"/>
          <c:showSerName val="0"/>
          <c:showPercent val="0"/>
          <c:showBubbleSize val="0"/>
        </c:dLbls>
        <c:gapWidth val="444"/>
        <c:overlap val="-90"/>
        <c:axId val="283323296"/>
        <c:axId val="283319376"/>
      </c:barChart>
      <c:dateAx>
        <c:axId val="283323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fr-FR"/>
          </a:p>
        </c:txPr>
        <c:crossAx val="283319376"/>
        <c:crosses val="autoZero"/>
        <c:auto val="0"/>
        <c:lblOffset val="100"/>
        <c:baseTimeUnit val="days"/>
      </c:dateAx>
      <c:valAx>
        <c:axId val="283319376"/>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fr-FR"/>
                  <a:t>Coût (millions  de F CFA)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crossAx val="283323296"/>
        <c:crosses val="autoZero"/>
        <c:crossBetween val="between"/>
      </c:valAx>
      <c:spPr>
        <a:noFill/>
        <a:ln>
          <a:noFill/>
        </a:ln>
        <a:effectLst/>
      </c:spPr>
    </c:plotArea>
    <c:legend>
      <c:legendPos val="t"/>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Nombre de résultat</c:v>
                </c:pt>
              </c:strCache>
            </c:strRef>
          </c:tx>
          <c:spPr>
            <a:solidFill>
              <a:schemeClr val="accent1"/>
            </a:solidFill>
            <a:ln>
              <a:noFill/>
            </a:ln>
            <a:effectLst/>
          </c:spPr>
          <c:invertIfNegative val="0"/>
          <c:cat>
            <c:strRef>
              <c:f>Feuil1!$A$2:$A$9</c:f>
              <c:strCache>
                <c:ptCount val="8"/>
                <c:pt idx="0">
                  <c:v>Engagement 1</c:v>
                </c:pt>
                <c:pt idx="1">
                  <c:v>Engagement 2</c:v>
                </c:pt>
                <c:pt idx="2">
                  <c:v>Engagement 3</c:v>
                </c:pt>
                <c:pt idx="3">
                  <c:v>Engagement 4</c:v>
                </c:pt>
                <c:pt idx="4">
                  <c:v>Engagement 5</c:v>
                </c:pt>
                <c:pt idx="5">
                  <c:v>Engagement 6</c:v>
                </c:pt>
                <c:pt idx="6">
                  <c:v>Engagement 7</c:v>
                </c:pt>
                <c:pt idx="7">
                  <c:v>Engagement 8</c:v>
                </c:pt>
              </c:strCache>
            </c:strRef>
          </c:cat>
          <c:val>
            <c:numRef>
              <c:f>Feuil1!$B$2:$B$9</c:f>
              <c:numCache>
                <c:formatCode>General</c:formatCode>
                <c:ptCount val="8"/>
                <c:pt idx="0">
                  <c:v>6</c:v>
                </c:pt>
                <c:pt idx="1">
                  <c:v>5</c:v>
                </c:pt>
                <c:pt idx="2">
                  <c:v>9</c:v>
                </c:pt>
                <c:pt idx="3">
                  <c:v>4</c:v>
                </c:pt>
                <c:pt idx="4">
                  <c:v>4</c:v>
                </c:pt>
                <c:pt idx="5">
                  <c:v>4</c:v>
                </c:pt>
                <c:pt idx="6">
                  <c:v>3</c:v>
                </c:pt>
                <c:pt idx="7">
                  <c:v>4</c:v>
                </c:pt>
              </c:numCache>
            </c:numRef>
          </c:val>
        </c:ser>
        <c:ser>
          <c:idx val="1"/>
          <c:order val="1"/>
          <c:tx>
            <c:strRef>
              <c:f>Feuil1!$C$1</c:f>
              <c:strCache>
                <c:ptCount val="1"/>
                <c:pt idx="0">
                  <c:v>Nombre de résultat intermédiaire</c:v>
                </c:pt>
              </c:strCache>
            </c:strRef>
          </c:tx>
          <c:spPr>
            <a:solidFill>
              <a:schemeClr val="accent2"/>
            </a:solidFill>
            <a:ln>
              <a:noFill/>
            </a:ln>
            <a:effectLst/>
          </c:spPr>
          <c:invertIfNegative val="0"/>
          <c:cat>
            <c:strRef>
              <c:f>Feuil1!$A$2:$A$9</c:f>
              <c:strCache>
                <c:ptCount val="8"/>
                <c:pt idx="0">
                  <c:v>Engagement 1</c:v>
                </c:pt>
                <c:pt idx="1">
                  <c:v>Engagement 2</c:v>
                </c:pt>
                <c:pt idx="2">
                  <c:v>Engagement 3</c:v>
                </c:pt>
                <c:pt idx="3">
                  <c:v>Engagement 4</c:v>
                </c:pt>
                <c:pt idx="4">
                  <c:v>Engagement 5</c:v>
                </c:pt>
                <c:pt idx="5">
                  <c:v>Engagement 6</c:v>
                </c:pt>
                <c:pt idx="6">
                  <c:v>Engagement 7</c:v>
                </c:pt>
                <c:pt idx="7">
                  <c:v>Engagement 8</c:v>
                </c:pt>
              </c:strCache>
            </c:strRef>
          </c:cat>
          <c:val>
            <c:numRef>
              <c:f>Feuil1!$C$2:$C$9</c:f>
              <c:numCache>
                <c:formatCode>General</c:formatCode>
                <c:ptCount val="8"/>
                <c:pt idx="0">
                  <c:v>35</c:v>
                </c:pt>
                <c:pt idx="1">
                  <c:v>20</c:v>
                </c:pt>
                <c:pt idx="2">
                  <c:v>64</c:v>
                </c:pt>
                <c:pt idx="3">
                  <c:v>10</c:v>
                </c:pt>
                <c:pt idx="4">
                  <c:v>12</c:v>
                </c:pt>
                <c:pt idx="5">
                  <c:v>11</c:v>
                </c:pt>
                <c:pt idx="6">
                  <c:v>7</c:v>
                </c:pt>
                <c:pt idx="7">
                  <c:v>9</c:v>
                </c:pt>
              </c:numCache>
            </c:numRef>
          </c:val>
        </c:ser>
        <c:ser>
          <c:idx val="2"/>
          <c:order val="2"/>
          <c:tx>
            <c:strRef>
              <c:f>Feuil1!$D$1</c:f>
              <c:strCache>
                <c:ptCount val="1"/>
                <c:pt idx="0">
                  <c:v>Nombre d’activité</c:v>
                </c:pt>
              </c:strCache>
            </c:strRef>
          </c:tx>
          <c:spPr>
            <a:solidFill>
              <a:schemeClr val="accent3"/>
            </a:solidFill>
            <a:ln>
              <a:noFill/>
            </a:ln>
            <a:effectLst/>
          </c:spPr>
          <c:invertIfNegative val="0"/>
          <c:cat>
            <c:strRef>
              <c:f>Feuil1!$A$2:$A$9</c:f>
              <c:strCache>
                <c:ptCount val="8"/>
                <c:pt idx="0">
                  <c:v>Engagement 1</c:v>
                </c:pt>
                <c:pt idx="1">
                  <c:v>Engagement 2</c:v>
                </c:pt>
                <c:pt idx="2">
                  <c:v>Engagement 3</c:v>
                </c:pt>
                <c:pt idx="3">
                  <c:v>Engagement 4</c:v>
                </c:pt>
                <c:pt idx="4">
                  <c:v>Engagement 5</c:v>
                </c:pt>
                <c:pt idx="5">
                  <c:v>Engagement 6</c:v>
                </c:pt>
                <c:pt idx="6">
                  <c:v>Engagement 7</c:v>
                </c:pt>
                <c:pt idx="7">
                  <c:v>Engagement 8</c:v>
                </c:pt>
              </c:strCache>
            </c:strRef>
          </c:cat>
          <c:val>
            <c:numRef>
              <c:f>Feuil1!$D$2:$D$9</c:f>
              <c:numCache>
                <c:formatCode>General</c:formatCode>
                <c:ptCount val="8"/>
                <c:pt idx="0">
                  <c:v>40</c:v>
                </c:pt>
                <c:pt idx="1">
                  <c:v>73</c:v>
                </c:pt>
                <c:pt idx="2">
                  <c:v>67</c:v>
                </c:pt>
                <c:pt idx="3">
                  <c:v>15</c:v>
                </c:pt>
                <c:pt idx="4">
                  <c:v>22</c:v>
                </c:pt>
                <c:pt idx="5">
                  <c:v>27</c:v>
                </c:pt>
                <c:pt idx="6">
                  <c:v>33</c:v>
                </c:pt>
                <c:pt idx="7">
                  <c:v>37</c:v>
                </c:pt>
              </c:numCache>
            </c:numRef>
          </c:val>
        </c:ser>
        <c:dLbls>
          <c:showLegendKey val="0"/>
          <c:showVal val="0"/>
          <c:showCatName val="0"/>
          <c:showSerName val="0"/>
          <c:showPercent val="0"/>
          <c:showBubbleSize val="0"/>
        </c:dLbls>
        <c:gapWidth val="219"/>
        <c:overlap val="-27"/>
        <c:axId val="283321056"/>
        <c:axId val="283313776"/>
      </c:barChart>
      <c:catAx>
        <c:axId val="28332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3313776"/>
        <c:crosses val="autoZero"/>
        <c:auto val="1"/>
        <c:lblAlgn val="ctr"/>
        <c:lblOffset val="100"/>
        <c:noMultiLvlLbl val="0"/>
      </c:catAx>
      <c:valAx>
        <c:axId val="283313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332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Pourcentage</c:v>
                </c:pt>
              </c:strCache>
            </c:strRef>
          </c:tx>
          <c:spPr>
            <a:solidFill>
              <a:schemeClr val="accent1"/>
            </a:solidFill>
            <a:ln>
              <a:noFill/>
            </a:ln>
            <a:effectLst/>
          </c:spPr>
          <c:invertIfNegative val="0"/>
          <c:cat>
            <c:strRef>
              <c:f>Feuil1!$A$2:$A$9</c:f>
              <c:strCache>
                <c:ptCount val="8"/>
                <c:pt idx="0">
                  <c:v>Engagement 1</c:v>
                </c:pt>
                <c:pt idx="1">
                  <c:v>Engagement 2</c:v>
                </c:pt>
                <c:pt idx="2">
                  <c:v>Engagement 3</c:v>
                </c:pt>
                <c:pt idx="3">
                  <c:v>Engagement 4</c:v>
                </c:pt>
                <c:pt idx="4">
                  <c:v>Engagement 5</c:v>
                </c:pt>
                <c:pt idx="5">
                  <c:v>Engagement 6</c:v>
                </c:pt>
                <c:pt idx="6">
                  <c:v>Engagement 7</c:v>
                </c:pt>
                <c:pt idx="7">
                  <c:v>Engagement 8</c:v>
                </c:pt>
              </c:strCache>
            </c:strRef>
          </c:cat>
          <c:val>
            <c:numRef>
              <c:f>Feuil1!$B$2:$B$9</c:f>
              <c:numCache>
                <c:formatCode>0%</c:formatCode>
                <c:ptCount val="8"/>
                <c:pt idx="0">
                  <c:v>0.12738853503184713</c:v>
                </c:pt>
                <c:pt idx="1">
                  <c:v>0.23248407643312102</c:v>
                </c:pt>
                <c:pt idx="2">
                  <c:v>0.21337579617834396</c:v>
                </c:pt>
                <c:pt idx="3">
                  <c:v>4.7770700636942678E-2</c:v>
                </c:pt>
                <c:pt idx="4">
                  <c:v>7.0063694267515922E-2</c:v>
                </c:pt>
                <c:pt idx="5">
                  <c:v>8.598726114649681E-2</c:v>
                </c:pt>
                <c:pt idx="6">
                  <c:v>0.10509554140127389</c:v>
                </c:pt>
                <c:pt idx="7">
                  <c:v>0.1178343949044586</c:v>
                </c:pt>
              </c:numCache>
            </c:numRef>
          </c:val>
        </c:ser>
        <c:dLbls>
          <c:showLegendKey val="0"/>
          <c:showVal val="0"/>
          <c:showCatName val="0"/>
          <c:showSerName val="0"/>
          <c:showPercent val="0"/>
          <c:showBubbleSize val="0"/>
        </c:dLbls>
        <c:gapWidth val="219"/>
        <c:overlap val="-27"/>
        <c:axId val="283326656"/>
        <c:axId val="283327776"/>
      </c:barChart>
      <c:catAx>
        <c:axId val="28332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3327776"/>
        <c:crosses val="autoZero"/>
        <c:auto val="1"/>
        <c:lblAlgn val="ctr"/>
        <c:lblOffset val="100"/>
        <c:noMultiLvlLbl val="0"/>
      </c:catAx>
      <c:valAx>
        <c:axId val="2833277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332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Pourcentage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Feuil1!$A$2:$A$9</c:f>
              <c:strCache>
                <c:ptCount val="8"/>
                <c:pt idx="0">
                  <c:v>Engagement 1</c:v>
                </c:pt>
                <c:pt idx="1">
                  <c:v>Engagement 2</c:v>
                </c:pt>
                <c:pt idx="2">
                  <c:v>Engagement 3 </c:v>
                </c:pt>
                <c:pt idx="3">
                  <c:v>Engagement 4</c:v>
                </c:pt>
                <c:pt idx="4">
                  <c:v>Engagement 5</c:v>
                </c:pt>
                <c:pt idx="5">
                  <c:v>Engagement 6</c:v>
                </c:pt>
                <c:pt idx="6">
                  <c:v>Engagement 7</c:v>
                </c:pt>
                <c:pt idx="7">
                  <c:v>Engagement 8 </c:v>
                </c:pt>
              </c:strCache>
            </c:strRef>
          </c:cat>
          <c:val>
            <c:numRef>
              <c:f>Feuil1!$B$2:$B$9</c:f>
              <c:numCache>
                <c:formatCode>0%</c:formatCode>
                <c:ptCount val="8"/>
                <c:pt idx="0">
                  <c:v>6.7490804896235657E-2</c:v>
                </c:pt>
                <c:pt idx="1">
                  <c:v>0.60864046515914438</c:v>
                </c:pt>
                <c:pt idx="2">
                  <c:v>5.366254178640549E-2</c:v>
                </c:pt>
                <c:pt idx="3">
                  <c:v>7.9551262179847013E-3</c:v>
                </c:pt>
                <c:pt idx="4">
                  <c:v>0.18234372512713959</c:v>
                </c:pt>
                <c:pt idx="5">
                  <c:v>3.7630805063800198E-2</c:v>
                </c:pt>
                <c:pt idx="6">
                  <c:v>2.0920431981366824E-2</c:v>
                </c:pt>
                <c:pt idx="7">
                  <c:v>2.1351910654590849E-2</c:v>
                </c:pt>
              </c:numCache>
            </c:numRef>
          </c:val>
        </c:ser>
        <c:dLbls>
          <c:showLegendKey val="0"/>
          <c:showVal val="0"/>
          <c:showCatName val="0"/>
          <c:showSerName val="0"/>
          <c:showPercent val="0"/>
          <c:showBubbleSize val="0"/>
        </c:dLbls>
        <c:gapWidth val="219"/>
        <c:overlap val="-27"/>
        <c:axId val="274014928"/>
        <c:axId val="274016608"/>
      </c:barChart>
      <c:catAx>
        <c:axId val="27401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4016608"/>
        <c:crosses val="autoZero"/>
        <c:auto val="1"/>
        <c:lblAlgn val="ctr"/>
        <c:lblOffset val="100"/>
        <c:noMultiLvlLbl val="0"/>
      </c:catAx>
      <c:valAx>
        <c:axId val="2740166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401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Mat18</b:Tag>
    <b:SourceType>JournalArticle</b:SourceType>
    <b:Guid>{897BF1DB-699C-45BB-91CA-C06CB3EDB720}</b:Guid>
    <b:Title>Maternal and Child Undernutrition</b:Title>
    <b:JournalName>The Lancet</b:JournalName>
    <b:Year>January 2018</b:Year>
    <b:RefOrder>1</b:RefOrder>
  </b:Source>
</b:Sources>
</file>

<file path=customXml/itemProps1.xml><?xml version="1.0" encoding="utf-8"?>
<ds:datastoreItem xmlns:ds="http://schemas.openxmlformats.org/officeDocument/2006/customXml" ds:itemID="{96699CBF-144E-441D-BB45-80F17C6C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25685</Words>
  <Characters>141268</Characters>
  <Application>Microsoft Office Word</Application>
  <DocSecurity>0</DocSecurity>
  <Lines>1177</Lines>
  <Paragraphs>333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2018-10-23T07:34:00Z</cp:lastPrinted>
  <dcterms:created xsi:type="dcterms:W3CDTF">2018-10-25T07:52:00Z</dcterms:created>
  <dcterms:modified xsi:type="dcterms:W3CDTF">2018-10-25T08:17:00Z</dcterms:modified>
</cp:coreProperties>
</file>