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jc w:val="center"/>
        <w:tblLayout w:type="fixed"/>
        <w:tblLook w:val="04A0" w:firstRow="1" w:lastRow="0" w:firstColumn="1" w:lastColumn="0" w:noHBand="0" w:noVBand="1"/>
      </w:tblPr>
      <w:tblGrid>
        <w:gridCol w:w="3591"/>
        <w:gridCol w:w="3591"/>
        <w:gridCol w:w="3592"/>
      </w:tblGrid>
      <w:tr w:rsidR="008A3FCC" w:rsidRPr="00A31EC8" w14:paraId="5116C2D7" w14:textId="77777777" w:rsidTr="008A3FCC">
        <w:trPr>
          <w:trHeight w:val="993"/>
          <w:jc w:val="center"/>
        </w:trPr>
        <w:tc>
          <w:tcPr>
            <w:tcW w:w="3591" w:type="dxa"/>
            <w:shd w:val="clear" w:color="auto" w:fill="auto"/>
            <w:vAlign w:val="center"/>
          </w:tcPr>
          <w:p w14:paraId="00CD9AD9" w14:textId="77777777" w:rsidR="008A3FCC" w:rsidRPr="00A31EC8" w:rsidRDefault="008A3FCC" w:rsidP="008A3FCC">
            <w:pPr>
              <w:spacing w:after="0" w:line="240" w:lineRule="auto"/>
              <w:ind w:right="931"/>
              <w:rPr>
                <w:rFonts w:ascii="Cambria" w:hAnsi="Cambria"/>
              </w:rPr>
            </w:pPr>
            <w:r>
              <w:rPr>
                <w:noProof/>
                <w:lang w:eastAsia="fr-FR"/>
              </w:rPr>
              <w:drawing>
                <wp:inline distT="0" distB="0" distL="0" distR="0" wp14:anchorId="3D11B00C" wp14:editId="6A9B8497">
                  <wp:extent cx="1181100" cy="7810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b="22002"/>
                          <a:stretch>
                            <a:fillRect/>
                          </a:stretch>
                        </pic:blipFill>
                        <pic:spPr bwMode="auto">
                          <a:xfrm>
                            <a:off x="0" y="0"/>
                            <a:ext cx="1181100" cy="781050"/>
                          </a:xfrm>
                          <a:prstGeom prst="rect">
                            <a:avLst/>
                          </a:prstGeom>
                          <a:noFill/>
                          <a:ln>
                            <a:noFill/>
                          </a:ln>
                        </pic:spPr>
                      </pic:pic>
                    </a:graphicData>
                  </a:graphic>
                </wp:inline>
              </w:drawing>
            </w:r>
          </w:p>
        </w:tc>
        <w:tc>
          <w:tcPr>
            <w:tcW w:w="3591" w:type="dxa"/>
            <w:shd w:val="clear" w:color="auto" w:fill="auto"/>
          </w:tcPr>
          <w:p w14:paraId="6ABA18D9" w14:textId="77777777" w:rsidR="008A3FCC" w:rsidRPr="00A31EC8" w:rsidRDefault="008A3FCC" w:rsidP="008A3FCC">
            <w:pPr>
              <w:spacing w:after="0" w:line="240" w:lineRule="auto"/>
              <w:jc w:val="center"/>
              <w:rPr>
                <w:rFonts w:ascii="Cambria" w:hAnsi="Cambria"/>
              </w:rPr>
            </w:pPr>
            <w:r>
              <w:rPr>
                <w:rFonts w:ascii="Cambria" w:hAnsi="Cambria"/>
                <w:b/>
                <w:noProof/>
                <w:lang w:eastAsia="fr-FR"/>
              </w:rPr>
              <w:drawing>
                <wp:inline distT="0" distB="0" distL="0" distR="0" wp14:anchorId="6B3A7297" wp14:editId="3C4AED9D">
                  <wp:extent cx="2190750" cy="9334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9">
                            <a:extLst>
                              <a:ext uri="{28A0092B-C50C-407E-A947-70E740481C1C}">
                                <a14:useLocalDpi xmlns:a14="http://schemas.microsoft.com/office/drawing/2010/main" val="0"/>
                              </a:ext>
                            </a:extLst>
                          </a:blip>
                          <a:srcRect l="27180" r="32845"/>
                          <a:stretch>
                            <a:fillRect/>
                          </a:stretch>
                        </pic:blipFill>
                        <pic:spPr bwMode="auto">
                          <a:xfrm>
                            <a:off x="0" y="0"/>
                            <a:ext cx="2190750" cy="933450"/>
                          </a:xfrm>
                          <a:prstGeom prst="rect">
                            <a:avLst/>
                          </a:prstGeom>
                          <a:noFill/>
                          <a:ln>
                            <a:noFill/>
                          </a:ln>
                        </pic:spPr>
                      </pic:pic>
                    </a:graphicData>
                  </a:graphic>
                </wp:inline>
              </w:drawing>
            </w:r>
          </w:p>
        </w:tc>
        <w:tc>
          <w:tcPr>
            <w:tcW w:w="3592" w:type="dxa"/>
            <w:shd w:val="clear" w:color="auto" w:fill="auto"/>
            <w:vAlign w:val="center"/>
          </w:tcPr>
          <w:p w14:paraId="00582882" w14:textId="77777777" w:rsidR="008A3FCC" w:rsidRPr="00A31EC8" w:rsidRDefault="008A3FCC" w:rsidP="008A3FCC">
            <w:pPr>
              <w:spacing w:after="0" w:line="240" w:lineRule="auto"/>
              <w:ind w:left="932"/>
              <w:jc w:val="center"/>
              <w:rPr>
                <w:rFonts w:ascii="Cambria" w:hAnsi="Cambria"/>
              </w:rPr>
            </w:pPr>
            <w:r>
              <w:rPr>
                <w:rFonts w:ascii="Cambria" w:hAnsi="Cambria"/>
                <w:noProof/>
                <w:lang w:eastAsia="fr-FR"/>
              </w:rPr>
              <w:drawing>
                <wp:inline distT="0" distB="0" distL="0" distR="0" wp14:anchorId="218A6319" wp14:editId="55087F5C">
                  <wp:extent cx="1162050" cy="771525"/>
                  <wp:effectExtent l="0" t="0" r="0" b="9525"/>
                  <wp:docPr id="12" name="Image 12" descr="Description : Description : 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Description : Description : logo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771525"/>
                          </a:xfrm>
                          <a:prstGeom prst="rect">
                            <a:avLst/>
                          </a:prstGeom>
                          <a:noFill/>
                          <a:ln>
                            <a:noFill/>
                          </a:ln>
                        </pic:spPr>
                      </pic:pic>
                    </a:graphicData>
                  </a:graphic>
                </wp:inline>
              </w:drawing>
            </w:r>
          </w:p>
        </w:tc>
      </w:tr>
    </w:tbl>
    <w:p w14:paraId="713D941C" w14:textId="77777777" w:rsidR="008A3FCC" w:rsidRPr="008A3FCC" w:rsidRDefault="008A3FCC" w:rsidP="008A3FCC">
      <w:pPr>
        <w:spacing w:after="0" w:line="240" w:lineRule="auto"/>
        <w:jc w:val="both"/>
        <w:rPr>
          <w:rFonts w:ascii="Calibri" w:hAnsi="Calibri" w:cs="Calibri"/>
        </w:rPr>
      </w:pPr>
    </w:p>
    <w:p w14:paraId="2C94FA7B" w14:textId="77777777" w:rsidR="008A3FCC" w:rsidRPr="008A3FCC" w:rsidRDefault="008A3FCC" w:rsidP="008A3FCC">
      <w:pPr>
        <w:spacing w:after="0" w:line="240" w:lineRule="auto"/>
        <w:jc w:val="both"/>
        <w:rPr>
          <w:rFonts w:ascii="Calibri" w:hAnsi="Calibri" w:cs="Calibri"/>
        </w:rPr>
      </w:pPr>
    </w:p>
    <w:p w14:paraId="6A5A0E02" w14:textId="77777777" w:rsidR="008A3FCC" w:rsidRDefault="008A3FCC" w:rsidP="008A3FCC">
      <w:pPr>
        <w:spacing w:after="0" w:line="240" w:lineRule="auto"/>
        <w:jc w:val="both"/>
        <w:rPr>
          <w:rFonts w:ascii="Calibri" w:hAnsi="Calibri" w:cs="Calibri"/>
        </w:rPr>
      </w:pPr>
    </w:p>
    <w:p w14:paraId="5E063664" w14:textId="77777777" w:rsidR="007F2C27" w:rsidRDefault="007F2C27" w:rsidP="008A3FCC">
      <w:pPr>
        <w:spacing w:after="0" w:line="240" w:lineRule="auto"/>
        <w:jc w:val="both"/>
        <w:rPr>
          <w:rFonts w:ascii="Calibri" w:hAnsi="Calibri" w:cs="Calibri"/>
        </w:rPr>
      </w:pPr>
    </w:p>
    <w:p w14:paraId="2F61858D" w14:textId="77777777" w:rsidR="007F2C27" w:rsidRDefault="007F2C27" w:rsidP="008A3FCC">
      <w:pPr>
        <w:spacing w:after="0" w:line="240" w:lineRule="auto"/>
        <w:jc w:val="both"/>
        <w:rPr>
          <w:rFonts w:ascii="Calibri" w:hAnsi="Calibri" w:cs="Calibri"/>
        </w:rPr>
      </w:pPr>
    </w:p>
    <w:p w14:paraId="4B4D494A" w14:textId="77777777" w:rsidR="007F2C27" w:rsidRDefault="007F2C27" w:rsidP="008A3FCC">
      <w:pPr>
        <w:spacing w:after="0" w:line="240" w:lineRule="auto"/>
        <w:jc w:val="both"/>
        <w:rPr>
          <w:rFonts w:ascii="Calibri" w:hAnsi="Calibri" w:cs="Calibri"/>
        </w:rPr>
      </w:pPr>
      <w:bookmarkStart w:id="0" w:name="_GoBack"/>
      <w:bookmarkEnd w:id="0"/>
    </w:p>
    <w:p w14:paraId="266FC77C" w14:textId="77777777" w:rsidR="007F2C27" w:rsidRDefault="007F2C27" w:rsidP="008A3FCC">
      <w:pPr>
        <w:spacing w:after="0" w:line="240" w:lineRule="auto"/>
        <w:jc w:val="both"/>
        <w:rPr>
          <w:rFonts w:ascii="Calibri" w:hAnsi="Calibri" w:cs="Calibri"/>
        </w:rPr>
      </w:pPr>
    </w:p>
    <w:p w14:paraId="2944A069" w14:textId="77777777" w:rsidR="007F2C27" w:rsidRDefault="007F2C27" w:rsidP="008A3FCC">
      <w:pPr>
        <w:spacing w:after="0" w:line="240" w:lineRule="auto"/>
        <w:jc w:val="both"/>
        <w:rPr>
          <w:rFonts w:ascii="Calibri" w:hAnsi="Calibri" w:cs="Calibri"/>
        </w:rPr>
      </w:pPr>
    </w:p>
    <w:p w14:paraId="48CAB71B" w14:textId="77777777" w:rsidR="007F2C27" w:rsidRDefault="007F2C27" w:rsidP="008A3FCC">
      <w:pPr>
        <w:spacing w:after="0" w:line="240" w:lineRule="auto"/>
        <w:jc w:val="both"/>
        <w:rPr>
          <w:rFonts w:ascii="Calibri" w:hAnsi="Calibri" w:cs="Calibri"/>
        </w:rPr>
      </w:pPr>
    </w:p>
    <w:p w14:paraId="23DF7448" w14:textId="77777777" w:rsidR="007F2C27" w:rsidRDefault="007F2C27" w:rsidP="008A3FCC">
      <w:pPr>
        <w:spacing w:after="0" w:line="240" w:lineRule="auto"/>
        <w:jc w:val="both"/>
        <w:rPr>
          <w:rFonts w:ascii="Calibri" w:hAnsi="Calibri" w:cs="Calibri"/>
        </w:rPr>
      </w:pPr>
    </w:p>
    <w:p w14:paraId="4E7CB018" w14:textId="77777777" w:rsidR="007F2C27" w:rsidRPr="008A3FCC" w:rsidRDefault="007F2C27" w:rsidP="008A3FCC">
      <w:pPr>
        <w:spacing w:after="0" w:line="240" w:lineRule="auto"/>
        <w:jc w:val="both"/>
        <w:rPr>
          <w:rFonts w:ascii="Calibri" w:hAnsi="Calibri" w:cs="Calibri"/>
        </w:rPr>
      </w:pPr>
    </w:p>
    <w:p w14:paraId="1BD84DF4" w14:textId="77777777" w:rsidR="008A3FCC" w:rsidRPr="008A3FCC" w:rsidRDefault="008A3FCC" w:rsidP="008A3FCC">
      <w:pPr>
        <w:spacing w:after="0" w:line="240" w:lineRule="auto"/>
        <w:jc w:val="both"/>
        <w:rPr>
          <w:rFonts w:ascii="Calibri" w:hAnsi="Calibri" w:cs="Calibri"/>
        </w:rPr>
      </w:pPr>
    </w:p>
    <w:p w14:paraId="54333A58" w14:textId="77777777" w:rsidR="008A3FCC" w:rsidRPr="008A3FCC" w:rsidRDefault="008A3FCC" w:rsidP="008A3FCC">
      <w:pPr>
        <w:spacing w:after="0" w:line="240" w:lineRule="auto"/>
        <w:jc w:val="both"/>
        <w:rPr>
          <w:rFonts w:ascii="Calibri" w:hAnsi="Calibri" w:cs="Calibri"/>
        </w:rPr>
      </w:pPr>
    </w:p>
    <w:p w14:paraId="4C521E5B" w14:textId="77777777" w:rsidR="008A3FCC" w:rsidRPr="008A3FCC" w:rsidRDefault="008A3FCC" w:rsidP="008A3FCC">
      <w:pPr>
        <w:spacing w:after="0" w:line="240" w:lineRule="auto"/>
        <w:jc w:val="both"/>
        <w:rPr>
          <w:rFonts w:ascii="Calibri" w:hAnsi="Calibri" w:cs="Calibri"/>
        </w:rPr>
      </w:pPr>
    </w:p>
    <w:p w14:paraId="0563617A" w14:textId="77777777" w:rsidR="008A3FCC" w:rsidRPr="009540D4" w:rsidRDefault="008A3FCC" w:rsidP="008A3FCC">
      <w:pPr>
        <w:pBdr>
          <w:top w:val="thickThinLargeGap" w:sz="6" w:space="1" w:color="auto"/>
          <w:left w:val="thickThinLargeGap" w:sz="6" w:space="4" w:color="auto"/>
          <w:bottom w:val="thinThickLargeGap" w:sz="6" w:space="1" w:color="auto"/>
          <w:right w:val="thinThickLargeGap" w:sz="6" w:space="4" w:color="auto"/>
        </w:pBdr>
        <w:shd w:val="clear" w:color="auto" w:fill="E0E0E0"/>
        <w:rPr>
          <w:rFonts w:ascii="Verdana" w:hAnsi="Verdana"/>
          <w:b/>
          <w:sz w:val="20"/>
          <w:szCs w:val="20"/>
        </w:rPr>
      </w:pPr>
    </w:p>
    <w:p w14:paraId="509F45AF" w14:textId="371124A8" w:rsidR="008A3FCC" w:rsidRPr="007F2C27" w:rsidRDefault="007F2C27" w:rsidP="008A3FCC">
      <w:pPr>
        <w:pBdr>
          <w:top w:val="thickThinLargeGap" w:sz="6" w:space="1" w:color="auto"/>
          <w:left w:val="thickThinLargeGap" w:sz="6" w:space="4" w:color="auto"/>
          <w:bottom w:val="thinThickLargeGap" w:sz="6" w:space="1" w:color="auto"/>
          <w:right w:val="thinThickLargeGap" w:sz="6" w:space="4" w:color="auto"/>
        </w:pBdr>
        <w:shd w:val="clear" w:color="auto" w:fill="E0E0E0"/>
        <w:jc w:val="center"/>
        <w:rPr>
          <w:rFonts w:ascii="Verdana" w:hAnsi="Verdana"/>
          <w:b/>
          <w:sz w:val="32"/>
          <w:szCs w:val="28"/>
          <w:u w:val="double"/>
        </w:rPr>
      </w:pPr>
      <w:r w:rsidRPr="007F2C27">
        <w:rPr>
          <w:rFonts w:ascii="Verdana" w:hAnsi="Verdana"/>
          <w:b/>
          <w:sz w:val="32"/>
          <w:szCs w:val="28"/>
          <w:u w:val="double"/>
        </w:rPr>
        <w:t>REVUE DES DEPENSES PUBLIQUES 2016</w:t>
      </w:r>
    </w:p>
    <w:p w14:paraId="0941258A" w14:textId="272F32C3" w:rsidR="008A3FCC" w:rsidRDefault="008A3FCC" w:rsidP="007F2C27">
      <w:pPr>
        <w:pBdr>
          <w:top w:val="thickThinLargeGap" w:sz="6" w:space="1" w:color="auto"/>
          <w:left w:val="thickThinLargeGap" w:sz="6" w:space="4" w:color="auto"/>
          <w:bottom w:val="thinThickLargeGap" w:sz="6" w:space="1" w:color="auto"/>
          <w:right w:val="thinThickLargeGap" w:sz="6" w:space="4" w:color="auto"/>
        </w:pBdr>
        <w:shd w:val="clear" w:color="auto" w:fill="E0E0E0"/>
        <w:spacing w:after="0"/>
        <w:jc w:val="center"/>
        <w:rPr>
          <w:rFonts w:ascii="Verdana" w:hAnsi="Verdana"/>
          <w:b/>
        </w:rPr>
      </w:pPr>
    </w:p>
    <w:p w14:paraId="246CD2D0" w14:textId="1F846A4A" w:rsidR="007F2C27" w:rsidRPr="007F2C27" w:rsidRDefault="007F2C27" w:rsidP="007F2C27">
      <w:pPr>
        <w:pBdr>
          <w:top w:val="thickThinLargeGap" w:sz="6" w:space="1" w:color="auto"/>
          <w:left w:val="thickThinLargeGap" w:sz="6" w:space="4" w:color="auto"/>
          <w:bottom w:val="thinThickLargeGap" w:sz="6" w:space="1" w:color="auto"/>
          <w:right w:val="thinThickLargeGap" w:sz="6" w:space="4" w:color="auto"/>
        </w:pBdr>
        <w:shd w:val="clear" w:color="auto" w:fill="E0E0E0"/>
        <w:spacing w:after="0" w:line="360" w:lineRule="auto"/>
        <w:jc w:val="center"/>
        <w:rPr>
          <w:rFonts w:ascii="Verdana" w:hAnsi="Verdana"/>
          <w:b/>
          <w:sz w:val="24"/>
        </w:rPr>
      </w:pPr>
      <w:r w:rsidRPr="007F2C27">
        <w:rPr>
          <w:rFonts w:ascii="Verdana" w:hAnsi="Verdana"/>
          <w:b/>
          <w:sz w:val="24"/>
        </w:rPr>
        <w:t>DU SECTEUR DE LA SECURITE ALIMENTAIRE ET NUTRITIONNELLE ET LE</w:t>
      </w:r>
      <w:r w:rsidR="001C37F0">
        <w:rPr>
          <w:rFonts w:ascii="Verdana" w:hAnsi="Verdana"/>
          <w:b/>
          <w:sz w:val="24"/>
        </w:rPr>
        <w:t xml:space="preserve"> DEVELOPPEMENT AGRICOLE DURABLE</w:t>
      </w:r>
    </w:p>
    <w:p w14:paraId="65129A75" w14:textId="77777777" w:rsidR="008A3FCC" w:rsidRPr="00F40C0F" w:rsidRDefault="008A3FCC" w:rsidP="008A3FCC">
      <w:pPr>
        <w:pBdr>
          <w:top w:val="thickThinLargeGap" w:sz="6" w:space="1" w:color="auto"/>
          <w:left w:val="thickThinLargeGap" w:sz="6" w:space="4" w:color="auto"/>
          <w:bottom w:val="thinThickLargeGap" w:sz="6" w:space="1" w:color="auto"/>
          <w:right w:val="thinThickLargeGap" w:sz="6" w:space="4" w:color="auto"/>
        </w:pBdr>
        <w:shd w:val="clear" w:color="auto" w:fill="E0E0E0"/>
        <w:jc w:val="center"/>
        <w:rPr>
          <w:rFonts w:ascii="Verdana" w:hAnsi="Verdana"/>
          <w:b/>
        </w:rPr>
      </w:pPr>
    </w:p>
    <w:p w14:paraId="5A715ABB" w14:textId="77777777" w:rsidR="009129BA" w:rsidRPr="008A3FCC" w:rsidRDefault="009129BA" w:rsidP="009129BA">
      <w:pPr>
        <w:spacing w:after="0" w:line="240" w:lineRule="auto"/>
        <w:jc w:val="both"/>
        <w:rPr>
          <w:rFonts w:ascii="Calibri" w:hAnsi="Calibri" w:cs="Calibri"/>
        </w:rPr>
      </w:pPr>
    </w:p>
    <w:p w14:paraId="49B296CB" w14:textId="77777777" w:rsidR="009129BA" w:rsidRPr="008A3FCC" w:rsidRDefault="009129BA" w:rsidP="009129BA">
      <w:pPr>
        <w:spacing w:after="0" w:line="240" w:lineRule="auto"/>
        <w:jc w:val="both"/>
        <w:rPr>
          <w:rFonts w:ascii="Calibri" w:hAnsi="Calibri" w:cs="Calibri"/>
        </w:rPr>
      </w:pPr>
    </w:p>
    <w:p w14:paraId="634FC1EF" w14:textId="77777777" w:rsidR="009129BA" w:rsidRPr="00A744EB" w:rsidRDefault="009129BA" w:rsidP="009129BA">
      <w:pPr>
        <w:spacing w:after="0" w:line="240" w:lineRule="auto"/>
        <w:jc w:val="center"/>
        <w:rPr>
          <w:rFonts w:ascii="Calibri" w:hAnsi="Calibri" w:cs="Calibri"/>
          <w:b/>
          <w:sz w:val="24"/>
          <w:u w:val="single"/>
        </w:rPr>
      </w:pPr>
      <w:r w:rsidRPr="00A744EB">
        <w:rPr>
          <w:rFonts w:ascii="Calibri" w:hAnsi="Calibri" w:cs="Calibri"/>
          <w:b/>
          <w:sz w:val="24"/>
          <w:u w:val="single"/>
        </w:rPr>
        <w:t>Document provisoire</w:t>
      </w:r>
    </w:p>
    <w:p w14:paraId="05CFE603" w14:textId="77777777" w:rsidR="009129BA" w:rsidRDefault="009129BA" w:rsidP="009129BA">
      <w:pPr>
        <w:spacing w:after="0" w:line="240" w:lineRule="auto"/>
        <w:jc w:val="both"/>
        <w:rPr>
          <w:rFonts w:ascii="Calibri" w:hAnsi="Calibri" w:cs="Calibri"/>
        </w:rPr>
      </w:pPr>
    </w:p>
    <w:p w14:paraId="2C76852B" w14:textId="77777777" w:rsidR="008A3FCC" w:rsidRDefault="008A3FCC" w:rsidP="008A3FCC">
      <w:pPr>
        <w:spacing w:after="0" w:line="240" w:lineRule="auto"/>
        <w:jc w:val="both"/>
        <w:rPr>
          <w:rFonts w:ascii="Calibri" w:hAnsi="Calibri" w:cs="Calibri"/>
        </w:rPr>
      </w:pPr>
    </w:p>
    <w:p w14:paraId="207C5C91" w14:textId="77777777" w:rsidR="007F2C27" w:rsidRDefault="007F2C27" w:rsidP="008A3FCC">
      <w:pPr>
        <w:spacing w:after="0" w:line="240" w:lineRule="auto"/>
        <w:jc w:val="both"/>
        <w:rPr>
          <w:rFonts w:ascii="Calibri" w:hAnsi="Calibri" w:cs="Calibri"/>
        </w:rPr>
      </w:pPr>
    </w:p>
    <w:p w14:paraId="5DF7E3F7" w14:textId="77777777" w:rsidR="007F2C27" w:rsidRDefault="007F2C27" w:rsidP="008A3FCC">
      <w:pPr>
        <w:spacing w:after="0" w:line="240" w:lineRule="auto"/>
        <w:jc w:val="both"/>
        <w:rPr>
          <w:rFonts w:ascii="Calibri" w:hAnsi="Calibri" w:cs="Calibri"/>
        </w:rPr>
      </w:pPr>
    </w:p>
    <w:p w14:paraId="09F16AE7" w14:textId="77777777" w:rsidR="007F2C27" w:rsidRDefault="007F2C27" w:rsidP="008A3FCC">
      <w:pPr>
        <w:spacing w:after="0" w:line="240" w:lineRule="auto"/>
        <w:jc w:val="both"/>
        <w:rPr>
          <w:rFonts w:ascii="Calibri" w:hAnsi="Calibri" w:cs="Calibri"/>
        </w:rPr>
      </w:pPr>
    </w:p>
    <w:p w14:paraId="19DBCBDB" w14:textId="77777777" w:rsidR="007F2C27" w:rsidRDefault="007F2C27" w:rsidP="008A3FCC">
      <w:pPr>
        <w:spacing w:after="0" w:line="240" w:lineRule="auto"/>
        <w:jc w:val="both"/>
        <w:rPr>
          <w:rFonts w:ascii="Calibri" w:hAnsi="Calibri" w:cs="Calibri"/>
          <w:b/>
          <w:i/>
          <w:u w:val="single"/>
        </w:rPr>
      </w:pPr>
    </w:p>
    <w:p w14:paraId="7A9BF76B" w14:textId="77777777" w:rsidR="007B1AE8" w:rsidRDefault="007B1AE8" w:rsidP="008A3FCC">
      <w:pPr>
        <w:spacing w:after="0" w:line="240" w:lineRule="auto"/>
        <w:jc w:val="both"/>
        <w:rPr>
          <w:rFonts w:ascii="Calibri" w:hAnsi="Calibri" w:cs="Calibri"/>
          <w:b/>
          <w:i/>
          <w:u w:val="single"/>
        </w:rPr>
      </w:pPr>
    </w:p>
    <w:p w14:paraId="4C6FBB02" w14:textId="77777777" w:rsidR="007B1AE8" w:rsidRDefault="007B1AE8" w:rsidP="008A3FCC">
      <w:pPr>
        <w:spacing w:after="0" w:line="240" w:lineRule="auto"/>
        <w:jc w:val="both"/>
        <w:rPr>
          <w:rFonts w:ascii="Calibri" w:hAnsi="Calibri" w:cs="Calibri"/>
          <w:b/>
          <w:i/>
          <w:u w:val="single"/>
        </w:rPr>
      </w:pPr>
    </w:p>
    <w:p w14:paraId="75660E5F" w14:textId="77777777" w:rsidR="007B1AE8" w:rsidRDefault="007B1AE8" w:rsidP="008A3FCC">
      <w:pPr>
        <w:spacing w:after="0" w:line="240" w:lineRule="auto"/>
        <w:jc w:val="both"/>
        <w:rPr>
          <w:rFonts w:ascii="Calibri" w:hAnsi="Calibri" w:cs="Calibri"/>
          <w:b/>
          <w:i/>
          <w:u w:val="single"/>
        </w:rPr>
      </w:pPr>
    </w:p>
    <w:p w14:paraId="674239C3" w14:textId="77777777" w:rsidR="007B1AE8" w:rsidRDefault="007B1AE8" w:rsidP="008A3FCC">
      <w:pPr>
        <w:spacing w:after="0" w:line="240" w:lineRule="auto"/>
        <w:jc w:val="both"/>
        <w:rPr>
          <w:rFonts w:ascii="Calibri" w:hAnsi="Calibri" w:cs="Calibri"/>
          <w:b/>
          <w:i/>
          <w:u w:val="single"/>
        </w:rPr>
      </w:pPr>
    </w:p>
    <w:p w14:paraId="72AED35D" w14:textId="77777777" w:rsidR="007B1AE8" w:rsidRDefault="007B1AE8" w:rsidP="008A3FCC">
      <w:pPr>
        <w:spacing w:after="0" w:line="240" w:lineRule="auto"/>
        <w:jc w:val="both"/>
        <w:rPr>
          <w:rFonts w:ascii="Calibri" w:hAnsi="Calibri" w:cs="Calibri"/>
          <w:b/>
          <w:i/>
          <w:u w:val="single"/>
        </w:rPr>
      </w:pPr>
    </w:p>
    <w:p w14:paraId="7E355195" w14:textId="77777777" w:rsidR="007B1AE8" w:rsidRDefault="007B1AE8" w:rsidP="008A3FCC">
      <w:pPr>
        <w:spacing w:after="0" w:line="240" w:lineRule="auto"/>
        <w:jc w:val="both"/>
        <w:rPr>
          <w:rFonts w:ascii="Calibri" w:hAnsi="Calibri" w:cs="Calibri"/>
        </w:rPr>
      </w:pPr>
    </w:p>
    <w:p w14:paraId="20285A5D" w14:textId="77777777" w:rsidR="007F2C27" w:rsidRDefault="007F2C27" w:rsidP="008A3FCC">
      <w:pPr>
        <w:spacing w:after="0" w:line="240" w:lineRule="auto"/>
        <w:jc w:val="both"/>
        <w:rPr>
          <w:rFonts w:ascii="Calibri" w:hAnsi="Calibri" w:cs="Calibri"/>
        </w:rPr>
      </w:pPr>
    </w:p>
    <w:p w14:paraId="425DF433" w14:textId="77777777" w:rsidR="007F2C27" w:rsidRDefault="007F2C27" w:rsidP="008A3FCC">
      <w:pPr>
        <w:spacing w:after="0" w:line="240" w:lineRule="auto"/>
        <w:jc w:val="both"/>
        <w:rPr>
          <w:rFonts w:ascii="Calibri" w:hAnsi="Calibri" w:cs="Calibri"/>
        </w:rPr>
      </w:pPr>
    </w:p>
    <w:p w14:paraId="17C9386F" w14:textId="77777777" w:rsidR="00981E0C" w:rsidRDefault="00981E0C" w:rsidP="008A3FCC">
      <w:pPr>
        <w:spacing w:after="0" w:line="240" w:lineRule="auto"/>
        <w:jc w:val="both"/>
        <w:rPr>
          <w:rFonts w:ascii="Calibri" w:hAnsi="Calibri" w:cs="Calibri"/>
        </w:rPr>
      </w:pPr>
    </w:p>
    <w:p w14:paraId="02C16F76" w14:textId="77777777" w:rsidR="007F2C27" w:rsidRPr="00AF57AB" w:rsidRDefault="007F2C27" w:rsidP="008A3FCC">
      <w:pPr>
        <w:spacing w:after="0" w:line="240" w:lineRule="auto"/>
        <w:jc w:val="both"/>
        <w:rPr>
          <w:rFonts w:ascii="Calibri" w:hAnsi="Calibri" w:cs="Calibri"/>
        </w:rPr>
      </w:pPr>
    </w:p>
    <w:p w14:paraId="59DF96D7" w14:textId="77777777" w:rsidR="008A3FCC" w:rsidRPr="00AF57AB" w:rsidRDefault="008A3FCC" w:rsidP="008A3FCC">
      <w:pPr>
        <w:spacing w:after="0" w:line="240" w:lineRule="auto"/>
        <w:jc w:val="both"/>
        <w:rPr>
          <w:rFonts w:ascii="Calibri" w:hAnsi="Calibri" w:cs="Calibri"/>
        </w:rPr>
      </w:pPr>
    </w:p>
    <w:p w14:paraId="71AA963C" w14:textId="77777777" w:rsidR="008A3FCC" w:rsidRDefault="008A3FCC" w:rsidP="008A3FCC">
      <w:pPr>
        <w:spacing w:after="0" w:line="240" w:lineRule="auto"/>
        <w:jc w:val="both"/>
        <w:rPr>
          <w:rFonts w:ascii="Calibri" w:hAnsi="Calibri" w:cs="Calibri"/>
        </w:rPr>
      </w:pPr>
    </w:p>
    <w:p w14:paraId="38527DB9" w14:textId="77777777" w:rsidR="008A3FCC" w:rsidRDefault="008A3FCC" w:rsidP="008A3FCC">
      <w:pPr>
        <w:spacing w:after="0" w:line="240" w:lineRule="auto"/>
        <w:jc w:val="both"/>
        <w:rPr>
          <w:rFonts w:ascii="Calibri" w:hAnsi="Calibri" w:cs="Calibri"/>
        </w:rPr>
      </w:pPr>
    </w:p>
    <w:p w14:paraId="607D2C19" w14:textId="4EF10871" w:rsidR="008A3FCC" w:rsidRPr="00F6241D" w:rsidRDefault="008A3FCC" w:rsidP="008A3FCC">
      <w:pPr>
        <w:spacing w:after="0" w:line="240" w:lineRule="auto"/>
        <w:jc w:val="right"/>
        <w:rPr>
          <w:i/>
        </w:rPr>
      </w:pPr>
      <w:r w:rsidRPr="00F6241D">
        <w:rPr>
          <w:i/>
        </w:rPr>
        <w:t>Septembre 2018</w:t>
      </w:r>
    </w:p>
    <w:p w14:paraId="03333892" w14:textId="77777777" w:rsidR="004A5122" w:rsidRPr="004A5122" w:rsidRDefault="004A5122" w:rsidP="008A3FCC">
      <w:pPr>
        <w:spacing w:after="0" w:line="240" w:lineRule="auto"/>
        <w:rPr>
          <w:rFonts w:ascii="Calibri" w:hAnsi="Calibri" w:cs="Calibri"/>
          <w:sz w:val="24"/>
          <w:szCs w:val="24"/>
        </w:rPr>
      </w:pPr>
    </w:p>
    <w:p w14:paraId="5F0DE5FF" w14:textId="50FD1C26" w:rsidR="00F12682" w:rsidRDefault="00F12682">
      <w:pPr>
        <w:rPr>
          <w:rFonts w:ascii="Calibri" w:hAnsi="Calibri" w:cs="Calibri"/>
          <w:sz w:val="24"/>
          <w:szCs w:val="24"/>
        </w:rPr>
      </w:pPr>
      <w:r>
        <w:rPr>
          <w:rFonts w:ascii="Calibri" w:hAnsi="Calibri" w:cs="Calibri"/>
          <w:sz w:val="24"/>
          <w:szCs w:val="24"/>
        </w:rPr>
        <w:lastRenderedPageBreak/>
        <w:br w:type="page"/>
      </w:r>
    </w:p>
    <w:p w14:paraId="192DC309" w14:textId="77777777" w:rsidR="004A5122" w:rsidRPr="004A5122" w:rsidRDefault="004A5122" w:rsidP="004A5122">
      <w:pPr>
        <w:spacing w:after="0" w:line="240" w:lineRule="auto"/>
        <w:rPr>
          <w:rFonts w:ascii="Calibri" w:hAnsi="Calibri" w:cs="Calibri"/>
          <w:sz w:val="24"/>
          <w:szCs w:val="24"/>
        </w:rPr>
        <w:sectPr w:rsidR="004A5122" w:rsidRPr="004A5122" w:rsidSect="008A3FCC">
          <w:headerReference w:type="default" r:id="rId11"/>
          <w:footerReference w:type="default" r:id="rId12"/>
          <w:pgSz w:w="11906" w:h="16838"/>
          <w:pgMar w:top="1134" w:right="1134" w:bottom="1134" w:left="1134" w:header="709" w:footer="709" w:gutter="0"/>
          <w:cols w:space="708"/>
          <w:docGrid w:linePitch="360"/>
        </w:sectPr>
      </w:pPr>
    </w:p>
    <w:p w14:paraId="77F94368" w14:textId="0A15FDED" w:rsidR="000E00F8" w:rsidRPr="006C65EE" w:rsidRDefault="000E00F8" w:rsidP="006C65EE">
      <w:pPr>
        <w:jc w:val="center"/>
        <w:rPr>
          <w:rFonts w:ascii="Calibri" w:hAnsi="Calibri" w:cs="Calibri"/>
          <w:b/>
          <w:sz w:val="24"/>
        </w:rPr>
      </w:pPr>
      <w:r w:rsidRPr="006C65EE">
        <w:rPr>
          <w:rFonts w:ascii="Calibri" w:hAnsi="Calibri" w:cs="Calibri"/>
          <w:b/>
          <w:sz w:val="24"/>
        </w:rPr>
        <w:lastRenderedPageBreak/>
        <w:t>Sommaire</w:t>
      </w:r>
    </w:p>
    <w:p w14:paraId="1B517EB1" w14:textId="77777777" w:rsidR="006C65EE" w:rsidRDefault="006C65EE" w:rsidP="00055FD3">
      <w:pPr>
        <w:spacing w:after="0" w:line="240" w:lineRule="auto"/>
        <w:rPr>
          <w:rFonts w:cstheme="minorHAnsi"/>
        </w:rPr>
      </w:pPr>
    </w:p>
    <w:p w14:paraId="07019998" w14:textId="77777777" w:rsidR="00055FD3" w:rsidRPr="004A5122" w:rsidRDefault="00055FD3" w:rsidP="00055FD3">
      <w:pPr>
        <w:spacing w:after="0" w:line="240" w:lineRule="auto"/>
        <w:rPr>
          <w:rFonts w:cstheme="minorHAnsi"/>
        </w:rPr>
      </w:pPr>
    </w:p>
    <w:sdt>
      <w:sdtPr>
        <w:rPr>
          <w:rFonts w:cstheme="minorHAnsi"/>
          <w:b/>
          <w:bCs/>
        </w:rPr>
        <w:id w:val="-1898421239"/>
        <w:docPartObj>
          <w:docPartGallery w:val="Table of Contents"/>
          <w:docPartUnique/>
        </w:docPartObj>
      </w:sdtPr>
      <w:sdtEndPr>
        <w:rPr>
          <w:b w:val="0"/>
          <w:bCs w:val="0"/>
          <w:noProof/>
        </w:rPr>
      </w:sdtEndPr>
      <w:sdtContent>
        <w:p w14:paraId="480799E6" w14:textId="77777777" w:rsidR="00F12682" w:rsidRDefault="000E00F8">
          <w:pPr>
            <w:pStyle w:val="TM3"/>
            <w:tabs>
              <w:tab w:val="right" w:leader="dot" w:pos="9062"/>
            </w:tabs>
            <w:rPr>
              <w:rFonts w:eastAsiaTheme="minorEastAsia"/>
              <w:noProof/>
              <w:lang w:eastAsia="fr-FR"/>
            </w:rPr>
          </w:pPr>
          <w:r w:rsidRPr="000C747C">
            <w:rPr>
              <w:rFonts w:cstheme="minorHAnsi"/>
              <w:b/>
              <w:bCs/>
            </w:rPr>
            <w:fldChar w:fldCharType="begin"/>
          </w:r>
          <w:r w:rsidRPr="000C747C">
            <w:rPr>
              <w:rFonts w:cstheme="minorHAnsi"/>
            </w:rPr>
            <w:instrText>TOC \o "1-3" \h \z \u</w:instrText>
          </w:r>
          <w:r w:rsidRPr="000C747C">
            <w:rPr>
              <w:rFonts w:cstheme="minorHAnsi"/>
              <w:b/>
              <w:bCs/>
            </w:rPr>
            <w:fldChar w:fldCharType="separate"/>
          </w:r>
          <w:hyperlink w:anchor="_Toc529304994" w:history="1">
            <w:r w:rsidR="00F12682" w:rsidRPr="00EE5AA0">
              <w:rPr>
                <w:rStyle w:val="Lienhypertexte"/>
                <w:noProof/>
              </w:rPr>
              <w:t>Sigles et Abréviations</w:t>
            </w:r>
            <w:r w:rsidR="00F12682">
              <w:rPr>
                <w:noProof/>
                <w:webHidden/>
              </w:rPr>
              <w:tab/>
            </w:r>
            <w:r w:rsidR="00F12682">
              <w:rPr>
                <w:noProof/>
                <w:webHidden/>
              </w:rPr>
              <w:fldChar w:fldCharType="begin"/>
            </w:r>
            <w:r w:rsidR="00F12682">
              <w:rPr>
                <w:noProof/>
                <w:webHidden/>
              </w:rPr>
              <w:instrText xml:space="preserve"> PAGEREF _Toc529304994 \h </w:instrText>
            </w:r>
            <w:r w:rsidR="00F12682">
              <w:rPr>
                <w:noProof/>
                <w:webHidden/>
              </w:rPr>
            </w:r>
            <w:r w:rsidR="00F12682">
              <w:rPr>
                <w:noProof/>
                <w:webHidden/>
              </w:rPr>
              <w:fldChar w:fldCharType="separate"/>
            </w:r>
            <w:r w:rsidR="001C37F0">
              <w:rPr>
                <w:noProof/>
                <w:webHidden/>
              </w:rPr>
              <w:t>i</w:t>
            </w:r>
            <w:r w:rsidR="00F12682">
              <w:rPr>
                <w:noProof/>
                <w:webHidden/>
              </w:rPr>
              <w:fldChar w:fldCharType="end"/>
            </w:r>
          </w:hyperlink>
        </w:p>
        <w:p w14:paraId="66A7E6FE" w14:textId="77777777" w:rsidR="00F12682" w:rsidRDefault="00B83528">
          <w:pPr>
            <w:pStyle w:val="TM3"/>
            <w:tabs>
              <w:tab w:val="right" w:leader="dot" w:pos="9062"/>
            </w:tabs>
            <w:rPr>
              <w:rFonts w:eastAsiaTheme="minorEastAsia"/>
              <w:noProof/>
              <w:lang w:eastAsia="fr-FR"/>
            </w:rPr>
          </w:pPr>
          <w:hyperlink w:anchor="_Toc529304995" w:history="1">
            <w:r w:rsidR="00F12682" w:rsidRPr="00EE5AA0">
              <w:rPr>
                <w:rStyle w:val="Lienhypertexte"/>
                <w:noProof/>
              </w:rPr>
              <w:t>Liste des tableaux</w:t>
            </w:r>
            <w:r w:rsidR="00F12682">
              <w:rPr>
                <w:noProof/>
                <w:webHidden/>
              </w:rPr>
              <w:tab/>
            </w:r>
            <w:r w:rsidR="00F12682">
              <w:rPr>
                <w:noProof/>
                <w:webHidden/>
              </w:rPr>
              <w:fldChar w:fldCharType="begin"/>
            </w:r>
            <w:r w:rsidR="00F12682">
              <w:rPr>
                <w:noProof/>
                <w:webHidden/>
              </w:rPr>
              <w:instrText xml:space="preserve"> PAGEREF _Toc529304995 \h </w:instrText>
            </w:r>
            <w:r w:rsidR="00F12682">
              <w:rPr>
                <w:noProof/>
                <w:webHidden/>
              </w:rPr>
            </w:r>
            <w:r w:rsidR="00F12682">
              <w:rPr>
                <w:noProof/>
                <w:webHidden/>
              </w:rPr>
              <w:fldChar w:fldCharType="separate"/>
            </w:r>
            <w:r w:rsidR="001C37F0">
              <w:rPr>
                <w:noProof/>
                <w:webHidden/>
              </w:rPr>
              <w:t>iii</w:t>
            </w:r>
            <w:r w:rsidR="00F12682">
              <w:rPr>
                <w:noProof/>
                <w:webHidden/>
              </w:rPr>
              <w:fldChar w:fldCharType="end"/>
            </w:r>
          </w:hyperlink>
        </w:p>
        <w:p w14:paraId="52558154" w14:textId="77777777" w:rsidR="00F12682" w:rsidRDefault="00B83528">
          <w:pPr>
            <w:pStyle w:val="TM3"/>
            <w:tabs>
              <w:tab w:val="right" w:leader="dot" w:pos="9062"/>
            </w:tabs>
            <w:rPr>
              <w:rFonts w:eastAsiaTheme="minorEastAsia"/>
              <w:noProof/>
              <w:lang w:eastAsia="fr-FR"/>
            </w:rPr>
          </w:pPr>
          <w:hyperlink w:anchor="_Toc529304996" w:history="1">
            <w:r w:rsidR="00F12682" w:rsidRPr="00EE5AA0">
              <w:rPr>
                <w:rStyle w:val="Lienhypertexte"/>
                <w:noProof/>
              </w:rPr>
              <w:t>Liste des graphiques</w:t>
            </w:r>
            <w:r w:rsidR="00F12682">
              <w:rPr>
                <w:noProof/>
                <w:webHidden/>
              </w:rPr>
              <w:tab/>
            </w:r>
            <w:r w:rsidR="00F12682">
              <w:rPr>
                <w:noProof/>
                <w:webHidden/>
              </w:rPr>
              <w:fldChar w:fldCharType="begin"/>
            </w:r>
            <w:r w:rsidR="00F12682">
              <w:rPr>
                <w:noProof/>
                <w:webHidden/>
              </w:rPr>
              <w:instrText xml:space="preserve"> PAGEREF _Toc529304996 \h </w:instrText>
            </w:r>
            <w:r w:rsidR="00F12682">
              <w:rPr>
                <w:noProof/>
                <w:webHidden/>
              </w:rPr>
            </w:r>
            <w:r w:rsidR="00F12682">
              <w:rPr>
                <w:noProof/>
                <w:webHidden/>
              </w:rPr>
              <w:fldChar w:fldCharType="separate"/>
            </w:r>
            <w:r w:rsidR="001C37F0">
              <w:rPr>
                <w:noProof/>
                <w:webHidden/>
              </w:rPr>
              <w:t>v</w:t>
            </w:r>
            <w:r w:rsidR="00F12682">
              <w:rPr>
                <w:noProof/>
                <w:webHidden/>
              </w:rPr>
              <w:fldChar w:fldCharType="end"/>
            </w:r>
          </w:hyperlink>
        </w:p>
        <w:p w14:paraId="354F524D" w14:textId="77777777" w:rsidR="00F12682" w:rsidRDefault="00B83528" w:rsidP="00AA11A9">
          <w:pPr>
            <w:pStyle w:val="TM1"/>
            <w:rPr>
              <w:rFonts w:eastAsiaTheme="minorEastAsia"/>
              <w:noProof/>
              <w:sz w:val="22"/>
              <w:szCs w:val="22"/>
              <w:lang w:eastAsia="fr-FR"/>
            </w:rPr>
          </w:pPr>
          <w:hyperlink w:anchor="_Toc529304997" w:history="1">
            <w:r w:rsidR="00F12682" w:rsidRPr="00EE5AA0">
              <w:rPr>
                <w:rStyle w:val="Lienhypertexte"/>
                <w:rFonts w:cstheme="minorHAnsi"/>
                <w:noProof/>
              </w:rPr>
              <w:t>Chapitre 1 : Introduction générale</w:t>
            </w:r>
            <w:r w:rsidR="00F12682">
              <w:rPr>
                <w:noProof/>
                <w:webHidden/>
              </w:rPr>
              <w:tab/>
            </w:r>
            <w:r w:rsidR="00F12682">
              <w:rPr>
                <w:noProof/>
                <w:webHidden/>
              </w:rPr>
              <w:fldChar w:fldCharType="begin"/>
            </w:r>
            <w:r w:rsidR="00F12682">
              <w:rPr>
                <w:noProof/>
                <w:webHidden/>
              </w:rPr>
              <w:instrText xml:space="preserve"> PAGEREF _Toc529304997 \h </w:instrText>
            </w:r>
            <w:r w:rsidR="00F12682">
              <w:rPr>
                <w:noProof/>
                <w:webHidden/>
              </w:rPr>
            </w:r>
            <w:r w:rsidR="00F12682">
              <w:rPr>
                <w:noProof/>
                <w:webHidden/>
              </w:rPr>
              <w:fldChar w:fldCharType="separate"/>
            </w:r>
            <w:r w:rsidR="001C37F0">
              <w:rPr>
                <w:noProof/>
                <w:webHidden/>
              </w:rPr>
              <w:t>1</w:t>
            </w:r>
            <w:r w:rsidR="00F12682">
              <w:rPr>
                <w:noProof/>
                <w:webHidden/>
              </w:rPr>
              <w:fldChar w:fldCharType="end"/>
            </w:r>
          </w:hyperlink>
        </w:p>
        <w:p w14:paraId="3F152532" w14:textId="77777777" w:rsidR="00F12682" w:rsidRDefault="00B83528" w:rsidP="00AA11A9">
          <w:pPr>
            <w:pStyle w:val="TM2"/>
            <w:rPr>
              <w:rFonts w:eastAsiaTheme="minorEastAsia"/>
              <w:noProof/>
              <w:lang w:eastAsia="fr-FR"/>
            </w:rPr>
          </w:pPr>
          <w:hyperlink w:anchor="_Toc529304998" w:history="1">
            <w:r w:rsidR="00F12682" w:rsidRPr="00EE5AA0">
              <w:rPr>
                <w:rStyle w:val="Lienhypertexte"/>
                <w:rFonts w:cstheme="minorHAnsi"/>
                <w:noProof/>
              </w:rPr>
              <w:t>1.1</w:t>
            </w:r>
            <w:r w:rsidR="00F12682">
              <w:rPr>
                <w:rFonts w:eastAsiaTheme="minorEastAsia"/>
                <w:noProof/>
                <w:lang w:eastAsia="fr-FR"/>
              </w:rPr>
              <w:tab/>
            </w:r>
            <w:r w:rsidR="00F12682" w:rsidRPr="00EE5AA0">
              <w:rPr>
                <w:rStyle w:val="Lienhypertexte"/>
                <w:rFonts w:cstheme="minorHAnsi"/>
                <w:noProof/>
              </w:rPr>
              <w:t>Contexte stratégique national et sectoriel</w:t>
            </w:r>
            <w:r w:rsidR="00F12682">
              <w:rPr>
                <w:noProof/>
                <w:webHidden/>
              </w:rPr>
              <w:tab/>
            </w:r>
            <w:r w:rsidR="00F12682">
              <w:rPr>
                <w:noProof/>
                <w:webHidden/>
              </w:rPr>
              <w:fldChar w:fldCharType="begin"/>
            </w:r>
            <w:r w:rsidR="00F12682">
              <w:rPr>
                <w:noProof/>
                <w:webHidden/>
              </w:rPr>
              <w:instrText xml:space="preserve"> PAGEREF _Toc529304998 \h </w:instrText>
            </w:r>
            <w:r w:rsidR="00F12682">
              <w:rPr>
                <w:noProof/>
                <w:webHidden/>
              </w:rPr>
            </w:r>
            <w:r w:rsidR="00F12682">
              <w:rPr>
                <w:noProof/>
                <w:webHidden/>
              </w:rPr>
              <w:fldChar w:fldCharType="separate"/>
            </w:r>
            <w:r w:rsidR="001C37F0">
              <w:rPr>
                <w:noProof/>
                <w:webHidden/>
              </w:rPr>
              <w:t>1</w:t>
            </w:r>
            <w:r w:rsidR="00F12682">
              <w:rPr>
                <w:noProof/>
                <w:webHidden/>
              </w:rPr>
              <w:fldChar w:fldCharType="end"/>
            </w:r>
          </w:hyperlink>
        </w:p>
        <w:p w14:paraId="2940C51C" w14:textId="77777777" w:rsidR="00F12682" w:rsidRDefault="00B83528" w:rsidP="00AA11A9">
          <w:pPr>
            <w:pStyle w:val="TM2"/>
            <w:rPr>
              <w:rFonts w:eastAsiaTheme="minorEastAsia"/>
              <w:noProof/>
              <w:lang w:eastAsia="fr-FR"/>
            </w:rPr>
          </w:pPr>
          <w:hyperlink w:anchor="_Toc529304999" w:history="1">
            <w:r w:rsidR="00F12682" w:rsidRPr="00EE5AA0">
              <w:rPr>
                <w:rStyle w:val="Lienhypertexte"/>
                <w:rFonts w:cstheme="minorHAnsi"/>
                <w:noProof/>
              </w:rPr>
              <w:t>1.2</w:t>
            </w:r>
            <w:r w:rsidR="00F12682">
              <w:rPr>
                <w:rFonts w:eastAsiaTheme="minorEastAsia"/>
                <w:noProof/>
                <w:lang w:eastAsia="fr-FR"/>
              </w:rPr>
              <w:tab/>
            </w:r>
            <w:r w:rsidR="00F12682" w:rsidRPr="00EE5AA0">
              <w:rPr>
                <w:rStyle w:val="Lienhypertexte"/>
                <w:rFonts w:cstheme="minorHAnsi"/>
                <w:noProof/>
              </w:rPr>
              <w:t>Cadre institutionnel du secteur SANDAD</w:t>
            </w:r>
            <w:r w:rsidR="00F12682">
              <w:rPr>
                <w:noProof/>
                <w:webHidden/>
              </w:rPr>
              <w:tab/>
            </w:r>
            <w:r w:rsidR="00F12682">
              <w:rPr>
                <w:noProof/>
                <w:webHidden/>
              </w:rPr>
              <w:fldChar w:fldCharType="begin"/>
            </w:r>
            <w:r w:rsidR="00F12682">
              <w:rPr>
                <w:noProof/>
                <w:webHidden/>
              </w:rPr>
              <w:instrText xml:space="preserve"> PAGEREF _Toc529304999 \h </w:instrText>
            </w:r>
            <w:r w:rsidR="00F12682">
              <w:rPr>
                <w:noProof/>
                <w:webHidden/>
              </w:rPr>
            </w:r>
            <w:r w:rsidR="00F12682">
              <w:rPr>
                <w:noProof/>
                <w:webHidden/>
              </w:rPr>
              <w:fldChar w:fldCharType="separate"/>
            </w:r>
            <w:r w:rsidR="001C37F0">
              <w:rPr>
                <w:noProof/>
                <w:webHidden/>
              </w:rPr>
              <w:t>1</w:t>
            </w:r>
            <w:r w:rsidR="00F12682">
              <w:rPr>
                <w:noProof/>
                <w:webHidden/>
              </w:rPr>
              <w:fldChar w:fldCharType="end"/>
            </w:r>
          </w:hyperlink>
        </w:p>
        <w:p w14:paraId="34D683C3" w14:textId="77777777" w:rsidR="00F12682" w:rsidRDefault="00B83528" w:rsidP="00AA11A9">
          <w:pPr>
            <w:pStyle w:val="TM2"/>
            <w:rPr>
              <w:rFonts w:eastAsiaTheme="minorEastAsia"/>
              <w:noProof/>
              <w:lang w:eastAsia="fr-FR"/>
            </w:rPr>
          </w:pPr>
          <w:hyperlink w:anchor="_Toc529305000" w:history="1">
            <w:r w:rsidR="00F12682" w:rsidRPr="00EE5AA0">
              <w:rPr>
                <w:rStyle w:val="Lienhypertexte"/>
                <w:rFonts w:cstheme="minorHAnsi"/>
                <w:noProof/>
              </w:rPr>
              <w:t>1.3</w:t>
            </w:r>
            <w:r w:rsidR="00F12682">
              <w:rPr>
                <w:rFonts w:eastAsiaTheme="minorEastAsia"/>
                <w:noProof/>
                <w:lang w:eastAsia="fr-FR"/>
              </w:rPr>
              <w:tab/>
            </w:r>
            <w:r w:rsidR="00F12682" w:rsidRPr="00EE5AA0">
              <w:rPr>
                <w:rStyle w:val="Lienhypertexte"/>
                <w:rFonts w:cstheme="minorHAnsi"/>
                <w:noProof/>
              </w:rPr>
              <w:t>Evolution des réformes des finances publiques</w:t>
            </w:r>
            <w:r w:rsidR="00F12682">
              <w:rPr>
                <w:noProof/>
                <w:webHidden/>
              </w:rPr>
              <w:tab/>
            </w:r>
            <w:r w:rsidR="00F12682">
              <w:rPr>
                <w:noProof/>
                <w:webHidden/>
              </w:rPr>
              <w:fldChar w:fldCharType="begin"/>
            </w:r>
            <w:r w:rsidR="00F12682">
              <w:rPr>
                <w:noProof/>
                <w:webHidden/>
              </w:rPr>
              <w:instrText xml:space="preserve"> PAGEREF _Toc529305000 \h </w:instrText>
            </w:r>
            <w:r w:rsidR="00F12682">
              <w:rPr>
                <w:noProof/>
                <w:webHidden/>
              </w:rPr>
            </w:r>
            <w:r w:rsidR="00F12682">
              <w:rPr>
                <w:noProof/>
                <w:webHidden/>
              </w:rPr>
              <w:fldChar w:fldCharType="separate"/>
            </w:r>
            <w:r w:rsidR="001C37F0">
              <w:rPr>
                <w:noProof/>
                <w:webHidden/>
              </w:rPr>
              <w:t>2</w:t>
            </w:r>
            <w:r w:rsidR="00F12682">
              <w:rPr>
                <w:noProof/>
                <w:webHidden/>
              </w:rPr>
              <w:fldChar w:fldCharType="end"/>
            </w:r>
          </w:hyperlink>
        </w:p>
        <w:p w14:paraId="24899959" w14:textId="77777777" w:rsidR="00F12682" w:rsidRDefault="00B83528" w:rsidP="00AA11A9">
          <w:pPr>
            <w:pStyle w:val="TM2"/>
            <w:rPr>
              <w:rFonts w:eastAsiaTheme="minorEastAsia"/>
              <w:noProof/>
              <w:lang w:eastAsia="fr-FR"/>
            </w:rPr>
          </w:pPr>
          <w:hyperlink w:anchor="_Toc529305001" w:history="1">
            <w:r w:rsidR="00F12682" w:rsidRPr="00EE5AA0">
              <w:rPr>
                <w:rStyle w:val="Lienhypertexte"/>
                <w:rFonts w:cstheme="minorHAnsi"/>
                <w:noProof/>
              </w:rPr>
              <w:t>1.4</w:t>
            </w:r>
            <w:r w:rsidR="00F12682">
              <w:rPr>
                <w:rFonts w:eastAsiaTheme="minorEastAsia"/>
                <w:noProof/>
                <w:lang w:eastAsia="fr-FR"/>
              </w:rPr>
              <w:tab/>
            </w:r>
            <w:r w:rsidR="00F12682" w:rsidRPr="00EE5AA0">
              <w:rPr>
                <w:rStyle w:val="Lienhypertexte"/>
                <w:rFonts w:cstheme="minorHAnsi"/>
                <w:noProof/>
              </w:rPr>
              <w:t>Justification de la Revue des Dépenses Publiques</w:t>
            </w:r>
            <w:r w:rsidR="00F12682">
              <w:rPr>
                <w:noProof/>
                <w:webHidden/>
              </w:rPr>
              <w:tab/>
            </w:r>
            <w:r w:rsidR="00F12682">
              <w:rPr>
                <w:noProof/>
                <w:webHidden/>
              </w:rPr>
              <w:fldChar w:fldCharType="begin"/>
            </w:r>
            <w:r w:rsidR="00F12682">
              <w:rPr>
                <w:noProof/>
                <w:webHidden/>
              </w:rPr>
              <w:instrText xml:space="preserve"> PAGEREF _Toc529305001 \h </w:instrText>
            </w:r>
            <w:r w:rsidR="00F12682">
              <w:rPr>
                <w:noProof/>
                <w:webHidden/>
              </w:rPr>
            </w:r>
            <w:r w:rsidR="00F12682">
              <w:rPr>
                <w:noProof/>
                <w:webHidden/>
              </w:rPr>
              <w:fldChar w:fldCharType="separate"/>
            </w:r>
            <w:r w:rsidR="001C37F0">
              <w:rPr>
                <w:noProof/>
                <w:webHidden/>
              </w:rPr>
              <w:t>3</w:t>
            </w:r>
            <w:r w:rsidR="00F12682">
              <w:rPr>
                <w:noProof/>
                <w:webHidden/>
              </w:rPr>
              <w:fldChar w:fldCharType="end"/>
            </w:r>
          </w:hyperlink>
        </w:p>
        <w:p w14:paraId="4DCCA613" w14:textId="77777777" w:rsidR="00F12682" w:rsidRDefault="00B83528" w:rsidP="00AA11A9">
          <w:pPr>
            <w:pStyle w:val="TM2"/>
            <w:rPr>
              <w:rFonts w:eastAsiaTheme="minorEastAsia"/>
              <w:noProof/>
              <w:lang w:eastAsia="fr-FR"/>
            </w:rPr>
          </w:pPr>
          <w:hyperlink w:anchor="_Toc529305002" w:history="1">
            <w:r w:rsidR="00F12682" w:rsidRPr="00EE5AA0">
              <w:rPr>
                <w:rStyle w:val="Lienhypertexte"/>
                <w:noProof/>
              </w:rPr>
              <w:t>1.5</w:t>
            </w:r>
            <w:r w:rsidR="00F12682">
              <w:rPr>
                <w:rFonts w:eastAsiaTheme="minorEastAsia"/>
                <w:noProof/>
                <w:lang w:eastAsia="fr-FR"/>
              </w:rPr>
              <w:tab/>
            </w:r>
            <w:r w:rsidR="00F12682" w:rsidRPr="00EE5AA0">
              <w:rPr>
                <w:rStyle w:val="Lienhypertexte"/>
                <w:noProof/>
              </w:rPr>
              <w:t>Portée de l’étude</w:t>
            </w:r>
            <w:r w:rsidR="00F12682">
              <w:rPr>
                <w:noProof/>
                <w:webHidden/>
              </w:rPr>
              <w:tab/>
            </w:r>
            <w:r w:rsidR="00F12682">
              <w:rPr>
                <w:noProof/>
                <w:webHidden/>
              </w:rPr>
              <w:fldChar w:fldCharType="begin"/>
            </w:r>
            <w:r w:rsidR="00F12682">
              <w:rPr>
                <w:noProof/>
                <w:webHidden/>
              </w:rPr>
              <w:instrText xml:space="preserve"> PAGEREF _Toc529305002 \h </w:instrText>
            </w:r>
            <w:r w:rsidR="00F12682">
              <w:rPr>
                <w:noProof/>
                <w:webHidden/>
              </w:rPr>
            </w:r>
            <w:r w:rsidR="00F12682">
              <w:rPr>
                <w:noProof/>
                <w:webHidden/>
              </w:rPr>
              <w:fldChar w:fldCharType="separate"/>
            </w:r>
            <w:r w:rsidR="001C37F0">
              <w:rPr>
                <w:noProof/>
                <w:webHidden/>
              </w:rPr>
              <w:t>6</w:t>
            </w:r>
            <w:r w:rsidR="00F12682">
              <w:rPr>
                <w:noProof/>
                <w:webHidden/>
              </w:rPr>
              <w:fldChar w:fldCharType="end"/>
            </w:r>
          </w:hyperlink>
        </w:p>
        <w:p w14:paraId="3F0C1054" w14:textId="77777777" w:rsidR="00F12682" w:rsidRDefault="00B83528">
          <w:pPr>
            <w:pStyle w:val="TM3"/>
            <w:tabs>
              <w:tab w:val="left" w:pos="1320"/>
              <w:tab w:val="right" w:leader="dot" w:pos="9062"/>
            </w:tabs>
            <w:rPr>
              <w:rFonts w:eastAsiaTheme="minorEastAsia"/>
              <w:noProof/>
              <w:lang w:eastAsia="fr-FR"/>
            </w:rPr>
          </w:pPr>
          <w:hyperlink w:anchor="_Toc529305003" w:history="1">
            <w:r w:rsidR="00F12682" w:rsidRPr="00EE5AA0">
              <w:rPr>
                <w:rStyle w:val="Lienhypertexte"/>
                <w:rFonts w:eastAsia="Calibri"/>
                <w:noProof/>
              </w:rPr>
              <w:t>1.5.1</w:t>
            </w:r>
            <w:r w:rsidR="00F12682">
              <w:rPr>
                <w:rFonts w:eastAsiaTheme="minorEastAsia"/>
                <w:noProof/>
                <w:lang w:eastAsia="fr-FR"/>
              </w:rPr>
              <w:tab/>
            </w:r>
            <w:r w:rsidR="00F12682" w:rsidRPr="00EE5AA0">
              <w:rPr>
                <w:rStyle w:val="Lienhypertexte"/>
                <w:rFonts w:eastAsia="Calibri"/>
                <w:noProof/>
              </w:rPr>
              <w:t>Couverture thématique</w:t>
            </w:r>
            <w:r w:rsidR="00F12682">
              <w:rPr>
                <w:noProof/>
                <w:webHidden/>
              </w:rPr>
              <w:tab/>
            </w:r>
            <w:r w:rsidR="00F12682">
              <w:rPr>
                <w:noProof/>
                <w:webHidden/>
              </w:rPr>
              <w:fldChar w:fldCharType="begin"/>
            </w:r>
            <w:r w:rsidR="00F12682">
              <w:rPr>
                <w:noProof/>
                <w:webHidden/>
              </w:rPr>
              <w:instrText xml:space="preserve"> PAGEREF _Toc529305003 \h </w:instrText>
            </w:r>
            <w:r w:rsidR="00F12682">
              <w:rPr>
                <w:noProof/>
                <w:webHidden/>
              </w:rPr>
            </w:r>
            <w:r w:rsidR="00F12682">
              <w:rPr>
                <w:noProof/>
                <w:webHidden/>
              </w:rPr>
              <w:fldChar w:fldCharType="separate"/>
            </w:r>
            <w:r w:rsidR="001C37F0">
              <w:rPr>
                <w:noProof/>
                <w:webHidden/>
              </w:rPr>
              <w:t>6</w:t>
            </w:r>
            <w:r w:rsidR="00F12682">
              <w:rPr>
                <w:noProof/>
                <w:webHidden/>
              </w:rPr>
              <w:fldChar w:fldCharType="end"/>
            </w:r>
          </w:hyperlink>
        </w:p>
        <w:p w14:paraId="4CDB2FCC" w14:textId="77777777" w:rsidR="00F12682" w:rsidRDefault="00B83528">
          <w:pPr>
            <w:pStyle w:val="TM3"/>
            <w:tabs>
              <w:tab w:val="left" w:pos="1320"/>
              <w:tab w:val="right" w:leader="dot" w:pos="9062"/>
            </w:tabs>
            <w:rPr>
              <w:rFonts w:eastAsiaTheme="minorEastAsia"/>
              <w:noProof/>
              <w:lang w:eastAsia="fr-FR"/>
            </w:rPr>
          </w:pPr>
          <w:hyperlink w:anchor="_Toc529305004" w:history="1">
            <w:r w:rsidR="00F12682" w:rsidRPr="00EE5AA0">
              <w:rPr>
                <w:rStyle w:val="Lienhypertexte"/>
                <w:rFonts w:eastAsia="Calibri"/>
                <w:noProof/>
              </w:rPr>
              <w:t>1.5.2</w:t>
            </w:r>
            <w:r w:rsidR="00F12682">
              <w:rPr>
                <w:rFonts w:eastAsiaTheme="minorEastAsia"/>
                <w:noProof/>
                <w:lang w:eastAsia="fr-FR"/>
              </w:rPr>
              <w:tab/>
            </w:r>
            <w:r w:rsidR="00F12682" w:rsidRPr="00EE5AA0">
              <w:rPr>
                <w:rStyle w:val="Lienhypertexte"/>
                <w:rFonts w:eastAsia="Calibri"/>
                <w:noProof/>
              </w:rPr>
              <w:t>Couverture institutionnelle</w:t>
            </w:r>
            <w:r w:rsidR="00F12682">
              <w:rPr>
                <w:noProof/>
                <w:webHidden/>
              </w:rPr>
              <w:tab/>
            </w:r>
            <w:r w:rsidR="00F12682">
              <w:rPr>
                <w:noProof/>
                <w:webHidden/>
              </w:rPr>
              <w:fldChar w:fldCharType="begin"/>
            </w:r>
            <w:r w:rsidR="00F12682">
              <w:rPr>
                <w:noProof/>
                <w:webHidden/>
              </w:rPr>
              <w:instrText xml:space="preserve"> PAGEREF _Toc529305004 \h </w:instrText>
            </w:r>
            <w:r w:rsidR="00F12682">
              <w:rPr>
                <w:noProof/>
                <w:webHidden/>
              </w:rPr>
            </w:r>
            <w:r w:rsidR="00F12682">
              <w:rPr>
                <w:noProof/>
                <w:webHidden/>
              </w:rPr>
              <w:fldChar w:fldCharType="separate"/>
            </w:r>
            <w:r w:rsidR="001C37F0">
              <w:rPr>
                <w:noProof/>
                <w:webHidden/>
              </w:rPr>
              <w:t>6</w:t>
            </w:r>
            <w:r w:rsidR="00F12682">
              <w:rPr>
                <w:noProof/>
                <w:webHidden/>
              </w:rPr>
              <w:fldChar w:fldCharType="end"/>
            </w:r>
          </w:hyperlink>
        </w:p>
        <w:p w14:paraId="0FC57151" w14:textId="77777777" w:rsidR="00F12682" w:rsidRDefault="00B83528" w:rsidP="00AA11A9">
          <w:pPr>
            <w:pStyle w:val="TM2"/>
            <w:rPr>
              <w:rFonts w:eastAsiaTheme="minorEastAsia"/>
              <w:noProof/>
              <w:lang w:eastAsia="fr-FR"/>
            </w:rPr>
          </w:pPr>
          <w:hyperlink w:anchor="_Toc529305005" w:history="1">
            <w:r w:rsidR="00F12682" w:rsidRPr="00EE5AA0">
              <w:rPr>
                <w:rStyle w:val="Lienhypertexte"/>
                <w:rFonts w:cstheme="minorHAnsi"/>
                <w:noProof/>
              </w:rPr>
              <w:t>1.6</w:t>
            </w:r>
            <w:r w:rsidR="00F12682">
              <w:rPr>
                <w:rFonts w:eastAsiaTheme="minorEastAsia"/>
                <w:noProof/>
                <w:lang w:eastAsia="fr-FR"/>
              </w:rPr>
              <w:tab/>
            </w:r>
            <w:r w:rsidR="00F12682" w:rsidRPr="00EE5AA0">
              <w:rPr>
                <w:rStyle w:val="Lienhypertexte"/>
                <w:rFonts w:cstheme="minorHAnsi"/>
                <w:noProof/>
              </w:rPr>
              <w:t>Structure du rapport</w:t>
            </w:r>
            <w:r w:rsidR="00F12682">
              <w:rPr>
                <w:noProof/>
                <w:webHidden/>
              </w:rPr>
              <w:tab/>
            </w:r>
            <w:r w:rsidR="00F12682">
              <w:rPr>
                <w:noProof/>
                <w:webHidden/>
              </w:rPr>
              <w:fldChar w:fldCharType="begin"/>
            </w:r>
            <w:r w:rsidR="00F12682">
              <w:rPr>
                <w:noProof/>
                <w:webHidden/>
              </w:rPr>
              <w:instrText xml:space="preserve"> PAGEREF _Toc529305005 \h </w:instrText>
            </w:r>
            <w:r w:rsidR="00F12682">
              <w:rPr>
                <w:noProof/>
                <w:webHidden/>
              </w:rPr>
            </w:r>
            <w:r w:rsidR="00F12682">
              <w:rPr>
                <w:noProof/>
                <w:webHidden/>
              </w:rPr>
              <w:fldChar w:fldCharType="separate"/>
            </w:r>
            <w:r w:rsidR="001C37F0">
              <w:rPr>
                <w:noProof/>
                <w:webHidden/>
              </w:rPr>
              <w:t>6</w:t>
            </w:r>
            <w:r w:rsidR="00F12682">
              <w:rPr>
                <w:noProof/>
                <w:webHidden/>
              </w:rPr>
              <w:fldChar w:fldCharType="end"/>
            </w:r>
          </w:hyperlink>
        </w:p>
        <w:p w14:paraId="2498D97D" w14:textId="77777777" w:rsidR="00F12682" w:rsidRDefault="00B83528" w:rsidP="00AA11A9">
          <w:pPr>
            <w:pStyle w:val="TM1"/>
            <w:rPr>
              <w:rFonts w:eastAsiaTheme="minorEastAsia"/>
              <w:noProof/>
              <w:sz w:val="22"/>
              <w:szCs w:val="22"/>
              <w:lang w:eastAsia="fr-FR"/>
            </w:rPr>
          </w:pPr>
          <w:hyperlink w:anchor="_Toc529305006" w:history="1">
            <w:r w:rsidR="00F12682" w:rsidRPr="00EE5AA0">
              <w:rPr>
                <w:rStyle w:val="Lienhypertexte"/>
                <w:rFonts w:cstheme="minorHAnsi"/>
                <w:noProof/>
              </w:rPr>
              <w:t>Chapitre 2 : Objectifs, Méthodologie et déroulement de la mission</w:t>
            </w:r>
            <w:r w:rsidR="00F12682">
              <w:rPr>
                <w:noProof/>
                <w:webHidden/>
              </w:rPr>
              <w:tab/>
            </w:r>
            <w:r w:rsidR="00F12682">
              <w:rPr>
                <w:noProof/>
                <w:webHidden/>
              </w:rPr>
              <w:fldChar w:fldCharType="begin"/>
            </w:r>
            <w:r w:rsidR="00F12682">
              <w:rPr>
                <w:noProof/>
                <w:webHidden/>
              </w:rPr>
              <w:instrText xml:space="preserve"> PAGEREF _Toc529305006 \h </w:instrText>
            </w:r>
            <w:r w:rsidR="00F12682">
              <w:rPr>
                <w:noProof/>
                <w:webHidden/>
              </w:rPr>
            </w:r>
            <w:r w:rsidR="00F12682">
              <w:rPr>
                <w:noProof/>
                <w:webHidden/>
              </w:rPr>
              <w:fldChar w:fldCharType="separate"/>
            </w:r>
            <w:r w:rsidR="001C37F0">
              <w:rPr>
                <w:noProof/>
                <w:webHidden/>
              </w:rPr>
              <w:t>7</w:t>
            </w:r>
            <w:r w:rsidR="00F12682">
              <w:rPr>
                <w:noProof/>
                <w:webHidden/>
              </w:rPr>
              <w:fldChar w:fldCharType="end"/>
            </w:r>
          </w:hyperlink>
        </w:p>
        <w:p w14:paraId="16DC5892" w14:textId="77777777" w:rsidR="00F12682" w:rsidRDefault="00B83528" w:rsidP="00AA11A9">
          <w:pPr>
            <w:pStyle w:val="TM2"/>
            <w:rPr>
              <w:rFonts w:eastAsiaTheme="minorEastAsia"/>
              <w:noProof/>
              <w:lang w:eastAsia="fr-FR"/>
            </w:rPr>
          </w:pPr>
          <w:hyperlink w:anchor="_Toc529305007" w:history="1">
            <w:r w:rsidR="00F12682" w:rsidRPr="00EE5AA0">
              <w:rPr>
                <w:rStyle w:val="Lienhypertexte"/>
                <w:rFonts w:cstheme="minorHAnsi"/>
                <w:noProof/>
              </w:rPr>
              <w:t>2.1</w:t>
            </w:r>
            <w:r w:rsidR="00F12682">
              <w:rPr>
                <w:rFonts w:eastAsiaTheme="minorEastAsia"/>
                <w:noProof/>
                <w:lang w:eastAsia="fr-FR"/>
              </w:rPr>
              <w:tab/>
            </w:r>
            <w:r w:rsidR="00F12682" w:rsidRPr="00EE5AA0">
              <w:rPr>
                <w:rStyle w:val="Lienhypertexte"/>
                <w:rFonts w:cstheme="minorHAnsi"/>
                <w:noProof/>
              </w:rPr>
              <w:t>Objectifs et résultats attendus</w:t>
            </w:r>
            <w:r w:rsidR="00F12682">
              <w:rPr>
                <w:noProof/>
                <w:webHidden/>
              </w:rPr>
              <w:tab/>
            </w:r>
            <w:r w:rsidR="00F12682">
              <w:rPr>
                <w:noProof/>
                <w:webHidden/>
              </w:rPr>
              <w:fldChar w:fldCharType="begin"/>
            </w:r>
            <w:r w:rsidR="00F12682">
              <w:rPr>
                <w:noProof/>
                <w:webHidden/>
              </w:rPr>
              <w:instrText xml:space="preserve"> PAGEREF _Toc529305007 \h </w:instrText>
            </w:r>
            <w:r w:rsidR="00F12682">
              <w:rPr>
                <w:noProof/>
                <w:webHidden/>
              </w:rPr>
            </w:r>
            <w:r w:rsidR="00F12682">
              <w:rPr>
                <w:noProof/>
                <w:webHidden/>
              </w:rPr>
              <w:fldChar w:fldCharType="separate"/>
            </w:r>
            <w:r w:rsidR="001C37F0">
              <w:rPr>
                <w:noProof/>
                <w:webHidden/>
              </w:rPr>
              <w:t>7</w:t>
            </w:r>
            <w:r w:rsidR="00F12682">
              <w:rPr>
                <w:noProof/>
                <w:webHidden/>
              </w:rPr>
              <w:fldChar w:fldCharType="end"/>
            </w:r>
          </w:hyperlink>
        </w:p>
        <w:p w14:paraId="1E3E8972" w14:textId="77777777" w:rsidR="00F12682" w:rsidRDefault="00B83528" w:rsidP="00AA11A9">
          <w:pPr>
            <w:pStyle w:val="TM2"/>
            <w:rPr>
              <w:rFonts w:eastAsiaTheme="minorEastAsia"/>
              <w:noProof/>
              <w:lang w:eastAsia="fr-FR"/>
            </w:rPr>
          </w:pPr>
          <w:hyperlink w:anchor="_Toc529305008" w:history="1">
            <w:r w:rsidR="00F12682" w:rsidRPr="00EE5AA0">
              <w:rPr>
                <w:rStyle w:val="Lienhypertexte"/>
                <w:rFonts w:cstheme="minorHAnsi"/>
                <w:noProof/>
              </w:rPr>
              <w:t>2.2</w:t>
            </w:r>
            <w:r w:rsidR="00F12682">
              <w:rPr>
                <w:rFonts w:eastAsiaTheme="minorEastAsia"/>
                <w:noProof/>
                <w:lang w:eastAsia="fr-FR"/>
              </w:rPr>
              <w:tab/>
            </w:r>
            <w:r w:rsidR="00F12682" w:rsidRPr="00EE5AA0">
              <w:rPr>
                <w:rStyle w:val="Lienhypertexte"/>
                <w:rFonts w:cstheme="minorHAnsi"/>
                <w:noProof/>
              </w:rPr>
              <w:t>Approche méthodologique de la revue et déroulement de la mission</w:t>
            </w:r>
            <w:r w:rsidR="00F12682">
              <w:rPr>
                <w:noProof/>
                <w:webHidden/>
              </w:rPr>
              <w:tab/>
            </w:r>
            <w:r w:rsidR="00F12682">
              <w:rPr>
                <w:noProof/>
                <w:webHidden/>
              </w:rPr>
              <w:fldChar w:fldCharType="begin"/>
            </w:r>
            <w:r w:rsidR="00F12682">
              <w:rPr>
                <w:noProof/>
                <w:webHidden/>
              </w:rPr>
              <w:instrText xml:space="preserve"> PAGEREF _Toc529305008 \h </w:instrText>
            </w:r>
            <w:r w:rsidR="00F12682">
              <w:rPr>
                <w:noProof/>
                <w:webHidden/>
              </w:rPr>
            </w:r>
            <w:r w:rsidR="00F12682">
              <w:rPr>
                <w:noProof/>
                <w:webHidden/>
              </w:rPr>
              <w:fldChar w:fldCharType="separate"/>
            </w:r>
            <w:r w:rsidR="001C37F0">
              <w:rPr>
                <w:noProof/>
                <w:webHidden/>
              </w:rPr>
              <w:t>8</w:t>
            </w:r>
            <w:r w:rsidR="00F12682">
              <w:rPr>
                <w:noProof/>
                <w:webHidden/>
              </w:rPr>
              <w:fldChar w:fldCharType="end"/>
            </w:r>
          </w:hyperlink>
        </w:p>
        <w:p w14:paraId="602B9AED" w14:textId="77777777" w:rsidR="00F12682" w:rsidRDefault="00B83528" w:rsidP="00AA11A9">
          <w:pPr>
            <w:pStyle w:val="TM2"/>
            <w:rPr>
              <w:rFonts w:eastAsiaTheme="minorEastAsia"/>
              <w:noProof/>
              <w:lang w:eastAsia="fr-FR"/>
            </w:rPr>
          </w:pPr>
          <w:hyperlink w:anchor="_Toc529305009" w:history="1">
            <w:r w:rsidR="00F12682" w:rsidRPr="00EE5AA0">
              <w:rPr>
                <w:rStyle w:val="Lienhypertexte"/>
                <w:rFonts w:cstheme="minorHAnsi"/>
                <w:noProof/>
              </w:rPr>
              <w:t>2.3</w:t>
            </w:r>
            <w:r w:rsidR="00F12682">
              <w:rPr>
                <w:rFonts w:eastAsiaTheme="minorEastAsia"/>
                <w:noProof/>
                <w:lang w:eastAsia="fr-FR"/>
              </w:rPr>
              <w:tab/>
            </w:r>
            <w:r w:rsidR="00F12682" w:rsidRPr="00EE5AA0">
              <w:rPr>
                <w:rStyle w:val="Lienhypertexte"/>
                <w:rFonts w:cstheme="minorHAnsi"/>
                <w:noProof/>
              </w:rPr>
              <w:t>Etude documentaire et définition des concepts clés</w:t>
            </w:r>
            <w:r w:rsidR="00F12682">
              <w:rPr>
                <w:noProof/>
                <w:webHidden/>
              </w:rPr>
              <w:tab/>
            </w:r>
            <w:r w:rsidR="00F12682">
              <w:rPr>
                <w:noProof/>
                <w:webHidden/>
              </w:rPr>
              <w:fldChar w:fldCharType="begin"/>
            </w:r>
            <w:r w:rsidR="00F12682">
              <w:rPr>
                <w:noProof/>
                <w:webHidden/>
              </w:rPr>
              <w:instrText xml:space="preserve"> PAGEREF _Toc529305009 \h </w:instrText>
            </w:r>
            <w:r w:rsidR="00F12682">
              <w:rPr>
                <w:noProof/>
                <w:webHidden/>
              </w:rPr>
            </w:r>
            <w:r w:rsidR="00F12682">
              <w:rPr>
                <w:noProof/>
                <w:webHidden/>
              </w:rPr>
              <w:fldChar w:fldCharType="separate"/>
            </w:r>
            <w:r w:rsidR="001C37F0">
              <w:rPr>
                <w:noProof/>
                <w:webHidden/>
              </w:rPr>
              <w:t>9</w:t>
            </w:r>
            <w:r w:rsidR="00F12682">
              <w:rPr>
                <w:noProof/>
                <w:webHidden/>
              </w:rPr>
              <w:fldChar w:fldCharType="end"/>
            </w:r>
          </w:hyperlink>
        </w:p>
        <w:p w14:paraId="03E35F00" w14:textId="77777777" w:rsidR="00F12682" w:rsidRDefault="00B83528" w:rsidP="00AA11A9">
          <w:pPr>
            <w:pStyle w:val="TM1"/>
            <w:rPr>
              <w:rFonts w:eastAsiaTheme="minorEastAsia"/>
              <w:noProof/>
              <w:sz w:val="22"/>
              <w:szCs w:val="22"/>
              <w:lang w:eastAsia="fr-FR"/>
            </w:rPr>
          </w:pPr>
          <w:hyperlink w:anchor="_Toc529305010" w:history="1">
            <w:r w:rsidR="00F12682" w:rsidRPr="00EE5AA0">
              <w:rPr>
                <w:rStyle w:val="Lienhypertexte"/>
                <w:rFonts w:cstheme="minorHAnsi"/>
                <w:noProof/>
              </w:rPr>
              <w:t>Chapitre 3 : Analyse de performance du secteur en matière de Gestion des Finances Publiques (cycle budgétaire)</w:t>
            </w:r>
            <w:r w:rsidR="00F12682">
              <w:rPr>
                <w:noProof/>
                <w:webHidden/>
              </w:rPr>
              <w:tab/>
            </w:r>
            <w:r w:rsidR="00F12682">
              <w:rPr>
                <w:noProof/>
                <w:webHidden/>
              </w:rPr>
              <w:fldChar w:fldCharType="begin"/>
            </w:r>
            <w:r w:rsidR="00F12682">
              <w:rPr>
                <w:noProof/>
                <w:webHidden/>
              </w:rPr>
              <w:instrText xml:space="preserve"> PAGEREF _Toc529305010 \h </w:instrText>
            </w:r>
            <w:r w:rsidR="00F12682">
              <w:rPr>
                <w:noProof/>
                <w:webHidden/>
              </w:rPr>
            </w:r>
            <w:r w:rsidR="00F12682">
              <w:rPr>
                <w:noProof/>
                <w:webHidden/>
              </w:rPr>
              <w:fldChar w:fldCharType="separate"/>
            </w:r>
            <w:r w:rsidR="001C37F0">
              <w:rPr>
                <w:noProof/>
                <w:webHidden/>
              </w:rPr>
              <w:t>11</w:t>
            </w:r>
            <w:r w:rsidR="00F12682">
              <w:rPr>
                <w:noProof/>
                <w:webHidden/>
              </w:rPr>
              <w:fldChar w:fldCharType="end"/>
            </w:r>
          </w:hyperlink>
        </w:p>
        <w:p w14:paraId="44C041DD" w14:textId="77777777" w:rsidR="00F12682" w:rsidRDefault="00B83528" w:rsidP="00AA11A9">
          <w:pPr>
            <w:pStyle w:val="TM2"/>
            <w:rPr>
              <w:rFonts w:eastAsiaTheme="minorEastAsia"/>
              <w:noProof/>
              <w:lang w:eastAsia="fr-FR"/>
            </w:rPr>
          </w:pPr>
          <w:hyperlink w:anchor="_Toc529305011" w:history="1">
            <w:r w:rsidR="00F12682" w:rsidRPr="00EE5AA0">
              <w:rPr>
                <w:rStyle w:val="Lienhypertexte"/>
                <w:rFonts w:cstheme="minorHAnsi"/>
                <w:noProof/>
              </w:rPr>
              <w:t>3.1</w:t>
            </w:r>
            <w:r w:rsidR="00F12682">
              <w:rPr>
                <w:rFonts w:eastAsiaTheme="minorEastAsia"/>
                <w:noProof/>
                <w:lang w:eastAsia="fr-FR"/>
              </w:rPr>
              <w:tab/>
            </w:r>
            <w:r w:rsidR="00F12682" w:rsidRPr="00EE5AA0">
              <w:rPr>
                <w:rStyle w:val="Lienhypertexte"/>
                <w:rFonts w:cstheme="minorHAnsi"/>
                <w:noProof/>
              </w:rPr>
              <w:t>Performance/capacité générale du secteur en matière de Gestion des Finances Publiques en 2016</w:t>
            </w:r>
            <w:r w:rsidR="00F12682">
              <w:rPr>
                <w:noProof/>
                <w:webHidden/>
              </w:rPr>
              <w:tab/>
            </w:r>
            <w:r w:rsidR="00F12682">
              <w:rPr>
                <w:noProof/>
                <w:webHidden/>
              </w:rPr>
              <w:fldChar w:fldCharType="begin"/>
            </w:r>
            <w:r w:rsidR="00F12682">
              <w:rPr>
                <w:noProof/>
                <w:webHidden/>
              </w:rPr>
              <w:instrText xml:space="preserve"> PAGEREF _Toc529305011 \h </w:instrText>
            </w:r>
            <w:r w:rsidR="00F12682">
              <w:rPr>
                <w:noProof/>
                <w:webHidden/>
              </w:rPr>
            </w:r>
            <w:r w:rsidR="00F12682">
              <w:rPr>
                <w:noProof/>
                <w:webHidden/>
              </w:rPr>
              <w:fldChar w:fldCharType="separate"/>
            </w:r>
            <w:r w:rsidR="001C37F0">
              <w:rPr>
                <w:noProof/>
                <w:webHidden/>
              </w:rPr>
              <w:t>11</w:t>
            </w:r>
            <w:r w:rsidR="00F12682">
              <w:rPr>
                <w:noProof/>
                <w:webHidden/>
              </w:rPr>
              <w:fldChar w:fldCharType="end"/>
            </w:r>
          </w:hyperlink>
        </w:p>
        <w:p w14:paraId="1EABA456" w14:textId="77777777" w:rsidR="00F12682" w:rsidRDefault="00B83528">
          <w:pPr>
            <w:pStyle w:val="TM3"/>
            <w:tabs>
              <w:tab w:val="left" w:pos="1320"/>
              <w:tab w:val="right" w:leader="dot" w:pos="9062"/>
            </w:tabs>
            <w:rPr>
              <w:rFonts w:eastAsiaTheme="minorEastAsia"/>
              <w:noProof/>
              <w:lang w:eastAsia="fr-FR"/>
            </w:rPr>
          </w:pPr>
          <w:hyperlink w:anchor="_Toc529305012" w:history="1">
            <w:r w:rsidR="00F12682" w:rsidRPr="00EE5AA0">
              <w:rPr>
                <w:rStyle w:val="Lienhypertexte"/>
                <w:rFonts w:cstheme="minorHAnsi"/>
                <w:noProof/>
              </w:rPr>
              <w:t>3.1.1</w:t>
            </w:r>
            <w:r w:rsidR="00F12682">
              <w:rPr>
                <w:rFonts w:eastAsiaTheme="minorEastAsia"/>
                <w:noProof/>
                <w:lang w:eastAsia="fr-FR"/>
              </w:rPr>
              <w:tab/>
            </w:r>
            <w:r w:rsidR="00F12682" w:rsidRPr="00EE5AA0">
              <w:rPr>
                <w:rStyle w:val="Lienhypertexte"/>
                <w:rFonts w:cstheme="minorHAnsi"/>
                <w:noProof/>
              </w:rPr>
              <w:t>Rappel du niveau des réformes en Finances Publiques en 2016</w:t>
            </w:r>
            <w:r w:rsidR="00F12682">
              <w:rPr>
                <w:noProof/>
                <w:webHidden/>
              </w:rPr>
              <w:tab/>
            </w:r>
            <w:r w:rsidR="00F12682">
              <w:rPr>
                <w:noProof/>
                <w:webHidden/>
              </w:rPr>
              <w:fldChar w:fldCharType="begin"/>
            </w:r>
            <w:r w:rsidR="00F12682">
              <w:rPr>
                <w:noProof/>
                <w:webHidden/>
              </w:rPr>
              <w:instrText xml:space="preserve"> PAGEREF _Toc529305012 \h </w:instrText>
            </w:r>
            <w:r w:rsidR="00F12682">
              <w:rPr>
                <w:noProof/>
                <w:webHidden/>
              </w:rPr>
            </w:r>
            <w:r w:rsidR="00F12682">
              <w:rPr>
                <w:noProof/>
                <w:webHidden/>
              </w:rPr>
              <w:fldChar w:fldCharType="separate"/>
            </w:r>
            <w:r w:rsidR="001C37F0">
              <w:rPr>
                <w:noProof/>
                <w:webHidden/>
              </w:rPr>
              <w:t>11</w:t>
            </w:r>
            <w:r w:rsidR="00F12682">
              <w:rPr>
                <w:noProof/>
                <w:webHidden/>
              </w:rPr>
              <w:fldChar w:fldCharType="end"/>
            </w:r>
          </w:hyperlink>
        </w:p>
        <w:p w14:paraId="39CC440B" w14:textId="77777777" w:rsidR="00F12682" w:rsidRDefault="00B83528">
          <w:pPr>
            <w:pStyle w:val="TM3"/>
            <w:tabs>
              <w:tab w:val="left" w:pos="1320"/>
              <w:tab w:val="right" w:leader="dot" w:pos="9062"/>
            </w:tabs>
            <w:rPr>
              <w:rFonts w:eastAsiaTheme="minorEastAsia"/>
              <w:noProof/>
              <w:lang w:eastAsia="fr-FR"/>
            </w:rPr>
          </w:pPr>
          <w:hyperlink w:anchor="_Toc529305013" w:history="1">
            <w:r w:rsidR="00F12682" w:rsidRPr="00EE5AA0">
              <w:rPr>
                <w:rStyle w:val="Lienhypertexte"/>
                <w:rFonts w:cstheme="minorHAnsi"/>
                <w:noProof/>
              </w:rPr>
              <w:t>3.1.2</w:t>
            </w:r>
            <w:r w:rsidR="00F12682">
              <w:rPr>
                <w:rFonts w:eastAsiaTheme="minorEastAsia"/>
                <w:noProof/>
                <w:lang w:eastAsia="fr-FR"/>
              </w:rPr>
              <w:tab/>
            </w:r>
            <w:r w:rsidR="00F12682" w:rsidRPr="00EE5AA0">
              <w:rPr>
                <w:rStyle w:val="Lienhypertexte"/>
                <w:rFonts w:cstheme="minorHAnsi"/>
                <w:noProof/>
              </w:rPr>
              <w:t>Analyse de la planification/programmation, budgétisation des dépenses et reddition des comptes</w:t>
            </w:r>
            <w:r w:rsidR="00F12682">
              <w:rPr>
                <w:noProof/>
                <w:webHidden/>
              </w:rPr>
              <w:tab/>
            </w:r>
            <w:r w:rsidR="00F12682">
              <w:rPr>
                <w:noProof/>
                <w:webHidden/>
              </w:rPr>
              <w:fldChar w:fldCharType="begin"/>
            </w:r>
            <w:r w:rsidR="00F12682">
              <w:rPr>
                <w:noProof/>
                <w:webHidden/>
              </w:rPr>
              <w:instrText xml:space="preserve"> PAGEREF _Toc529305013 \h </w:instrText>
            </w:r>
            <w:r w:rsidR="00F12682">
              <w:rPr>
                <w:noProof/>
                <w:webHidden/>
              </w:rPr>
            </w:r>
            <w:r w:rsidR="00F12682">
              <w:rPr>
                <w:noProof/>
                <w:webHidden/>
              </w:rPr>
              <w:fldChar w:fldCharType="separate"/>
            </w:r>
            <w:r w:rsidR="001C37F0">
              <w:rPr>
                <w:noProof/>
                <w:webHidden/>
              </w:rPr>
              <w:t>11</w:t>
            </w:r>
            <w:r w:rsidR="00F12682">
              <w:rPr>
                <w:noProof/>
                <w:webHidden/>
              </w:rPr>
              <w:fldChar w:fldCharType="end"/>
            </w:r>
          </w:hyperlink>
        </w:p>
        <w:p w14:paraId="6C5B3ACD" w14:textId="77777777" w:rsidR="00F12682" w:rsidRDefault="00B83528">
          <w:pPr>
            <w:pStyle w:val="TM3"/>
            <w:tabs>
              <w:tab w:val="left" w:pos="1320"/>
              <w:tab w:val="right" w:leader="dot" w:pos="9062"/>
            </w:tabs>
            <w:rPr>
              <w:rFonts w:eastAsiaTheme="minorEastAsia"/>
              <w:noProof/>
              <w:lang w:eastAsia="fr-FR"/>
            </w:rPr>
          </w:pPr>
          <w:hyperlink w:anchor="_Toc529305014" w:history="1">
            <w:r w:rsidR="00F12682" w:rsidRPr="00EE5AA0">
              <w:rPr>
                <w:rStyle w:val="Lienhypertexte"/>
                <w:rFonts w:cstheme="minorHAnsi"/>
                <w:noProof/>
              </w:rPr>
              <w:t>3.1.3</w:t>
            </w:r>
            <w:r w:rsidR="00F12682">
              <w:rPr>
                <w:rFonts w:eastAsiaTheme="minorEastAsia"/>
                <w:noProof/>
                <w:lang w:eastAsia="fr-FR"/>
              </w:rPr>
              <w:tab/>
            </w:r>
            <w:r w:rsidR="00F12682" w:rsidRPr="00EE5AA0">
              <w:rPr>
                <w:rStyle w:val="Lienhypertexte"/>
                <w:rFonts w:cstheme="minorHAnsi"/>
                <w:noProof/>
              </w:rPr>
              <w:t>Appréciation de l’accessibilité et de la fiabilité des données</w:t>
            </w:r>
            <w:r w:rsidR="00F12682">
              <w:rPr>
                <w:noProof/>
                <w:webHidden/>
              </w:rPr>
              <w:tab/>
            </w:r>
            <w:r w:rsidR="00F12682">
              <w:rPr>
                <w:noProof/>
                <w:webHidden/>
              </w:rPr>
              <w:fldChar w:fldCharType="begin"/>
            </w:r>
            <w:r w:rsidR="00F12682">
              <w:rPr>
                <w:noProof/>
                <w:webHidden/>
              </w:rPr>
              <w:instrText xml:space="preserve"> PAGEREF _Toc529305014 \h </w:instrText>
            </w:r>
            <w:r w:rsidR="00F12682">
              <w:rPr>
                <w:noProof/>
                <w:webHidden/>
              </w:rPr>
            </w:r>
            <w:r w:rsidR="00F12682">
              <w:rPr>
                <w:noProof/>
                <w:webHidden/>
              </w:rPr>
              <w:fldChar w:fldCharType="separate"/>
            </w:r>
            <w:r w:rsidR="001C37F0">
              <w:rPr>
                <w:noProof/>
                <w:webHidden/>
              </w:rPr>
              <w:t>13</w:t>
            </w:r>
            <w:r w:rsidR="00F12682">
              <w:rPr>
                <w:noProof/>
                <w:webHidden/>
              </w:rPr>
              <w:fldChar w:fldCharType="end"/>
            </w:r>
          </w:hyperlink>
        </w:p>
        <w:p w14:paraId="02EBBE64" w14:textId="77777777" w:rsidR="00F12682" w:rsidRDefault="00B83528" w:rsidP="00AA11A9">
          <w:pPr>
            <w:pStyle w:val="TM2"/>
            <w:rPr>
              <w:rFonts w:eastAsiaTheme="minorEastAsia"/>
              <w:noProof/>
              <w:lang w:eastAsia="fr-FR"/>
            </w:rPr>
          </w:pPr>
          <w:hyperlink w:anchor="_Toc529305015" w:history="1">
            <w:r w:rsidR="00F12682" w:rsidRPr="00EE5AA0">
              <w:rPr>
                <w:rStyle w:val="Lienhypertexte"/>
                <w:rFonts w:cstheme="minorHAnsi"/>
                <w:noProof/>
              </w:rPr>
              <w:t>3.2</w:t>
            </w:r>
            <w:r w:rsidR="00F12682">
              <w:rPr>
                <w:rFonts w:eastAsiaTheme="minorEastAsia"/>
                <w:noProof/>
                <w:lang w:eastAsia="fr-FR"/>
              </w:rPr>
              <w:tab/>
            </w:r>
            <w:r w:rsidR="00F12682" w:rsidRPr="00EE5AA0">
              <w:rPr>
                <w:rStyle w:val="Lienhypertexte"/>
                <w:rFonts w:cstheme="minorHAnsi"/>
                <w:noProof/>
              </w:rPr>
              <w:t>Performance/Capacité spécifique des acteurs institutionnels du secteur en matière de Gestion des Finances Publiques en 2016</w:t>
            </w:r>
            <w:r w:rsidR="00F12682">
              <w:rPr>
                <w:noProof/>
                <w:webHidden/>
              </w:rPr>
              <w:tab/>
            </w:r>
            <w:r w:rsidR="00F12682">
              <w:rPr>
                <w:noProof/>
                <w:webHidden/>
              </w:rPr>
              <w:fldChar w:fldCharType="begin"/>
            </w:r>
            <w:r w:rsidR="00F12682">
              <w:rPr>
                <w:noProof/>
                <w:webHidden/>
              </w:rPr>
              <w:instrText xml:space="preserve"> PAGEREF _Toc529305015 \h </w:instrText>
            </w:r>
            <w:r w:rsidR="00F12682">
              <w:rPr>
                <w:noProof/>
                <w:webHidden/>
              </w:rPr>
            </w:r>
            <w:r w:rsidR="00F12682">
              <w:rPr>
                <w:noProof/>
                <w:webHidden/>
              </w:rPr>
              <w:fldChar w:fldCharType="separate"/>
            </w:r>
            <w:r w:rsidR="001C37F0">
              <w:rPr>
                <w:noProof/>
                <w:webHidden/>
              </w:rPr>
              <w:t>15</w:t>
            </w:r>
            <w:r w:rsidR="00F12682">
              <w:rPr>
                <w:noProof/>
                <w:webHidden/>
              </w:rPr>
              <w:fldChar w:fldCharType="end"/>
            </w:r>
          </w:hyperlink>
        </w:p>
        <w:p w14:paraId="28F3B5CE" w14:textId="77777777" w:rsidR="00F12682" w:rsidRDefault="00B83528">
          <w:pPr>
            <w:pStyle w:val="TM3"/>
            <w:tabs>
              <w:tab w:val="left" w:pos="1320"/>
              <w:tab w:val="right" w:leader="dot" w:pos="9062"/>
            </w:tabs>
            <w:rPr>
              <w:rFonts w:eastAsiaTheme="minorEastAsia"/>
              <w:noProof/>
              <w:lang w:eastAsia="fr-FR"/>
            </w:rPr>
          </w:pPr>
          <w:hyperlink w:anchor="_Toc529305016" w:history="1">
            <w:r w:rsidR="00F12682" w:rsidRPr="00EE5AA0">
              <w:rPr>
                <w:rStyle w:val="Lienhypertexte"/>
                <w:rFonts w:cstheme="minorHAnsi"/>
                <w:noProof/>
              </w:rPr>
              <w:t>3.2.1</w:t>
            </w:r>
            <w:r w:rsidR="00F12682">
              <w:rPr>
                <w:rFonts w:eastAsiaTheme="minorEastAsia"/>
                <w:noProof/>
                <w:lang w:eastAsia="fr-FR"/>
              </w:rPr>
              <w:tab/>
            </w:r>
            <w:r w:rsidR="00F12682" w:rsidRPr="00EE5AA0">
              <w:rPr>
                <w:rStyle w:val="Lienhypertexte"/>
                <w:rFonts w:cstheme="minorHAnsi"/>
                <w:noProof/>
              </w:rPr>
              <w:t>Ministère de l’Agriculture (MAG)</w:t>
            </w:r>
            <w:r w:rsidR="00F12682">
              <w:rPr>
                <w:noProof/>
                <w:webHidden/>
              </w:rPr>
              <w:tab/>
            </w:r>
            <w:r w:rsidR="00F12682">
              <w:rPr>
                <w:noProof/>
                <w:webHidden/>
              </w:rPr>
              <w:fldChar w:fldCharType="begin"/>
            </w:r>
            <w:r w:rsidR="00F12682">
              <w:rPr>
                <w:noProof/>
                <w:webHidden/>
              </w:rPr>
              <w:instrText xml:space="preserve"> PAGEREF _Toc529305016 \h </w:instrText>
            </w:r>
            <w:r w:rsidR="00F12682">
              <w:rPr>
                <w:noProof/>
                <w:webHidden/>
              </w:rPr>
            </w:r>
            <w:r w:rsidR="00F12682">
              <w:rPr>
                <w:noProof/>
                <w:webHidden/>
              </w:rPr>
              <w:fldChar w:fldCharType="separate"/>
            </w:r>
            <w:r w:rsidR="001C37F0">
              <w:rPr>
                <w:noProof/>
                <w:webHidden/>
              </w:rPr>
              <w:t>15</w:t>
            </w:r>
            <w:r w:rsidR="00F12682">
              <w:rPr>
                <w:noProof/>
                <w:webHidden/>
              </w:rPr>
              <w:fldChar w:fldCharType="end"/>
            </w:r>
          </w:hyperlink>
        </w:p>
        <w:p w14:paraId="28927183" w14:textId="77777777" w:rsidR="00F12682" w:rsidRDefault="00B83528">
          <w:pPr>
            <w:pStyle w:val="TM3"/>
            <w:tabs>
              <w:tab w:val="left" w:pos="1320"/>
              <w:tab w:val="right" w:leader="dot" w:pos="9062"/>
            </w:tabs>
            <w:rPr>
              <w:rFonts w:eastAsiaTheme="minorEastAsia"/>
              <w:noProof/>
              <w:lang w:eastAsia="fr-FR"/>
            </w:rPr>
          </w:pPr>
          <w:hyperlink w:anchor="_Toc529305017" w:history="1">
            <w:r w:rsidR="00F12682" w:rsidRPr="00EE5AA0">
              <w:rPr>
                <w:rStyle w:val="Lienhypertexte"/>
                <w:rFonts w:cstheme="minorHAnsi"/>
                <w:noProof/>
              </w:rPr>
              <w:t>3.2.2</w:t>
            </w:r>
            <w:r w:rsidR="00F12682">
              <w:rPr>
                <w:rFonts w:eastAsiaTheme="minorEastAsia"/>
                <w:noProof/>
                <w:lang w:eastAsia="fr-FR"/>
              </w:rPr>
              <w:tab/>
            </w:r>
            <w:r w:rsidR="00F12682" w:rsidRPr="00EE5AA0">
              <w:rPr>
                <w:rStyle w:val="Lienhypertexte"/>
                <w:rFonts w:cstheme="minorHAnsi"/>
                <w:noProof/>
              </w:rPr>
              <w:t>Ministère de l’Elevage (MEL)</w:t>
            </w:r>
            <w:r w:rsidR="00F12682">
              <w:rPr>
                <w:noProof/>
                <w:webHidden/>
              </w:rPr>
              <w:tab/>
            </w:r>
            <w:r w:rsidR="00F12682">
              <w:rPr>
                <w:noProof/>
                <w:webHidden/>
              </w:rPr>
              <w:fldChar w:fldCharType="begin"/>
            </w:r>
            <w:r w:rsidR="00F12682">
              <w:rPr>
                <w:noProof/>
                <w:webHidden/>
              </w:rPr>
              <w:instrText xml:space="preserve"> PAGEREF _Toc529305017 \h </w:instrText>
            </w:r>
            <w:r w:rsidR="00F12682">
              <w:rPr>
                <w:noProof/>
                <w:webHidden/>
              </w:rPr>
            </w:r>
            <w:r w:rsidR="00F12682">
              <w:rPr>
                <w:noProof/>
                <w:webHidden/>
              </w:rPr>
              <w:fldChar w:fldCharType="separate"/>
            </w:r>
            <w:r w:rsidR="001C37F0">
              <w:rPr>
                <w:noProof/>
                <w:webHidden/>
              </w:rPr>
              <w:t>17</w:t>
            </w:r>
            <w:r w:rsidR="00F12682">
              <w:rPr>
                <w:noProof/>
                <w:webHidden/>
              </w:rPr>
              <w:fldChar w:fldCharType="end"/>
            </w:r>
          </w:hyperlink>
        </w:p>
        <w:p w14:paraId="1519789F" w14:textId="77777777" w:rsidR="00F12682" w:rsidRDefault="00B83528">
          <w:pPr>
            <w:pStyle w:val="TM3"/>
            <w:tabs>
              <w:tab w:val="left" w:pos="1320"/>
              <w:tab w:val="right" w:leader="dot" w:pos="9062"/>
            </w:tabs>
            <w:rPr>
              <w:rFonts w:eastAsiaTheme="minorEastAsia"/>
              <w:noProof/>
              <w:lang w:eastAsia="fr-FR"/>
            </w:rPr>
          </w:pPr>
          <w:hyperlink w:anchor="_Toc529305018" w:history="1">
            <w:r w:rsidR="00F12682" w:rsidRPr="00EE5AA0">
              <w:rPr>
                <w:rStyle w:val="Lienhypertexte"/>
                <w:rFonts w:cstheme="minorHAnsi"/>
                <w:noProof/>
              </w:rPr>
              <w:t>3.2.3</w:t>
            </w:r>
            <w:r w:rsidR="00F12682">
              <w:rPr>
                <w:rFonts w:eastAsiaTheme="minorEastAsia"/>
                <w:noProof/>
                <w:lang w:eastAsia="fr-FR"/>
              </w:rPr>
              <w:tab/>
            </w:r>
            <w:r w:rsidR="00F12682" w:rsidRPr="00EE5AA0">
              <w:rPr>
                <w:rStyle w:val="Lienhypertexte"/>
                <w:rFonts w:cstheme="minorHAnsi"/>
                <w:noProof/>
              </w:rPr>
              <w:t>Ministère de l’Environnement et de Développement Durable (MEDD)</w:t>
            </w:r>
            <w:r w:rsidR="00F12682">
              <w:rPr>
                <w:noProof/>
                <w:webHidden/>
              </w:rPr>
              <w:tab/>
            </w:r>
            <w:r w:rsidR="00F12682">
              <w:rPr>
                <w:noProof/>
                <w:webHidden/>
              </w:rPr>
              <w:fldChar w:fldCharType="begin"/>
            </w:r>
            <w:r w:rsidR="00F12682">
              <w:rPr>
                <w:noProof/>
                <w:webHidden/>
              </w:rPr>
              <w:instrText xml:space="preserve"> PAGEREF _Toc529305018 \h </w:instrText>
            </w:r>
            <w:r w:rsidR="00F12682">
              <w:rPr>
                <w:noProof/>
                <w:webHidden/>
              </w:rPr>
            </w:r>
            <w:r w:rsidR="00F12682">
              <w:rPr>
                <w:noProof/>
                <w:webHidden/>
              </w:rPr>
              <w:fldChar w:fldCharType="separate"/>
            </w:r>
            <w:r w:rsidR="001C37F0">
              <w:rPr>
                <w:noProof/>
                <w:webHidden/>
              </w:rPr>
              <w:t>19</w:t>
            </w:r>
            <w:r w:rsidR="00F12682">
              <w:rPr>
                <w:noProof/>
                <w:webHidden/>
              </w:rPr>
              <w:fldChar w:fldCharType="end"/>
            </w:r>
          </w:hyperlink>
        </w:p>
        <w:p w14:paraId="0D3530ED" w14:textId="77777777" w:rsidR="00F12682" w:rsidRDefault="00B83528">
          <w:pPr>
            <w:pStyle w:val="TM3"/>
            <w:tabs>
              <w:tab w:val="left" w:pos="1320"/>
              <w:tab w:val="right" w:leader="dot" w:pos="9062"/>
            </w:tabs>
            <w:rPr>
              <w:rFonts w:eastAsiaTheme="minorEastAsia"/>
              <w:noProof/>
              <w:lang w:eastAsia="fr-FR"/>
            </w:rPr>
          </w:pPr>
          <w:hyperlink w:anchor="_Toc529305019" w:history="1">
            <w:r w:rsidR="00F12682" w:rsidRPr="00EE5AA0">
              <w:rPr>
                <w:rStyle w:val="Lienhypertexte"/>
                <w:rFonts w:cstheme="minorHAnsi"/>
                <w:noProof/>
              </w:rPr>
              <w:t>3.2.4</w:t>
            </w:r>
            <w:r w:rsidR="00F12682">
              <w:rPr>
                <w:rFonts w:eastAsiaTheme="minorEastAsia"/>
                <w:noProof/>
                <w:lang w:eastAsia="fr-FR"/>
              </w:rPr>
              <w:tab/>
            </w:r>
            <w:r w:rsidR="00F12682" w:rsidRPr="00EE5AA0">
              <w:rPr>
                <w:rStyle w:val="Lienhypertexte"/>
                <w:rFonts w:cstheme="minorHAnsi"/>
                <w:noProof/>
              </w:rPr>
              <w:t>Ministère de l’Hydraulique et de l’Assainissement (MHA)</w:t>
            </w:r>
            <w:r w:rsidR="00F12682">
              <w:rPr>
                <w:noProof/>
                <w:webHidden/>
              </w:rPr>
              <w:tab/>
            </w:r>
            <w:r w:rsidR="00F12682">
              <w:rPr>
                <w:noProof/>
                <w:webHidden/>
              </w:rPr>
              <w:fldChar w:fldCharType="begin"/>
            </w:r>
            <w:r w:rsidR="00F12682">
              <w:rPr>
                <w:noProof/>
                <w:webHidden/>
              </w:rPr>
              <w:instrText xml:space="preserve"> PAGEREF _Toc529305019 \h </w:instrText>
            </w:r>
            <w:r w:rsidR="00F12682">
              <w:rPr>
                <w:noProof/>
                <w:webHidden/>
              </w:rPr>
            </w:r>
            <w:r w:rsidR="00F12682">
              <w:rPr>
                <w:noProof/>
                <w:webHidden/>
              </w:rPr>
              <w:fldChar w:fldCharType="separate"/>
            </w:r>
            <w:r w:rsidR="001C37F0">
              <w:rPr>
                <w:noProof/>
                <w:webHidden/>
              </w:rPr>
              <w:t>20</w:t>
            </w:r>
            <w:r w:rsidR="00F12682">
              <w:rPr>
                <w:noProof/>
                <w:webHidden/>
              </w:rPr>
              <w:fldChar w:fldCharType="end"/>
            </w:r>
          </w:hyperlink>
        </w:p>
        <w:p w14:paraId="4CA29A50" w14:textId="77777777" w:rsidR="00F12682" w:rsidRDefault="00B83528">
          <w:pPr>
            <w:pStyle w:val="TM3"/>
            <w:tabs>
              <w:tab w:val="left" w:pos="1320"/>
              <w:tab w:val="right" w:leader="dot" w:pos="9062"/>
            </w:tabs>
            <w:rPr>
              <w:rFonts w:eastAsiaTheme="minorEastAsia"/>
              <w:noProof/>
              <w:lang w:eastAsia="fr-FR"/>
            </w:rPr>
          </w:pPr>
          <w:hyperlink w:anchor="_Toc529305020" w:history="1">
            <w:r w:rsidR="00F12682" w:rsidRPr="00EE5AA0">
              <w:rPr>
                <w:rStyle w:val="Lienhypertexte"/>
                <w:rFonts w:cstheme="minorHAnsi"/>
                <w:noProof/>
              </w:rPr>
              <w:t>3.2.5</w:t>
            </w:r>
            <w:r w:rsidR="00F12682">
              <w:rPr>
                <w:rFonts w:eastAsiaTheme="minorEastAsia"/>
                <w:noProof/>
                <w:lang w:eastAsia="fr-FR"/>
              </w:rPr>
              <w:tab/>
            </w:r>
            <w:r w:rsidR="00F12682" w:rsidRPr="00EE5AA0">
              <w:rPr>
                <w:rStyle w:val="Lienhypertexte"/>
                <w:rFonts w:cstheme="minorHAnsi"/>
                <w:noProof/>
              </w:rPr>
              <w:t>Ministère du Commerce et de la Promotion du secteur Privé (MC/PSP)</w:t>
            </w:r>
            <w:r w:rsidR="00F12682">
              <w:rPr>
                <w:noProof/>
                <w:webHidden/>
              </w:rPr>
              <w:tab/>
            </w:r>
            <w:r w:rsidR="00F12682">
              <w:rPr>
                <w:noProof/>
                <w:webHidden/>
              </w:rPr>
              <w:fldChar w:fldCharType="begin"/>
            </w:r>
            <w:r w:rsidR="00F12682">
              <w:rPr>
                <w:noProof/>
                <w:webHidden/>
              </w:rPr>
              <w:instrText xml:space="preserve"> PAGEREF _Toc529305020 \h </w:instrText>
            </w:r>
            <w:r w:rsidR="00F12682">
              <w:rPr>
                <w:noProof/>
                <w:webHidden/>
              </w:rPr>
            </w:r>
            <w:r w:rsidR="00F12682">
              <w:rPr>
                <w:noProof/>
                <w:webHidden/>
              </w:rPr>
              <w:fldChar w:fldCharType="separate"/>
            </w:r>
            <w:r w:rsidR="001C37F0">
              <w:rPr>
                <w:noProof/>
                <w:webHidden/>
              </w:rPr>
              <w:t>22</w:t>
            </w:r>
            <w:r w:rsidR="00F12682">
              <w:rPr>
                <w:noProof/>
                <w:webHidden/>
              </w:rPr>
              <w:fldChar w:fldCharType="end"/>
            </w:r>
          </w:hyperlink>
        </w:p>
        <w:p w14:paraId="1506BAF8" w14:textId="77777777" w:rsidR="00F12682" w:rsidRDefault="00B83528">
          <w:pPr>
            <w:pStyle w:val="TM3"/>
            <w:tabs>
              <w:tab w:val="left" w:pos="1320"/>
              <w:tab w:val="right" w:leader="dot" w:pos="9062"/>
            </w:tabs>
            <w:rPr>
              <w:rFonts w:eastAsiaTheme="minorEastAsia"/>
              <w:noProof/>
              <w:lang w:eastAsia="fr-FR"/>
            </w:rPr>
          </w:pPr>
          <w:hyperlink w:anchor="_Toc529305021" w:history="1">
            <w:r w:rsidR="00F12682" w:rsidRPr="00EE5AA0">
              <w:rPr>
                <w:rStyle w:val="Lienhypertexte"/>
                <w:rFonts w:cstheme="minorHAnsi"/>
                <w:noProof/>
              </w:rPr>
              <w:t>3.2.6</w:t>
            </w:r>
            <w:r w:rsidR="00F12682">
              <w:rPr>
                <w:rFonts w:eastAsiaTheme="minorEastAsia"/>
                <w:noProof/>
                <w:lang w:eastAsia="fr-FR"/>
              </w:rPr>
              <w:tab/>
            </w:r>
            <w:r w:rsidR="00F12682" w:rsidRPr="00EE5AA0">
              <w:rPr>
                <w:rStyle w:val="Lienhypertexte"/>
                <w:rFonts w:cstheme="minorHAnsi"/>
                <w:noProof/>
              </w:rPr>
              <w:t>Dispositif National de Prévention et de Gestion des Crises Alimentaires (DNPGCA)</w:t>
            </w:r>
            <w:r w:rsidR="00F12682">
              <w:rPr>
                <w:noProof/>
                <w:webHidden/>
              </w:rPr>
              <w:tab/>
            </w:r>
            <w:r w:rsidR="00F12682">
              <w:rPr>
                <w:noProof/>
                <w:webHidden/>
              </w:rPr>
              <w:fldChar w:fldCharType="begin"/>
            </w:r>
            <w:r w:rsidR="00F12682">
              <w:rPr>
                <w:noProof/>
                <w:webHidden/>
              </w:rPr>
              <w:instrText xml:space="preserve"> PAGEREF _Toc529305021 \h </w:instrText>
            </w:r>
            <w:r w:rsidR="00F12682">
              <w:rPr>
                <w:noProof/>
                <w:webHidden/>
              </w:rPr>
            </w:r>
            <w:r w:rsidR="00F12682">
              <w:rPr>
                <w:noProof/>
                <w:webHidden/>
              </w:rPr>
              <w:fldChar w:fldCharType="separate"/>
            </w:r>
            <w:r w:rsidR="001C37F0">
              <w:rPr>
                <w:noProof/>
                <w:webHidden/>
              </w:rPr>
              <w:t>24</w:t>
            </w:r>
            <w:r w:rsidR="00F12682">
              <w:rPr>
                <w:noProof/>
                <w:webHidden/>
              </w:rPr>
              <w:fldChar w:fldCharType="end"/>
            </w:r>
          </w:hyperlink>
        </w:p>
        <w:p w14:paraId="3E3F6FA5" w14:textId="77777777" w:rsidR="00F12682" w:rsidRDefault="00B83528">
          <w:pPr>
            <w:pStyle w:val="TM3"/>
            <w:tabs>
              <w:tab w:val="left" w:pos="1320"/>
              <w:tab w:val="right" w:leader="dot" w:pos="9062"/>
            </w:tabs>
            <w:rPr>
              <w:rFonts w:eastAsiaTheme="minorEastAsia"/>
              <w:noProof/>
              <w:lang w:eastAsia="fr-FR"/>
            </w:rPr>
          </w:pPr>
          <w:hyperlink w:anchor="_Toc529305022" w:history="1">
            <w:r w:rsidR="00F12682" w:rsidRPr="00EE5AA0">
              <w:rPr>
                <w:rStyle w:val="Lienhypertexte"/>
                <w:rFonts w:cstheme="minorHAnsi"/>
                <w:noProof/>
              </w:rPr>
              <w:t>3.2.7</w:t>
            </w:r>
            <w:r w:rsidR="00F12682">
              <w:rPr>
                <w:rFonts w:eastAsiaTheme="minorEastAsia"/>
                <w:noProof/>
                <w:lang w:eastAsia="fr-FR"/>
              </w:rPr>
              <w:tab/>
            </w:r>
            <w:r w:rsidR="00F12682" w:rsidRPr="00EE5AA0">
              <w:rPr>
                <w:rStyle w:val="Lienhypertexte"/>
                <w:rFonts w:cstheme="minorHAnsi"/>
                <w:noProof/>
              </w:rPr>
              <w:t>Ministère des Actions humanitaires et de la Gestion des Catastrophes (MAH/GC)</w:t>
            </w:r>
            <w:r w:rsidR="00F12682">
              <w:rPr>
                <w:noProof/>
                <w:webHidden/>
              </w:rPr>
              <w:tab/>
            </w:r>
            <w:r w:rsidR="00F12682">
              <w:rPr>
                <w:noProof/>
                <w:webHidden/>
              </w:rPr>
              <w:fldChar w:fldCharType="begin"/>
            </w:r>
            <w:r w:rsidR="00F12682">
              <w:rPr>
                <w:noProof/>
                <w:webHidden/>
              </w:rPr>
              <w:instrText xml:space="preserve"> PAGEREF _Toc529305022 \h </w:instrText>
            </w:r>
            <w:r w:rsidR="00F12682">
              <w:rPr>
                <w:noProof/>
                <w:webHidden/>
              </w:rPr>
            </w:r>
            <w:r w:rsidR="00F12682">
              <w:rPr>
                <w:noProof/>
                <w:webHidden/>
              </w:rPr>
              <w:fldChar w:fldCharType="separate"/>
            </w:r>
            <w:r w:rsidR="001C37F0">
              <w:rPr>
                <w:noProof/>
                <w:webHidden/>
              </w:rPr>
              <w:t>27</w:t>
            </w:r>
            <w:r w:rsidR="00F12682">
              <w:rPr>
                <w:noProof/>
                <w:webHidden/>
              </w:rPr>
              <w:fldChar w:fldCharType="end"/>
            </w:r>
          </w:hyperlink>
        </w:p>
        <w:p w14:paraId="22AAE595" w14:textId="77777777" w:rsidR="00F12682" w:rsidRDefault="00B83528">
          <w:pPr>
            <w:pStyle w:val="TM3"/>
            <w:tabs>
              <w:tab w:val="left" w:pos="1320"/>
              <w:tab w:val="right" w:leader="dot" w:pos="9062"/>
            </w:tabs>
            <w:rPr>
              <w:rFonts w:eastAsiaTheme="minorEastAsia"/>
              <w:noProof/>
              <w:lang w:eastAsia="fr-FR"/>
            </w:rPr>
          </w:pPr>
          <w:hyperlink w:anchor="_Toc529305023" w:history="1">
            <w:r w:rsidR="00F12682" w:rsidRPr="00EE5AA0">
              <w:rPr>
                <w:rStyle w:val="Lienhypertexte"/>
                <w:rFonts w:cstheme="minorHAnsi"/>
                <w:noProof/>
              </w:rPr>
              <w:t>3.2.8</w:t>
            </w:r>
            <w:r w:rsidR="00F12682">
              <w:rPr>
                <w:rFonts w:eastAsiaTheme="minorEastAsia"/>
                <w:noProof/>
                <w:lang w:eastAsia="fr-FR"/>
              </w:rPr>
              <w:tab/>
            </w:r>
            <w:r w:rsidR="00F12682" w:rsidRPr="00EE5AA0">
              <w:rPr>
                <w:rStyle w:val="Lienhypertexte"/>
                <w:rFonts w:cstheme="minorHAnsi"/>
                <w:noProof/>
              </w:rPr>
              <w:t>Direction de la Nutrition du Ministère de la Santé Publique (DN/MSP)</w:t>
            </w:r>
            <w:r w:rsidR="00F12682">
              <w:rPr>
                <w:noProof/>
                <w:webHidden/>
              </w:rPr>
              <w:tab/>
            </w:r>
            <w:r w:rsidR="00F12682">
              <w:rPr>
                <w:noProof/>
                <w:webHidden/>
              </w:rPr>
              <w:fldChar w:fldCharType="begin"/>
            </w:r>
            <w:r w:rsidR="00F12682">
              <w:rPr>
                <w:noProof/>
                <w:webHidden/>
              </w:rPr>
              <w:instrText xml:space="preserve"> PAGEREF _Toc529305023 \h </w:instrText>
            </w:r>
            <w:r w:rsidR="00F12682">
              <w:rPr>
                <w:noProof/>
                <w:webHidden/>
              </w:rPr>
            </w:r>
            <w:r w:rsidR="00F12682">
              <w:rPr>
                <w:noProof/>
                <w:webHidden/>
              </w:rPr>
              <w:fldChar w:fldCharType="separate"/>
            </w:r>
            <w:r w:rsidR="001C37F0">
              <w:rPr>
                <w:noProof/>
                <w:webHidden/>
              </w:rPr>
              <w:t>28</w:t>
            </w:r>
            <w:r w:rsidR="00F12682">
              <w:rPr>
                <w:noProof/>
                <w:webHidden/>
              </w:rPr>
              <w:fldChar w:fldCharType="end"/>
            </w:r>
          </w:hyperlink>
        </w:p>
        <w:p w14:paraId="11365A67" w14:textId="77777777" w:rsidR="00F12682" w:rsidRDefault="00B83528">
          <w:pPr>
            <w:pStyle w:val="TM3"/>
            <w:tabs>
              <w:tab w:val="left" w:pos="1320"/>
              <w:tab w:val="right" w:leader="dot" w:pos="9062"/>
            </w:tabs>
            <w:rPr>
              <w:rFonts w:eastAsiaTheme="minorEastAsia"/>
              <w:noProof/>
              <w:lang w:eastAsia="fr-FR"/>
            </w:rPr>
          </w:pPr>
          <w:hyperlink w:anchor="_Toc529305024" w:history="1">
            <w:r w:rsidR="00F12682" w:rsidRPr="00EE5AA0">
              <w:rPr>
                <w:rStyle w:val="Lienhypertexte"/>
                <w:rFonts w:cstheme="minorHAnsi"/>
                <w:noProof/>
              </w:rPr>
              <w:t>3.2.9</w:t>
            </w:r>
            <w:r w:rsidR="00F12682">
              <w:rPr>
                <w:rFonts w:eastAsiaTheme="minorEastAsia"/>
                <w:noProof/>
                <w:lang w:eastAsia="fr-FR"/>
              </w:rPr>
              <w:tab/>
            </w:r>
            <w:r w:rsidR="00F12682" w:rsidRPr="00EE5AA0">
              <w:rPr>
                <w:rStyle w:val="Lienhypertexte"/>
                <w:rFonts w:cstheme="minorHAnsi"/>
                <w:noProof/>
              </w:rPr>
              <w:t>Haut-Commissariat à l’Initiative 3N (HC3N)</w:t>
            </w:r>
            <w:r w:rsidR="00F12682">
              <w:rPr>
                <w:noProof/>
                <w:webHidden/>
              </w:rPr>
              <w:tab/>
            </w:r>
            <w:r w:rsidR="00F12682">
              <w:rPr>
                <w:noProof/>
                <w:webHidden/>
              </w:rPr>
              <w:fldChar w:fldCharType="begin"/>
            </w:r>
            <w:r w:rsidR="00F12682">
              <w:rPr>
                <w:noProof/>
                <w:webHidden/>
              </w:rPr>
              <w:instrText xml:space="preserve"> PAGEREF _Toc529305024 \h </w:instrText>
            </w:r>
            <w:r w:rsidR="00F12682">
              <w:rPr>
                <w:noProof/>
                <w:webHidden/>
              </w:rPr>
            </w:r>
            <w:r w:rsidR="00F12682">
              <w:rPr>
                <w:noProof/>
                <w:webHidden/>
              </w:rPr>
              <w:fldChar w:fldCharType="separate"/>
            </w:r>
            <w:r w:rsidR="001C37F0">
              <w:rPr>
                <w:noProof/>
                <w:webHidden/>
              </w:rPr>
              <w:t>30</w:t>
            </w:r>
            <w:r w:rsidR="00F12682">
              <w:rPr>
                <w:noProof/>
                <w:webHidden/>
              </w:rPr>
              <w:fldChar w:fldCharType="end"/>
            </w:r>
          </w:hyperlink>
        </w:p>
        <w:p w14:paraId="6D36C9A7" w14:textId="77777777" w:rsidR="00F12682" w:rsidRDefault="00B83528" w:rsidP="00AA11A9">
          <w:pPr>
            <w:pStyle w:val="TM1"/>
            <w:rPr>
              <w:rFonts w:eastAsiaTheme="minorEastAsia"/>
              <w:noProof/>
              <w:sz w:val="22"/>
              <w:szCs w:val="22"/>
              <w:lang w:eastAsia="fr-FR"/>
            </w:rPr>
          </w:pPr>
          <w:hyperlink w:anchor="_Toc529305025" w:history="1">
            <w:r w:rsidR="00F12682" w:rsidRPr="00EE5AA0">
              <w:rPr>
                <w:rStyle w:val="Lienhypertexte"/>
                <w:rFonts w:cstheme="minorHAnsi"/>
                <w:noProof/>
              </w:rPr>
              <w:t>Chapitre 4 : Prévision et exécution des dépenses publiques</w:t>
            </w:r>
            <w:r w:rsidR="00F12682">
              <w:rPr>
                <w:noProof/>
                <w:webHidden/>
              </w:rPr>
              <w:tab/>
            </w:r>
            <w:r w:rsidR="00F12682">
              <w:rPr>
                <w:noProof/>
                <w:webHidden/>
              </w:rPr>
              <w:fldChar w:fldCharType="begin"/>
            </w:r>
            <w:r w:rsidR="00F12682">
              <w:rPr>
                <w:noProof/>
                <w:webHidden/>
              </w:rPr>
              <w:instrText xml:space="preserve"> PAGEREF _Toc529305025 \h </w:instrText>
            </w:r>
            <w:r w:rsidR="00F12682">
              <w:rPr>
                <w:noProof/>
                <w:webHidden/>
              </w:rPr>
            </w:r>
            <w:r w:rsidR="00F12682">
              <w:rPr>
                <w:noProof/>
                <w:webHidden/>
              </w:rPr>
              <w:fldChar w:fldCharType="separate"/>
            </w:r>
            <w:r w:rsidR="001C37F0">
              <w:rPr>
                <w:noProof/>
                <w:webHidden/>
              </w:rPr>
              <w:t>31</w:t>
            </w:r>
            <w:r w:rsidR="00F12682">
              <w:rPr>
                <w:noProof/>
                <w:webHidden/>
              </w:rPr>
              <w:fldChar w:fldCharType="end"/>
            </w:r>
          </w:hyperlink>
        </w:p>
        <w:p w14:paraId="69E2FA43" w14:textId="77777777" w:rsidR="00F12682" w:rsidRDefault="00B83528" w:rsidP="00AA11A9">
          <w:pPr>
            <w:pStyle w:val="TM2"/>
            <w:rPr>
              <w:rFonts w:eastAsiaTheme="minorEastAsia"/>
              <w:noProof/>
              <w:lang w:eastAsia="fr-FR"/>
            </w:rPr>
          </w:pPr>
          <w:hyperlink w:anchor="_Toc529305026" w:history="1">
            <w:r w:rsidR="00F12682" w:rsidRPr="00EE5AA0">
              <w:rPr>
                <w:rStyle w:val="Lienhypertexte"/>
                <w:rFonts w:cstheme="minorHAnsi"/>
                <w:noProof/>
              </w:rPr>
              <w:t>4.1</w:t>
            </w:r>
            <w:r w:rsidR="00F12682">
              <w:rPr>
                <w:rFonts w:eastAsiaTheme="minorEastAsia"/>
                <w:noProof/>
                <w:lang w:eastAsia="fr-FR"/>
              </w:rPr>
              <w:tab/>
            </w:r>
            <w:r w:rsidR="00F12682" w:rsidRPr="00EE5AA0">
              <w:rPr>
                <w:rStyle w:val="Lienhypertexte"/>
                <w:rFonts w:cstheme="minorHAnsi"/>
                <w:noProof/>
              </w:rPr>
              <w:t>Analyse globale du financement du secteur</w:t>
            </w:r>
            <w:r w:rsidR="00F12682">
              <w:rPr>
                <w:noProof/>
                <w:webHidden/>
              </w:rPr>
              <w:tab/>
            </w:r>
            <w:r w:rsidR="00F12682">
              <w:rPr>
                <w:noProof/>
                <w:webHidden/>
              </w:rPr>
              <w:fldChar w:fldCharType="begin"/>
            </w:r>
            <w:r w:rsidR="00F12682">
              <w:rPr>
                <w:noProof/>
                <w:webHidden/>
              </w:rPr>
              <w:instrText xml:space="preserve"> PAGEREF _Toc529305026 \h </w:instrText>
            </w:r>
            <w:r w:rsidR="00F12682">
              <w:rPr>
                <w:noProof/>
                <w:webHidden/>
              </w:rPr>
            </w:r>
            <w:r w:rsidR="00F12682">
              <w:rPr>
                <w:noProof/>
                <w:webHidden/>
              </w:rPr>
              <w:fldChar w:fldCharType="separate"/>
            </w:r>
            <w:r w:rsidR="001C37F0">
              <w:rPr>
                <w:noProof/>
                <w:webHidden/>
              </w:rPr>
              <w:t>31</w:t>
            </w:r>
            <w:r w:rsidR="00F12682">
              <w:rPr>
                <w:noProof/>
                <w:webHidden/>
              </w:rPr>
              <w:fldChar w:fldCharType="end"/>
            </w:r>
          </w:hyperlink>
        </w:p>
        <w:p w14:paraId="43A7BA13" w14:textId="77777777" w:rsidR="00F12682" w:rsidRDefault="00B83528">
          <w:pPr>
            <w:pStyle w:val="TM3"/>
            <w:tabs>
              <w:tab w:val="left" w:pos="1320"/>
              <w:tab w:val="right" w:leader="dot" w:pos="9062"/>
            </w:tabs>
            <w:rPr>
              <w:rFonts w:eastAsiaTheme="minorEastAsia"/>
              <w:noProof/>
              <w:lang w:eastAsia="fr-FR"/>
            </w:rPr>
          </w:pPr>
          <w:hyperlink w:anchor="_Toc529305027" w:history="1">
            <w:r w:rsidR="00F12682" w:rsidRPr="00EE5AA0">
              <w:rPr>
                <w:rStyle w:val="Lienhypertexte"/>
                <w:rFonts w:cstheme="minorHAnsi"/>
                <w:noProof/>
              </w:rPr>
              <w:t>4.1.1</w:t>
            </w:r>
            <w:r w:rsidR="00F12682">
              <w:rPr>
                <w:rFonts w:eastAsiaTheme="minorEastAsia"/>
                <w:noProof/>
                <w:lang w:eastAsia="fr-FR"/>
              </w:rPr>
              <w:tab/>
            </w:r>
            <w:r w:rsidR="00F12682" w:rsidRPr="00EE5AA0">
              <w:rPr>
                <w:rStyle w:val="Lienhypertexte"/>
                <w:rFonts w:cstheme="minorHAnsi"/>
                <w:noProof/>
              </w:rPr>
              <w:t>Analyse de l’évolution et de la pertinence des allocations budgétaires du secteur (financement global) par rapport aux priorités</w:t>
            </w:r>
            <w:r w:rsidR="00F12682">
              <w:rPr>
                <w:noProof/>
                <w:webHidden/>
              </w:rPr>
              <w:tab/>
            </w:r>
            <w:r w:rsidR="00F12682">
              <w:rPr>
                <w:noProof/>
                <w:webHidden/>
              </w:rPr>
              <w:fldChar w:fldCharType="begin"/>
            </w:r>
            <w:r w:rsidR="00F12682">
              <w:rPr>
                <w:noProof/>
                <w:webHidden/>
              </w:rPr>
              <w:instrText xml:space="preserve"> PAGEREF _Toc529305027 \h </w:instrText>
            </w:r>
            <w:r w:rsidR="00F12682">
              <w:rPr>
                <w:noProof/>
                <w:webHidden/>
              </w:rPr>
            </w:r>
            <w:r w:rsidR="00F12682">
              <w:rPr>
                <w:noProof/>
                <w:webHidden/>
              </w:rPr>
              <w:fldChar w:fldCharType="separate"/>
            </w:r>
            <w:r w:rsidR="001C37F0">
              <w:rPr>
                <w:noProof/>
                <w:webHidden/>
              </w:rPr>
              <w:t>31</w:t>
            </w:r>
            <w:r w:rsidR="00F12682">
              <w:rPr>
                <w:noProof/>
                <w:webHidden/>
              </w:rPr>
              <w:fldChar w:fldCharType="end"/>
            </w:r>
          </w:hyperlink>
        </w:p>
        <w:p w14:paraId="149A4DA9" w14:textId="77777777" w:rsidR="00F12682" w:rsidRDefault="00B83528">
          <w:pPr>
            <w:pStyle w:val="TM3"/>
            <w:tabs>
              <w:tab w:val="left" w:pos="1320"/>
              <w:tab w:val="right" w:leader="dot" w:pos="9062"/>
            </w:tabs>
            <w:rPr>
              <w:rFonts w:eastAsiaTheme="minorEastAsia"/>
              <w:noProof/>
              <w:lang w:eastAsia="fr-FR"/>
            </w:rPr>
          </w:pPr>
          <w:hyperlink w:anchor="_Toc529305028" w:history="1">
            <w:r w:rsidR="00F12682" w:rsidRPr="00EE5AA0">
              <w:rPr>
                <w:rStyle w:val="Lienhypertexte"/>
                <w:rFonts w:cstheme="minorHAnsi"/>
                <w:noProof/>
              </w:rPr>
              <w:t>4.1.2</w:t>
            </w:r>
            <w:r w:rsidR="00F12682">
              <w:rPr>
                <w:rFonts w:eastAsiaTheme="minorEastAsia"/>
                <w:noProof/>
                <w:lang w:eastAsia="fr-FR"/>
              </w:rPr>
              <w:tab/>
            </w:r>
            <w:r w:rsidR="00F12682" w:rsidRPr="00EE5AA0">
              <w:rPr>
                <w:rStyle w:val="Lienhypertexte"/>
                <w:rFonts w:cstheme="minorHAnsi"/>
                <w:noProof/>
              </w:rPr>
              <w:t>Analyse des niveaux l’exécution des dépenses par rapport aux prévisions</w:t>
            </w:r>
            <w:r w:rsidR="00F12682">
              <w:rPr>
                <w:noProof/>
                <w:webHidden/>
              </w:rPr>
              <w:tab/>
            </w:r>
            <w:r w:rsidR="00F12682">
              <w:rPr>
                <w:noProof/>
                <w:webHidden/>
              </w:rPr>
              <w:fldChar w:fldCharType="begin"/>
            </w:r>
            <w:r w:rsidR="00F12682">
              <w:rPr>
                <w:noProof/>
                <w:webHidden/>
              </w:rPr>
              <w:instrText xml:space="preserve"> PAGEREF _Toc529305028 \h </w:instrText>
            </w:r>
            <w:r w:rsidR="00F12682">
              <w:rPr>
                <w:noProof/>
                <w:webHidden/>
              </w:rPr>
            </w:r>
            <w:r w:rsidR="00F12682">
              <w:rPr>
                <w:noProof/>
                <w:webHidden/>
              </w:rPr>
              <w:fldChar w:fldCharType="separate"/>
            </w:r>
            <w:r w:rsidR="001C37F0">
              <w:rPr>
                <w:noProof/>
                <w:webHidden/>
              </w:rPr>
              <w:t>31</w:t>
            </w:r>
            <w:r w:rsidR="00F12682">
              <w:rPr>
                <w:noProof/>
                <w:webHidden/>
              </w:rPr>
              <w:fldChar w:fldCharType="end"/>
            </w:r>
          </w:hyperlink>
        </w:p>
        <w:p w14:paraId="7EA20F4D" w14:textId="77777777" w:rsidR="00F12682" w:rsidRDefault="00B83528">
          <w:pPr>
            <w:pStyle w:val="TM3"/>
            <w:tabs>
              <w:tab w:val="left" w:pos="1320"/>
              <w:tab w:val="right" w:leader="dot" w:pos="9062"/>
            </w:tabs>
            <w:rPr>
              <w:rFonts w:eastAsiaTheme="minorEastAsia"/>
              <w:noProof/>
              <w:lang w:eastAsia="fr-FR"/>
            </w:rPr>
          </w:pPr>
          <w:hyperlink w:anchor="_Toc529305029" w:history="1">
            <w:r w:rsidR="00F12682" w:rsidRPr="00EE5AA0">
              <w:rPr>
                <w:rStyle w:val="Lienhypertexte"/>
                <w:rFonts w:cstheme="minorHAnsi"/>
                <w:noProof/>
              </w:rPr>
              <w:t>4.1.3</w:t>
            </w:r>
            <w:r w:rsidR="00F12682">
              <w:rPr>
                <w:rFonts w:eastAsiaTheme="minorEastAsia"/>
                <w:noProof/>
                <w:lang w:eastAsia="fr-FR"/>
              </w:rPr>
              <w:tab/>
            </w:r>
            <w:r w:rsidR="00F12682" w:rsidRPr="00EE5AA0">
              <w:rPr>
                <w:rStyle w:val="Lienhypertexte"/>
                <w:rFonts w:cstheme="minorHAnsi"/>
                <w:noProof/>
              </w:rPr>
              <w:t>Analyse de la capacité d’absorption des financements</w:t>
            </w:r>
            <w:r w:rsidR="00F12682">
              <w:rPr>
                <w:noProof/>
                <w:webHidden/>
              </w:rPr>
              <w:tab/>
            </w:r>
            <w:r w:rsidR="00F12682">
              <w:rPr>
                <w:noProof/>
                <w:webHidden/>
              </w:rPr>
              <w:fldChar w:fldCharType="begin"/>
            </w:r>
            <w:r w:rsidR="00F12682">
              <w:rPr>
                <w:noProof/>
                <w:webHidden/>
              </w:rPr>
              <w:instrText xml:space="preserve"> PAGEREF _Toc529305029 \h </w:instrText>
            </w:r>
            <w:r w:rsidR="00F12682">
              <w:rPr>
                <w:noProof/>
                <w:webHidden/>
              </w:rPr>
            </w:r>
            <w:r w:rsidR="00F12682">
              <w:rPr>
                <w:noProof/>
                <w:webHidden/>
              </w:rPr>
              <w:fldChar w:fldCharType="separate"/>
            </w:r>
            <w:r w:rsidR="001C37F0">
              <w:rPr>
                <w:noProof/>
                <w:webHidden/>
              </w:rPr>
              <w:t>32</w:t>
            </w:r>
            <w:r w:rsidR="00F12682">
              <w:rPr>
                <w:noProof/>
                <w:webHidden/>
              </w:rPr>
              <w:fldChar w:fldCharType="end"/>
            </w:r>
          </w:hyperlink>
        </w:p>
        <w:p w14:paraId="2A32050B" w14:textId="77777777" w:rsidR="00F12682" w:rsidRDefault="00B83528" w:rsidP="00AA11A9">
          <w:pPr>
            <w:pStyle w:val="TM2"/>
            <w:rPr>
              <w:rFonts w:eastAsiaTheme="minorEastAsia"/>
              <w:noProof/>
              <w:lang w:eastAsia="fr-FR"/>
            </w:rPr>
          </w:pPr>
          <w:hyperlink w:anchor="_Toc529305030" w:history="1">
            <w:r w:rsidR="00F12682" w:rsidRPr="00EE5AA0">
              <w:rPr>
                <w:rStyle w:val="Lienhypertexte"/>
                <w:rFonts w:cstheme="minorHAnsi"/>
                <w:noProof/>
              </w:rPr>
              <w:t>4.2</w:t>
            </w:r>
            <w:r w:rsidR="00F12682">
              <w:rPr>
                <w:rFonts w:eastAsiaTheme="minorEastAsia"/>
                <w:noProof/>
                <w:lang w:eastAsia="fr-FR"/>
              </w:rPr>
              <w:tab/>
            </w:r>
            <w:r w:rsidR="00F12682" w:rsidRPr="00EE5AA0">
              <w:rPr>
                <w:rStyle w:val="Lienhypertexte"/>
                <w:rFonts w:cstheme="minorHAnsi"/>
                <w:noProof/>
              </w:rPr>
              <w:t>Analyse des spécificités de chaque acteur institutionnel</w:t>
            </w:r>
            <w:r w:rsidR="00F12682">
              <w:rPr>
                <w:noProof/>
                <w:webHidden/>
              </w:rPr>
              <w:tab/>
            </w:r>
            <w:r w:rsidR="00F12682">
              <w:rPr>
                <w:noProof/>
                <w:webHidden/>
              </w:rPr>
              <w:fldChar w:fldCharType="begin"/>
            </w:r>
            <w:r w:rsidR="00F12682">
              <w:rPr>
                <w:noProof/>
                <w:webHidden/>
              </w:rPr>
              <w:instrText xml:space="preserve"> PAGEREF _Toc529305030 \h </w:instrText>
            </w:r>
            <w:r w:rsidR="00F12682">
              <w:rPr>
                <w:noProof/>
                <w:webHidden/>
              </w:rPr>
            </w:r>
            <w:r w:rsidR="00F12682">
              <w:rPr>
                <w:noProof/>
                <w:webHidden/>
              </w:rPr>
              <w:fldChar w:fldCharType="separate"/>
            </w:r>
            <w:r w:rsidR="001C37F0">
              <w:rPr>
                <w:noProof/>
                <w:webHidden/>
              </w:rPr>
              <w:t>32</w:t>
            </w:r>
            <w:r w:rsidR="00F12682">
              <w:rPr>
                <w:noProof/>
                <w:webHidden/>
              </w:rPr>
              <w:fldChar w:fldCharType="end"/>
            </w:r>
          </w:hyperlink>
        </w:p>
        <w:p w14:paraId="5BF84B70" w14:textId="77777777" w:rsidR="00F12682" w:rsidRDefault="00B83528">
          <w:pPr>
            <w:pStyle w:val="TM3"/>
            <w:tabs>
              <w:tab w:val="left" w:pos="1320"/>
              <w:tab w:val="right" w:leader="dot" w:pos="9062"/>
            </w:tabs>
            <w:rPr>
              <w:rFonts w:eastAsiaTheme="minorEastAsia"/>
              <w:noProof/>
              <w:lang w:eastAsia="fr-FR"/>
            </w:rPr>
          </w:pPr>
          <w:hyperlink w:anchor="_Toc529305031" w:history="1">
            <w:r w:rsidR="00F12682" w:rsidRPr="00EE5AA0">
              <w:rPr>
                <w:rStyle w:val="Lienhypertexte"/>
                <w:rFonts w:cstheme="minorHAnsi"/>
                <w:noProof/>
              </w:rPr>
              <w:t>4.2.1</w:t>
            </w:r>
            <w:r w:rsidR="00F12682">
              <w:rPr>
                <w:rFonts w:eastAsiaTheme="minorEastAsia"/>
                <w:noProof/>
                <w:lang w:eastAsia="fr-FR"/>
              </w:rPr>
              <w:tab/>
            </w:r>
            <w:r w:rsidR="00F12682" w:rsidRPr="00EE5AA0">
              <w:rPr>
                <w:rStyle w:val="Lienhypertexte"/>
                <w:rFonts w:cstheme="minorHAnsi"/>
                <w:noProof/>
              </w:rPr>
              <w:t>Ministère de l’Agriculture (MAG)</w:t>
            </w:r>
            <w:r w:rsidR="00F12682">
              <w:rPr>
                <w:noProof/>
                <w:webHidden/>
              </w:rPr>
              <w:tab/>
            </w:r>
            <w:r w:rsidR="00F12682">
              <w:rPr>
                <w:noProof/>
                <w:webHidden/>
              </w:rPr>
              <w:fldChar w:fldCharType="begin"/>
            </w:r>
            <w:r w:rsidR="00F12682">
              <w:rPr>
                <w:noProof/>
                <w:webHidden/>
              </w:rPr>
              <w:instrText xml:space="preserve"> PAGEREF _Toc529305031 \h </w:instrText>
            </w:r>
            <w:r w:rsidR="00F12682">
              <w:rPr>
                <w:noProof/>
                <w:webHidden/>
              </w:rPr>
            </w:r>
            <w:r w:rsidR="00F12682">
              <w:rPr>
                <w:noProof/>
                <w:webHidden/>
              </w:rPr>
              <w:fldChar w:fldCharType="separate"/>
            </w:r>
            <w:r w:rsidR="001C37F0">
              <w:rPr>
                <w:noProof/>
                <w:webHidden/>
              </w:rPr>
              <w:t>32</w:t>
            </w:r>
            <w:r w:rsidR="00F12682">
              <w:rPr>
                <w:noProof/>
                <w:webHidden/>
              </w:rPr>
              <w:fldChar w:fldCharType="end"/>
            </w:r>
          </w:hyperlink>
        </w:p>
        <w:p w14:paraId="5F72FCB9" w14:textId="77777777" w:rsidR="00F12682" w:rsidRDefault="00B83528">
          <w:pPr>
            <w:pStyle w:val="TM3"/>
            <w:tabs>
              <w:tab w:val="left" w:pos="1320"/>
              <w:tab w:val="right" w:leader="dot" w:pos="9062"/>
            </w:tabs>
            <w:rPr>
              <w:rFonts w:eastAsiaTheme="minorEastAsia"/>
              <w:noProof/>
              <w:lang w:eastAsia="fr-FR"/>
            </w:rPr>
          </w:pPr>
          <w:hyperlink w:anchor="_Toc529305032" w:history="1">
            <w:r w:rsidR="00F12682" w:rsidRPr="00EE5AA0">
              <w:rPr>
                <w:rStyle w:val="Lienhypertexte"/>
                <w:rFonts w:cstheme="minorHAnsi"/>
                <w:noProof/>
              </w:rPr>
              <w:t>4.2.2</w:t>
            </w:r>
            <w:r w:rsidR="00F12682">
              <w:rPr>
                <w:rFonts w:eastAsiaTheme="minorEastAsia"/>
                <w:noProof/>
                <w:lang w:eastAsia="fr-FR"/>
              </w:rPr>
              <w:tab/>
            </w:r>
            <w:r w:rsidR="00F12682" w:rsidRPr="00EE5AA0">
              <w:rPr>
                <w:rStyle w:val="Lienhypertexte"/>
                <w:rFonts w:cstheme="minorHAnsi"/>
                <w:noProof/>
              </w:rPr>
              <w:t>Ministère de l’Elevage (MEL)</w:t>
            </w:r>
            <w:r w:rsidR="00F12682">
              <w:rPr>
                <w:noProof/>
                <w:webHidden/>
              </w:rPr>
              <w:tab/>
            </w:r>
            <w:r w:rsidR="00F12682">
              <w:rPr>
                <w:noProof/>
                <w:webHidden/>
              </w:rPr>
              <w:fldChar w:fldCharType="begin"/>
            </w:r>
            <w:r w:rsidR="00F12682">
              <w:rPr>
                <w:noProof/>
                <w:webHidden/>
              </w:rPr>
              <w:instrText xml:space="preserve"> PAGEREF _Toc529305032 \h </w:instrText>
            </w:r>
            <w:r w:rsidR="00F12682">
              <w:rPr>
                <w:noProof/>
                <w:webHidden/>
              </w:rPr>
            </w:r>
            <w:r w:rsidR="00F12682">
              <w:rPr>
                <w:noProof/>
                <w:webHidden/>
              </w:rPr>
              <w:fldChar w:fldCharType="separate"/>
            </w:r>
            <w:r w:rsidR="001C37F0">
              <w:rPr>
                <w:noProof/>
                <w:webHidden/>
              </w:rPr>
              <w:t>34</w:t>
            </w:r>
            <w:r w:rsidR="00F12682">
              <w:rPr>
                <w:noProof/>
                <w:webHidden/>
              </w:rPr>
              <w:fldChar w:fldCharType="end"/>
            </w:r>
          </w:hyperlink>
        </w:p>
        <w:p w14:paraId="59563AC5" w14:textId="77777777" w:rsidR="00F12682" w:rsidRDefault="00B83528">
          <w:pPr>
            <w:pStyle w:val="TM3"/>
            <w:tabs>
              <w:tab w:val="left" w:pos="1320"/>
              <w:tab w:val="right" w:leader="dot" w:pos="9062"/>
            </w:tabs>
            <w:rPr>
              <w:rFonts w:eastAsiaTheme="minorEastAsia"/>
              <w:noProof/>
              <w:lang w:eastAsia="fr-FR"/>
            </w:rPr>
          </w:pPr>
          <w:hyperlink w:anchor="_Toc529305033" w:history="1">
            <w:r w:rsidR="00F12682" w:rsidRPr="00EE5AA0">
              <w:rPr>
                <w:rStyle w:val="Lienhypertexte"/>
                <w:rFonts w:cstheme="minorHAnsi"/>
                <w:noProof/>
              </w:rPr>
              <w:t>4.2.3</w:t>
            </w:r>
            <w:r w:rsidR="00F12682">
              <w:rPr>
                <w:rFonts w:eastAsiaTheme="minorEastAsia"/>
                <w:noProof/>
                <w:lang w:eastAsia="fr-FR"/>
              </w:rPr>
              <w:tab/>
            </w:r>
            <w:r w:rsidR="00F12682" w:rsidRPr="00EE5AA0">
              <w:rPr>
                <w:rStyle w:val="Lienhypertexte"/>
                <w:rFonts w:cstheme="minorHAnsi"/>
                <w:noProof/>
              </w:rPr>
              <w:t>Ministère de l’Environnement et du Développement Durable (MEDD)</w:t>
            </w:r>
            <w:r w:rsidR="00F12682">
              <w:rPr>
                <w:noProof/>
                <w:webHidden/>
              </w:rPr>
              <w:tab/>
            </w:r>
            <w:r w:rsidR="00F12682">
              <w:rPr>
                <w:noProof/>
                <w:webHidden/>
              </w:rPr>
              <w:fldChar w:fldCharType="begin"/>
            </w:r>
            <w:r w:rsidR="00F12682">
              <w:rPr>
                <w:noProof/>
                <w:webHidden/>
              </w:rPr>
              <w:instrText xml:space="preserve"> PAGEREF _Toc529305033 \h </w:instrText>
            </w:r>
            <w:r w:rsidR="00F12682">
              <w:rPr>
                <w:noProof/>
                <w:webHidden/>
              </w:rPr>
            </w:r>
            <w:r w:rsidR="00F12682">
              <w:rPr>
                <w:noProof/>
                <w:webHidden/>
              </w:rPr>
              <w:fldChar w:fldCharType="separate"/>
            </w:r>
            <w:r w:rsidR="001C37F0">
              <w:rPr>
                <w:noProof/>
                <w:webHidden/>
              </w:rPr>
              <w:t>36</w:t>
            </w:r>
            <w:r w:rsidR="00F12682">
              <w:rPr>
                <w:noProof/>
                <w:webHidden/>
              </w:rPr>
              <w:fldChar w:fldCharType="end"/>
            </w:r>
          </w:hyperlink>
        </w:p>
        <w:p w14:paraId="5C19712E" w14:textId="77777777" w:rsidR="00F12682" w:rsidRDefault="00B83528">
          <w:pPr>
            <w:pStyle w:val="TM3"/>
            <w:tabs>
              <w:tab w:val="left" w:pos="1320"/>
              <w:tab w:val="right" w:leader="dot" w:pos="9062"/>
            </w:tabs>
            <w:rPr>
              <w:rFonts w:eastAsiaTheme="minorEastAsia"/>
              <w:noProof/>
              <w:lang w:eastAsia="fr-FR"/>
            </w:rPr>
          </w:pPr>
          <w:hyperlink w:anchor="_Toc529305034" w:history="1">
            <w:r w:rsidR="00F12682" w:rsidRPr="00EE5AA0">
              <w:rPr>
                <w:rStyle w:val="Lienhypertexte"/>
                <w:rFonts w:cstheme="minorHAnsi"/>
                <w:noProof/>
              </w:rPr>
              <w:t>4.2.4</w:t>
            </w:r>
            <w:r w:rsidR="00F12682">
              <w:rPr>
                <w:rFonts w:eastAsiaTheme="minorEastAsia"/>
                <w:noProof/>
                <w:lang w:eastAsia="fr-FR"/>
              </w:rPr>
              <w:tab/>
            </w:r>
            <w:r w:rsidR="00F12682" w:rsidRPr="00EE5AA0">
              <w:rPr>
                <w:rStyle w:val="Lienhypertexte"/>
                <w:rFonts w:cstheme="minorHAnsi"/>
                <w:noProof/>
              </w:rPr>
              <w:t>Ministère de l’Hydraulique et de l’Assainissement (MHA)</w:t>
            </w:r>
            <w:r w:rsidR="00F12682">
              <w:rPr>
                <w:noProof/>
                <w:webHidden/>
              </w:rPr>
              <w:tab/>
            </w:r>
            <w:r w:rsidR="00F12682">
              <w:rPr>
                <w:noProof/>
                <w:webHidden/>
              </w:rPr>
              <w:fldChar w:fldCharType="begin"/>
            </w:r>
            <w:r w:rsidR="00F12682">
              <w:rPr>
                <w:noProof/>
                <w:webHidden/>
              </w:rPr>
              <w:instrText xml:space="preserve"> PAGEREF _Toc529305034 \h </w:instrText>
            </w:r>
            <w:r w:rsidR="00F12682">
              <w:rPr>
                <w:noProof/>
                <w:webHidden/>
              </w:rPr>
            </w:r>
            <w:r w:rsidR="00F12682">
              <w:rPr>
                <w:noProof/>
                <w:webHidden/>
              </w:rPr>
              <w:fldChar w:fldCharType="separate"/>
            </w:r>
            <w:r w:rsidR="001C37F0">
              <w:rPr>
                <w:noProof/>
                <w:webHidden/>
              </w:rPr>
              <w:t>38</w:t>
            </w:r>
            <w:r w:rsidR="00F12682">
              <w:rPr>
                <w:noProof/>
                <w:webHidden/>
              </w:rPr>
              <w:fldChar w:fldCharType="end"/>
            </w:r>
          </w:hyperlink>
        </w:p>
        <w:p w14:paraId="5717D4D7" w14:textId="77777777" w:rsidR="00F12682" w:rsidRDefault="00B83528">
          <w:pPr>
            <w:pStyle w:val="TM3"/>
            <w:tabs>
              <w:tab w:val="left" w:pos="1320"/>
              <w:tab w:val="right" w:leader="dot" w:pos="9062"/>
            </w:tabs>
            <w:rPr>
              <w:rFonts w:eastAsiaTheme="minorEastAsia"/>
              <w:noProof/>
              <w:lang w:eastAsia="fr-FR"/>
            </w:rPr>
          </w:pPr>
          <w:hyperlink w:anchor="_Toc529305035" w:history="1">
            <w:r w:rsidR="00F12682" w:rsidRPr="00EE5AA0">
              <w:rPr>
                <w:rStyle w:val="Lienhypertexte"/>
                <w:rFonts w:cstheme="minorHAnsi"/>
                <w:noProof/>
              </w:rPr>
              <w:t>4.2.5</w:t>
            </w:r>
            <w:r w:rsidR="00F12682">
              <w:rPr>
                <w:rFonts w:eastAsiaTheme="minorEastAsia"/>
                <w:noProof/>
                <w:lang w:eastAsia="fr-FR"/>
              </w:rPr>
              <w:tab/>
            </w:r>
            <w:r w:rsidR="00F12682" w:rsidRPr="00EE5AA0">
              <w:rPr>
                <w:rStyle w:val="Lienhypertexte"/>
                <w:rFonts w:cstheme="minorHAnsi"/>
                <w:noProof/>
              </w:rPr>
              <w:t>Ministère du Commerce et de la Promotion du Secteur Privé (MC/PSP)</w:t>
            </w:r>
            <w:r w:rsidR="00F12682">
              <w:rPr>
                <w:noProof/>
                <w:webHidden/>
              </w:rPr>
              <w:tab/>
            </w:r>
            <w:r w:rsidR="00F12682">
              <w:rPr>
                <w:noProof/>
                <w:webHidden/>
              </w:rPr>
              <w:fldChar w:fldCharType="begin"/>
            </w:r>
            <w:r w:rsidR="00F12682">
              <w:rPr>
                <w:noProof/>
                <w:webHidden/>
              </w:rPr>
              <w:instrText xml:space="preserve"> PAGEREF _Toc529305035 \h </w:instrText>
            </w:r>
            <w:r w:rsidR="00F12682">
              <w:rPr>
                <w:noProof/>
                <w:webHidden/>
              </w:rPr>
            </w:r>
            <w:r w:rsidR="00F12682">
              <w:rPr>
                <w:noProof/>
                <w:webHidden/>
              </w:rPr>
              <w:fldChar w:fldCharType="separate"/>
            </w:r>
            <w:r w:rsidR="001C37F0">
              <w:rPr>
                <w:noProof/>
                <w:webHidden/>
              </w:rPr>
              <w:t>42</w:t>
            </w:r>
            <w:r w:rsidR="00F12682">
              <w:rPr>
                <w:noProof/>
                <w:webHidden/>
              </w:rPr>
              <w:fldChar w:fldCharType="end"/>
            </w:r>
          </w:hyperlink>
        </w:p>
        <w:p w14:paraId="484D21DC" w14:textId="77777777" w:rsidR="00F12682" w:rsidRDefault="00B83528">
          <w:pPr>
            <w:pStyle w:val="TM3"/>
            <w:tabs>
              <w:tab w:val="left" w:pos="1320"/>
              <w:tab w:val="right" w:leader="dot" w:pos="9062"/>
            </w:tabs>
            <w:rPr>
              <w:rFonts w:eastAsiaTheme="minorEastAsia"/>
              <w:noProof/>
              <w:lang w:eastAsia="fr-FR"/>
            </w:rPr>
          </w:pPr>
          <w:hyperlink w:anchor="_Toc529305036" w:history="1">
            <w:r w:rsidR="00F12682" w:rsidRPr="00EE5AA0">
              <w:rPr>
                <w:rStyle w:val="Lienhypertexte"/>
                <w:rFonts w:cstheme="minorHAnsi"/>
                <w:noProof/>
              </w:rPr>
              <w:t>4.2.6</w:t>
            </w:r>
            <w:r w:rsidR="00F12682">
              <w:rPr>
                <w:rFonts w:eastAsiaTheme="minorEastAsia"/>
                <w:noProof/>
                <w:lang w:eastAsia="fr-FR"/>
              </w:rPr>
              <w:tab/>
            </w:r>
            <w:r w:rsidR="00F12682" w:rsidRPr="00EE5AA0">
              <w:rPr>
                <w:rStyle w:val="Lienhypertexte"/>
                <w:rFonts w:cstheme="minorHAnsi"/>
                <w:noProof/>
              </w:rPr>
              <w:t>Dispositif National de Prévention et de Gestion des Crises Alimentaires (DNPGCA)</w:t>
            </w:r>
            <w:r w:rsidR="00F12682">
              <w:rPr>
                <w:noProof/>
                <w:webHidden/>
              </w:rPr>
              <w:tab/>
            </w:r>
            <w:r w:rsidR="00F12682">
              <w:rPr>
                <w:noProof/>
                <w:webHidden/>
              </w:rPr>
              <w:fldChar w:fldCharType="begin"/>
            </w:r>
            <w:r w:rsidR="00F12682">
              <w:rPr>
                <w:noProof/>
                <w:webHidden/>
              </w:rPr>
              <w:instrText xml:space="preserve"> PAGEREF _Toc529305036 \h </w:instrText>
            </w:r>
            <w:r w:rsidR="00F12682">
              <w:rPr>
                <w:noProof/>
                <w:webHidden/>
              </w:rPr>
            </w:r>
            <w:r w:rsidR="00F12682">
              <w:rPr>
                <w:noProof/>
                <w:webHidden/>
              </w:rPr>
              <w:fldChar w:fldCharType="separate"/>
            </w:r>
            <w:r w:rsidR="001C37F0">
              <w:rPr>
                <w:noProof/>
                <w:webHidden/>
              </w:rPr>
              <w:t>46</w:t>
            </w:r>
            <w:r w:rsidR="00F12682">
              <w:rPr>
                <w:noProof/>
                <w:webHidden/>
              </w:rPr>
              <w:fldChar w:fldCharType="end"/>
            </w:r>
          </w:hyperlink>
        </w:p>
        <w:p w14:paraId="5218C206" w14:textId="77777777" w:rsidR="00F12682" w:rsidRDefault="00B83528">
          <w:pPr>
            <w:pStyle w:val="TM3"/>
            <w:tabs>
              <w:tab w:val="left" w:pos="1320"/>
              <w:tab w:val="right" w:leader="dot" w:pos="9062"/>
            </w:tabs>
            <w:rPr>
              <w:rFonts w:eastAsiaTheme="minorEastAsia"/>
              <w:noProof/>
              <w:lang w:eastAsia="fr-FR"/>
            </w:rPr>
          </w:pPr>
          <w:hyperlink w:anchor="_Toc529305037" w:history="1">
            <w:r w:rsidR="00F12682" w:rsidRPr="00EE5AA0">
              <w:rPr>
                <w:rStyle w:val="Lienhypertexte"/>
                <w:rFonts w:cstheme="minorHAnsi"/>
                <w:noProof/>
              </w:rPr>
              <w:t>4.2.7</w:t>
            </w:r>
            <w:r w:rsidR="00F12682">
              <w:rPr>
                <w:rFonts w:eastAsiaTheme="minorEastAsia"/>
                <w:noProof/>
                <w:lang w:eastAsia="fr-FR"/>
              </w:rPr>
              <w:tab/>
            </w:r>
            <w:r w:rsidR="00F12682" w:rsidRPr="00EE5AA0">
              <w:rPr>
                <w:rStyle w:val="Lienhypertexte"/>
                <w:rFonts w:cstheme="minorHAnsi"/>
                <w:noProof/>
              </w:rPr>
              <w:t>Ministère des Actions humanitaires et de la Gestion des Catastrophes (MAH/GC)</w:t>
            </w:r>
            <w:r w:rsidR="00F12682">
              <w:rPr>
                <w:noProof/>
                <w:webHidden/>
              </w:rPr>
              <w:tab/>
            </w:r>
            <w:r w:rsidR="00F12682">
              <w:rPr>
                <w:noProof/>
                <w:webHidden/>
              </w:rPr>
              <w:fldChar w:fldCharType="begin"/>
            </w:r>
            <w:r w:rsidR="00F12682">
              <w:rPr>
                <w:noProof/>
                <w:webHidden/>
              </w:rPr>
              <w:instrText xml:space="preserve"> PAGEREF _Toc529305037 \h </w:instrText>
            </w:r>
            <w:r w:rsidR="00F12682">
              <w:rPr>
                <w:noProof/>
                <w:webHidden/>
              </w:rPr>
            </w:r>
            <w:r w:rsidR="00F12682">
              <w:rPr>
                <w:noProof/>
                <w:webHidden/>
              </w:rPr>
              <w:fldChar w:fldCharType="separate"/>
            </w:r>
            <w:r w:rsidR="001C37F0">
              <w:rPr>
                <w:noProof/>
                <w:webHidden/>
              </w:rPr>
              <w:t>48</w:t>
            </w:r>
            <w:r w:rsidR="00F12682">
              <w:rPr>
                <w:noProof/>
                <w:webHidden/>
              </w:rPr>
              <w:fldChar w:fldCharType="end"/>
            </w:r>
          </w:hyperlink>
        </w:p>
        <w:p w14:paraId="1AD83680" w14:textId="77777777" w:rsidR="00F12682" w:rsidRDefault="00B83528">
          <w:pPr>
            <w:pStyle w:val="TM3"/>
            <w:tabs>
              <w:tab w:val="left" w:pos="1320"/>
              <w:tab w:val="right" w:leader="dot" w:pos="9062"/>
            </w:tabs>
            <w:rPr>
              <w:rFonts w:eastAsiaTheme="minorEastAsia"/>
              <w:noProof/>
              <w:lang w:eastAsia="fr-FR"/>
            </w:rPr>
          </w:pPr>
          <w:hyperlink w:anchor="_Toc529305038" w:history="1">
            <w:r w:rsidR="00F12682" w:rsidRPr="00EE5AA0">
              <w:rPr>
                <w:rStyle w:val="Lienhypertexte"/>
                <w:rFonts w:cstheme="minorHAnsi"/>
                <w:noProof/>
              </w:rPr>
              <w:t>4.2.8</w:t>
            </w:r>
            <w:r w:rsidR="00F12682">
              <w:rPr>
                <w:rFonts w:eastAsiaTheme="minorEastAsia"/>
                <w:noProof/>
                <w:lang w:eastAsia="fr-FR"/>
              </w:rPr>
              <w:tab/>
            </w:r>
            <w:r w:rsidR="00F12682" w:rsidRPr="00EE5AA0">
              <w:rPr>
                <w:rStyle w:val="Lienhypertexte"/>
                <w:rFonts w:cstheme="minorHAnsi"/>
                <w:noProof/>
              </w:rPr>
              <w:t>Directeur de la Nutrition du Ministère de la Santé Publique (DN/MSP)</w:t>
            </w:r>
            <w:r w:rsidR="00F12682">
              <w:rPr>
                <w:noProof/>
                <w:webHidden/>
              </w:rPr>
              <w:tab/>
            </w:r>
            <w:r w:rsidR="00F12682">
              <w:rPr>
                <w:noProof/>
                <w:webHidden/>
              </w:rPr>
              <w:fldChar w:fldCharType="begin"/>
            </w:r>
            <w:r w:rsidR="00F12682">
              <w:rPr>
                <w:noProof/>
                <w:webHidden/>
              </w:rPr>
              <w:instrText xml:space="preserve"> PAGEREF _Toc529305038 \h </w:instrText>
            </w:r>
            <w:r w:rsidR="00F12682">
              <w:rPr>
                <w:noProof/>
                <w:webHidden/>
              </w:rPr>
            </w:r>
            <w:r w:rsidR="00F12682">
              <w:rPr>
                <w:noProof/>
                <w:webHidden/>
              </w:rPr>
              <w:fldChar w:fldCharType="separate"/>
            </w:r>
            <w:r w:rsidR="001C37F0">
              <w:rPr>
                <w:noProof/>
                <w:webHidden/>
              </w:rPr>
              <w:t>50</w:t>
            </w:r>
            <w:r w:rsidR="00F12682">
              <w:rPr>
                <w:noProof/>
                <w:webHidden/>
              </w:rPr>
              <w:fldChar w:fldCharType="end"/>
            </w:r>
          </w:hyperlink>
        </w:p>
        <w:p w14:paraId="73AF8990" w14:textId="77777777" w:rsidR="00F12682" w:rsidRDefault="00B83528">
          <w:pPr>
            <w:pStyle w:val="TM3"/>
            <w:tabs>
              <w:tab w:val="left" w:pos="1320"/>
              <w:tab w:val="right" w:leader="dot" w:pos="9062"/>
            </w:tabs>
            <w:rPr>
              <w:rFonts w:eastAsiaTheme="minorEastAsia"/>
              <w:noProof/>
              <w:lang w:eastAsia="fr-FR"/>
            </w:rPr>
          </w:pPr>
          <w:hyperlink w:anchor="_Toc529305039" w:history="1">
            <w:r w:rsidR="00F12682" w:rsidRPr="00EE5AA0">
              <w:rPr>
                <w:rStyle w:val="Lienhypertexte"/>
                <w:rFonts w:cstheme="minorHAnsi"/>
                <w:noProof/>
              </w:rPr>
              <w:t>4.2.9</w:t>
            </w:r>
            <w:r w:rsidR="00F12682">
              <w:rPr>
                <w:rFonts w:eastAsiaTheme="minorEastAsia"/>
                <w:noProof/>
                <w:lang w:eastAsia="fr-FR"/>
              </w:rPr>
              <w:tab/>
            </w:r>
            <w:r w:rsidR="00F12682" w:rsidRPr="00EE5AA0">
              <w:rPr>
                <w:rStyle w:val="Lienhypertexte"/>
                <w:rFonts w:cstheme="minorHAnsi"/>
                <w:noProof/>
              </w:rPr>
              <w:t>Haut-Commissariat à l’Initiative 3N (HC3N)</w:t>
            </w:r>
            <w:r w:rsidR="00F12682">
              <w:rPr>
                <w:noProof/>
                <w:webHidden/>
              </w:rPr>
              <w:tab/>
            </w:r>
            <w:r w:rsidR="00F12682">
              <w:rPr>
                <w:noProof/>
                <w:webHidden/>
              </w:rPr>
              <w:fldChar w:fldCharType="begin"/>
            </w:r>
            <w:r w:rsidR="00F12682">
              <w:rPr>
                <w:noProof/>
                <w:webHidden/>
              </w:rPr>
              <w:instrText xml:space="preserve"> PAGEREF _Toc529305039 \h </w:instrText>
            </w:r>
            <w:r w:rsidR="00F12682">
              <w:rPr>
                <w:noProof/>
                <w:webHidden/>
              </w:rPr>
            </w:r>
            <w:r w:rsidR="00F12682">
              <w:rPr>
                <w:noProof/>
                <w:webHidden/>
              </w:rPr>
              <w:fldChar w:fldCharType="separate"/>
            </w:r>
            <w:r w:rsidR="001C37F0">
              <w:rPr>
                <w:noProof/>
                <w:webHidden/>
              </w:rPr>
              <w:t>53</w:t>
            </w:r>
            <w:r w:rsidR="00F12682">
              <w:rPr>
                <w:noProof/>
                <w:webHidden/>
              </w:rPr>
              <w:fldChar w:fldCharType="end"/>
            </w:r>
          </w:hyperlink>
        </w:p>
        <w:p w14:paraId="303D5AF1" w14:textId="77777777" w:rsidR="00F12682" w:rsidRDefault="00B83528" w:rsidP="00AA11A9">
          <w:pPr>
            <w:pStyle w:val="TM1"/>
            <w:rPr>
              <w:rFonts w:eastAsiaTheme="minorEastAsia"/>
              <w:noProof/>
              <w:sz w:val="22"/>
              <w:szCs w:val="22"/>
              <w:lang w:eastAsia="fr-FR"/>
            </w:rPr>
          </w:pPr>
          <w:hyperlink w:anchor="_Toc529305040" w:history="1">
            <w:r w:rsidR="00F12682" w:rsidRPr="00EE5AA0">
              <w:rPr>
                <w:rStyle w:val="Lienhypertexte"/>
                <w:rFonts w:cstheme="minorHAnsi"/>
                <w:noProof/>
              </w:rPr>
              <w:t>Chapitre 5 : Analyse de l’efficacité des dépenses publiques par sous-secteur</w:t>
            </w:r>
            <w:r w:rsidR="00F12682">
              <w:rPr>
                <w:noProof/>
                <w:webHidden/>
              </w:rPr>
              <w:tab/>
            </w:r>
            <w:r w:rsidR="00F12682">
              <w:rPr>
                <w:noProof/>
                <w:webHidden/>
              </w:rPr>
              <w:fldChar w:fldCharType="begin"/>
            </w:r>
            <w:r w:rsidR="00F12682">
              <w:rPr>
                <w:noProof/>
                <w:webHidden/>
              </w:rPr>
              <w:instrText xml:space="preserve"> PAGEREF _Toc529305040 \h </w:instrText>
            </w:r>
            <w:r w:rsidR="00F12682">
              <w:rPr>
                <w:noProof/>
                <w:webHidden/>
              </w:rPr>
            </w:r>
            <w:r w:rsidR="00F12682">
              <w:rPr>
                <w:noProof/>
                <w:webHidden/>
              </w:rPr>
              <w:fldChar w:fldCharType="separate"/>
            </w:r>
            <w:r w:rsidR="001C37F0">
              <w:rPr>
                <w:noProof/>
                <w:webHidden/>
              </w:rPr>
              <w:t>55</w:t>
            </w:r>
            <w:r w:rsidR="00F12682">
              <w:rPr>
                <w:noProof/>
                <w:webHidden/>
              </w:rPr>
              <w:fldChar w:fldCharType="end"/>
            </w:r>
          </w:hyperlink>
        </w:p>
        <w:p w14:paraId="3CD68C51" w14:textId="77777777" w:rsidR="00F12682" w:rsidRDefault="00B83528" w:rsidP="00AA11A9">
          <w:pPr>
            <w:pStyle w:val="TM2"/>
            <w:rPr>
              <w:rFonts w:eastAsiaTheme="minorEastAsia"/>
              <w:noProof/>
              <w:lang w:eastAsia="fr-FR"/>
            </w:rPr>
          </w:pPr>
          <w:hyperlink w:anchor="_Toc529305041" w:history="1">
            <w:r w:rsidR="00F12682" w:rsidRPr="00EE5AA0">
              <w:rPr>
                <w:rStyle w:val="Lienhypertexte"/>
                <w:rFonts w:cstheme="minorHAnsi"/>
                <w:noProof/>
              </w:rPr>
              <w:t>5.1</w:t>
            </w:r>
            <w:r w:rsidR="00F12682">
              <w:rPr>
                <w:rFonts w:eastAsiaTheme="minorEastAsia"/>
                <w:noProof/>
                <w:lang w:eastAsia="fr-FR"/>
              </w:rPr>
              <w:tab/>
            </w:r>
            <w:r w:rsidR="00F12682" w:rsidRPr="00EE5AA0">
              <w:rPr>
                <w:rStyle w:val="Lienhypertexte"/>
                <w:rFonts w:cstheme="minorHAnsi"/>
                <w:noProof/>
              </w:rPr>
              <w:t>Ministère de l’Agriculture (MAG)</w:t>
            </w:r>
            <w:r w:rsidR="00F12682">
              <w:rPr>
                <w:noProof/>
                <w:webHidden/>
              </w:rPr>
              <w:tab/>
            </w:r>
            <w:r w:rsidR="00F12682">
              <w:rPr>
                <w:noProof/>
                <w:webHidden/>
              </w:rPr>
              <w:fldChar w:fldCharType="begin"/>
            </w:r>
            <w:r w:rsidR="00F12682">
              <w:rPr>
                <w:noProof/>
                <w:webHidden/>
              </w:rPr>
              <w:instrText xml:space="preserve"> PAGEREF _Toc529305041 \h </w:instrText>
            </w:r>
            <w:r w:rsidR="00F12682">
              <w:rPr>
                <w:noProof/>
                <w:webHidden/>
              </w:rPr>
            </w:r>
            <w:r w:rsidR="00F12682">
              <w:rPr>
                <w:noProof/>
                <w:webHidden/>
              </w:rPr>
              <w:fldChar w:fldCharType="separate"/>
            </w:r>
            <w:r w:rsidR="001C37F0">
              <w:rPr>
                <w:noProof/>
                <w:webHidden/>
              </w:rPr>
              <w:t>55</w:t>
            </w:r>
            <w:r w:rsidR="00F12682">
              <w:rPr>
                <w:noProof/>
                <w:webHidden/>
              </w:rPr>
              <w:fldChar w:fldCharType="end"/>
            </w:r>
          </w:hyperlink>
        </w:p>
        <w:p w14:paraId="0DD1E52F" w14:textId="77777777" w:rsidR="00F12682" w:rsidRDefault="00B83528" w:rsidP="00AA11A9">
          <w:pPr>
            <w:pStyle w:val="TM2"/>
            <w:rPr>
              <w:rFonts w:eastAsiaTheme="minorEastAsia"/>
              <w:noProof/>
              <w:lang w:eastAsia="fr-FR"/>
            </w:rPr>
          </w:pPr>
          <w:hyperlink w:anchor="_Toc529305042" w:history="1">
            <w:r w:rsidR="00F12682" w:rsidRPr="00EE5AA0">
              <w:rPr>
                <w:rStyle w:val="Lienhypertexte"/>
                <w:rFonts w:cstheme="minorHAnsi"/>
                <w:noProof/>
              </w:rPr>
              <w:t>5.2</w:t>
            </w:r>
            <w:r w:rsidR="00F12682">
              <w:rPr>
                <w:rFonts w:eastAsiaTheme="minorEastAsia"/>
                <w:noProof/>
                <w:lang w:eastAsia="fr-FR"/>
              </w:rPr>
              <w:tab/>
            </w:r>
            <w:r w:rsidR="00F12682" w:rsidRPr="00EE5AA0">
              <w:rPr>
                <w:rStyle w:val="Lienhypertexte"/>
                <w:rFonts w:cstheme="minorHAnsi"/>
                <w:noProof/>
              </w:rPr>
              <w:t>Ministère de l’Elevage (MEL)</w:t>
            </w:r>
            <w:r w:rsidR="00F12682">
              <w:rPr>
                <w:noProof/>
                <w:webHidden/>
              </w:rPr>
              <w:tab/>
            </w:r>
            <w:r w:rsidR="00F12682">
              <w:rPr>
                <w:noProof/>
                <w:webHidden/>
              </w:rPr>
              <w:fldChar w:fldCharType="begin"/>
            </w:r>
            <w:r w:rsidR="00F12682">
              <w:rPr>
                <w:noProof/>
                <w:webHidden/>
              </w:rPr>
              <w:instrText xml:space="preserve"> PAGEREF _Toc529305042 \h </w:instrText>
            </w:r>
            <w:r w:rsidR="00F12682">
              <w:rPr>
                <w:noProof/>
                <w:webHidden/>
              </w:rPr>
            </w:r>
            <w:r w:rsidR="00F12682">
              <w:rPr>
                <w:noProof/>
                <w:webHidden/>
              </w:rPr>
              <w:fldChar w:fldCharType="separate"/>
            </w:r>
            <w:r w:rsidR="001C37F0">
              <w:rPr>
                <w:noProof/>
                <w:webHidden/>
              </w:rPr>
              <w:t>58</w:t>
            </w:r>
            <w:r w:rsidR="00F12682">
              <w:rPr>
                <w:noProof/>
                <w:webHidden/>
              </w:rPr>
              <w:fldChar w:fldCharType="end"/>
            </w:r>
          </w:hyperlink>
        </w:p>
        <w:p w14:paraId="4851E2D0" w14:textId="77777777" w:rsidR="00F12682" w:rsidRDefault="00B83528" w:rsidP="00AA11A9">
          <w:pPr>
            <w:pStyle w:val="TM2"/>
            <w:rPr>
              <w:rFonts w:eastAsiaTheme="minorEastAsia"/>
              <w:noProof/>
              <w:lang w:eastAsia="fr-FR"/>
            </w:rPr>
          </w:pPr>
          <w:hyperlink w:anchor="_Toc529305043" w:history="1">
            <w:r w:rsidR="00F12682" w:rsidRPr="00EE5AA0">
              <w:rPr>
                <w:rStyle w:val="Lienhypertexte"/>
                <w:rFonts w:cstheme="minorHAnsi"/>
                <w:noProof/>
              </w:rPr>
              <w:t>5.3</w:t>
            </w:r>
            <w:r w:rsidR="00F12682">
              <w:rPr>
                <w:rFonts w:eastAsiaTheme="minorEastAsia"/>
                <w:noProof/>
                <w:lang w:eastAsia="fr-FR"/>
              </w:rPr>
              <w:tab/>
            </w:r>
            <w:r w:rsidR="00F12682" w:rsidRPr="00EE5AA0">
              <w:rPr>
                <w:rStyle w:val="Lienhypertexte"/>
                <w:rFonts w:cstheme="minorHAnsi"/>
                <w:noProof/>
              </w:rPr>
              <w:t>Ministère de l’Environnement et du Développement Durable (MEDD)</w:t>
            </w:r>
            <w:r w:rsidR="00F12682">
              <w:rPr>
                <w:noProof/>
                <w:webHidden/>
              </w:rPr>
              <w:tab/>
            </w:r>
            <w:r w:rsidR="00F12682">
              <w:rPr>
                <w:noProof/>
                <w:webHidden/>
              </w:rPr>
              <w:fldChar w:fldCharType="begin"/>
            </w:r>
            <w:r w:rsidR="00F12682">
              <w:rPr>
                <w:noProof/>
                <w:webHidden/>
              </w:rPr>
              <w:instrText xml:space="preserve"> PAGEREF _Toc529305043 \h </w:instrText>
            </w:r>
            <w:r w:rsidR="00F12682">
              <w:rPr>
                <w:noProof/>
                <w:webHidden/>
              </w:rPr>
            </w:r>
            <w:r w:rsidR="00F12682">
              <w:rPr>
                <w:noProof/>
                <w:webHidden/>
              </w:rPr>
              <w:fldChar w:fldCharType="separate"/>
            </w:r>
            <w:r w:rsidR="001C37F0">
              <w:rPr>
                <w:noProof/>
                <w:webHidden/>
              </w:rPr>
              <w:t>59</w:t>
            </w:r>
            <w:r w:rsidR="00F12682">
              <w:rPr>
                <w:noProof/>
                <w:webHidden/>
              </w:rPr>
              <w:fldChar w:fldCharType="end"/>
            </w:r>
          </w:hyperlink>
        </w:p>
        <w:p w14:paraId="08771BE2" w14:textId="77777777" w:rsidR="00F12682" w:rsidRDefault="00B83528" w:rsidP="00AA11A9">
          <w:pPr>
            <w:pStyle w:val="TM2"/>
            <w:rPr>
              <w:rFonts w:eastAsiaTheme="minorEastAsia"/>
              <w:noProof/>
              <w:lang w:eastAsia="fr-FR"/>
            </w:rPr>
          </w:pPr>
          <w:hyperlink w:anchor="_Toc529305044" w:history="1">
            <w:r w:rsidR="00F12682" w:rsidRPr="00EE5AA0">
              <w:rPr>
                <w:rStyle w:val="Lienhypertexte"/>
                <w:rFonts w:cstheme="minorHAnsi"/>
                <w:noProof/>
              </w:rPr>
              <w:t>5.4</w:t>
            </w:r>
            <w:r w:rsidR="00F12682">
              <w:rPr>
                <w:rFonts w:eastAsiaTheme="minorEastAsia"/>
                <w:noProof/>
                <w:lang w:eastAsia="fr-FR"/>
              </w:rPr>
              <w:tab/>
            </w:r>
            <w:r w:rsidR="00F12682" w:rsidRPr="00EE5AA0">
              <w:rPr>
                <w:rStyle w:val="Lienhypertexte"/>
                <w:rFonts w:cstheme="minorHAnsi"/>
                <w:noProof/>
              </w:rPr>
              <w:t>Ministère de l’Hydraulique et de l’Assainissement (MHA)</w:t>
            </w:r>
            <w:r w:rsidR="00F12682">
              <w:rPr>
                <w:noProof/>
                <w:webHidden/>
              </w:rPr>
              <w:tab/>
            </w:r>
            <w:r w:rsidR="00F12682">
              <w:rPr>
                <w:noProof/>
                <w:webHidden/>
              </w:rPr>
              <w:fldChar w:fldCharType="begin"/>
            </w:r>
            <w:r w:rsidR="00F12682">
              <w:rPr>
                <w:noProof/>
                <w:webHidden/>
              </w:rPr>
              <w:instrText xml:space="preserve"> PAGEREF _Toc529305044 \h </w:instrText>
            </w:r>
            <w:r w:rsidR="00F12682">
              <w:rPr>
                <w:noProof/>
                <w:webHidden/>
              </w:rPr>
            </w:r>
            <w:r w:rsidR="00F12682">
              <w:rPr>
                <w:noProof/>
                <w:webHidden/>
              </w:rPr>
              <w:fldChar w:fldCharType="separate"/>
            </w:r>
            <w:r w:rsidR="001C37F0">
              <w:rPr>
                <w:noProof/>
                <w:webHidden/>
              </w:rPr>
              <w:t>61</w:t>
            </w:r>
            <w:r w:rsidR="00F12682">
              <w:rPr>
                <w:noProof/>
                <w:webHidden/>
              </w:rPr>
              <w:fldChar w:fldCharType="end"/>
            </w:r>
          </w:hyperlink>
        </w:p>
        <w:p w14:paraId="5C756A2B" w14:textId="77777777" w:rsidR="00F12682" w:rsidRDefault="00B83528" w:rsidP="00AA11A9">
          <w:pPr>
            <w:pStyle w:val="TM2"/>
            <w:rPr>
              <w:rFonts w:eastAsiaTheme="minorEastAsia"/>
              <w:noProof/>
              <w:lang w:eastAsia="fr-FR"/>
            </w:rPr>
          </w:pPr>
          <w:hyperlink w:anchor="_Toc529305045" w:history="1">
            <w:r w:rsidR="00F12682" w:rsidRPr="00EE5AA0">
              <w:rPr>
                <w:rStyle w:val="Lienhypertexte"/>
                <w:rFonts w:cstheme="minorHAnsi"/>
                <w:noProof/>
              </w:rPr>
              <w:t>5.5</w:t>
            </w:r>
            <w:r w:rsidR="00F12682">
              <w:rPr>
                <w:rFonts w:eastAsiaTheme="minorEastAsia"/>
                <w:noProof/>
                <w:lang w:eastAsia="fr-FR"/>
              </w:rPr>
              <w:tab/>
            </w:r>
            <w:r w:rsidR="00F12682" w:rsidRPr="00EE5AA0">
              <w:rPr>
                <w:rStyle w:val="Lienhypertexte"/>
                <w:rFonts w:cstheme="minorHAnsi"/>
                <w:noProof/>
              </w:rPr>
              <w:t>Ministère du Commerce et de la Promotion du Secteur Privé (MC/PSP)</w:t>
            </w:r>
            <w:r w:rsidR="00F12682">
              <w:rPr>
                <w:noProof/>
                <w:webHidden/>
              </w:rPr>
              <w:tab/>
            </w:r>
            <w:r w:rsidR="00F12682">
              <w:rPr>
                <w:noProof/>
                <w:webHidden/>
              </w:rPr>
              <w:fldChar w:fldCharType="begin"/>
            </w:r>
            <w:r w:rsidR="00F12682">
              <w:rPr>
                <w:noProof/>
                <w:webHidden/>
              </w:rPr>
              <w:instrText xml:space="preserve"> PAGEREF _Toc529305045 \h </w:instrText>
            </w:r>
            <w:r w:rsidR="00F12682">
              <w:rPr>
                <w:noProof/>
                <w:webHidden/>
              </w:rPr>
            </w:r>
            <w:r w:rsidR="00F12682">
              <w:rPr>
                <w:noProof/>
                <w:webHidden/>
              </w:rPr>
              <w:fldChar w:fldCharType="separate"/>
            </w:r>
            <w:r w:rsidR="001C37F0">
              <w:rPr>
                <w:noProof/>
                <w:webHidden/>
              </w:rPr>
              <w:t>64</w:t>
            </w:r>
            <w:r w:rsidR="00F12682">
              <w:rPr>
                <w:noProof/>
                <w:webHidden/>
              </w:rPr>
              <w:fldChar w:fldCharType="end"/>
            </w:r>
          </w:hyperlink>
        </w:p>
        <w:p w14:paraId="1F76CEE3" w14:textId="77777777" w:rsidR="00F12682" w:rsidRDefault="00B83528" w:rsidP="00AA11A9">
          <w:pPr>
            <w:pStyle w:val="TM2"/>
            <w:rPr>
              <w:rFonts w:eastAsiaTheme="minorEastAsia"/>
              <w:noProof/>
              <w:lang w:eastAsia="fr-FR"/>
            </w:rPr>
          </w:pPr>
          <w:hyperlink w:anchor="_Toc529305046" w:history="1">
            <w:r w:rsidR="00F12682" w:rsidRPr="00EE5AA0">
              <w:rPr>
                <w:rStyle w:val="Lienhypertexte"/>
                <w:rFonts w:cstheme="minorHAnsi"/>
                <w:noProof/>
              </w:rPr>
              <w:t>5.6</w:t>
            </w:r>
            <w:r w:rsidR="00F12682">
              <w:rPr>
                <w:rFonts w:eastAsiaTheme="minorEastAsia"/>
                <w:noProof/>
                <w:lang w:eastAsia="fr-FR"/>
              </w:rPr>
              <w:tab/>
            </w:r>
            <w:r w:rsidR="00F12682" w:rsidRPr="00EE5AA0">
              <w:rPr>
                <w:rStyle w:val="Lienhypertexte"/>
                <w:rFonts w:cstheme="minorHAnsi"/>
                <w:noProof/>
              </w:rPr>
              <w:t>Dispositif National de Prévention et de Gestion des Crises Alimentaires (DNPGCA)</w:t>
            </w:r>
            <w:r w:rsidR="00F12682">
              <w:rPr>
                <w:noProof/>
                <w:webHidden/>
              </w:rPr>
              <w:tab/>
            </w:r>
            <w:r w:rsidR="00F12682">
              <w:rPr>
                <w:noProof/>
                <w:webHidden/>
              </w:rPr>
              <w:fldChar w:fldCharType="begin"/>
            </w:r>
            <w:r w:rsidR="00F12682">
              <w:rPr>
                <w:noProof/>
                <w:webHidden/>
              </w:rPr>
              <w:instrText xml:space="preserve"> PAGEREF _Toc529305046 \h </w:instrText>
            </w:r>
            <w:r w:rsidR="00F12682">
              <w:rPr>
                <w:noProof/>
                <w:webHidden/>
              </w:rPr>
            </w:r>
            <w:r w:rsidR="00F12682">
              <w:rPr>
                <w:noProof/>
                <w:webHidden/>
              </w:rPr>
              <w:fldChar w:fldCharType="separate"/>
            </w:r>
            <w:r w:rsidR="001C37F0">
              <w:rPr>
                <w:noProof/>
                <w:webHidden/>
              </w:rPr>
              <w:t>65</w:t>
            </w:r>
            <w:r w:rsidR="00F12682">
              <w:rPr>
                <w:noProof/>
                <w:webHidden/>
              </w:rPr>
              <w:fldChar w:fldCharType="end"/>
            </w:r>
          </w:hyperlink>
        </w:p>
        <w:p w14:paraId="2BEB9715" w14:textId="77777777" w:rsidR="00F12682" w:rsidRDefault="00B83528" w:rsidP="00AA11A9">
          <w:pPr>
            <w:pStyle w:val="TM2"/>
            <w:rPr>
              <w:rFonts w:eastAsiaTheme="minorEastAsia"/>
              <w:noProof/>
              <w:lang w:eastAsia="fr-FR"/>
            </w:rPr>
          </w:pPr>
          <w:hyperlink w:anchor="_Toc529305047" w:history="1">
            <w:r w:rsidR="00F12682" w:rsidRPr="00EE5AA0">
              <w:rPr>
                <w:rStyle w:val="Lienhypertexte"/>
                <w:rFonts w:cstheme="minorHAnsi"/>
                <w:noProof/>
              </w:rPr>
              <w:t>5.7</w:t>
            </w:r>
            <w:r w:rsidR="00F12682">
              <w:rPr>
                <w:rFonts w:eastAsiaTheme="minorEastAsia"/>
                <w:noProof/>
                <w:lang w:eastAsia="fr-FR"/>
              </w:rPr>
              <w:tab/>
            </w:r>
            <w:r w:rsidR="00F12682" w:rsidRPr="00EE5AA0">
              <w:rPr>
                <w:rStyle w:val="Lienhypertexte"/>
                <w:rFonts w:cstheme="minorHAnsi"/>
                <w:noProof/>
              </w:rPr>
              <w:t>Ministère des Actions humanitaires et de la Gestion des Catastrophes (MAH/GC)</w:t>
            </w:r>
            <w:r w:rsidR="00F12682">
              <w:rPr>
                <w:noProof/>
                <w:webHidden/>
              </w:rPr>
              <w:tab/>
            </w:r>
            <w:r w:rsidR="00F12682">
              <w:rPr>
                <w:noProof/>
                <w:webHidden/>
              </w:rPr>
              <w:fldChar w:fldCharType="begin"/>
            </w:r>
            <w:r w:rsidR="00F12682">
              <w:rPr>
                <w:noProof/>
                <w:webHidden/>
              </w:rPr>
              <w:instrText xml:space="preserve"> PAGEREF _Toc529305047 \h </w:instrText>
            </w:r>
            <w:r w:rsidR="00F12682">
              <w:rPr>
                <w:noProof/>
                <w:webHidden/>
              </w:rPr>
            </w:r>
            <w:r w:rsidR="00F12682">
              <w:rPr>
                <w:noProof/>
                <w:webHidden/>
              </w:rPr>
              <w:fldChar w:fldCharType="separate"/>
            </w:r>
            <w:r w:rsidR="001C37F0">
              <w:rPr>
                <w:noProof/>
                <w:webHidden/>
              </w:rPr>
              <w:t>67</w:t>
            </w:r>
            <w:r w:rsidR="00F12682">
              <w:rPr>
                <w:noProof/>
                <w:webHidden/>
              </w:rPr>
              <w:fldChar w:fldCharType="end"/>
            </w:r>
          </w:hyperlink>
        </w:p>
        <w:p w14:paraId="080FD873" w14:textId="77777777" w:rsidR="00F12682" w:rsidRDefault="00B83528" w:rsidP="00AA11A9">
          <w:pPr>
            <w:pStyle w:val="TM2"/>
            <w:rPr>
              <w:rFonts w:eastAsiaTheme="minorEastAsia"/>
              <w:noProof/>
              <w:lang w:eastAsia="fr-FR"/>
            </w:rPr>
          </w:pPr>
          <w:hyperlink w:anchor="_Toc529305048" w:history="1">
            <w:r w:rsidR="00F12682" w:rsidRPr="00EE5AA0">
              <w:rPr>
                <w:rStyle w:val="Lienhypertexte"/>
                <w:rFonts w:cstheme="minorHAnsi"/>
                <w:noProof/>
              </w:rPr>
              <w:t>5.8</w:t>
            </w:r>
            <w:r w:rsidR="00F12682">
              <w:rPr>
                <w:rFonts w:eastAsiaTheme="minorEastAsia"/>
                <w:noProof/>
                <w:lang w:eastAsia="fr-FR"/>
              </w:rPr>
              <w:tab/>
            </w:r>
            <w:r w:rsidR="00F12682" w:rsidRPr="00EE5AA0">
              <w:rPr>
                <w:rStyle w:val="Lienhypertexte"/>
                <w:rFonts w:cstheme="minorHAnsi"/>
                <w:noProof/>
              </w:rPr>
              <w:t>Direction de la Nutrition du Ministère de la Santé Publique (DN/MSP)</w:t>
            </w:r>
            <w:r w:rsidR="00F12682">
              <w:rPr>
                <w:noProof/>
                <w:webHidden/>
              </w:rPr>
              <w:tab/>
            </w:r>
            <w:r w:rsidR="00F12682">
              <w:rPr>
                <w:noProof/>
                <w:webHidden/>
              </w:rPr>
              <w:fldChar w:fldCharType="begin"/>
            </w:r>
            <w:r w:rsidR="00F12682">
              <w:rPr>
                <w:noProof/>
                <w:webHidden/>
              </w:rPr>
              <w:instrText xml:space="preserve"> PAGEREF _Toc529305048 \h </w:instrText>
            </w:r>
            <w:r w:rsidR="00F12682">
              <w:rPr>
                <w:noProof/>
                <w:webHidden/>
              </w:rPr>
            </w:r>
            <w:r w:rsidR="00F12682">
              <w:rPr>
                <w:noProof/>
                <w:webHidden/>
              </w:rPr>
              <w:fldChar w:fldCharType="separate"/>
            </w:r>
            <w:r w:rsidR="001C37F0">
              <w:rPr>
                <w:noProof/>
                <w:webHidden/>
              </w:rPr>
              <w:t>68</w:t>
            </w:r>
            <w:r w:rsidR="00F12682">
              <w:rPr>
                <w:noProof/>
                <w:webHidden/>
              </w:rPr>
              <w:fldChar w:fldCharType="end"/>
            </w:r>
          </w:hyperlink>
        </w:p>
        <w:p w14:paraId="62EF62C1" w14:textId="77777777" w:rsidR="00F12682" w:rsidRDefault="00B83528" w:rsidP="00AA11A9">
          <w:pPr>
            <w:pStyle w:val="TM2"/>
            <w:rPr>
              <w:rFonts w:eastAsiaTheme="minorEastAsia"/>
              <w:noProof/>
              <w:lang w:eastAsia="fr-FR"/>
            </w:rPr>
          </w:pPr>
          <w:hyperlink w:anchor="_Toc529305049" w:history="1">
            <w:r w:rsidR="00F12682" w:rsidRPr="00EE5AA0">
              <w:rPr>
                <w:rStyle w:val="Lienhypertexte"/>
                <w:rFonts w:cstheme="minorHAnsi"/>
                <w:noProof/>
              </w:rPr>
              <w:t>5.9</w:t>
            </w:r>
            <w:r w:rsidR="00F12682">
              <w:rPr>
                <w:rFonts w:eastAsiaTheme="minorEastAsia"/>
                <w:noProof/>
                <w:lang w:eastAsia="fr-FR"/>
              </w:rPr>
              <w:tab/>
            </w:r>
            <w:r w:rsidR="00F12682" w:rsidRPr="00EE5AA0">
              <w:rPr>
                <w:rStyle w:val="Lienhypertexte"/>
                <w:rFonts w:cstheme="minorHAnsi"/>
                <w:noProof/>
              </w:rPr>
              <w:t>Haut-Commissariat à l’Initiative 3N (HC3N)</w:t>
            </w:r>
            <w:r w:rsidR="00F12682">
              <w:rPr>
                <w:noProof/>
                <w:webHidden/>
              </w:rPr>
              <w:tab/>
            </w:r>
            <w:r w:rsidR="00F12682">
              <w:rPr>
                <w:noProof/>
                <w:webHidden/>
              </w:rPr>
              <w:fldChar w:fldCharType="begin"/>
            </w:r>
            <w:r w:rsidR="00F12682">
              <w:rPr>
                <w:noProof/>
                <w:webHidden/>
              </w:rPr>
              <w:instrText xml:space="preserve"> PAGEREF _Toc529305049 \h </w:instrText>
            </w:r>
            <w:r w:rsidR="00F12682">
              <w:rPr>
                <w:noProof/>
                <w:webHidden/>
              </w:rPr>
            </w:r>
            <w:r w:rsidR="00F12682">
              <w:rPr>
                <w:noProof/>
                <w:webHidden/>
              </w:rPr>
              <w:fldChar w:fldCharType="separate"/>
            </w:r>
            <w:r w:rsidR="001C37F0">
              <w:rPr>
                <w:noProof/>
                <w:webHidden/>
              </w:rPr>
              <w:t>69</w:t>
            </w:r>
            <w:r w:rsidR="00F12682">
              <w:rPr>
                <w:noProof/>
                <w:webHidden/>
              </w:rPr>
              <w:fldChar w:fldCharType="end"/>
            </w:r>
          </w:hyperlink>
        </w:p>
        <w:p w14:paraId="14AC820C" w14:textId="77777777" w:rsidR="00F12682" w:rsidRDefault="00B83528" w:rsidP="00AA11A9">
          <w:pPr>
            <w:pStyle w:val="TM1"/>
            <w:rPr>
              <w:rFonts w:eastAsiaTheme="minorEastAsia"/>
              <w:noProof/>
              <w:sz w:val="22"/>
              <w:szCs w:val="22"/>
              <w:lang w:eastAsia="fr-FR"/>
            </w:rPr>
          </w:pPr>
          <w:hyperlink w:anchor="_Toc529305050" w:history="1">
            <w:r w:rsidR="00F12682" w:rsidRPr="00EE5AA0">
              <w:rPr>
                <w:rStyle w:val="Lienhypertexte"/>
                <w:rFonts w:cstheme="minorHAnsi"/>
                <w:noProof/>
              </w:rPr>
              <w:t>Chapitre 6 : Conclusion et recommandations</w:t>
            </w:r>
            <w:r w:rsidR="00F12682">
              <w:rPr>
                <w:noProof/>
                <w:webHidden/>
              </w:rPr>
              <w:tab/>
            </w:r>
            <w:r w:rsidR="00F12682">
              <w:rPr>
                <w:noProof/>
                <w:webHidden/>
              </w:rPr>
              <w:fldChar w:fldCharType="begin"/>
            </w:r>
            <w:r w:rsidR="00F12682">
              <w:rPr>
                <w:noProof/>
                <w:webHidden/>
              </w:rPr>
              <w:instrText xml:space="preserve"> PAGEREF _Toc529305050 \h </w:instrText>
            </w:r>
            <w:r w:rsidR="00F12682">
              <w:rPr>
                <w:noProof/>
                <w:webHidden/>
              </w:rPr>
            </w:r>
            <w:r w:rsidR="00F12682">
              <w:rPr>
                <w:noProof/>
                <w:webHidden/>
              </w:rPr>
              <w:fldChar w:fldCharType="separate"/>
            </w:r>
            <w:r w:rsidR="001C37F0">
              <w:rPr>
                <w:noProof/>
                <w:webHidden/>
              </w:rPr>
              <w:t>71</w:t>
            </w:r>
            <w:r w:rsidR="00F12682">
              <w:rPr>
                <w:noProof/>
                <w:webHidden/>
              </w:rPr>
              <w:fldChar w:fldCharType="end"/>
            </w:r>
          </w:hyperlink>
        </w:p>
        <w:p w14:paraId="3905CA78" w14:textId="77777777" w:rsidR="00F12682" w:rsidRDefault="00B83528" w:rsidP="00AA11A9">
          <w:pPr>
            <w:pStyle w:val="TM2"/>
            <w:rPr>
              <w:rFonts w:eastAsiaTheme="minorEastAsia"/>
              <w:noProof/>
              <w:lang w:eastAsia="fr-FR"/>
            </w:rPr>
          </w:pPr>
          <w:hyperlink w:anchor="_Toc529305051" w:history="1">
            <w:r w:rsidR="00F12682" w:rsidRPr="00EE5AA0">
              <w:rPr>
                <w:rStyle w:val="Lienhypertexte"/>
                <w:rFonts w:cstheme="minorHAnsi"/>
                <w:noProof/>
              </w:rPr>
              <w:t>6.1</w:t>
            </w:r>
            <w:r w:rsidR="00F12682">
              <w:rPr>
                <w:rFonts w:eastAsiaTheme="minorEastAsia"/>
                <w:noProof/>
                <w:lang w:eastAsia="fr-FR"/>
              </w:rPr>
              <w:tab/>
            </w:r>
            <w:r w:rsidR="00F12682" w:rsidRPr="00EE5AA0">
              <w:rPr>
                <w:rStyle w:val="Lienhypertexte"/>
                <w:rFonts w:cstheme="minorHAnsi"/>
                <w:noProof/>
              </w:rPr>
              <w:t>Conclusion générale</w:t>
            </w:r>
            <w:r w:rsidR="00F12682">
              <w:rPr>
                <w:noProof/>
                <w:webHidden/>
              </w:rPr>
              <w:tab/>
            </w:r>
            <w:r w:rsidR="00F12682">
              <w:rPr>
                <w:noProof/>
                <w:webHidden/>
              </w:rPr>
              <w:fldChar w:fldCharType="begin"/>
            </w:r>
            <w:r w:rsidR="00F12682">
              <w:rPr>
                <w:noProof/>
                <w:webHidden/>
              </w:rPr>
              <w:instrText xml:space="preserve"> PAGEREF _Toc529305051 \h </w:instrText>
            </w:r>
            <w:r w:rsidR="00F12682">
              <w:rPr>
                <w:noProof/>
                <w:webHidden/>
              </w:rPr>
            </w:r>
            <w:r w:rsidR="00F12682">
              <w:rPr>
                <w:noProof/>
                <w:webHidden/>
              </w:rPr>
              <w:fldChar w:fldCharType="separate"/>
            </w:r>
            <w:r w:rsidR="001C37F0">
              <w:rPr>
                <w:noProof/>
                <w:webHidden/>
              </w:rPr>
              <w:t>71</w:t>
            </w:r>
            <w:r w:rsidR="00F12682">
              <w:rPr>
                <w:noProof/>
                <w:webHidden/>
              </w:rPr>
              <w:fldChar w:fldCharType="end"/>
            </w:r>
          </w:hyperlink>
        </w:p>
        <w:p w14:paraId="2E353BB5" w14:textId="77777777" w:rsidR="00F12682" w:rsidRDefault="00B83528" w:rsidP="00AA11A9">
          <w:pPr>
            <w:pStyle w:val="TM2"/>
            <w:rPr>
              <w:rFonts w:eastAsiaTheme="minorEastAsia"/>
              <w:noProof/>
              <w:lang w:eastAsia="fr-FR"/>
            </w:rPr>
          </w:pPr>
          <w:hyperlink w:anchor="_Toc529305052" w:history="1">
            <w:r w:rsidR="00F12682" w:rsidRPr="00EE5AA0">
              <w:rPr>
                <w:rStyle w:val="Lienhypertexte"/>
                <w:rFonts w:cstheme="minorHAnsi"/>
                <w:noProof/>
              </w:rPr>
              <w:t>6.2</w:t>
            </w:r>
            <w:r w:rsidR="00F12682">
              <w:rPr>
                <w:rFonts w:eastAsiaTheme="minorEastAsia"/>
                <w:noProof/>
                <w:lang w:eastAsia="fr-FR"/>
              </w:rPr>
              <w:tab/>
            </w:r>
            <w:r w:rsidR="00F12682" w:rsidRPr="00EE5AA0">
              <w:rPr>
                <w:rStyle w:val="Lienhypertexte"/>
                <w:rFonts w:cstheme="minorHAnsi"/>
                <w:noProof/>
              </w:rPr>
              <w:t>Recommandations</w:t>
            </w:r>
            <w:r w:rsidR="00F12682">
              <w:rPr>
                <w:noProof/>
                <w:webHidden/>
              </w:rPr>
              <w:tab/>
            </w:r>
            <w:r w:rsidR="00F12682">
              <w:rPr>
                <w:noProof/>
                <w:webHidden/>
              </w:rPr>
              <w:fldChar w:fldCharType="begin"/>
            </w:r>
            <w:r w:rsidR="00F12682">
              <w:rPr>
                <w:noProof/>
                <w:webHidden/>
              </w:rPr>
              <w:instrText xml:space="preserve"> PAGEREF _Toc529305052 \h </w:instrText>
            </w:r>
            <w:r w:rsidR="00F12682">
              <w:rPr>
                <w:noProof/>
                <w:webHidden/>
              </w:rPr>
            </w:r>
            <w:r w:rsidR="00F12682">
              <w:rPr>
                <w:noProof/>
                <w:webHidden/>
              </w:rPr>
              <w:fldChar w:fldCharType="separate"/>
            </w:r>
            <w:r w:rsidR="001C37F0">
              <w:rPr>
                <w:noProof/>
                <w:webHidden/>
              </w:rPr>
              <w:t>72</w:t>
            </w:r>
            <w:r w:rsidR="00F12682">
              <w:rPr>
                <w:noProof/>
                <w:webHidden/>
              </w:rPr>
              <w:fldChar w:fldCharType="end"/>
            </w:r>
          </w:hyperlink>
        </w:p>
        <w:p w14:paraId="0505A16E" w14:textId="32FDBA2A" w:rsidR="000E00F8" w:rsidRPr="00685320" w:rsidRDefault="000E00F8">
          <w:pPr>
            <w:rPr>
              <w:rFonts w:cstheme="minorHAnsi"/>
            </w:rPr>
          </w:pPr>
          <w:r w:rsidRPr="000C747C">
            <w:rPr>
              <w:rFonts w:cstheme="minorHAnsi"/>
              <w:b/>
              <w:bCs/>
              <w:noProof/>
            </w:rPr>
            <w:fldChar w:fldCharType="end"/>
          </w:r>
        </w:p>
      </w:sdtContent>
    </w:sdt>
    <w:p w14:paraId="6257E7BD" w14:textId="77777777" w:rsidR="007F2C27" w:rsidRDefault="007F2C27">
      <w:pPr>
        <w:rPr>
          <w:rFonts w:cstheme="minorHAnsi"/>
        </w:rPr>
      </w:pPr>
    </w:p>
    <w:p w14:paraId="61621C98" w14:textId="77777777" w:rsidR="007F2C27" w:rsidRDefault="007F2C27">
      <w:pPr>
        <w:rPr>
          <w:rFonts w:cstheme="minorHAnsi"/>
        </w:rPr>
      </w:pPr>
    </w:p>
    <w:p w14:paraId="0A66A0F1" w14:textId="77777777" w:rsidR="007F2C27" w:rsidRDefault="007F2C27">
      <w:pPr>
        <w:rPr>
          <w:rFonts w:cstheme="minorHAnsi"/>
        </w:rPr>
        <w:sectPr w:rsidR="007F2C27">
          <w:pgSz w:w="11906" w:h="16838"/>
          <w:pgMar w:top="1417" w:right="1417" w:bottom="1417" w:left="1417" w:header="708" w:footer="708" w:gutter="0"/>
          <w:cols w:space="708"/>
          <w:docGrid w:linePitch="360"/>
        </w:sectPr>
      </w:pPr>
    </w:p>
    <w:p w14:paraId="5DE39605" w14:textId="618C73FB" w:rsidR="007F2C27" w:rsidRPr="000C747C" w:rsidRDefault="007F2C27" w:rsidP="000C747C">
      <w:pPr>
        <w:pStyle w:val="Titre3"/>
        <w:numPr>
          <w:ilvl w:val="0"/>
          <w:numId w:val="0"/>
        </w:numPr>
        <w:ind w:left="720" w:hanging="720"/>
        <w:rPr>
          <w:color w:val="2E74B5" w:themeColor="accent1" w:themeShade="BF"/>
        </w:rPr>
      </w:pPr>
      <w:bookmarkStart w:id="1" w:name="_Toc529304994"/>
      <w:r w:rsidRPr="000C747C">
        <w:rPr>
          <w:color w:val="2E74B5" w:themeColor="accent1" w:themeShade="BF"/>
        </w:rPr>
        <w:lastRenderedPageBreak/>
        <w:t>Sigles et Abréviations</w:t>
      </w:r>
      <w:bookmarkEnd w:id="1"/>
    </w:p>
    <w:tbl>
      <w:tblPr>
        <w:tblW w:w="9214" w:type="dxa"/>
        <w:tblCellMar>
          <w:left w:w="70" w:type="dxa"/>
          <w:right w:w="70" w:type="dxa"/>
        </w:tblCellMar>
        <w:tblLook w:val="04A0" w:firstRow="1" w:lastRow="0" w:firstColumn="1" w:lastColumn="0" w:noHBand="0" w:noVBand="1"/>
      </w:tblPr>
      <w:tblGrid>
        <w:gridCol w:w="1200"/>
        <w:gridCol w:w="8014"/>
      </w:tblGrid>
      <w:tr w:rsidR="00A43429" w:rsidRPr="00A43429" w14:paraId="45BD8521" w14:textId="77777777" w:rsidTr="00A43429">
        <w:trPr>
          <w:trHeight w:val="300"/>
        </w:trPr>
        <w:tc>
          <w:tcPr>
            <w:tcW w:w="1200" w:type="dxa"/>
            <w:tcBorders>
              <w:top w:val="nil"/>
              <w:left w:val="nil"/>
              <w:bottom w:val="nil"/>
              <w:right w:val="nil"/>
            </w:tcBorders>
            <w:shd w:val="clear" w:color="auto" w:fill="auto"/>
            <w:noWrap/>
            <w:vAlign w:val="center"/>
            <w:hideMark/>
          </w:tcPr>
          <w:p w14:paraId="6EF79552"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ABS : </w:t>
            </w:r>
          </w:p>
        </w:tc>
        <w:tc>
          <w:tcPr>
            <w:tcW w:w="8014" w:type="dxa"/>
            <w:tcBorders>
              <w:top w:val="nil"/>
              <w:left w:val="nil"/>
              <w:bottom w:val="nil"/>
              <w:right w:val="nil"/>
            </w:tcBorders>
            <w:shd w:val="clear" w:color="auto" w:fill="auto"/>
            <w:noWrap/>
            <w:vAlign w:val="center"/>
            <w:hideMark/>
          </w:tcPr>
          <w:p w14:paraId="2B2857D0"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Aide Budgétaire Sectorielle</w:t>
            </w:r>
          </w:p>
        </w:tc>
      </w:tr>
      <w:tr w:rsidR="00A43429" w:rsidRPr="00A43429" w14:paraId="3094CBCE" w14:textId="77777777" w:rsidTr="00A43429">
        <w:trPr>
          <w:trHeight w:val="300"/>
        </w:trPr>
        <w:tc>
          <w:tcPr>
            <w:tcW w:w="1200" w:type="dxa"/>
            <w:tcBorders>
              <w:top w:val="nil"/>
              <w:left w:val="nil"/>
              <w:bottom w:val="nil"/>
              <w:right w:val="nil"/>
            </w:tcBorders>
            <w:shd w:val="clear" w:color="auto" w:fill="auto"/>
            <w:noWrap/>
            <w:vAlign w:val="center"/>
            <w:hideMark/>
          </w:tcPr>
          <w:p w14:paraId="12A9102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AFD : </w:t>
            </w:r>
          </w:p>
        </w:tc>
        <w:tc>
          <w:tcPr>
            <w:tcW w:w="8014" w:type="dxa"/>
            <w:tcBorders>
              <w:top w:val="nil"/>
              <w:left w:val="nil"/>
              <w:bottom w:val="nil"/>
              <w:right w:val="nil"/>
            </w:tcBorders>
            <w:shd w:val="clear" w:color="auto" w:fill="auto"/>
            <w:noWrap/>
            <w:vAlign w:val="center"/>
            <w:hideMark/>
          </w:tcPr>
          <w:p w14:paraId="7ADDF88A"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Agence Française de Développement</w:t>
            </w:r>
          </w:p>
        </w:tc>
      </w:tr>
      <w:tr w:rsidR="00A43429" w:rsidRPr="00A43429" w14:paraId="75AD2A14" w14:textId="77777777" w:rsidTr="00A43429">
        <w:trPr>
          <w:trHeight w:val="300"/>
        </w:trPr>
        <w:tc>
          <w:tcPr>
            <w:tcW w:w="1200" w:type="dxa"/>
            <w:tcBorders>
              <w:top w:val="nil"/>
              <w:left w:val="nil"/>
              <w:bottom w:val="nil"/>
              <w:right w:val="nil"/>
            </w:tcBorders>
            <w:shd w:val="clear" w:color="auto" w:fill="auto"/>
            <w:noWrap/>
            <w:vAlign w:val="center"/>
            <w:hideMark/>
          </w:tcPr>
          <w:p w14:paraId="575B797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AFMA : </w:t>
            </w:r>
          </w:p>
        </w:tc>
        <w:tc>
          <w:tcPr>
            <w:tcW w:w="8014" w:type="dxa"/>
            <w:tcBorders>
              <w:top w:val="nil"/>
              <w:left w:val="nil"/>
              <w:bottom w:val="nil"/>
              <w:right w:val="nil"/>
            </w:tcBorders>
            <w:shd w:val="clear" w:color="auto" w:fill="auto"/>
            <w:noWrap/>
            <w:vAlign w:val="center"/>
            <w:hideMark/>
          </w:tcPr>
          <w:p w14:paraId="6B4FF66A"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Atelier de Fabrication des Matériels Agricoles</w:t>
            </w:r>
          </w:p>
        </w:tc>
      </w:tr>
      <w:tr w:rsidR="00A43429" w:rsidRPr="00A43429" w14:paraId="65625BAE" w14:textId="77777777" w:rsidTr="00A43429">
        <w:trPr>
          <w:trHeight w:val="300"/>
        </w:trPr>
        <w:tc>
          <w:tcPr>
            <w:tcW w:w="1200" w:type="dxa"/>
            <w:tcBorders>
              <w:top w:val="nil"/>
              <w:left w:val="nil"/>
              <w:bottom w:val="nil"/>
              <w:right w:val="nil"/>
            </w:tcBorders>
            <w:shd w:val="clear" w:color="auto" w:fill="auto"/>
            <w:noWrap/>
            <w:vAlign w:val="center"/>
            <w:hideMark/>
          </w:tcPr>
          <w:p w14:paraId="0F343EEC"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ANR : </w:t>
            </w:r>
          </w:p>
        </w:tc>
        <w:tc>
          <w:tcPr>
            <w:tcW w:w="8014" w:type="dxa"/>
            <w:tcBorders>
              <w:top w:val="nil"/>
              <w:left w:val="nil"/>
              <w:bottom w:val="nil"/>
              <w:right w:val="nil"/>
            </w:tcBorders>
            <w:shd w:val="clear" w:color="auto" w:fill="auto"/>
            <w:noWrap/>
            <w:vAlign w:val="center"/>
            <w:hideMark/>
          </w:tcPr>
          <w:p w14:paraId="625EAEBC"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Aide Non Remboursable</w:t>
            </w:r>
          </w:p>
        </w:tc>
      </w:tr>
      <w:tr w:rsidR="00A43429" w:rsidRPr="00A43429" w14:paraId="316CA5A6" w14:textId="77777777" w:rsidTr="00A43429">
        <w:trPr>
          <w:trHeight w:val="300"/>
        </w:trPr>
        <w:tc>
          <w:tcPr>
            <w:tcW w:w="1200" w:type="dxa"/>
            <w:tcBorders>
              <w:top w:val="nil"/>
              <w:left w:val="nil"/>
              <w:bottom w:val="nil"/>
              <w:right w:val="nil"/>
            </w:tcBorders>
            <w:shd w:val="clear" w:color="auto" w:fill="auto"/>
            <w:noWrap/>
            <w:vAlign w:val="center"/>
            <w:hideMark/>
          </w:tcPr>
          <w:p w14:paraId="096405F2"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BCEAO : </w:t>
            </w:r>
          </w:p>
        </w:tc>
        <w:tc>
          <w:tcPr>
            <w:tcW w:w="8014" w:type="dxa"/>
            <w:tcBorders>
              <w:top w:val="nil"/>
              <w:left w:val="nil"/>
              <w:bottom w:val="nil"/>
              <w:right w:val="nil"/>
            </w:tcBorders>
            <w:shd w:val="clear" w:color="auto" w:fill="auto"/>
            <w:noWrap/>
            <w:vAlign w:val="center"/>
            <w:hideMark/>
          </w:tcPr>
          <w:p w14:paraId="5D44BF52"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Banque centrale des États de l'Afrique de l’Ouest</w:t>
            </w:r>
          </w:p>
        </w:tc>
      </w:tr>
      <w:tr w:rsidR="00A43429" w:rsidRPr="00A43429" w14:paraId="6E9658B0" w14:textId="77777777" w:rsidTr="00A43429">
        <w:trPr>
          <w:trHeight w:val="300"/>
        </w:trPr>
        <w:tc>
          <w:tcPr>
            <w:tcW w:w="1200" w:type="dxa"/>
            <w:tcBorders>
              <w:top w:val="nil"/>
              <w:left w:val="nil"/>
              <w:bottom w:val="nil"/>
              <w:right w:val="nil"/>
            </w:tcBorders>
            <w:shd w:val="clear" w:color="auto" w:fill="auto"/>
            <w:noWrap/>
            <w:vAlign w:val="center"/>
            <w:hideMark/>
          </w:tcPr>
          <w:p w14:paraId="301BAA9F"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BPO : </w:t>
            </w:r>
          </w:p>
        </w:tc>
        <w:tc>
          <w:tcPr>
            <w:tcW w:w="8014" w:type="dxa"/>
            <w:tcBorders>
              <w:top w:val="nil"/>
              <w:left w:val="nil"/>
              <w:bottom w:val="nil"/>
              <w:right w:val="nil"/>
            </w:tcBorders>
            <w:shd w:val="clear" w:color="auto" w:fill="auto"/>
            <w:noWrap/>
            <w:vAlign w:val="center"/>
            <w:hideMark/>
          </w:tcPr>
          <w:p w14:paraId="306D5D05"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Budget Programme par Objectif</w:t>
            </w:r>
          </w:p>
        </w:tc>
      </w:tr>
      <w:tr w:rsidR="00A43429" w:rsidRPr="00A43429" w14:paraId="76059DC8" w14:textId="77777777" w:rsidTr="00A43429">
        <w:trPr>
          <w:trHeight w:val="300"/>
        </w:trPr>
        <w:tc>
          <w:tcPr>
            <w:tcW w:w="1200" w:type="dxa"/>
            <w:tcBorders>
              <w:top w:val="nil"/>
              <w:left w:val="nil"/>
              <w:bottom w:val="nil"/>
              <w:right w:val="nil"/>
            </w:tcBorders>
            <w:shd w:val="clear" w:color="auto" w:fill="auto"/>
            <w:noWrap/>
            <w:vAlign w:val="center"/>
            <w:hideMark/>
          </w:tcPr>
          <w:p w14:paraId="18D549E8"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CAIMA : </w:t>
            </w:r>
          </w:p>
        </w:tc>
        <w:tc>
          <w:tcPr>
            <w:tcW w:w="8014" w:type="dxa"/>
            <w:tcBorders>
              <w:top w:val="nil"/>
              <w:left w:val="nil"/>
              <w:bottom w:val="nil"/>
              <w:right w:val="nil"/>
            </w:tcBorders>
            <w:shd w:val="clear" w:color="auto" w:fill="auto"/>
            <w:noWrap/>
            <w:vAlign w:val="center"/>
            <w:hideMark/>
          </w:tcPr>
          <w:p w14:paraId="4981076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Centrale d’Approvisionnement en Intrants et Matériel Agricole</w:t>
            </w:r>
          </w:p>
        </w:tc>
      </w:tr>
      <w:tr w:rsidR="00A43429" w:rsidRPr="00A43429" w14:paraId="5ECF0D59" w14:textId="77777777" w:rsidTr="00A43429">
        <w:trPr>
          <w:trHeight w:val="300"/>
        </w:trPr>
        <w:tc>
          <w:tcPr>
            <w:tcW w:w="1200" w:type="dxa"/>
            <w:tcBorders>
              <w:top w:val="nil"/>
              <w:left w:val="nil"/>
              <w:bottom w:val="nil"/>
              <w:right w:val="nil"/>
            </w:tcBorders>
            <w:shd w:val="clear" w:color="auto" w:fill="auto"/>
            <w:noWrap/>
            <w:vAlign w:val="center"/>
            <w:hideMark/>
          </w:tcPr>
          <w:p w14:paraId="5082F7A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CDMT : </w:t>
            </w:r>
          </w:p>
        </w:tc>
        <w:tc>
          <w:tcPr>
            <w:tcW w:w="8014" w:type="dxa"/>
            <w:tcBorders>
              <w:top w:val="nil"/>
              <w:left w:val="nil"/>
              <w:bottom w:val="nil"/>
              <w:right w:val="nil"/>
            </w:tcBorders>
            <w:shd w:val="clear" w:color="auto" w:fill="auto"/>
            <w:noWrap/>
            <w:vAlign w:val="center"/>
            <w:hideMark/>
          </w:tcPr>
          <w:p w14:paraId="4B643842"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Cadre de Dépenses à Moyen Terme</w:t>
            </w:r>
          </w:p>
        </w:tc>
      </w:tr>
      <w:tr w:rsidR="00A43429" w:rsidRPr="00A43429" w14:paraId="4BD789C5" w14:textId="77777777" w:rsidTr="00A43429">
        <w:trPr>
          <w:trHeight w:val="300"/>
        </w:trPr>
        <w:tc>
          <w:tcPr>
            <w:tcW w:w="1200" w:type="dxa"/>
            <w:tcBorders>
              <w:top w:val="nil"/>
              <w:left w:val="nil"/>
              <w:bottom w:val="nil"/>
              <w:right w:val="nil"/>
            </w:tcBorders>
            <w:shd w:val="clear" w:color="auto" w:fill="auto"/>
            <w:noWrap/>
            <w:vAlign w:val="center"/>
            <w:hideMark/>
          </w:tcPr>
          <w:p w14:paraId="483FF33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COFOG : </w:t>
            </w:r>
          </w:p>
        </w:tc>
        <w:tc>
          <w:tcPr>
            <w:tcW w:w="8014" w:type="dxa"/>
            <w:tcBorders>
              <w:top w:val="nil"/>
              <w:left w:val="nil"/>
              <w:bottom w:val="nil"/>
              <w:right w:val="nil"/>
            </w:tcBorders>
            <w:shd w:val="clear" w:color="auto" w:fill="auto"/>
            <w:noWrap/>
            <w:vAlign w:val="center"/>
            <w:hideMark/>
          </w:tcPr>
          <w:p w14:paraId="58623D5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Classification des Fonctions de Gouvernement</w:t>
            </w:r>
          </w:p>
        </w:tc>
      </w:tr>
      <w:tr w:rsidR="00A43429" w:rsidRPr="00A43429" w14:paraId="3D322834" w14:textId="77777777" w:rsidTr="00A43429">
        <w:trPr>
          <w:trHeight w:val="300"/>
        </w:trPr>
        <w:tc>
          <w:tcPr>
            <w:tcW w:w="1200" w:type="dxa"/>
            <w:tcBorders>
              <w:top w:val="nil"/>
              <w:left w:val="nil"/>
              <w:bottom w:val="nil"/>
              <w:right w:val="nil"/>
            </w:tcBorders>
            <w:shd w:val="clear" w:color="auto" w:fill="auto"/>
            <w:noWrap/>
            <w:vAlign w:val="center"/>
            <w:hideMark/>
          </w:tcPr>
          <w:p w14:paraId="26CD24A2"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CRS : </w:t>
            </w:r>
          </w:p>
        </w:tc>
        <w:tc>
          <w:tcPr>
            <w:tcW w:w="8014" w:type="dxa"/>
            <w:tcBorders>
              <w:top w:val="nil"/>
              <w:left w:val="nil"/>
              <w:bottom w:val="nil"/>
              <w:right w:val="nil"/>
            </w:tcBorders>
            <w:shd w:val="clear" w:color="auto" w:fill="auto"/>
            <w:noWrap/>
            <w:vAlign w:val="center"/>
            <w:hideMark/>
          </w:tcPr>
          <w:p w14:paraId="27031B11"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Contrat de Réforme Sectoriel</w:t>
            </w:r>
          </w:p>
        </w:tc>
      </w:tr>
      <w:tr w:rsidR="00A43429" w:rsidRPr="00A43429" w14:paraId="6FE5D201" w14:textId="77777777" w:rsidTr="00A43429">
        <w:trPr>
          <w:trHeight w:val="300"/>
        </w:trPr>
        <w:tc>
          <w:tcPr>
            <w:tcW w:w="1200" w:type="dxa"/>
            <w:tcBorders>
              <w:top w:val="nil"/>
              <w:left w:val="nil"/>
              <w:bottom w:val="nil"/>
              <w:right w:val="nil"/>
            </w:tcBorders>
            <w:shd w:val="clear" w:color="auto" w:fill="auto"/>
            <w:noWrap/>
            <w:vAlign w:val="center"/>
            <w:hideMark/>
          </w:tcPr>
          <w:p w14:paraId="483D223D"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CS-GDT : </w:t>
            </w:r>
          </w:p>
        </w:tc>
        <w:tc>
          <w:tcPr>
            <w:tcW w:w="8014" w:type="dxa"/>
            <w:tcBorders>
              <w:top w:val="nil"/>
              <w:left w:val="nil"/>
              <w:bottom w:val="nil"/>
              <w:right w:val="nil"/>
            </w:tcBorders>
            <w:shd w:val="clear" w:color="auto" w:fill="auto"/>
            <w:noWrap/>
            <w:vAlign w:val="center"/>
            <w:hideMark/>
          </w:tcPr>
          <w:p w14:paraId="6C5765B5"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Cadre Stratégique du Niger en matière de Gestion Durable des Terres</w:t>
            </w:r>
          </w:p>
        </w:tc>
      </w:tr>
      <w:tr w:rsidR="00A43429" w:rsidRPr="00A43429" w14:paraId="634E64FC" w14:textId="77777777" w:rsidTr="00A43429">
        <w:trPr>
          <w:trHeight w:val="300"/>
        </w:trPr>
        <w:tc>
          <w:tcPr>
            <w:tcW w:w="1200" w:type="dxa"/>
            <w:tcBorders>
              <w:top w:val="nil"/>
              <w:left w:val="nil"/>
              <w:bottom w:val="nil"/>
              <w:right w:val="nil"/>
            </w:tcBorders>
            <w:shd w:val="clear" w:color="auto" w:fill="auto"/>
            <w:noWrap/>
            <w:vAlign w:val="center"/>
            <w:hideMark/>
          </w:tcPr>
          <w:p w14:paraId="5EB656F0"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DC/PSP : </w:t>
            </w:r>
          </w:p>
        </w:tc>
        <w:tc>
          <w:tcPr>
            <w:tcW w:w="8014" w:type="dxa"/>
            <w:tcBorders>
              <w:top w:val="nil"/>
              <w:left w:val="nil"/>
              <w:bottom w:val="nil"/>
              <w:right w:val="nil"/>
            </w:tcBorders>
            <w:shd w:val="clear" w:color="auto" w:fill="auto"/>
            <w:noWrap/>
            <w:vAlign w:val="center"/>
            <w:hideMark/>
          </w:tcPr>
          <w:p w14:paraId="143228A8"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Document Cadre de la Promotion du Secteur Privé</w:t>
            </w:r>
          </w:p>
        </w:tc>
      </w:tr>
      <w:tr w:rsidR="00A43429" w:rsidRPr="00A43429" w14:paraId="287E1C9C" w14:textId="77777777" w:rsidTr="00A43429">
        <w:trPr>
          <w:trHeight w:val="300"/>
        </w:trPr>
        <w:tc>
          <w:tcPr>
            <w:tcW w:w="1200" w:type="dxa"/>
            <w:tcBorders>
              <w:top w:val="nil"/>
              <w:left w:val="nil"/>
              <w:bottom w:val="nil"/>
              <w:right w:val="nil"/>
            </w:tcBorders>
            <w:shd w:val="clear" w:color="auto" w:fill="auto"/>
            <w:noWrap/>
            <w:vAlign w:val="center"/>
            <w:hideMark/>
          </w:tcPr>
          <w:p w14:paraId="5184FAFA"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DEP : </w:t>
            </w:r>
          </w:p>
        </w:tc>
        <w:tc>
          <w:tcPr>
            <w:tcW w:w="8014" w:type="dxa"/>
            <w:tcBorders>
              <w:top w:val="nil"/>
              <w:left w:val="nil"/>
              <w:bottom w:val="nil"/>
              <w:right w:val="nil"/>
            </w:tcBorders>
            <w:shd w:val="clear" w:color="auto" w:fill="auto"/>
            <w:noWrap/>
            <w:vAlign w:val="center"/>
            <w:hideMark/>
          </w:tcPr>
          <w:p w14:paraId="759D2414"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Direction des Etudes et de la Programmation</w:t>
            </w:r>
          </w:p>
        </w:tc>
      </w:tr>
      <w:tr w:rsidR="00A43429" w:rsidRPr="00A43429" w14:paraId="4C65FF92" w14:textId="77777777" w:rsidTr="00A43429">
        <w:trPr>
          <w:trHeight w:val="300"/>
        </w:trPr>
        <w:tc>
          <w:tcPr>
            <w:tcW w:w="1200" w:type="dxa"/>
            <w:tcBorders>
              <w:top w:val="nil"/>
              <w:left w:val="nil"/>
              <w:bottom w:val="nil"/>
              <w:right w:val="nil"/>
            </w:tcBorders>
            <w:shd w:val="clear" w:color="auto" w:fill="auto"/>
            <w:noWrap/>
            <w:vAlign w:val="center"/>
            <w:hideMark/>
          </w:tcPr>
          <w:p w14:paraId="091C6491"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DN : </w:t>
            </w:r>
          </w:p>
        </w:tc>
        <w:tc>
          <w:tcPr>
            <w:tcW w:w="8014" w:type="dxa"/>
            <w:tcBorders>
              <w:top w:val="nil"/>
              <w:left w:val="nil"/>
              <w:bottom w:val="nil"/>
              <w:right w:val="nil"/>
            </w:tcBorders>
            <w:shd w:val="clear" w:color="auto" w:fill="auto"/>
            <w:noWrap/>
            <w:vAlign w:val="center"/>
            <w:hideMark/>
          </w:tcPr>
          <w:p w14:paraId="214AC4A0"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Direction de la Nutrition</w:t>
            </w:r>
          </w:p>
        </w:tc>
      </w:tr>
      <w:tr w:rsidR="00A43429" w:rsidRPr="00A43429" w14:paraId="3D9644B7" w14:textId="77777777" w:rsidTr="00A43429">
        <w:trPr>
          <w:trHeight w:val="300"/>
        </w:trPr>
        <w:tc>
          <w:tcPr>
            <w:tcW w:w="1200" w:type="dxa"/>
            <w:tcBorders>
              <w:top w:val="nil"/>
              <w:left w:val="nil"/>
              <w:bottom w:val="nil"/>
              <w:right w:val="nil"/>
            </w:tcBorders>
            <w:shd w:val="clear" w:color="auto" w:fill="auto"/>
            <w:noWrap/>
            <w:vAlign w:val="center"/>
            <w:hideMark/>
          </w:tcPr>
          <w:p w14:paraId="000A6EE4"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DNPGCA : </w:t>
            </w:r>
          </w:p>
        </w:tc>
        <w:tc>
          <w:tcPr>
            <w:tcW w:w="8014" w:type="dxa"/>
            <w:tcBorders>
              <w:top w:val="nil"/>
              <w:left w:val="nil"/>
              <w:bottom w:val="nil"/>
              <w:right w:val="nil"/>
            </w:tcBorders>
            <w:shd w:val="clear" w:color="auto" w:fill="auto"/>
            <w:noWrap/>
            <w:vAlign w:val="center"/>
            <w:hideMark/>
          </w:tcPr>
          <w:p w14:paraId="2B4CD50E"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Dispositif National de Prévention et de Gestion des Crises Alimentaires</w:t>
            </w:r>
          </w:p>
        </w:tc>
      </w:tr>
      <w:tr w:rsidR="00A43429" w:rsidRPr="00A43429" w14:paraId="0C90B62C" w14:textId="77777777" w:rsidTr="00A43429">
        <w:trPr>
          <w:trHeight w:val="300"/>
        </w:trPr>
        <w:tc>
          <w:tcPr>
            <w:tcW w:w="1200" w:type="dxa"/>
            <w:tcBorders>
              <w:top w:val="nil"/>
              <w:left w:val="nil"/>
              <w:bottom w:val="nil"/>
              <w:right w:val="nil"/>
            </w:tcBorders>
            <w:shd w:val="clear" w:color="auto" w:fill="auto"/>
            <w:noWrap/>
            <w:vAlign w:val="center"/>
            <w:hideMark/>
          </w:tcPr>
          <w:p w14:paraId="48D704A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DOE : </w:t>
            </w:r>
          </w:p>
        </w:tc>
        <w:tc>
          <w:tcPr>
            <w:tcW w:w="8014" w:type="dxa"/>
            <w:tcBorders>
              <w:top w:val="nil"/>
              <w:left w:val="nil"/>
              <w:bottom w:val="nil"/>
              <w:right w:val="nil"/>
            </w:tcBorders>
            <w:shd w:val="clear" w:color="auto" w:fill="auto"/>
            <w:noWrap/>
            <w:vAlign w:val="center"/>
            <w:hideMark/>
          </w:tcPr>
          <w:p w14:paraId="7BDA9B9C"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Document d’Orientations Economiques</w:t>
            </w:r>
          </w:p>
        </w:tc>
      </w:tr>
      <w:tr w:rsidR="00A43429" w:rsidRPr="00A43429" w14:paraId="175865E7" w14:textId="77777777" w:rsidTr="00A43429">
        <w:trPr>
          <w:trHeight w:val="300"/>
        </w:trPr>
        <w:tc>
          <w:tcPr>
            <w:tcW w:w="1200" w:type="dxa"/>
            <w:tcBorders>
              <w:top w:val="nil"/>
              <w:left w:val="nil"/>
              <w:bottom w:val="nil"/>
              <w:right w:val="nil"/>
            </w:tcBorders>
            <w:shd w:val="clear" w:color="auto" w:fill="auto"/>
            <w:noWrap/>
            <w:vAlign w:val="center"/>
            <w:hideMark/>
          </w:tcPr>
          <w:p w14:paraId="26A96B4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DPG : </w:t>
            </w:r>
          </w:p>
        </w:tc>
        <w:tc>
          <w:tcPr>
            <w:tcW w:w="8014" w:type="dxa"/>
            <w:tcBorders>
              <w:top w:val="nil"/>
              <w:left w:val="nil"/>
              <w:bottom w:val="nil"/>
              <w:right w:val="nil"/>
            </w:tcBorders>
            <w:shd w:val="clear" w:color="auto" w:fill="auto"/>
            <w:noWrap/>
            <w:vAlign w:val="center"/>
            <w:hideMark/>
          </w:tcPr>
          <w:p w14:paraId="4C84A26F"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Déclaration de Politique Générale</w:t>
            </w:r>
          </w:p>
        </w:tc>
      </w:tr>
      <w:tr w:rsidR="00A43429" w:rsidRPr="00A43429" w14:paraId="7F6F84FF" w14:textId="77777777" w:rsidTr="00A43429">
        <w:trPr>
          <w:trHeight w:val="300"/>
        </w:trPr>
        <w:tc>
          <w:tcPr>
            <w:tcW w:w="1200" w:type="dxa"/>
            <w:tcBorders>
              <w:top w:val="nil"/>
              <w:left w:val="nil"/>
              <w:bottom w:val="nil"/>
              <w:right w:val="nil"/>
            </w:tcBorders>
            <w:shd w:val="clear" w:color="auto" w:fill="auto"/>
            <w:noWrap/>
            <w:vAlign w:val="center"/>
            <w:hideMark/>
          </w:tcPr>
          <w:p w14:paraId="3549FFC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DPPD : </w:t>
            </w:r>
          </w:p>
        </w:tc>
        <w:tc>
          <w:tcPr>
            <w:tcW w:w="8014" w:type="dxa"/>
            <w:tcBorders>
              <w:top w:val="nil"/>
              <w:left w:val="nil"/>
              <w:bottom w:val="nil"/>
              <w:right w:val="nil"/>
            </w:tcBorders>
            <w:shd w:val="clear" w:color="auto" w:fill="auto"/>
            <w:noWrap/>
            <w:vAlign w:val="center"/>
            <w:hideMark/>
          </w:tcPr>
          <w:p w14:paraId="72E612E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Document de Programmation Pluriannuelle des Dépenses</w:t>
            </w:r>
          </w:p>
        </w:tc>
      </w:tr>
      <w:tr w:rsidR="00A43429" w:rsidRPr="00A43429" w14:paraId="48DCE683" w14:textId="77777777" w:rsidTr="00A43429">
        <w:trPr>
          <w:trHeight w:val="300"/>
        </w:trPr>
        <w:tc>
          <w:tcPr>
            <w:tcW w:w="1200" w:type="dxa"/>
            <w:tcBorders>
              <w:top w:val="nil"/>
              <w:left w:val="nil"/>
              <w:bottom w:val="nil"/>
              <w:right w:val="nil"/>
            </w:tcBorders>
            <w:shd w:val="clear" w:color="auto" w:fill="auto"/>
            <w:noWrap/>
            <w:vAlign w:val="center"/>
            <w:hideMark/>
          </w:tcPr>
          <w:p w14:paraId="744E389F"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DRFM : </w:t>
            </w:r>
          </w:p>
        </w:tc>
        <w:tc>
          <w:tcPr>
            <w:tcW w:w="8014" w:type="dxa"/>
            <w:tcBorders>
              <w:top w:val="nil"/>
              <w:left w:val="nil"/>
              <w:bottom w:val="nil"/>
              <w:right w:val="nil"/>
            </w:tcBorders>
            <w:shd w:val="clear" w:color="auto" w:fill="auto"/>
            <w:noWrap/>
            <w:vAlign w:val="center"/>
            <w:hideMark/>
          </w:tcPr>
          <w:p w14:paraId="77DF340E"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Direction des Ressources Financières et du Matériel</w:t>
            </w:r>
          </w:p>
        </w:tc>
      </w:tr>
      <w:tr w:rsidR="00A43429" w:rsidRPr="00A43429" w14:paraId="28052A4C" w14:textId="77777777" w:rsidTr="00A43429">
        <w:trPr>
          <w:trHeight w:val="300"/>
        </w:trPr>
        <w:tc>
          <w:tcPr>
            <w:tcW w:w="1200" w:type="dxa"/>
            <w:tcBorders>
              <w:top w:val="nil"/>
              <w:left w:val="nil"/>
              <w:bottom w:val="nil"/>
              <w:right w:val="nil"/>
            </w:tcBorders>
            <w:shd w:val="clear" w:color="auto" w:fill="auto"/>
            <w:noWrap/>
            <w:vAlign w:val="center"/>
            <w:hideMark/>
          </w:tcPr>
          <w:p w14:paraId="5D83F8F1"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DRH : </w:t>
            </w:r>
          </w:p>
        </w:tc>
        <w:tc>
          <w:tcPr>
            <w:tcW w:w="8014" w:type="dxa"/>
            <w:tcBorders>
              <w:top w:val="nil"/>
              <w:left w:val="nil"/>
              <w:bottom w:val="nil"/>
              <w:right w:val="nil"/>
            </w:tcBorders>
            <w:shd w:val="clear" w:color="auto" w:fill="auto"/>
            <w:noWrap/>
            <w:vAlign w:val="center"/>
            <w:hideMark/>
          </w:tcPr>
          <w:p w14:paraId="2AF22F1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Direction des Ressources Humaines</w:t>
            </w:r>
          </w:p>
        </w:tc>
      </w:tr>
      <w:tr w:rsidR="00A43429" w:rsidRPr="00A43429" w14:paraId="0667F86D" w14:textId="77777777" w:rsidTr="00A43429">
        <w:trPr>
          <w:trHeight w:val="300"/>
        </w:trPr>
        <w:tc>
          <w:tcPr>
            <w:tcW w:w="1200" w:type="dxa"/>
            <w:tcBorders>
              <w:top w:val="nil"/>
              <w:left w:val="nil"/>
              <w:bottom w:val="nil"/>
              <w:right w:val="nil"/>
            </w:tcBorders>
            <w:shd w:val="clear" w:color="auto" w:fill="auto"/>
            <w:noWrap/>
            <w:vAlign w:val="center"/>
            <w:hideMark/>
          </w:tcPr>
          <w:p w14:paraId="69346E2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DS : </w:t>
            </w:r>
          </w:p>
        </w:tc>
        <w:tc>
          <w:tcPr>
            <w:tcW w:w="8014" w:type="dxa"/>
            <w:tcBorders>
              <w:top w:val="nil"/>
              <w:left w:val="nil"/>
              <w:bottom w:val="nil"/>
              <w:right w:val="nil"/>
            </w:tcBorders>
            <w:shd w:val="clear" w:color="auto" w:fill="auto"/>
            <w:noWrap/>
            <w:vAlign w:val="center"/>
            <w:hideMark/>
          </w:tcPr>
          <w:p w14:paraId="1B722E5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Direction des Statistiques</w:t>
            </w:r>
          </w:p>
        </w:tc>
      </w:tr>
      <w:tr w:rsidR="00A43429" w:rsidRPr="00A43429" w14:paraId="4F720715" w14:textId="77777777" w:rsidTr="00A43429">
        <w:trPr>
          <w:trHeight w:val="300"/>
        </w:trPr>
        <w:tc>
          <w:tcPr>
            <w:tcW w:w="1200" w:type="dxa"/>
            <w:tcBorders>
              <w:top w:val="nil"/>
              <w:left w:val="nil"/>
              <w:bottom w:val="nil"/>
              <w:right w:val="nil"/>
            </w:tcBorders>
            <w:shd w:val="clear" w:color="auto" w:fill="auto"/>
            <w:noWrap/>
            <w:vAlign w:val="center"/>
            <w:hideMark/>
          </w:tcPr>
          <w:p w14:paraId="5DB23201"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EDIC : </w:t>
            </w:r>
          </w:p>
        </w:tc>
        <w:tc>
          <w:tcPr>
            <w:tcW w:w="8014" w:type="dxa"/>
            <w:tcBorders>
              <w:top w:val="nil"/>
              <w:left w:val="nil"/>
              <w:bottom w:val="nil"/>
              <w:right w:val="nil"/>
            </w:tcBorders>
            <w:shd w:val="clear" w:color="auto" w:fill="auto"/>
            <w:noWrap/>
            <w:vAlign w:val="center"/>
            <w:hideMark/>
          </w:tcPr>
          <w:p w14:paraId="18354A5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Etude Diagnostic de l’Intégration du Commerce</w:t>
            </w:r>
          </w:p>
        </w:tc>
      </w:tr>
      <w:tr w:rsidR="00A43429" w:rsidRPr="00A43429" w14:paraId="23BF9874" w14:textId="77777777" w:rsidTr="00A43429">
        <w:trPr>
          <w:trHeight w:val="300"/>
        </w:trPr>
        <w:tc>
          <w:tcPr>
            <w:tcW w:w="1200" w:type="dxa"/>
            <w:tcBorders>
              <w:top w:val="nil"/>
              <w:left w:val="nil"/>
              <w:bottom w:val="nil"/>
              <w:right w:val="nil"/>
            </w:tcBorders>
            <w:shd w:val="clear" w:color="auto" w:fill="auto"/>
            <w:noWrap/>
            <w:vAlign w:val="center"/>
            <w:hideMark/>
          </w:tcPr>
          <w:p w14:paraId="648686C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FED : </w:t>
            </w:r>
          </w:p>
        </w:tc>
        <w:tc>
          <w:tcPr>
            <w:tcW w:w="8014" w:type="dxa"/>
            <w:tcBorders>
              <w:top w:val="nil"/>
              <w:left w:val="nil"/>
              <w:bottom w:val="nil"/>
              <w:right w:val="nil"/>
            </w:tcBorders>
            <w:shd w:val="clear" w:color="auto" w:fill="auto"/>
            <w:noWrap/>
            <w:vAlign w:val="center"/>
            <w:hideMark/>
          </w:tcPr>
          <w:p w14:paraId="17EE159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Fonds Européen de Développement</w:t>
            </w:r>
          </w:p>
        </w:tc>
      </w:tr>
      <w:tr w:rsidR="00A43429" w:rsidRPr="00A43429" w14:paraId="759777AE" w14:textId="77777777" w:rsidTr="00A43429">
        <w:trPr>
          <w:trHeight w:val="300"/>
        </w:trPr>
        <w:tc>
          <w:tcPr>
            <w:tcW w:w="1200" w:type="dxa"/>
            <w:tcBorders>
              <w:top w:val="nil"/>
              <w:left w:val="nil"/>
              <w:bottom w:val="nil"/>
              <w:right w:val="nil"/>
            </w:tcBorders>
            <w:shd w:val="clear" w:color="auto" w:fill="auto"/>
            <w:noWrap/>
            <w:vAlign w:val="center"/>
            <w:hideMark/>
          </w:tcPr>
          <w:p w14:paraId="0848560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GFP : </w:t>
            </w:r>
          </w:p>
        </w:tc>
        <w:tc>
          <w:tcPr>
            <w:tcW w:w="8014" w:type="dxa"/>
            <w:tcBorders>
              <w:top w:val="nil"/>
              <w:left w:val="nil"/>
              <w:bottom w:val="nil"/>
              <w:right w:val="nil"/>
            </w:tcBorders>
            <w:shd w:val="clear" w:color="auto" w:fill="auto"/>
            <w:noWrap/>
            <w:vAlign w:val="center"/>
            <w:hideMark/>
          </w:tcPr>
          <w:p w14:paraId="5A18699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Gestion des Finances Publiques</w:t>
            </w:r>
          </w:p>
        </w:tc>
      </w:tr>
      <w:tr w:rsidR="00A43429" w:rsidRPr="00A43429" w14:paraId="2D6D1DCD" w14:textId="77777777" w:rsidTr="00A43429">
        <w:trPr>
          <w:trHeight w:val="300"/>
        </w:trPr>
        <w:tc>
          <w:tcPr>
            <w:tcW w:w="1200" w:type="dxa"/>
            <w:tcBorders>
              <w:top w:val="nil"/>
              <w:left w:val="nil"/>
              <w:bottom w:val="nil"/>
              <w:right w:val="nil"/>
            </w:tcBorders>
            <w:shd w:val="clear" w:color="auto" w:fill="auto"/>
            <w:noWrap/>
            <w:vAlign w:val="center"/>
            <w:hideMark/>
          </w:tcPr>
          <w:p w14:paraId="4ED74665"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HC3N : </w:t>
            </w:r>
          </w:p>
        </w:tc>
        <w:tc>
          <w:tcPr>
            <w:tcW w:w="8014" w:type="dxa"/>
            <w:tcBorders>
              <w:top w:val="nil"/>
              <w:left w:val="nil"/>
              <w:bottom w:val="nil"/>
              <w:right w:val="nil"/>
            </w:tcBorders>
            <w:shd w:val="clear" w:color="auto" w:fill="auto"/>
            <w:noWrap/>
            <w:vAlign w:val="center"/>
            <w:hideMark/>
          </w:tcPr>
          <w:p w14:paraId="33B47805"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Haut-Commissariat à l’Initiative 3N</w:t>
            </w:r>
          </w:p>
        </w:tc>
      </w:tr>
      <w:tr w:rsidR="00A43429" w:rsidRPr="00A43429" w14:paraId="6B936E25" w14:textId="77777777" w:rsidTr="00A43429">
        <w:trPr>
          <w:trHeight w:val="300"/>
        </w:trPr>
        <w:tc>
          <w:tcPr>
            <w:tcW w:w="1200" w:type="dxa"/>
            <w:tcBorders>
              <w:top w:val="nil"/>
              <w:left w:val="nil"/>
              <w:bottom w:val="nil"/>
              <w:right w:val="nil"/>
            </w:tcBorders>
            <w:shd w:val="clear" w:color="auto" w:fill="auto"/>
            <w:noWrap/>
            <w:vAlign w:val="center"/>
            <w:hideMark/>
          </w:tcPr>
          <w:p w14:paraId="4E1D0DF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i3N : </w:t>
            </w:r>
          </w:p>
        </w:tc>
        <w:tc>
          <w:tcPr>
            <w:tcW w:w="8014" w:type="dxa"/>
            <w:tcBorders>
              <w:top w:val="nil"/>
              <w:left w:val="nil"/>
              <w:bottom w:val="nil"/>
              <w:right w:val="nil"/>
            </w:tcBorders>
            <w:shd w:val="clear" w:color="auto" w:fill="auto"/>
            <w:noWrap/>
            <w:vAlign w:val="center"/>
            <w:hideMark/>
          </w:tcPr>
          <w:p w14:paraId="4BADF4C1"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Initiative 3N « Les Nigériens Nourrissent les Nigériens »</w:t>
            </w:r>
          </w:p>
        </w:tc>
      </w:tr>
      <w:tr w:rsidR="00A43429" w:rsidRPr="00A43429" w14:paraId="17A83877" w14:textId="77777777" w:rsidTr="00A43429">
        <w:trPr>
          <w:trHeight w:val="300"/>
        </w:trPr>
        <w:tc>
          <w:tcPr>
            <w:tcW w:w="1200" w:type="dxa"/>
            <w:tcBorders>
              <w:top w:val="nil"/>
              <w:left w:val="nil"/>
              <w:bottom w:val="nil"/>
              <w:right w:val="nil"/>
            </w:tcBorders>
            <w:shd w:val="clear" w:color="auto" w:fill="auto"/>
            <w:noWrap/>
            <w:vAlign w:val="center"/>
            <w:hideMark/>
          </w:tcPr>
          <w:p w14:paraId="11F5801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INRAN : </w:t>
            </w:r>
          </w:p>
        </w:tc>
        <w:tc>
          <w:tcPr>
            <w:tcW w:w="8014" w:type="dxa"/>
            <w:tcBorders>
              <w:top w:val="nil"/>
              <w:left w:val="nil"/>
              <w:bottom w:val="nil"/>
              <w:right w:val="nil"/>
            </w:tcBorders>
            <w:shd w:val="clear" w:color="auto" w:fill="auto"/>
            <w:noWrap/>
            <w:vAlign w:val="center"/>
            <w:hideMark/>
          </w:tcPr>
          <w:p w14:paraId="123F0B7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Institut National de Recherche Agronomique du Niger</w:t>
            </w:r>
          </w:p>
        </w:tc>
      </w:tr>
      <w:tr w:rsidR="00A43429" w:rsidRPr="00A43429" w14:paraId="68DE5876" w14:textId="77777777" w:rsidTr="00A43429">
        <w:trPr>
          <w:trHeight w:val="300"/>
        </w:trPr>
        <w:tc>
          <w:tcPr>
            <w:tcW w:w="1200" w:type="dxa"/>
            <w:tcBorders>
              <w:top w:val="nil"/>
              <w:left w:val="nil"/>
              <w:bottom w:val="nil"/>
              <w:right w:val="nil"/>
            </w:tcBorders>
            <w:shd w:val="clear" w:color="auto" w:fill="auto"/>
            <w:noWrap/>
            <w:vAlign w:val="center"/>
            <w:hideMark/>
          </w:tcPr>
          <w:p w14:paraId="2B8AEB5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MAG : </w:t>
            </w:r>
          </w:p>
        </w:tc>
        <w:tc>
          <w:tcPr>
            <w:tcW w:w="8014" w:type="dxa"/>
            <w:tcBorders>
              <w:top w:val="nil"/>
              <w:left w:val="nil"/>
              <w:bottom w:val="nil"/>
              <w:right w:val="nil"/>
            </w:tcBorders>
            <w:shd w:val="clear" w:color="auto" w:fill="auto"/>
            <w:noWrap/>
            <w:vAlign w:val="center"/>
            <w:hideMark/>
          </w:tcPr>
          <w:p w14:paraId="0B737F11"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Ministère de l’Agriculture</w:t>
            </w:r>
          </w:p>
        </w:tc>
      </w:tr>
      <w:tr w:rsidR="00A43429" w:rsidRPr="00A43429" w14:paraId="02B2054A" w14:textId="77777777" w:rsidTr="00A43429">
        <w:trPr>
          <w:trHeight w:val="300"/>
        </w:trPr>
        <w:tc>
          <w:tcPr>
            <w:tcW w:w="1200" w:type="dxa"/>
            <w:tcBorders>
              <w:top w:val="nil"/>
              <w:left w:val="nil"/>
              <w:bottom w:val="nil"/>
              <w:right w:val="nil"/>
            </w:tcBorders>
            <w:shd w:val="clear" w:color="auto" w:fill="auto"/>
            <w:noWrap/>
            <w:vAlign w:val="center"/>
            <w:hideMark/>
          </w:tcPr>
          <w:p w14:paraId="34F483EE"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MAH/GC : </w:t>
            </w:r>
          </w:p>
        </w:tc>
        <w:tc>
          <w:tcPr>
            <w:tcW w:w="8014" w:type="dxa"/>
            <w:tcBorders>
              <w:top w:val="nil"/>
              <w:left w:val="nil"/>
              <w:bottom w:val="nil"/>
              <w:right w:val="nil"/>
            </w:tcBorders>
            <w:shd w:val="clear" w:color="auto" w:fill="auto"/>
            <w:noWrap/>
            <w:vAlign w:val="center"/>
            <w:hideMark/>
          </w:tcPr>
          <w:p w14:paraId="23760BDE"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Ministère des Actions humanitaires et de la Gestion des Catastrophes</w:t>
            </w:r>
          </w:p>
        </w:tc>
      </w:tr>
      <w:tr w:rsidR="00A43429" w:rsidRPr="00A43429" w14:paraId="0B6F5C8D" w14:textId="77777777" w:rsidTr="00A43429">
        <w:trPr>
          <w:trHeight w:val="300"/>
        </w:trPr>
        <w:tc>
          <w:tcPr>
            <w:tcW w:w="1200" w:type="dxa"/>
            <w:tcBorders>
              <w:top w:val="nil"/>
              <w:left w:val="nil"/>
              <w:bottom w:val="nil"/>
              <w:right w:val="nil"/>
            </w:tcBorders>
            <w:shd w:val="clear" w:color="auto" w:fill="auto"/>
            <w:noWrap/>
            <w:vAlign w:val="center"/>
            <w:hideMark/>
          </w:tcPr>
          <w:p w14:paraId="02819FDC"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MC/PSP : </w:t>
            </w:r>
          </w:p>
        </w:tc>
        <w:tc>
          <w:tcPr>
            <w:tcW w:w="8014" w:type="dxa"/>
            <w:tcBorders>
              <w:top w:val="nil"/>
              <w:left w:val="nil"/>
              <w:bottom w:val="nil"/>
              <w:right w:val="nil"/>
            </w:tcBorders>
            <w:shd w:val="clear" w:color="auto" w:fill="auto"/>
            <w:noWrap/>
            <w:vAlign w:val="center"/>
            <w:hideMark/>
          </w:tcPr>
          <w:p w14:paraId="41DE625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Ministère du Commerce et de la Promotion du Secteur Privé</w:t>
            </w:r>
          </w:p>
        </w:tc>
      </w:tr>
      <w:tr w:rsidR="00A43429" w:rsidRPr="00A43429" w14:paraId="41923CF2" w14:textId="77777777" w:rsidTr="00A43429">
        <w:trPr>
          <w:trHeight w:val="300"/>
        </w:trPr>
        <w:tc>
          <w:tcPr>
            <w:tcW w:w="1200" w:type="dxa"/>
            <w:tcBorders>
              <w:top w:val="nil"/>
              <w:left w:val="nil"/>
              <w:bottom w:val="nil"/>
              <w:right w:val="nil"/>
            </w:tcBorders>
            <w:shd w:val="clear" w:color="auto" w:fill="auto"/>
            <w:noWrap/>
            <w:vAlign w:val="center"/>
            <w:hideMark/>
          </w:tcPr>
          <w:p w14:paraId="4A3E3AD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MEDD : </w:t>
            </w:r>
          </w:p>
        </w:tc>
        <w:tc>
          <w:tcPr>
            <w:tcW w:w="8014" w:type="dxa"/>
            <w:tcBorders>
              <w:top w:val="nil"/>
              <w:left w:val="nil"/>
              <w:bottom w:val="nil"/>
              <w:right w:val="nil"/>
            </w:tcBorders>
            <w:shd w:val="clear" w:color="auto" w:fill="auto"/>
            <w:noWrap/>
            <w:vAlign w:val="center"/>
            <w:hideMark/>
          </w:tcPr>
          <w:p w14:paraId="5064AEC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Ministère de l’Environnement et du Développement Durable</w:t>
            </w:r>
          </w:p>
        </w:tc>
      </w:tr>
      <w:tr w:rsidR="00A43429" w:rsidRPr="00A43429" w14:paraId="2E02EC05" w14:textId="77777777" w:rsidTr="00A43429">
        <w:trPr>
          <w:trHeight w:val="300"/>
        </w:trPr>
        <w:tc>
          <w:tcPr>
            <w:tcW w:w="1200" w:type="dxa"/>
            <w:tcBorders>
              <w:top w:val="nil"/>
              <w:left w:val="nil"/>
              <w:bottom w:val="nil"/>
              <w:right w:val="nil"/>
            </w:tcBorders>
            <w:shd w:val="clear" w:color="auto" w:fill="auto"/>
            <w:noWrap/>
            <w:vAlign w:val="center"/>
            <w:hideMark/>
          </w:tcPr>
          <w:p w14:paraId="2238E748"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MEL : </w:t>
            </w:r>
          </w:p>
        </w:tc>
        <w:tc>
          <w:tcPr>
            <w:tcW w:w="8014" w:type="dxa"/>
            <w:tcBorders>
              <w:top w:val="nil"/>
              <w:left w:val="nil"/>
              <w:bottom w:val="nil"/>
              <w:right w:val="nil"/>
            </w:tcBorders>
            <w:shd w:val="clear" w:color="auto" w:fill="auto"/>
            <w:noWrap/>
            <w:vAlign w:val="center"/>
            <w:hideMark/>
          </w:tcPr>
          <w:p w14:paraId="7C0D870D"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Ministère de l’Elevage</w:t>
            </w:r>
          </w:p>
        </w:tc>
      </w:tr>
      <w:tr w:rsidR="00A43429" w:rsidRPr="00A43429" w14:paraId="64B578C4" w14:textId="77777777" w:rsidTr="00A43429">
        <w:trPr>
          <w:trHeight w:val="300"/>
        </w:trPr>
        <w:tc>
          <w:tcPr>
            <w:tcW w:w="1200" w:type="dxa"/>
            <w:tcBorders>
              <w:top w:val="nil"/>
              <w:left w:val="nil"/>
              <w:bottom w:val="nil"/>
              <w:right w:val="nil"/>
            </w:tcBorders>
            <w:shd w:val="clear" w:color="auto" w:fill="auto"/>
            <w:noWrap/>
            <w:vAlign w:val="center"/>
            <w:hideMark/>
          </w:tcPr>
          <w:p w14:paraId="41253DAE" w14:textId="72A190AF" w:rsidR="00A43429" w:rsidRPr="00A43429" w:rsidRDefault="00757CF6" w:rsidP="00A43429">
            <w:pPr>
              <w:spacing w:after="0" w:line="240" w:lineRule="auto"/>
              <w:rPr>
                <w:rFonts w:ascii="Calibri" w:eastAsia="Times New Roman" w:hAnsi="Calibri" w:cs="Calibri"/>
                <w:color w:val="000000"/>
                <w:lang w:eastAsia="fr-FR"/>
              </w:rPr>
            </w:pPr>
            <w:r>
              <w:rPr>
                <w:rFonts w:ascii="Calibri" w:eastAsia="Times New Roman" w:hAnsi="Calibri" w:cstheme="minorHAnsi"/>
                <w:color w:val="000000"/>
                <w:lang w:eastAsia="fr-FR"/>
              </w:rPr>
              <w:t xml:space="preserve">MHA </w:t>
            </w:r>
            <w:r w:rsidR="00A43429" w:rsidRPr="00A43429">
              <w:rPr>
                <w:rFonts w:ascii="Calibri" w:eastAsia="Times New Roman" w:hAnsi="Calibri" w:cstheme="minorHAnsi"/>
                <w:color w:val="000000"/>
                <w:lang w:eastAsia="fr-FR"/>
              </w:rPr>
              <w:t xml:space="preserve">: </w:t>
            </w:r>
          </w:p>
        </w:tc>
        <w:tc>
          <w:tcPr>
            <w:tcW w:w="8014" w:type="dxa"/>
            <w:tcBorders>
              <w:top w:val="nil"/>
              <w:left w:val="nil"/>
              <w:bottom w:val="nil"/>
              <w:right w:val="nil"/>
            </w:tcBorders>
            <w:shd w:val="clear" w:color="auto" w:fill="auto"/>
            <w:noWrap/>
            <w:vAlign w:val="center"/>
            <w:hideMark/>
          </w:tcPr>
          <w:p w14:paraId="4CBC091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Ministère de l’Hydraulique et de l’Assainissement</w:t>
            </w:r>
          </w:p>
        </w:tc>
      </w:tr>
      <w:tr w:rsidR="00A43429" w:rsidRPr="00A43429" w14:paraId="782FFF79" w14:textId="77777777" w:rsidTr="00A43429">
        <w:trPr>
          <w:trHeight w:val="300"/>
        </w:trPr>
        <w:tc>
          <w:tcPr>
            <w:tcW w:w="1200" w:type="dxa"/>
            <w:tcBorders>
              <w:top w:val="nil"/>
              <w:left w:val="nil"/>
              <w:bottom w:val="nil"/>
              <w:right w:val="nil"/>
            </w:tcBorders>
            <w:shd w:val="clear" w:color="auto" w:fill="auto"/>
            <w:noWrap/>
            <w:vAlign w:val="center"/>
            <w:hideMark/>
          </w:tcPr>
          <w:p w14:paraId="20E6E700"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MSP : </w:t>
            </w:r>
          </w:p>
        </w:tc>
        <w:tc>
          <w:tcPr>
            <w:tcW w:w="8014" w:type="dxa"/>
            <w:tcBorders>
              <w:top w:val="nil"/>
              <w:left w:val="nil"/>
              <w:bottom w:val="nil"/>
              <w:right w:val="nil"/>
            </w:tcBorders>
            <w:shd w:val="clear" w:color="auto" w:fill="auto"/>
            <w:noWrap/>
            <w:vAlign w:val="center"/>
            <w:hideMark/>
          </w:tcPr>
          <w:p w14:paraId="55389EC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Ministère de la Santé Publique</w:t>
            </w:r>
          </w:p>
        </w:tc>
      </w:tr>
      <w:tr w:rsidR="00A43429" w:rsidRPr="00A43429" w14:paraId="121703A6" w14:textId="77777777" w:rsidTr="00A43429">
        <w:trPr>
          <w:trHeight w:val="300"/>
        </w:trPr>
        <w:tc>
          <w:tcPr>
            <w:tcW w:w="1200" w:type="dxa"/>
            <w:tcBorders>
              <w:top w:val="nil"/>
              <w:left w:val="nil"/>
              <w:bottom w:val="nil"/>
              <w:right w:val="nil"/>
            </w:tcBorders>
            <w:shd w:val="clear" w:color="auto" w:fill="auto"/>
            <w:noWrap/>
            <w:vAlign w:val="center"/>
            <w:hideMark/>
          </w:tcPr>
          <w:p w14:paraId="6468B43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NEPAD : </w:t>
            </w:r>
          </w:p>
        </w:tc>
        <w:tc>
          <w:tcPr>
            <w:tcW w:w="8014" w:type="dxa"/>
            <w:tcBorders>
              <w:top w:val="nil"/>
              <w:left w:val="nil"/>
              <w:bottom w:val="nil"/>
              <w:right w:val="nil"/>
            </w:tcBorders>
            <w:shd w:val="clear" w:color="auto" w:fill="auto"/>
            <w:noWrap/>
            <w:vAlign w:val="center"/>
            <w:hideMark/>
          </w:tcPr>
          <w:p w14:paraId="1FD6E4DF"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Nouveau Partenariat pour le Développement de l'Afrique</w:t>
            </w:r>
          </w:p>
        </w:tc>
      </w:tr>
      <w:tr w:rsidR="00A43429" w:rsidRPr="00A43429" w14:paraId="4A5C5E7A" w14:textId="77777777" w:rsidTr="00A43429">
        <w:trPr>
          <w:trHeight w:val="300"/>
        </w:trPr>
        <w:tc>
          <w:tcPr>
            <w:tcW w:w="1200" w:type="dxa"/>
            <w:tcBorders>
              <w:top w:val="nil"/>
              <w:left w:val="nil"/>
              <w:bottom w:val="nil"/>
              <w:right w:val="nil"/>
            </w:tcBorders>
            <w:shd w:val="clear" w:color="auto" w:fill="auto"/>
            <w:noWrap/>
            <w:vAlign w:val="center"/>
            <w:hideMark/>
          </w:tcPr>
          <w:p w14:paraId="17F3B978"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ODD : </w:t>
            </w:r>
          </w:p>
        </w:tc>
        <w:tc>
          <w:tcPr>
            <w:tcW w:w="8014" w:type="dxa"/>
            <w:tcBorders>
              <w:top w:val="nil"/>
              <w:left w:val="nil"/>
              <w:bottom w:val="nil"/>
              <w:right w:val="nil"/>
            </w:tcBorders>
            <w:shd w:val="clear" w:color="auto" w:fill="auto"/>
            <w:noWrap/>
            <w:vAlign w:val="center"/>
            <w:hideMark/>
          </w:tcPr>
          <w:p w14:paraId="7C1EF2FA"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Objectifs de Développement Durable</w:t>
            </w:r>
          </w:p>
        </w:tc>
      </w:tr>
      <w:tr w:rsidR="00A43429" w:rsidRPr="00A43429" w14:paraId="33DD93B7" w14:textId="77777777" w:rsidTr="00A43429">
        <w:trPr>
          <w:trHeight w:val="300"/>
        </w:trPr>
        <w:tc>
          <w:tcPr>
            <w:tcW w:w="1200" w:type="dxa"/>
            <w:tcBorders>
              <w:top w:val="nil"/>
              <w:left w:val="nil"/>
              <w:bottom w:val="nil"/>
              <w:right w:val="nil"/>
            </w:tcBorders>
            <w:shd w:val="clear" w:color="auto" w:fill="auto"/>
            <w:noWrap/>
            <w:vAlign w:val="center"/>
            <w:hideMark/>
          </w:tcPr>
          <w:p w14:paraId="54A1395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ONAHA : </w:t>
            </w:r>
          </w:p>
        </w:tc>
        <w:tc>
          <w:tcPr>
            <w:tcW w:w="8014" w:type="dxa"/>
            <w:tcBorders>
              <w:top w:val="nil"/>
              <w:left w:val="nil"/>
              <w:bottom w:val="nil"/>
              <w:right w:val="nil"/>
            </w:tcBorders>
            <w:shd w:val="clear" w:color="auto" w:fill="auto"/>
            <w:noWrap/>
            <w:vAlign w:val="center"/>
            <w:hideMark/>
          </w:tcPr>
          <w:p w14:paraId="4820F82C"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Office National des Aménagements Hydro Agricole</w:t>
            </w:r>
          </w:p>
        </w:tc>
      </w:tr>
      <w:tr w:rsidR="00A43429" w:rsidRPr="00A43429" w14:paraId="1D701F7D" w14:textId="77777777" w:rsidTr="00A43429">
        <w:trPr>
          <w:trHeight w:val="300"/>
        </w:trPr>
        <w:tc>
          <w:tcPr>
            <w:tcW w:w="1200" w:type="dxa"/>
            <w:tcBorders>
              <w:top w:val="nil"/>
              <w:left w:val="nil"/>
              <w:bottom w:val="nil"/>
              <w:right w:val="nil"/>
            </w:tcBorders>
            <w:shd w:val="clear" w:color="auto" w:fill="auto"/>
            <w:noWrap/>
            <w:vAlign w:val="center"/>
            <w:hideMark/>
          </w:tcPr>
          <w:p w14:paraId="5678A441"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OPVN : </w:t>
            </w:r>
          </w:p>
        </w:tc>
        <w:tc>
          <w:tcPr>
            <w:tcW w:w="8014" w:type="dxa"/>
            <w:tcBorders>
              <w:top w:val="nil"/>
              <w:left w:val="nil"/>
              <w:bottom w:val="nil"/>
              <w:right w:val="nil"/>
            </w:tcBorders>
            <w:shd w:val="clear" w:color="auto" w:fill="auto"/>
            <w:noWrap/>
            <w:vAlign w:val="center"/>
            <w:hideMark/>
          </w:tcPr>
          <w:p w14:paraId="6D42241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Office des Produits Vivriers du Niger</w:t>
            </w:r>
          </w:p>
        </w:tc>
      </w:tr>
      <w:tr w:rsidR="00A43429" w:rsidRPr="00A43429" w14:paraId="36A955DC" w14:textId="77777777" w:rsidTr="00A43429">
        <w:trPr>
          <w:trHeight w:val="300"/>
        </w:trPr>
        <w:tc>
          <w:tcPr>
            <w:tcW w:w="1200" w:type="dxa"/>
            <w:tcBorders>
              <w:top w:val="nil"/>
              <w:left w:val="nil"/>
              <w:bottom w:val="nil"/>
              <w:right w:val="nil"/>
            </w:tcBorders>
            <w:shd w:val="clear" w:color="auto" w:fill="auto"/>
            <w:noWrap/>
            <w:vAlign w:val="center"/>
            <w:hideMark/>
          </w:tcPr>
          <w:p w14:paraId="36E482B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PANGIRE : </w:t>
            </w:r>
          </w:p>
        </w:tc>
        <w:tc>
          <w:tcPr>
            <w:tcW w:w="8014" w:type="dxa"/>
            <w:tcBorders>
              <w:top w:val="nil"/>
              <w:left w:val="nil"/>
              <w:bottom w:val="nil"/>
              <w:right w:val="nil"/>
            </w:tcBorders>
            <w:shd w:val="clear" w:color="auto" w:fill="auto"/>
            <w:noWrap/>
            <w:vAlign w:val="center"/>
            <w:hideMark/>
          </w:tcPr>
          <w:p w14:paraId="77774BF1"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Plan d’Action National de Gestion Intégrée des Ressources en Eau</w:t>
            </w:r>
          </w:p>
        </w:tc>
      </w:tr>
      <w:tr w:rsidR="00A43429" w:rsidRPr="00A43429" w14:paraId="75DF6A9A" w14:textId="77777777" w:rsidTr="00A43429">
        <w:trPr>
          <w:trHeight w:val="300"/>
        </w:trPr>
        <w:tc>
          <w:tcPr>
            <w:tcW w:w="1200" w:type="dxa"/>
            <w:tcBorders>
              <w:top w:val="nil"/>
              <w:left w:val="nil"/>
              <w:bottom w:val="nil"/>
              <w:right w:val="nil"/>
            </w:tcBorders>
            <w:shd w:val="clear" w:color="auto" w:fill="auto"/>
            <w:noWrap/>
            <w:vAlign w:val="center"/>
            <w:hideMark/>
          </w:tcPr>
          <w:p w14:paraId="194FB5C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PDES : </w:t>
            </w:r>
          </w:p>
        </w:tc>
        <w:tc>
          <w:tcPr>
            <w:tcW w:w="8014" w:type="dxa"/>
            <w:tcBorders>
              <w:top w:val="nil"/>
              <w:left w:val="nil"/>
              <w:bottom w:val="nil"/>
              <w:right w:val="nil"/>
            </w:tcBorders>
            <w:shd w:val="clear" w:color="auto" w:fill="auto"/>
            <w:noWrap/>
            <w:vAlign w:val="center"/>
            <w:hideMark/>
          </w:tcPr>
          <w:p w14:paraId="21FCAF57"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Plan de Développement Economique et Social</w:t>
            </w:r>
          </w:p>
        </w:tc>
      </w:tr>
      <w:tr w:rsidR="00A43429" w:rsidRPr="00A43429" w14:paraId="26F01BCB" w14:textId="77777777" w:rsidTr="00A43429">
        <w:trPr>
          <w:trHeight w:val="300"/>
        </w:trPr>
        <w:tc>
          <w:tcPr>
            <w:tcW w:w="1200" w:type="dxa"/>
            <w:tcBorders>
              <w:top w:val="nil"/>
              <w:left w:val="nil"/>
              <w:bottom w:val="nil"/>
              <w:right w:val="nil"/>
            </w:tcBorders>
            <w:shd w:val="clear" w:color="auto" w:fill="auto"/>
            <w:noWrap/>
            <w:vAlign w:val="center"/>
            <w:hideMark/>
          </w:tcPr>
          <w:p w14:paraId="1709998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PDS : </w:t>
            </w:r>
          </w:p>
        </w:tc>
        <w:tc>
          <w:tcPr>
            <w:tcW w:w="8014" w:type="dxa"/>
            <w:tcBorders>
              <w:top w:val="nil"/>
              <w:left w:val="nil"/>
              <w:bottom w:val="nil"/>
              <w:right w:val="nil"/>
            </w:tcBorders>
            <w:shd w:val="clear" w:color="auto" w:fill="auto"/>
            <w:noWrap/>
            <w:vAlign w:val="center"/>
            <w:hideMark/>
          </w:tcPr>
          <w:p w14:paraId="66535BA8"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Plan de Développement Sanitaire</w:t>
            </w:r>
          </w:p>
        </w:tc>
      </w:tr>
      <w:tr w:rsidR="00A43429" w:rsidRPr="008269D4" w14:paraId="294DA0FA" w14:textId="77777777" w:rsidTr="00A43429">
        <w:trPr>
          <w:trHeight w:val="300"/>
        </w:trPr>
        <w:tc>
          <w:tcPr>
            <w:tcW w:w="1200" w:type="dxa"/>
            <w:tcBorders>
              <w:top w:val="nil"/>
              <w:left w:val="nil"/>
              <w:bottom w:val="nil"/>
              <w:right w:val="nil"/>
            </w:tcBorders>
            <w:shd w:val="clear" w:color="auto" w:fill="auto"/>
            <w:noWrap/>
            <w:vAlign w:val="center"/>
            <w:hideMark/>
          </w:tcPr>
          <w:p w14:paraId="6466F377"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PEFA : </w:t>
            </w:r>
          </w:p>
        </w:tc>
        <w:tc>
          <w:tcPr>
            <w:tcW w:w="8014" w:type="dxa"/>
            <w:tcBorders>
              <w:top w:val="nil"/>
              <w:left w:val="nil"/>
              <w:bottom w:val="nil"/>
              <w:right w:val="nil"/>
            </w:tcBorders>
            <w:shd w:val="clear" w:color="auto" w:fill="auto"/>
            <w:noWrap/>
            <w:vAlign w:val="center"/>
            <w:hideMark/>
          </w:tcPr>
          <w:p w14:paraId="5C970953" w14:textId="77777777" w:rsidR="00A43429" w:rsidRPr="00EF323D" w:rsidRDefault="00A43429" w:rsidP="00A43429">
            <w:pPr>
              <w:spacing w:after="0" w:line="240" w:lineRule="auto"/>
              <w:rPr>
                <w:rFonts w:ascii="Calibri" w:eastAsia="Times New Roman" w:hAnsi="Calibri" w:cs="Calibri"/>
                <w:color w:val="000000"/>
                <w:lang w:val="en-US" w:eastAsia="fr-FR"/>
              </w:rPr>
            </w:pPr>
            <w:r w:rsidRPr="00EF323D">
              <w:rPr>
                <w:rFonts w:ascii="Calibri" w:eastAsia="Times New Roman" w:hAnsi="Calibri" w:cs="Calibri"/>
                <w:color w:val="000000"/>
                <w:lang w:val="en-US" w:eastAsia="fr-FR"/>
              </w:rPr>
              <w:t>Public Expenditure and Financial Accountability</w:t>
            </w:r>
          </w:p>
        </w:tc>
      </w:tr>
      <w:tr w:rsidR="00A43429" w:rsidRPr="008269D4" w14:paraId="174CA73A" w14:textId="77777777" w:rsidTr="00A43429">
        <w:trPr>
          <w:trHeight w:val="300"/>
        </w:trPr>
        <w:tc>
          <w:tcPr>
            <w:tcW w:w="1200" w:type="dxa"/>
            <w:tcBorders>
              <w:top w:val="nil"/>
              <w:left w:val="nil"/>
              <w:bottom w:val="nil"/>
              <w:right w:val="nil"/>
            </w:tcBorders>
            <w:shd w:val="clear" w:color="auto" w:fill="auto"/>
            <w:noWrap/>
            <w:vAlign w:val="center"/>
            <w:hideMark/>
          </w:tcPr>
          <w:p w14:paraId="222558E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PEMFAR : </w:t>
            </w:r>
          </w:p>
        </w:tc>
        <w:tc>
          <w:tcPr>
            <w:tcW w:w="8014" w:type="dxa"/>
            <w:tcBorders>
              <w:top w:val="nil"/>
              <w:left w:val="nil"/>
              <w:bottom w:val="nil"/>
              <w:right w:val="nil"/>
            </w:tcBorders>
            <w:shd w:val="clear" w:color="auto" w:fill="auto"/>
            <w:noWrap/>
            <w:vAlign w:val="center"/>
            <w:hideMark/>
          </w:tcPr>
          <w:p w14:paraId="0DD09E11" w14:textId="77777777" w:rsidR="00A43429" w:rsidRPr="00EF323D" w:rsidRDefault="00A43429" w:rsidP="00A43429">
            <w:pPr>
              <w:spacing w:after="0" w:line="240" w:lineRule="auto"/>
              <w:rPr>
                <w:rFonts w:ascii="Calibri" w:eastAsia="Times New Roman" w:hAnsi="Calibri" w:cs="Calibri"/>
                <w:color w:val="000000"/>
                <w:lang w:val="en-US" w:eastAsia="fr-FR"/>
              </w:rPr>
            </w:pPr>
            <w:r w:rsidRPr="00EF323D">
              <w:rPr>
                <w:rFonts w:ascii="Calibri" w:eastAsia="Times New Roman" w:hAnsi="Calibri" w:cs="Calibri"/>
                <w:color w:val="000000"/>
                <w:lang w:val="en-US" w:eastAsia="fr-FR"/>
              </w:rPr>
              <w:t>Public Expenditure Management and Financial Accountability Review</w:t>
            </w:r>
          </w:p>
        </w:tc>
      </w:tr>
      <w:tr w:rsidR="00A43429" w:rsidRPr="00A43429" w14:paraId="4DFE8445" w14:textId="77777777" w:rsidTr="00A43429">
        <w:trPr>
          <w:trHeight w:val="300"/>
        </w:trPr>
        <w:tc>
          <w:tcPr>
            <w:tcW w:w="1200" w:type="dxa"/>
            <w:tcBorders>
              <w:top w:val="nil"/>
              <w:left w:val="nil"/>
              <w:bottom w:val="nil"/>
              <w:right w:val="nil"/>
            </w:tcBorders>
            <w:shd w:val="clear" w:color="auto" w:fill="auto"/>
            <w:noWrap/>
            <w:vAlign w:val="center"/>
            <w:hideMark/>
          </w:tcPr>
          <w:p w14:paraId="72B8269F"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PIB : </w:t>
            </w:r>
          </w:p>
        </w:tc>
        <w:tc>
          <w:tcPr>
            <w:tcW w:w="8014" w:type="dxa"/>
            <w:tcBorders>
              <w:top w:val="nil"/>
              <w:left w:val="nil"/>
              <w:bottom w:val="nil"/>
              <w:right w:val="nil"/>
            </w:tcBorders>
            <w:shd w:val="clear" w:color="auto" w:fill="auto"/>
            <w:noWrap/>
            <w:vAlign w:val="center"/>
            <w:hideMark/>
          </w:tcPr>
          <w:p w14:paraId="1DAE97B4"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Produit Intérieur Brut</w:t>
            </w:r>
          </w:p>
        </w:tc>
      </w:tr>
      <w:tr w:rsidR="00A43429" w:rsidRPr="00A43429" w14:paraId="7BF64933" w14:textId="77777777" w:rsidTr="00A43429">
        <w:trPr>
          <w:trHeight w:val="300"/>
        </w:trPr>
        <w:tc>
          <w:tcPr>
            <w:tcW w:w="1200" w:type="dxa"/>
            <w:tcBorders>
              <w:top w:val="nil"/>
              <w:left w:val="nil"/>
              <w:bottom w:val="nil"/>
              <w:right w:val="nil"/>
            </w:tcBorders>
            <w:shd w:val="clear" w:color="auto" w:fill="auto"/>
            <w:noWrap/>
            <w:vAlign w:val="center"/>
            <w:hideMark/>
          </w:tcPr>
          <w:p w14:paraId="38252787"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lastRenderedPageBreak/>
              <w:t xml:space="preserve">PNAEPA : </w:t>
            </w:r>
          </w:p>
        </w:tc>
        <w:tc>
          <w:tcPr>
            <w:tcW w:w="8014" w:type="dxa"/>
            <w:tcBorders>
              <w:top w:val="nil"/>
              <w:left w:val="nil"/>
              <w:bottom w:val="nil"/>
              <w:right w:val="nil"/>
            </w:tcBorders>
            <w:shd w:val="clear" w:color="auto" w:fill="auto"/>
            <w:noWrap/>
            <w:vAlign w:val="center"/>
            <w:hideMark/>
          </w:tcPr>
          <w:p w14:paraId="046A456E"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Programme National d’Alimentation en Eau Potable et d’Assainissement</w:t>
            </w:r>
          </w:p>
        </w:tc>
      </w:tr>
      <w:tr w:rsidR="00A43429" w:rsidRPr="00A43429" w14:paraId="02878563" w14:textId="77777777" w:rsidTr="00A43429">
        <w:trPr>
          <w:trHeight w:val="300"/>
        </w:trPr>
        <w:tc>
          <w:tcPr>
            <w:tcW w:w="1200" w:type="dxa"/>
            <w:tcBorders>
              <w:top w:val="nil"/>
              <w:left w:val="nil"/>
              <w:bottom w:val="nil"/>
              <w:right w:val="nil"/>
            </w:tcBorders>
            <w:shd w:val="clear" w:color="auto" w:fill="auto"/>
            <w:noWrap/>
            <w:vAlign w:val="center"/>
            <w:hideMark/>
          </w:tcPr>
          <w:p w14:paraId="32632B3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PPTE : </w:t>
            </w:r>
          </w:p>
        </w:tc>
        <w:tc>
          <w:tcPr>
            <w:tcW w:w="8014" w:type="dxa"/>
            <w:tcBorders>
              <w:top w:val="nil"/>
              <w:left w:val="nil"/>
              <w:bottom w:val="nil"/>
              <w:right w:val="nil"/>
            </w:tcBorders>
            <w:shd w:val="clear" w:color="auto" w:fill="auto"/>
            <w:noWrap/>
            <w:vAlign w:val="center"/>
            <w:hideMark/>
          </w:tcPr>
          <w:p w14:paraId="217E3A1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Pays Pauvres Très Endettés</w:t>
            </w:r>
          </w:p>
        </w:tc>
      </w:tr>
      <w:tr w:rsidR="00A43429" w:rsidRPr="00A43429" w14:paraId="5C8713A0" w14:textId="77777777" w:rsidTr="00A43429">
        <w:trPr>
          <w:trHeight w:val="300"/>
        </w:trPr>
        <w:tc>
          <w:tcPr>
            <w:tcW w:w="1200" w:type="dxa"/>
            <w:tcBorders>
              <w:top w:val="nil"/>
              <w:left w:val="nil"/>
              <w:bottom w:val="nil"/>
              <w:right w:val="nil"/>
            </w:tcBorders>
            <w:shd w:val="clear" w:color="auto" w:fill="auto"/>
            <w:noWrap/>
            <w:vAlign w:val="center"/>
            <w:hideMark/>
          </w:tcPr>
          <w:p w14:paraId="2414D23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PRGFP : </w:t>
            </w:r>
          </w:p>
        </w:tc>
        <w:tc>
          <w:tcPr>
            <w:tcW w:w="8014" w:type="dxa"/>
            <w:tcBorders>
              <w:top w:val="nil"/>
              <w:left w:val="nil"/>
              <w:bottom w:val="nil"/>
              <w:right w:val="nil"/>
            </w:tcBorders>
            <w:shd w:val="clear" w:color="auto" w:fill="auto"/>
            <w:noWrap/>
            <w:vAlign w:val="center"/>
            <w:hideMark/>
          </w:tcPr>
          <w:p w14:paraId="4DD0C0F3"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Prémices de la Réforme des Finances Publiques</w:t>
            </w:r>
          </w:p>
        </w:tc>
      </w:tr>
      <w:tr w:rsidR="00A43429" w:rsidRPr="00A43429" w14:paraId="17769A29" w14:textId="77777777" w:rsidTr="00A43429">
        <w:trPr>
          <w:trHeight w:val="300"/>
        </w:trPr>
        <w:tc>
          <w:tcPr>
            <w:tcW w:w="1200" w:type="dxa"/>
            <w:tcBorders>
              <w:top w:val="nil"/>
              <w:left w:val="nil"/>
              <w:bottom w:val="nil"/>
              <w:right w:val="nil"/>
            </w:tcBorders>
            <w:shd w:val="clear" w:color="auto" w:fill="auto"/>
            <w:noWrap/>
            <w:vAlign w:val="center"/>
            <w:hideMark/>
          </w:tcPr>
          <w:p w14:paraId="4508C9CD"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PROSEHA : </w:t>
            </w:r>
          </w:p>
        </w:tc>
        <w:tc>
          <w:tcPr>
            <w:tcW w:w="8014" w:type="dxa"/>
            <w:tcBorders>
              <w:top w:val="nil"/>
              <w:left w:val="nil"/>
              <w:bottom w:val="nil"/>
              <w:right w:val="nil"/>
            </w:tcBorders>
            <w:shd w:val="clear" w:color="auto" w:fill="auto"/>
            <w:noWrap/>
            <w:vAlign w:val="center"/>
            <w:hideMark/>
          </w:tcPr>
          <w:p w14:paraId="7D328DC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Programme Sectoriel Eau Hygiène et Assainissement</w:t>
            </w:r>
          </w:p>
        </w:tc>
      </w:tr>
      <w:tr w:rsidR="00A43429" w:rsidRPr="00A43429" w14:paraId="67FE9909" w14:textId="77777777" w:rsidTr="00A43429">
        <w:trPr>
          <w:trHeight w:val="300"/>
        </w:trPr>
        <w:tc>
          <w:tcPr>
            <w:tcW w:w="1200" w:type="dxa"/>
            <w:tcBorders>
              <w:top w:val="nil"/>
              <w:left w:val="nil"/>
              <w:bottom w:val="nil"/>
              <w:right w:val="nil"/>
            </w:tcBorders>
            <w:shd w:val="clear" w:color="auto" w:fill="auto"/>
            <w:noWrap/>
            <w:vAlign w:val="center"/>
            <w:hideMark/>
          </w:tcPr>
          <w:p w14:paraId="3C04E2A6"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PTQ : </w:t>
            </w:r>
          </w:p>
        </w:tc>
        <w:tc>
          <w:tcPr>
            <w:tcW w:w="8014" w:type="dxa"/>
            <w:tcBorders>
              <w:top w:val="nil"/>
              <w:left w:val="nil"/>
              <w:bottom w:val="nil"/>
              <w:right w:val="nil"/>
            </w:tcBorders>
            <w:shd w:val="clear" w:color="auto" w:fill="auto"/>
            <w:noWrap/>
            <w:vAlign w:val="center"/>
            <w:hideMark/>
          </w:tcPr>
          <w:p w14:paraId="2277C64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Plan de Travail Quinquennal</w:t>
            </w:r>
          </w:p>
        </w:tc>
      </w:tr>
      <w:tr w:rsidR="00A43429" w:rsidRPr="00A43429" w14:paraId="3F67C0A4" w14:textId="77777777" w:rsidTr="00A43429">
        <w:trPr>
          <w:trHeight w:val="300"/>
        </w:trPr>
        <w:tc>
          <w:tcPr>
            <w:tcW w:w="1200" w:type="dxa"/>
            <w:tcBorders>
              <w:top w:val="nil"/>
              <w:left w:val="nil"/>
              <w:bottom w:val="nil"/>
              <w:right w:val="nil"/>
            </w:tcBorders>
            <w:shd w:val="clear" w:color="auto" w:fill="auto"/>
            <w:noWrap/>
            <w:vAlign w:val="center"/>
            <w:hideMark/>
          </w:tcPr>
          <w:p w14:paraId="2D41E927"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RDP : </w:t>
            </w:r>
          </w:p>
        </w:tc>
        <w:tc>
          <w:tcPr>
            <w:tcW w:w="8014" w:type="dxa"/>
            <w:tcBorders>
              <w:top w:val="nil"/>
              <w:left w:val="nil"/>
              <w:bottom w:val="nil"/>
              <w:right w:val="nil"/>
            </w:tcBorders>
            <w:shd w:val="clear" w:color="auto" w:fill="auto"/>
            <w:noWrap/>
            <w:vAlign w:val="center"/>
            <w:hideMark/>
          </w:tcPr>
          <w:p w14:paraId="549A52CF"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Revue des Dépenses Publiques</w:t>
            </w:r>
          </w:p>
        </w:tc>
      </w:tr>
      <w:tr w:rsidR="00A43429" w:rsidRPr="008269D4" w14:paraId="696808AA" w14:textId="77777777" w:rsidTr="00A43429">
        <w:trPr>
          <w:trHeight w:val="300"/>
        </w:trPr>
        <w:tc>
          <w:tcPr>
            <w:tcW w:w="1200" w:type="dxa"/>
            <w:tcBorders>
              <w:top w:val="nil"/>
              <w:left w:val="nil"/>
              <w:bottom w:val="nil"/>
              <w:right w:val="nil"/>
            </w:tcBorders>
            <w:shd w:val="clear" w:color="auto" w:fill="auto"/>
            <w:noWrap/>
            <w:vAlign w:val="center"/>
            <w:hideMark/>
          </w:tcPr>
          <w:p w14:paraId="0A562D92"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REACH : </w:t>
            </w:r>
          </w:p>
        </w:tc>
        <w:tc>
          <w:tcPr>
            <w:tcW w:w="8014" w:type="dxa"/>
            <w:tcBorders>
              <w:top w:val="nil"/>
              <w:left w:val="nil"/>
              <w:bottom w:val="nil"/>
              <w:right w:val="nil"/>
            </w:tcBorders>
            <w:shd w:val="clear" w:color="auto" w:fill="auto"/>
            <w:noWrap/>
            <w:vAlign w:val="center"/>
            <w:hideMark/>
          </w:tcPr>
          <w:p w14:paraId="271EF349" w14:textId="77777777" w:rsidR="00A43429" w:rsidRPr="00EF323D" w:rsidRDefault="00A43429" w:rsidP="00A43429">
            <w:pPr>
              <w:spacing w:after="0" w:line="240" w:lineRule="auto"/>
              <w:rPr>
                <w:rFonts w:ascii="Calibri" w:eastAsia="Times New Roman" w:hAnsi="Calibri" w:cs="Calibri"/>
                <w:color w:val="000000"/>
                <w:lang w:val="en-US" w:eastAsia="fr-FR"/>
              </w:rPr>
            </w:pPr>
            <w:r w:rsidRPr="00EF323D">
              <w:rPr>
                <w:rFonts w:ascii="Calibri" w:eastAsia="Times New Roman" w:hAnsi="Calibri" w:cs="Calibri"/>
                <w:color w:val="000000"/>
                <w:lang w:val="en-US" w:eastAsia="fr-FR"/>
              </w:rPr>
              <w:t>Renew Effort Against Child Hunger and undernutrition</w:t>
            </w:r>
          </w:p>
        </w:tc>
      </w:tr>
      <w:tr w:rsidR="00A43429" w:rsidRPr="00A43429" w14:paraId="53051AE0" w14:textId="77777777" w:rsidTr="00A43429">
        <w:trPr>
          <w:trHeight w:val="300"/>
        </w:trPr>
        <w:tc>
          <w:tcPr>
            <w:tcW w:w="1200" w:type="dxa"/>
            <w:tcBorders>
              <w:top w:val="nil"/>
              <w:left w:val="nil"/>
              <w:bottom w:val="nil"/>
              <w:right w:val="nil"/>
            </w:tcBorders>
            <w:shd w:val="clear" w:color="auto" w:fill="auto"/>
            <w:noWrap/>
            <w:vAlign w:val="center"/>
            <w:hideMark/>
          </w:tcPr>
          <w:p w14:paraId="57215718"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RECA : </w:t>
            </w:r>
          </w:p>
        </w:tc>
        <w:tc>
          <w:tcPr>
            <w:tcW w:w="8014" w:type="dxa"/>
            <w:tcBorders>
              <w:top w:val="nil"/>
              <w:left w:val="nil"/>
              <w:bottom w:val="nil"/>
              <w:right w:val="nil"/>
            </w:tcBorders>
            <w:shd w:val="clear" w:color="auto" w:fill="auto"/>
            <w:noWrap/>
            <w:vAlign w:val="center"/>
            <w:hideMark/>
          </w:tcPr>
          <w:p w14:paraId="35171ECB"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Réseau des Chambres d’Agriculture</w:t>
            </w:r>
          </w:p>
        </w:tc>
      </w:tr>
      <w:tr w:rsidR="00A43429" w:rsidRPr="00A43429" w14:paraId="147C6851" w14:textId="77777777" w:rsidTr="00A43429">
        <w:trPr>
          <w:trHeight w:val="300"/>
        </w:trPr>
        <w:tc>
          <w:tcPr>
            <w:tcW w:w="1200" w:type="dxa"/>
            <w:tcBorders>
              <w:top w:val="nil"/>
              <w:left w:val="nil"/>
              <w:bottom w:val="nil"/>
              <w:right w:val="nil"/>
            </w:tcBorders>
            <w:shd w:val="clear" w:color="auto" w:fill="auto"/>
            <w:noWrap/>
            <w:vAlign w:val="center"/>
            <w:hideMark/>
          </w:tcPr>
          <w:p w14:paraId="05E4E802"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REP : </w:t>
            </w:r>
          </w:p>
        </w:tc>
        <w:tc>
          <w:tcPr>
            <w:tcW w:w="8014" w:type="dxa"/>
            <w:tcBorders>
              <w:top w:val="nil"/>
              <w:left w:val="nil"/>
              <w:bottom w:val="nil"/>
              <w:right w:val="nil"/>
            </w:tcBorders>
            <w:shd w:val="clear" w:color="auto" w:fill="auto"/>
            <w:noWrap/>
            <w:vAlign w:val="center"/>
            <w:hideMark/>
          </w:tcPr>
          <w:p w14:paraId="39A54608"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Rapport d’Exécution du Programme</w:t>
            </w:r>
          </w:p>
        </w:tc>
      </w:tr>
      <w:tr w:rsidR="00A43429" w:rsidRPr="00A43429" w14:paraId="7098C773" w14:textId="77777777" w:rsidTr="00A43429">
        <w:trPr>
          <w:trHeight w:val="300"/>
        </w:trPr>
        <w:tc>
          <w:tcPr>
            <w:tcW w:w="1200" w:type="dxa"/>
            <w:tcBorders>
              <w:top w:val="nil"/>
              <w:left w:val="nil"/>
              <w:bottom w:val="nil"/>
              <w:right w:val="nil"/>
            </w:tcBorders>
            <w:shd w:val="clear" w:color="auto" w:fill="auto"/>
            <w:noWrap/>
            <w:vAlign w:val="center"/>
            <w:hideMark/>
          </w:tcPr>
          <w:p w14:paraId="03BAA2E0"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SAN/DAD : </w:t>
            </w:r>
          </w:p>
        </w:tc>
        <w:tc>
          <w:tcPr>
            <w:tcW w:w="8014" w:type="dxa"/>
            <w:tcBorders>
              <w:top w:val="nil"/>
              <w:left w:val="nil"/>
              <w:bottom w:val="nil"/>
              <w:right w:val="nil"/>
            </w:tcBorders>
            <w:shd w:val="clear" w:color="auto" w:fill="auto"/>
            <w:noWrap/>
            <w:vAlign w:val="center"/>
            <w:hideMark/>
          </w:tcPr>
          <w:p w14:paraId="2A072EBD"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Sécurité Alimentaire et Nutritionnelle et le Développement Agricole Durable</w:t>
            </w:r>
          </w:p>
        </w:tc>
      </w:tr>
      <w:tr w:rsidR="00A43429" w:rsidRPr="00A43429" w14:paraId="03036EC7" w14:textId="77777777" w:rsidTr="00A43429">
        <w:trPr>
          <w:trHeight w:val="300"/>
        </w:trPr>
        <w:tc>
          <w:tcPr>
            <w:tcW w:w="1200" w:type="dxa"/>
            <w:tcBorders>
              <w:top w:val="nil"/>
              <w:left w:val="nil"/>
              <w:bottom w:val="nil"/>
              <w:right w:val="nil"/>
            </w:tcBorders>
            <w:shd w:val="clear" w:color="auto" w:fill="auto"/>
            <w:noWrap/>
            <w:vAlign w:val="center"/>
            <w:hideMark/>
          </w:tcPr>
          <w:p w14:paraId="302868DC"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SDDCI : </w:t>
            </w:r>
          </w:p>
        </w:tc>
        <w:tc>
          <w:tcPr>
            <w:tcW w:w="8014" w:type="dxa"/>
            <w:tcBorders>
              <w:top w:val="nil"/>
              <w:left w:val="nil"/>
              <w:bottom w:val="nil"/>
              <w:right w:val="nil"/>
            </w:tcBorders>
            <w:shd w:val="clear" w:color="auto" w:fill="auto"/>
            <w:noWrap/>
            <w:vAlign w:val="center"/>
            <w:hideMark/>
          </w:tcPr>
          <w:p w14:paraId="194B90EC"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Stratégie de Développement Durable et de Croissance Inclusive</w:t>
            </w:r>
          </w:p>
        </w:tc>
      </w:tr>
      <w:tr w:rsidR="00A43429" w:rsidRPr="00A43429" w14:paraId="05A71D5D" w14:textId="77777777" w:rsidTr="00A43429">
        <w:trPr>
          <w:trHeight w:val="300"/>
        </w:trPr>
        <w:tc>
          <w:tcPr>
            <w:tcW w:w="1200" w:type="dxa"/>
            <w:tcBorders>
              <w:top w:val="nil"/>
              <w:left w:val="nil"/>
              <w:bottom w:val="nil"/>
              <w:right w:val="nil"/>
            </w:tcBorders>
            <w:shd w:val="clear" w:color="auto" w:fill="auto"/>
            <w:noWrap/>
            <w:vAlign w:val="center"/>
            <w:hideMark/>
          </w:tcPr>
          <w:p w14:paraId="35BD6EE2"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SUN : </w:t>
            </w:r>
          </w:p>
        </w:tc>
        <w:tc>
          <w:tcPr>
            <w:tcW w:w="8014" w:type="dxa"/>
            <w:tcBorders>
              <w:top w:val="nil"/>
              <w:left w:val="nil"/>
              <w:bottom w:val="nil"/>
              <w:right w:val="nil"/>
            </w:tcBorders>
            <w:shd w:val="clear" w:color="auto" w:fill="auto"/>
            <w:noWrap/>
            <w:vAlign w:val="center"/>
            <w:hideMark/>
          </w:tcPr>
          <w:p w14:paraId="3F539C7C" w14:textId="77777777" w:rsidR="00A43429" w:rsidRPr="00A43429" w:rsidRDefault="00A43429" w:rsidP="00A43429">
            <w:pPr>
              <w:spacing w:after="0" w:line="240" w:lineRule="auto"/>
              <w:rPr>
                <w:rFonts w:ascii="Calibri" w:eastAsia="Times New Roman" w:hAnsi="Calibri" w:cs="Calibri"/>
                <w:color w:val="000000"/>
                <w:lang w:eastAsia="fr-FR"/>
              </w:rPr>
            </w:pPr>
            <w:proofErr w:type="spellStart"/>
            <w:r w:rsidRPr="00A43429">
              <w:rPr>
                <w:rFonts w:ascii="Calibri" w:eastAsia="Times New Roman" w:hAnsi="Calibri" w:cs="Calibri"/>
                <w:color w:val="000000"/>
                <w:lang w:eastAsia="fr-FR"/>
              </w:rPr>
              <w:t>Scaling</w:t>
            </w:r>
            <w:proofErr w:type="spellEnd"/>
            <w:r w:rsidRPr="00A43429">
              <w:rPr>
                <w:rFonts w:ascii="Calibri" w:eastAsia="Times New Roman" w:hAnsi="Calibri" w:cs="Calibri"/>
                <w:color w:val="000000"/>
                <w:lang w:eastAsia="fr-FR"/>
              </w:rPr>
              <w:t xml:space="preserve"> Up Nutrition)</w:t>
            </w:r>
          </w:p>
        </w:tc>
      </w:tr>
      <w:tr w:rsidR="00A43429" w:rsidRPr="00A43429" w14:paraId="396170E0" w14:textId="77777777" w:rsidTr="00042CA9">
        <w:trPr>
          <w:trHeight w:val="300"/>
        </w:trPr>
        <w:tc>
          <w:tcPr>
            <w:tcW w:w="1200" w:type="dxa"/>
            <w:tcBorders>
              <w:top w:val="nil"/>
              <w:left w:val="nil"/>
              <w:bottom w:val="nil"/>
              <w:right w:val="nil"/>
            </w:tcBorders>
            <w:shd w:val="clear" w:color="auto" w:fill="auto"/>
            <w:noWrap/>
            <w:hideMark/>
          </w:tcPr>
          <w:p w14:paraId="771E23DE" w14:textId="77777777" w:rsidR="00A43429" w:rsidRPr="00A43429" w:rsidRDefault="00A43429" w:rsidP="00042CA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SWOT : </w:t>
            </w:r>
          </w:p>
        </w:tc>
        <w:tc>
          <w:tcPr>
            <w:tcW w:w="8014" w:type="dxa"/>
            <w:tcBorders>
              <w:top w:val="nil"/>
              <w:left w:val="nil"/>
              <w:bottom w:val="nil"/>
              <w:right w:val="nil"/>
            </w:tcBorders>
            <w:shd w:val="clear" w:color="auto" w:fill="auto"/>
            <w:noWrap/>
            <w:vAlign w:val="center"/>
            <w:hideMark/>
          </w:tcPr>
          <w:p w14:paraId="5A52E67F" w14:textId="77777777" w:rsidR="00A43429" w:rsidRPr="00A43429" w:rsidRDefault="00A43429" w:rsidP="00A43429">
            <w:pPr>
              <w:spacing w:after="0" w:line="240" w:lineRule="auto"/>
              <w:rPr>
                <w:rFonts w:ascii="Calibri" w:eastAsia="Times New Roman" w:hAnsi="Calibri" w:cs="Calibri"/>
                <w:color w:val="000000"/>
                <w:lang w:eastAsia="fr-FR"/>
              </w:rPr>
            </w:pPr>
            <w:proofErr w:type="spellStart"/>
            <w:r w:rsidRPr="00A43429">
              <w:rPr>
                <w:rFonts w:ascii="Calibri" w:eastAsia="Times New Roman" w:hAnsi="Calibri" w:cs="Calibri"/>
                <w:color w:val="000000"/>
                <w:lang w:eastAsia="fr-FR"/>
              </w:rPr>
              <w:t>Strengths</w:t>
            </w:r>
            <w:proofErr w:type="spellEnd"/>
            <w:r w:rsidRPr="00A43429">
              <w:rPr>
                <w:rFonts w:ascii="Calibri" w:eastAsia="Times New Roman" w:hAnsi="Calibri" w:cs="Calibri"/>
                <w:color w:val="000000"/>
                <w:lang w:eastAsia="fr-FR"/>
              </w:rPr>
              <w:t xml:space="preserve"> (forces), </w:t>
            </w:r>
            <w:proofErr w:type="spellStart"/>
            <w:r w:rsidRPr="00A43429">
              <w:rPr>
                <w:rFonts w:ascii="Calibri" w:eastAsia="Times New Roman" w:hAnsi="Calibri" w:cs="Calibri"/>
                <w:color w:val="000000"/>
                <w:lang w:eastAsia="fr-FR"/>
              </w:rPr>
              <w:t>Weaknesses</w:t>
            </w:r>
            <w:proofErr w:type="spellEnd"/>
            <w:r w:rsidRPr="00A43429">
              <w:rPr>
                <w:rFonts w:ascii="Calibri" w:eastAsia="Times New Roman" w:hAnsi="Calibri" w:cs="Calibri"/>
                <w:color w:val="000000"/>
                <w:lang w:eastAsia="fr-FR"/>
              </w:rPr>
              <w:t xml:space="preserve"> (faiblesses), </w:t>
            </w:r>
            <w:proofErr w:type="spellStart"/>
            <w:r w:rsidRPr="00A43429">
              <w:rPr>
                <w:rFonts w:ascii="Calibri" w:eastAsia="Times New Roman" w:hAnsi="Calibri" w:cs="Calibri"/>
                <w:color w:val="000000"/>
                <w:lang w:eastAsia="fr-FR"/>
              </w:rPr>
              <w:t>Opportunities</w:t>
            </w:r>
            <w:proofErr w:type="spellEnd"/>
            <w:r w:rsidRPr="00A43429">
              <w:rPr>
                <w:rFonts w:ascii="Calibri" w:eastAsia="Times New Roman" w:hAnsi="Calibri" w:cs="Calibri"/>
                <w:color w:val="000000"/>
                <w:lang w:eastAsia="fr-FR"/>
              </w:rPr>
              <w:t xml:space="preserve"> (opportunités), </w:t>
            </w:r>
            <w:proofErr w:type="spellStart"/>
            <w:r w:rsidRPr="00A43429">
              <w:rPr>
                <w:rFonts w:ascii="Calibri" w:eastAsia="Times New Roman" w:hAnsi="Calibri" w:cs="Calibri"/>
                <w:color w:val="000000"/>
                <w:lang w:eastAsia="fr-FR"/>
              </w:rPr>
              <w:t>Threats</w:t>
            </w:r>
            <w:proofErr w:type="spellEnd"/>
            <w:r w:rsidRPr="00A43429">
              <w:rPr>
                <w:rFonts w:ascii="Calibri" w:eastAsia="Times New Roman" w:hAnsi="Calibri" w:cs="Calibri"/>
                <w:color w:val="000000"/>
                <w:lang w:eastAsia="fr-FR"/>
              </w:rPr>
              <w:t xml:space="preserve"> (menaces)</w:t>
            </w:r>
          </w:p>
        </w:tc>
      </w:tr>
      <w:tr w:rsidR="00A43429" w:rsidRPr="00A43429" w14:paraId="3F317DEB" w14:textId="77777777" w:rsidTr="00A43429">
        <w:trPr>
          <w:trHeight w:val="300"/>
        </w:trPr>
        <w:tc>
          <w:tcPr>
            <w:tcW w:w="1200" w:type="dxa"/>
            <w:tcBorders>
              <w:top w:val="nil"/>
              <w:left w:val="nil"/>
              <w:bottom w:val="nil"/>
              <w:right w:val="nil"/>
            </w:tcBorders>
            <w:shd w:val="clear" w:color="auto" w:fill="auto"/>
            <w:noWrap/>
            <w:vAlign w:val="center"/>
            <w:hideMark/>
          </w:tcPr>
          <w:p w14:paraId="6A3419F0"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UA : </w:t>
            </w:r>
          </w:p>
        </w:tc>
        <w:tc>
          <w:tcPr>
            <w:tcW w:w="8014" w:type="dxa"/>
            <w:tcBorders>
              <w:top w:val="nil"/>
              <w:left w:val="nil"/>
              <w:bottom w:val="nil"/>
              <w:right w:val="nil"/>
            </w:tcBorders>
            <w:shd w:val="clear" w:color="auto" w:fill="auto"/>
            <w:noWrap/>
            <w:vAlign w:val="center"/>
            <w:hideMark/>
          </w:tcPr>
          <w:p w14:paraId="6BD400D9"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Union Africaine</w:t>
            </w:r>
          </w:p>
        </w:tc>
      </w:tr>
      <w:tr w:rsidR="00A43429" w:rsidRPr="00A43429" w14:paraId="1B2D1984" w14:textId="77777777" w:rsidTr="00A43429">
        <w:trPr>
          <w:trHeight w:val="300"/>
        </w:trPr>
        <w:tc>
          <w:tcPr>
            <w:tcW w:w="1200" w:type="dxa"/>
            <w:tcBorders>
              <w:top w:val="nil"/>
              <w:left w:val="nil"/>
              <w:bottom w:val="nil"/>
              <w:right w:val="nil"/>
            </w:tcBorders>
            <w:shd w:val="clear" w:color="auto" w:fill="auto"/>
            <w:noWrap/>
            <w:vAlign w:val="center"/>
            <w:hideMark/>
          </w:tcPr>
          <w:p w14:paraId="68B8683A"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theme="minorHAnsi"/>
                <w:color w:val="000000"/>
                <w:lang w:eastAsia="fr-FR"/>
              </w:rPr>
              <w:t xml:space="preserve">UE : </w:t>
            </w:r>
          </w:p>
        </w:tc>
        <w:tc>
          <w:tcPr>
            <w:tcW w:w="8014" w:type="dxa"/>
            <w:tcBorders>
              <w:top w:val="nil"/>
              <w:left w:val="nil"/>
              <w:bottom w:val="nil"/>
              <w:right w:val="nil"/>
            </w:tcBorders>
            <w:shd w:val="clear" w:color="auto" w:fill="auto"/>
            <w:noWrap/>
            <w:vAlign w:val="center"/>
            <w:hideMark/>
          </w:tcPr>
          <w:p w14:paraId="05835A55" w14:textId="77777777" w:rsidR="00A43429" w:rsidRPr="00A43429" w:rsidRDefault="00A43429" w:rsidP="00A43429">
            <w:pPr>
              <w:spacing w:after="0" w:line="240" w:lineRule="auto"/>
              <w:rPr>
                <w:rFonts w:ascii="Calibri" w:eastAsia="Times New Roman" w:hAnsi="Calibri" w:cs="Calibri"/>
                <w:color w:val="000000"/>
                <w:lang w:eastAsia="fr-FR"/>
              </w:rPr>
            </w:pPr>
            <w:r w:rsidRPr="00A43429">
              <w:rPr>
                <w:rFonts w:ascii="Calibri" w:eastAsia="Times New Roman" w:hAnsi="Calibri" w:cs="Calibri"/>
                <w:color w:val="000000"/>
                <w:lang w:eastAsia="fr-FR"/>
              </w:rPr>
              <w:t>Union Européenne</w:t>
            </w:r>
          </w:p>
        </w:tc>
      </w:tr>
      <w:tr w:rsidR="00A43429" w:rsidRPr="00A43429" w14:paraId="30BA0774" w14:textId="77777777" w:rsidTr="00A43429">
        <w:trPr>
          <w:trHeight w:val="300"/>
        </w:trPr>
        <w:tc>
          <w:tcPr>
            <w:tcW w:w="1200" w:type="dxa"/>
            <w:tcBorders>
              <w:top w:val="nil"/>
              <w:left w:val="nil"/>
              <w:bottom w:val="nil"/>
              <w:right w:val="nil"/>
            </w:tcBorders>
            <w:shd w:val="clear" w:color="auto" w:fill="auto"/>
            <w:noWrap/>
            <w:vAlign w:val="center"/>
            <w:hideMark/>
          </w:tcPr>
          <w:p w14:paraId="2C389DFE" w14:textId="02EDF0C0" w:rsidR="00A43429" w:rsidRPr="00A43429" w:rsidRDefault="00A43429" w:rsidP="00A43429">
            <w:pPr>
              <w:spacing w:after="0" w:line="240" w:lineRule="auto"/>
              <w:rPr>
                <w:rFonts w:ascii="Calibri" w:eastAsia="Times New Roman" w:hAnsi="Calibri" w:cs="Calibri"/>
                <w:color w:val="000000"/>
                <w:lang w:eastAsia="fr-FR"/>
              </w:rPr>
            </w:pPr>
            <w:r w:rsidRPr="00A43429">
              <w:rPr>
                <w:rFonts w:cstheme="minorHAnsi"/>
              </w:rPr>
              <w:t>UEMOA :</w:t>
            </w:r>
          </w:p>
        </w:tc>
        <w:tc>
          <w:tcPr>
            <w:tcW w:w="8014" w:type="dxa"/>
            <w:tcBorders>
              <w:top w:val="nil"/>
              <w:left w:val="nil"/>
              <w:bottom w:val="nil"/>
              <w:right w:val="nil"/>
            </w:tcBorders>
            <w:shd w:val="clear" w:color="auto" w:fill="auto"/>
            <w:noWrap/>
            <w:vAlign w:val="bottom"/>
            <w:hideMark/>
          </w:tcPr>
          <w:p w14:paraId="1311E63A" w14:textId="620D144B" w:rsidR="00A43429" w:rsidRPr="00A43429" w:rsidRDefault="00A43429" w:rsidP="00A43429">
            <w:pPr>
              <w:spacing w:after="0" w:line="240" w:lineRule="auto"/>
              <w:rPr>
                <w:rFonts w:ascii="Times New Roman" w:eastAsia="Times New Roman" w:hAnsi="Times New Roman" w:cs="Times New Roman"/>
                <w:sz w:val="20"/>
                <w:szCs w:val="20"/>
                <w:lang w:eastAsia="fr-FR"/>
              </w:rPr>
            </w:pPr>
            <w:r w:rsidRPr="00A43429">
              <w:rPr>
                <w:rFonts w:cstheme="minorHAnsi"/>
              </w:rPr>
              <w:t>Union Economique et Monétaire Ouest Africaine</w:t>
            </w:r>
          </w:p>
        </w:tc>
      </w:tr>
    </w:tbl>
    <w:p w14:paraId="7B91E40C" w14:textId="259BB8CB" w:rsidR="009B1D5C" w:rsidRPr="009B1D5C" w:rsidRDefault="009B1D5C" w:rsidP="00A43429">
      <w:pPr>
        <w:rPr>
          <w:rFonts w:ascii="Calibri" w:eastAsiaTheme="majorEastAsia" w:hAnsi="Calibri" w:cs="Calibri"/>
          <w:iCs/>
          <w:sz w:val="24"/>
        </w:rPr>
      </w:pPr>
    </w:p>
    <w:p w14:paraId="4A399329" w14:textId="77777777" w:rsidR="007F2C27" w:rsidRPr="009B1D5C" w:rsidRDefault="007F2C27">
      <w:pPr>
        <w:rPr>
          <w:rFonts w:ascii="Calibri" w:eastAsiaTheme="majorEastAsia" w:hAnsi="Calibri" w:cs="Calibri"/>
          <w:iCs/>
          <w:sz w:val="24"/>
        </w:rPr>
      </w:pPr>
      <w:r w:rsidRPr="009B1D5C">
        <w:rPr>
          <w:rFonts w:ascii="Calibri" w:eastAsiaTheme="majorEastAsia" w:hAnsi="Calibri" w:cs="Calibri"/>
          <w:iCs/>
          <w:sz w:val="24"/>
        </w:rPr>
        <w:br w:type="page"/>
      </w:r>
    </w:p>
    <w:p w14:paraId="1C235C85" w14:textId="050038F6" w:rsidR="007F2C27" w:rsidRPr="000C747C" w:rsidRDefault="007F2C27" w:rsidP="00055FD3">
      <w:pPr>
        <w:pStyle w:val="Titre3"/>
        <w:numPr>
          <w:ilvl w:val="0"/>
          <w:numId w:val="0"/>
        </w:numPr>
        <w:ind w:left="720" w:hanging="720"/>
        <w:jc w:val="center"/>
        <w:rPr>
          <w:color w:val="2E74B5" w:themeColor="accent1" w:themeShade="BF"/>
        </w:rPr>
      </w:pPr>
      <w:bookmarkStart w:id="2" w:name="_Toc529304995"/>
      <w:r w:rsidRPr="000C747C">
        <w:rPr>
          <w:color w:val="2E74B5" w:themeColor="accent1" w:themeShade="BF"/>
        </w:rPr>
        <w:lastRenderedPageBreak/>
        <w:t>Liste des tableaux</w:t>
      </w:r>
      <w:bookmarkEnd w:id="2"/>
    </w:p>
    <w:p w14:paraId="24CD0A64" w14:textId="77777777" w:rsidR="007F2C27" w:rsidRDefault="007F2C27" w:rsidP="000E00F8">
      <w:pPr>
        <w:rPr>
          <w:rFonts w:cstheme="minorHAnsi"/>
        </w:rPr>
      </w:pPr>
    </w:p>
    <w:p w14:paraId="4C539469" w14:textId="77777777" w:rsidR="00AA11A9" w:rsidRPr="00AA11A9" w:rsidRDefault="000C747C"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r w:rsidRPr="00AA11A9">
        <w:rPr>
          <w:rFonts w:ascii="Calibri" w:hAnsi="Calibri" w:cs="Calibri"/>
          <w:sz w:val="22"/>
          <w:szCs w:val="22"/>
        </w:rPr>
        <w:fldChar w:fldCharType="begin"/>
      </w:r>
      <w:r w:rsidRPr="00AA11A9">
        <w:rPr>
          <w:rFonts w:ascii="Calibri" w:hAnsi="Calibri" w:cs="Calibri"/>
          <w:sz w:val="22"/>
          <w:szCs w:val="22"/>
        </w:rPr>
        <w:instrText xml:space="preserve"> TOC \h \z \c "Tableau" </w:instrText>
      </w:r>
      <w:r w:rsidRPr="00AA11A9">
        <w:rPr>
          <w:rFonts w:ascii="Calibri" w:hAnsi="Calibri" w:cs="Calibri"/>
          <w:sz w:val="22"/>
          <w:szCs w:val="22"/>
        </w:rPr>
        <w:fldChar w:fldCharType="separate"/>
      </w:r>
      <w:hyperlink w:anchor="_Toc529305055" w:history="1">
        <w:r w:rsidR="00AA11A9" w:rsidRPr="00AA11A9">
          <w:rPr>
            <w:rStyle w:val="Lienhypertexte"/>
            <w:noProof/>
            <w:sz w:val="22"/>
            <w:szCs w:val="22"/>
          </w:rPr>
          <w:t>Tableau 1</w:t>
        </w:r>
        <w:r w:rsidR="00AA11A9" w:rsidRPr="00AA11A9">
          <w:rPr>
            <w:rStyle w:val="Lienhypertexte"/>
            <w:rFonts w:cs="Calibri"/>
            <w:noProof/>
            <w:sz w:val="22"/>
            <w:szCs w:val="22"/>
          </w:rPr>
          <w:t> : Situation des ressources humaines du MAG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_Toc529305055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16</w:t>
        </w:r>
        <w:r w:rsidR="00AA11A9" w:rsidRPr="00AA11A9">
          <w:rPr>
            <w:noProof/>
            <w:webHidden/>
            <w:sz w:val="22"/>
            <w:szCs w:val="22"/>
          </w:rPr>
          <w:fldChar w:fldCharType="end"/>
        </w:r>
      </w:hyperlink>
    </w:p>
    <w:p w14:paraId="3D715C02"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56" w:history="1">
        <w:r w:rsidR="00AA11A9" w:rsidRPr="00AA11A9">
          <w:rPr>
            <w:rStyle w:val="Lienhypertexte"/>
            <w:noProof/>
            <w:sz w:val="22"/>
            <w:szCs w:val="22"/>
          </w:rPr>
          <w:t>Tableau 2 : Répartition des agents par catégorie et par corps au MEL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_Toc529305056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18</w:t>
        </w:r>
        <w:r w:rsidR="00AA11A9" w:rsidRPr="00AA11A9">
          <w:rPr>
            <w:noProof/>
            <w:webHidden/>
            <w:sz w:val="22"/>
            <w:szCs w:val="22"/>
          </w:rPr>
          <w:fldChar w:fldCharType="end"/>
        </w:r>
      </w:hyperlink>
    </w:p>
    <w:p w14:paraId="40E386BA"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57" w:history="1">
        <w:r w:rsidR="00AA11A9" w:rsidRPr="00AA11A9">
          <w:rPr>
            <w:rStyle w:val="Lienhypertexte"/>
            <w:noProof/>
            <w:sz w:val="22"/>
            <w:szCs w:val="22"/>
          </w:rPr>
          <w:t>Tableau 3 : Proportion des ressources humaines par niveau administratif au MEL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_Toc529305057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18</w:t>
        </w:r>
        <w:r w:rsidR="00AA11A9" w:rsidRPr="00AA11A9">
          <w:rPr>
            <w:noProof/>
            <w:webHidden/>
            <w:sz w:val="22"/>
            <w:szCs w:val="22"/>
          </w:rPr>
          <w:fldChar w:fldCharType="end"/>
        </w:r>
      </w:hyperlink>
    </w:p>
    <w:p w14:paraId="73B46AC7"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58" w:history="1">
        <w:r w:rsidR="00AA11A9" w:rsidRPr="00AA11A9">
          <w:rPr>
            <w:rStyle w:val="Lienhypertexte"/>
            <w:noProof/>
            <w:sz w:val="22"/>
            <w:szCs w:val="22"/>
          </w:rPr>
          <w:t>Tableau 5 : Situation du personnel du MEDD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_Toc529305058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19</w:t>
        </w:r>
        <w:r w:rsidR="00AA11A9" w:rsidRPr="00AA11A9">
          <w:rPr>
            <w:noProof/>
            <w:webHidden/>
            <w:sz w:val="22"/>
            <w:szCs w:val="22"/>
          </w:rPr>
          <w:fldChar w:fldCharType="end"/>
        </w:r>
      </w:hyperlink>
    </w:p>
    <w:p w14:paraId="6B7152FF"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59" w:history="1">
        <w:r w:rsidR="00AA11A9" w:rsidRPr="00AA11A9">
          <w:rPr>
            <w:rStyle w:val="Lienhypertexte"/>
            <w:noProof/>
            <w:sz w:val="22"/>
            <w:szCs w:val="22"/>
          </w:rPr>
          <w:t>Tableau 4 : Proportion des ressources humaines par niveau administratif au MEDD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_Toc529305059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19</w:t>
        </w:r>
        <w:r w:rsidR="00AA11A9" w:rsidRPr="00AA11A9">
          <w:rPr>
            <w:noProof/>
            <w:webHidden/>
            <w:sz w:val="22"/>
            <w:szCs w:val="22"/>
          </w:rPr>
          <w:fldChar w:fldCharType="end"/>
        </w:r>
      </w:hyperlink>
    </w:p>
    <w:p w14:paraId="7589E078"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0" w:history="1">
        <w:r w:rsidR="00AA11A9" w:rsidRPr="00AA11A9">
          <w:rPr>
            <w:rStyle w:val="Lienhypertexte"/>
            <w:noProof/>
            <w:sz w:val="22"/>
            <w:szCs w:val="22"/>
          </w:rPr>
          <w:t>Tableau 6</w:t>
        </w:r>
        <w:r w:rsidR="00AA11A9" w:rsidRPr="00AA11A9">
          <w:rPr>
            <w:rStyle w:val="Lienhypertexte"/>
            <w:rFonts w:eastAsiaTheme="majorEastAsia" w:cs="Calibri"/>
            <w:noProof/>
            <w:sz w:val="22"/>
            <w:szCs w:val="22"/>
          </w:rPr>
          <w:t> : Situation du Personnel du MHA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_Toc529305060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21</w:t>
        </w:r>
        <w:r w:rsidR="00AA11A9" w:rsidRPr="00AA11A9">
          <w:rPr>
            <w:noProof/>
            <w:webHidden/>
            <w:sz w:val="22"/>
            <w:szCs w:val="22"/>
          </w:rPr>
          <w:fldChar w:fldCharType="end"/>
        </w:r>
      </w:hyperlink>
    </w:p>
    <w:p w14:paraId="457541B9"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1" w:history="1">
        <w:r w:rsidR="00AA11A9" w:rsidRPr="00AA11A9">
          <w:rPr>
            <w:rStyle w:val="Lienhypertexte"/>
            <w:rFonts w:cs="Calibri"/>
            <w:noProof/>
            <w:sz w:val="22"/>
            <w:szCs w:val="22"/>
          </w:rPr>
          <w:t>Tableau 7</w:t>
        </w:r>
        <w:r w:rsidR="00AA11A9" w:rsidRPr="00AA11A9">
          <w:rPr>
            <w:rStyle w:val="Lienhypertexte"/>
            <w:rFonts w:eastAsiaTheme="majorEastAsia" w:cs="Calibri"/>
            <w:noProof/>
            <w:sz w:val="22"/>
            <w:szCs w:val="22"/>
          </w:rPr>
          <w:t> : Répartition géographique du Personnel du MHA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_Toc529305061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22</w:t>
        </w:r>
        <w:r w:rsidR="00AA11A9" w:rsidRPr="00AA11A9">
          <w:rPr>
            <w:noProof/>
            <w:webHidden/>
            <w:sz w:val="22"/>
            <w:szCs w:val="22"/>
          </w:rPr>
          <w:fldChar w:fldCharType="end"/>
        </w:r>
      </w:hyperlink>
    </w:p>
    <w:p w14:paraId="3E671FDD"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2" w:history="1">
        <w:r w:rsidR="00AA11A9" w:rsidRPr="00AA11A9">
          <w:rPr>
            <w:rStyle w:val="Lienhypertexte"/>
            <w:noProof/>
            <w:sz w:val="22"/>
            <w:szCs w:val="22"/>
          </w:rPr>
          <w:t>Tableau 8</w:t>
        </w:r>
        <w:r w:rsidR="00AA11A9" w:rsidRPr="00AA11A9">
          <w:rPr>
            <w:rStyle w:val="Lienhypertexte"/>
            <w:rFonts w:eastAsiaTheme="majorEastAsia" w:cs="Calibri"/>
            <w:noProof/>
            <w:sz w:val="22"/>
            <w:szCs w:val="22"/>
          </w:rPr>
          <w:t> : Situation du personnel du MC/PSP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_Toc529305062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23</w:t>
        </w:r>
        <w:r w:rsidR="00AA11A9" w:rsidRPr="00AA11A9">
          <w:rPr>
            <w:noProof/>
            <w:webHidden/>
            <w:sz w:val="22"/>
            <w:szCs w:val="22"/>
          </w:rPr>
          <w:fldChar w:fldCharType="end"/>
        </w:r>
      </w:hyperlink>
    </w:p>
    <w:p w14:paraId="153E29F8"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3" w:history="1">
        <w:r w:rsidR="00AA11A9" w:rsidRPr="00AA11A9">
          <w:rPr>
            <w:rStyle w:val="Lienhypertexte"/>
            <w:noProof/>
            <w:sz w:val="22"/>
            <w:szCs w:val="22"/>
          </w:rPr>
          <w:t>Tableau 9</w:t>
        </w:r>
        <w:r w:rsidR="00AA11A9" w:rsidRPr="00AA11A9">
          <w:rPr>
            <w:rStyle w:val="Lienhypertexte"/>
            <w:rFonts w:eastAsiaTheme="majorEastAsia" w:cs="Calibri"/>
            <w:noProof/>
            <w:sz w:val="22"/>
            <w:szCs w:val="22"/>
          </w:rPr>
          <w:t> : Répartition géographique du personnel du MC/PSP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_Toc529305063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23</w:t>
        </w:r>
        <w:r w:rsidR="00AA11A9" w:rsidRPr="00AA11A9">
          <w:rPr>
            <w:noProof/>
            <w:webHidden/>
            <w:sz w:val="22"/>
            <w:szCs w:val="22"/>
          </w:rPr>
          <w:fldChar w:fldCharType="end"/>
        </w:r>
      </w:hyperlink>
    </w:p>
    <w:p w14:paraId="0CDCC9EA"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4" w:history="1">
        <w:r w:rsidR="00AA11A9" w:rsidRPr="00AA11A9">
          <w:rPr>
            <w:rStyle w:val="Lienhypertexte"/>
            <w:noProof/>
            <w:sz w:val="22"/>
            <w:szCs w:val="22"/>
          </w:rPr>
          <w:t>Tableau 10</w:t>
        </w:r>
        <w:r w:rsidR="00AA11A9" w:rsidRPr="00AA11A9">
          <w:rPr>
            <w:rStyle w:val="Lienhypertexte"/>
            <w:rFonts w:eastAsiaTheme="majorEastAsia" w:cs="Calibri"/>
            <w:noProof/>
            <w:sz w:val="22"/>
            <w:szCs w:val="22"/>
          </w:rPr>
          <w:t> : Répartition géographique du personnel MAH/GC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_Toc529305064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27</w:t>
        </w:r>
        <w:r w:rsidR="00AA11A9" w:rsidRPr="00AA11A9">
          <w:rPr>
            <w:noProof/>
            <w:webHidden/>
            <w:sz w:val="22"/>
            <w:szCs w:val="22"/>
          </w:rPr>
          <w:fldChar w:fldCharType="end"/>
        </w:r>
      </w:hyperlink>
    </w:p>
    <w:p w14:paraId="0D3AE00A"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5" w:history="1">
        <w:r w:rsidR="00AA11A9" w:rsidRPr="00AA11A9">
          <w:rPr>
            <w:rStyle w:val="Lienhypertexte"/>
            <w:noProof/>
            <w:sz w:val="22"/>
            <w:szCs w:val="22"/>
          </w:rPr>
          <w:t>Tableau 11</w:t>
        </w:r>
        <w:r w:rsidR="00AA11A9" w:rsidRPr="00AA11A9">
          <w:rPr>
            <w:rStyle w:val="Lienhypertexte"/>
            <w:rFonts w:eastAsiaTheme="majorEastAsia" w:cs="Calibri"/>
            <w:noProof/>
            <w:sz w:val="22"/>
            <w:szCs w:val="22"/>
          </w:rPr>
          <w:t> : Composition des ressources humaines en santé</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_Toc529305065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29</w:t>
        </w:r>
        <w:r w:rsidR="00AA11A9" w:rsidRPr="00AA11A9">
          <w:rPr>
            <w:noProof/>
            <w:webHidden/>
            <w:sz w:val="22"/>
            <w:szCs w:val="22"/>
          </w:rPr>
          <w:fldChar w:fldCharType="end"/>
        </w:r>
      </w:hyperlink>
    </w:p>
    <w:p w14:paraId="26B1A4CB"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6" w:history="1">
        <w:r w:rsidR="00AA11A9" w:rsidRPr="00AA11A9">
          <w:rPr>
            <w:rStyle w:val="Lienhypertexte"/>
            <w:noProof/>
            <w:sz w:val="22"/>
            <w:szCs w:val="22"/>
          </w:rPr>
          <w:t>Tableau 12</w:t>
        </w:r>
        <w:r w:rsidR="00AA11A9" w:rsidRPr="00AA11A9">
          <w:rPr>
            <w:rStyle w:val="Lienhypertexte"/>
            <w:rFonts w:eastAsiaTheme="majorEastAsia" w:cs="Calibri"/>
            <w:noProof/>
            <w:sz w:val="22"/>
            <w:szCs w:val="22"/>
          </w:rPr>
          <w:t> : Situation du personnel du HC3N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_Toc529305066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30</w:t>
        </w:r>
        <w:r w:rsidR="00AA11A9" w:rsidRPr="00AA11A9">
          <w:rPr>
            <w:noProof/>
            <w:webHidden/>
            <w:sz w:val="22"/>
            <w:szCs w:val="22"/>
          </w:rPr>
          <w:fldChar w:fldCharType="end"/>
        </w:r>
      </w:hyperlink>
    </w:p>
    <w:p w14:paraId="080BCC54"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7" w:history="1">
        <w:r w:rsidR="00AA11A9" w:rsidRPr="00AA11A9">
          <w:rPr>
            <w:rStyle w:val="Lienhypertexte"/>
            <w:noProof/>
            <w:sz w:val="22"/>
            <w:szCs w:val="22"/>
          </w:rPr>
          <w:t>Tableau 13</w:t>
        </w:r>
        <w:r w:rsidR="00AA11A9" w:rsidRPr="00AA11A9">
          <w:rPr>
            <w:rStyle w:val="Lienhypertexte"/>
            <w:rFonts w:eastAsiaTheme="majorEastAsia" w:cs="Calibri"/>
            <w:noProof/>
            <w:sz w:val="22"/>
            <w:szCs w:val="22"/>
          </w:rPr>
          <w:t> : Part du secteur rural dans le budget global de l’Etat</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_Toc529305067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31</w:t>
        </w:r>
        <w:r w:rsidR="00AA11A9" w:rsidRPr="00AA11A9">
          <w:rPr>
            <w:noProof/>
            <w:webHidden/>
            <w:sz w:val="22"/>
            <w:szCs w:val="22"/>
          </w:rPr>
          <w:fldChar w:fldCharType="end"/>
        </w:r>
      </w:hyperlink>
    </w:p>
    <w:p w14:paraId="47AA580E"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8" w:history="1">
        <w:r w:rsidR="00AA11A9" w:rsidRPr="00AA11A9">
          <w:rPr>
            <w:rStyle w:val="Lienhypertexte"/>
            <w:noProof/>
            <w:sz w:val="22"/>
            <w:szCs w:val="22"/>
          </w:rPr>
          <w:t>Tableau 14</w:t>
        </w:r>
        <w:r w:rsidR="00AA11A9" w:rsidRPr="00AA11A9">
          <w:rPr>
            <w:rStyle w:val="Lienhypertexte"/>
            <w:rFonts w:eastAsiaTheme="majorEastAsia" w:cs="Calibri"/>
            <w:noProof/>
            <w:sz w:val="22"/>
            <w:szCs w:val="22"/>
          </w:rPr>
          <w:t> : Capacité d’absorption du secteur rural</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_Toc529305068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32</w:t>
        </w:r>
        <w:r w:rsidR="00AA11A9" w:rsidRPr="00AA11A9">
          <w:rPr>
            <w:noProof/>
            <w:webHidden/>
            <w:sz w:val="22"/>
            <w:szCs w:val="22"/>
          </w:rPr>
          <w:fldChar w:fldCharType="end"/>
        </w:r>
      </w:hyperlink>
    </w:p>
    <w:p w14:paraId="6D00EAFF"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69" w:history="1">
        <w:r w:rsidR="00AA11A9" w:rsidRPr="00AA11A9">
          <w:rPr>
            <w:rStyle w:val="Lienhypertexte"/>
            <w:rFonts w:cs="Calibri"/>
            <w:noProof/>
            <w:sz w:val="22"/>
            <w:szCs w:val="22"/>
          </w:rPr>
          <w:t>Tableau 15 : Evolution des Dépenses volet Agricole de 2011 à 2016 (millions de FCFA)</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_Toc529305069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32</w:t>
        </w:r>
        <w:r w:rsidR="00AA11A9" w:rsidRPr="00AA11A9">
          <w:rPr>
            <w:noProof/>
            <w:webHidden/>
            <w:sz w:val="22"/>
            <w:szCs w:val="22"/>
          </w:rPr>
          <w:fldChar w:fldCharType="end"/>
        </w:r>
      </w:hyperlink>
    </w:p>
    <w:p w14:paraId="574437A4"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0" w:history="1">
        <w:r w:rsidR="00AA11A9" w:rsidRPr="00AA11A9">
          <w:rPr>
            <w:rStyle w:val="Lienhypertexte"/>
            <w:noProof/>
            <w:sz w:val="22"/>
            <w:szCs w:val="22"/>
          </w:rPr>
          <w:t>Tableau 16</w:t>
        </w:r>
        <w:r w:rsidR="00AA11A9" w:rsidRPr="00AA11A9">
          <w:rPr>
            <w:rStyle w:val="Lienhypertexte"/>
            <w:rFonts w:eastAsiaTheme="majorEastAsia" w:cs="Calibri"/>
            <w:noProof/>
            <w:sz w:val="22"/>
            <w:szCs w:val="22"/>
          </w:rPr>
          <w:t> : Exécution budgétaire par titre du MAG,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_Toc529305070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33</w:t>
        </w:r>
        <w:r w:rsidR="00AA11A9" w:rsidRPr="00AA11A9">
          <w:rPr>
            <w:noProof/>
            <w:webHidden/>
            <w:sz w:val="22"/>
            <w:szCs w:val="22"/>
          </w:rPr>
          <w:fldChar w:fldCharType="end"/>
        </w:r>
      </w:hyperlink>
    </w:p>
    <w:p w14:paraId="6F1763EB"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1" w:history="1">
        <w:r w:rsidR="00AA11A9" w:rsidRPr="00AA11A9">
          <w:rPr>
            <w:rStyle w:val="Lienhypertexte"/>
            <w:noProof/>
            <w:sz w:val="22"/>
            <w:szCs w:val="22"/>
          </w:rPr>
          <w:t>Tableau 17</w:t>
        </w:r>
        <w:r w:rsidR="00AA11A9" w:rsidRPr="00AA11A9">
          <w:rPr>
            <w:rStyle w:val="Lienhypertexte"/>
            <w:rFonts w:eastAsiaTheme="majorEastAsia" w:cs="Calibri"/>
            <w:noProof/>
            <w:sz w:val="22"/>
            <w:szCs w:val="22"/>
          </w:rPr>
          <w:t> : Taux d’absorption des dépenses par titre du MAG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_Toc529305071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33</w:t>
        </w:r>
        <w:r w:rsidR="00AA11A9" w:rsidRPr="00AA11A9">
          <w:rPr>
            <w:noProof/>
            <w:webHidden/>
            <w:sz w:val="22"/>
            <w:szCs w:val="22"/>
          </w:rPr>
          <w:fldChar w:fldCharType="end"/>
        </w:r>
      </w:hyperlink>
    </w:p>
    <w:p w14:paraId="6F612A4D"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2" w:history="1">
        <w:r w:rsidR="00AA11A9" w:rsidRPr="00AA11A9">
          <w:rPr>
            <w:rStyle w:val="Lienhypertexte"/>
            <w:noProof/>
            <w:sz w:val="22"/>
            <w:szCs w:val="22"/>
          </w:rPr>
          <w:t>Tableau 18</w:t>
        </w:r>
        <w:r w:rsidR="00AA11A9" w:rsidRPr="00AA11A9">
          <w:rPr>
            <w:rStyle w:val="Lienhypertexte"/>
            <w:rFonts w:eastAsiaTheme="majorEastAsia" w:cs="Calibri"/>
            <w:noProof/>
            <w:sz w:val="22"/>
            <w:szCs w:val="22"/>
          </w:rPr>
          <w:t> : Répartition des ressources d’investissements par type de financements au MAG,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_Toc529305072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33</w:t>
        </w:r>
        <w:r w:rsidR="00AA11A9" w:rsidRPr="00AA11A9">
          <w:rPr>
            <w:noProof/>
            <w:webHidden/>
            <w:sz w:val="22"/>
            <w:szCs w:val="22"/>
          </w:rPr>
          <w:fldChar w:fldCharType="end"/>
        </w:r>
      </w:hyperlink>
    </w:p>
    <w:p w14:paraId="7DA0B698"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3" w:history="1">
        <w:r w:rsidR="00AA11A9" w:rsidRPr="00AA11A9">
          <w:rPr>
            <w:rStyle w:val="Lienhypertexte"/>
            <w:rFonts w:cs="Calibri"/>
            <w:noProof/>
            <w:sz w:val="22"/>
            <w:szCs w:val="22"/>
          </w:rPr>
          <w:t>Tableau 25 : Evolution des Dépenses « Volet Elevage » de 2011 à 2016 (millions de FCFA)</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_Toc529305073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34</w:t>
        </w:r>
        <w:r w:rsidR="00AA11A9" w:rsidRPr="00AA11A9">
          <w:rPr>
            <w:noProof/>
            <w:webHidden/>
            <w:sz w:val="22"/>
            <w:szCs w:val="22"/>
          </w:rPr>
          <w:fldChar w:fldCharType="end"/>
        </w:r>
      </w:hyperlink>
    </w:p>
    <w:p w14:paraId="1989D158"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4" w:history="1">
        <w:r w:rsidR="00AA11A9" w:rsidRPr="00AA11A9">
          <w:rPr>
            <w:rStyle w:val="Lienhypertexte"/>
            <w:noProof/>
            <w:sz w:val="22"/>
            <w:szCs w:val="22"/>
          </w:rPr>
          <w:t>Tableau 20</w:t>
        </w:r>
        <w:r w:rsidR="00AA11A9" w:rsidRPr="00AA11A9">
          <w:rPr>
            <w:rStyle w:val="Lienhypertexte"/>
            <w:rFonts w:eastAsiaTheme="majorEastAsia" w:cs="Calibri"/>
            <w:noProof/>
            <w:sz w:val="22"/>
            <w:szCs w:val="22"/>
          </w:rPr>
          <w:t> : Exécution budgétaire par titre du MEL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_Toc529305074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35</w:t>
        </w:r>
        <w:r w:rsidR="00AA11A9" w:rsidRPr="00AA11A9">
          <w:rPr>
            <w:noProof/>
            <w:webHidden/>
            <w:sz w:val="22"/>
            <w:szCs w:val="22"/>
          </w:rPr>
          <w:fldChar w:fldCharType="end"/>
        </w:r>
      </w:hyperlink>
    </w:p>
    <w:p w14:paraId="5730D4A4"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5" w:history="1">
        <w:r w:rsidR="00AA11A9" w:rsidRPr="00AA11A9">
          <w:rPr>
            <w:rStyle w:val="Lienhypertexte"/>
            <w:noProof/>
            <w:sz w:val="22"/>
            <w:szCs w:val="22"/>
          </w:rPr>
          <w:t>Tableau 21</w:t>
        </w:r>
        <w:r w:rsidR="00AA11A9" w:rsidRPr="00AA11A9">
          <w:rPr>
            <w:rStyle w:val="Lienhypertexte"/>
            <w:rFonts w:eastAsiaTheme="majorEastAsia" w:cs="Calibri"/>
            <w:noProof/>
            <w:sz w:val="22"/>
            <w:szCs w:val="22"/>
          </w:rPr>
          <w:t> : Taux d’absorption par titre du MEL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_Toc529305075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35</w:t>
        </w:r>
        <w:r w:rsidR="00AA11A9" w:rsidRPr="00AA11A9">
          <w:rPr>
            <w:noProof/>
            <w:webHidden/>
            <w:sz w:val="22"/>
            <w:szCs w:val="22"/>
          </w:rPr>
          <w:fldChar w:fldCharType="end"/>
        </w:r>
      </w:hyperlink>
    </w:p>
    <w:p w14:paraId="075A6FD9"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6" w:history="1">
        <w:r w:rsidR="00AA11A9" w:rsidRPr="00AA11A9">
          <w:rPr>
            <w:rStyle w:val="Lienhypertexte"/>
            <w:noProof/>
            <w:sz w:val="22"/>
            <w:szCs w:val="22"/>
          </w:rPr>
          <w:t>Tableau 22</w:t>
        </w:r>
        <w:r w:rsidR="00AA11A9" w:rsidRPr="00AA11A9">
          <w:rPr>
            <w:rStyle w:val="Lienhypertexte"/>
            <w:rFonts w:eastAsiaTheme="majorEastAsia" w:cs="Calibri"/>
            <w:noProof/>
            <w:sz w:val="22"/>
            <w:szCs w:val="22"/>
          </w:rPr>
          <w:t> : Répartition des investissements par source de financements au MEL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_Toc529305076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35</w:t>
        </w:r>
        <w:r w:rsidR="00AA11A9" w:rsidRPr="00AA11A9">
          <w:rPr>
            <w:noProof/>
            <w:webHidden/>
            <w:sz w:val="22"/>
            <w:szCs w:val="22"/>
          </w:rPr>
          <w:fldChar w:fldCharType="end"/>
        </w:r>
      </w:hyperlink>
    </w:p>
    <w:p w14:paraId="33818A43"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7" w:history="1">
        <w:r w:rsidR="00AA11A9" w:rsidRPr="00AA11A9">
          <w:rPr>
            <w:rStyle w:val="Lienhypertexte"/>
            <w:rFonts w:cs="Calibri"/>
            <w:noProof/>
            <w:sz w:val="22"/>
            <w:szCs w:val="22"/>
          </w:rPr>
          <w:t>Tableau 23 : Evolution des Dépenses du volet Environnement de 2011 à 2016 (Millions de FCFA)</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_Toc529305077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36</w:t>
        </w:r>
        <w:r w:rsidR="00AA11A9" w:rsidRPr="00AA11A9">
          <w:rPr>
            <w:noProof/>
            <w:webHidden/>
            <w:sz w:val="22"/>
            <w:szCs w:val="22"/>
          </w:rPr>
          <w:fldChar w:fldCharType="end"/>
        </w:r>
      </w:hyperlink>
    </w:p>
    <w:p w14:paraId="0BA1E92F"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8" w:history="1">
        <w:r w:rsidR="00AA11A9" w:rsidRPr="00AA11A9">
          <w:rPr>
            <w:rStyle w:val="Lienhypertexte"/>
            <w:noProof/>
            <w:sz w:val="22"/>
            <w:szCs w:val="22"/>
          </w:rPr>
          <w:t>Tableau 24</w:t>
        </w:r>
        <w:r w:rsidR="00AA11A9" w:rsidRPr="00AA11A9">
          <w:rPr>
            <w:rStyle w:val="Lienhypertexte"/>
            <w:rFonts w:eastAsiaTheme="majorEastAsia" w:cs="Calibri"/>
            <w:noProof/>
            <w:sz w:val="22"/>
            <w:szCs w:val="22"/>
          </w:rPr>
          <w:t> : Exécution budgétaire par titre du MEDD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_Toc529305078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36</w:t>
        </w:r>
        <w:r w:rsidR="00AA11A9" w:rsidRPr="00AA11A9">
          <w:rPr>
            <w:noProof/>
            <w:webHidden/>
            <w:sz w:val="22"/>
            <w:szCs w:val="22"/>
          </w:rPr>
          <w:fldChar w:fldCharType="end"/>
        </w:r>
      </w:hyperlink>
    </w:p>
    <w:p w14:paraId="5D7B766E"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79" w:history="1">
        <w:r w:rsidR="00AA11A9" w:rsidRPr="00AA11A9">
          <w:rPr>
            <w:rStyle w:val="Lienhypertexte"/>
            <w:noProof/>
            <w:sz w:val="22"/>
            <w:szCs w:val="22"/>
          </w:rPr>
          <w:t>Tableau 25</w:t>
        </w:r>
        <w:r w:rsidR="00AA11A9" w:rsidRPr="00AA11A9">
          <w:rPr>
            <w:rStyle w:val="Lienhypertexte"/>
            <w:rFonts w:eastAsiaTheme="majorEastAsia" w:cs="Calibri"/>
            <w:noProof/>
            <w:sz w:val="22"/>
            <w:szCs w:val="22"/>
          </w:rPr>
          <w:t> : Taux d’absorption par titre du MEDD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_Toc529305079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36</w:t>
        </w:r>
        <w:r w:rsidR="00AA11A9" w:rsidRPr="00AA11A9">
          <w:rPr>
            <w:noProof/>
            <w:webHidden/>
            <w:sz w:val="22"/>
            <w:szCs w:val="22"/>
          </w:rPr>
          <w:fldChar w:fldCharType="end"/>
        </w:r>
      </w:hyperlink>
    </w:p>
    <w:p w14:paraId="647B494D"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0" w:history="1">
        <w:r w:rsidR="00AA11A9" w:rsidRPr="00AA11A9">
          <w:rPr>
            <w:rStyle w:val="Lienhypertexte"/>
            <w:noProof/>
            <w:sz w:val="22"/>
            <w:szCs w:val="22"/>
          </w:rPr>
          <w:t>Tableau 26</w:t>
        </w:r>
        <w:r w:rsidR="00AA11A9" w:rsidRPr="00AA11A9">
          <w:rPr>
            <w:rStyle w:val="Lienhypertexte"/>
            <w:rFonts w:eastAsiaTheme="majorEastAsia" w:cs="Calibri"/>
            <w:noProof/>
            <w:sz w:val="22"/>
            <w:szCs w:val="22"/>
          </w:rPr>
          <w:t> : Répartition des investissements par source de financements au MEDD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_Toc529305080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37</w:t>
        </w:r>
        <w:r w:rsidR="00AA11A9" w:rsidRPr="00AA11A9">
          <w:rPr>
            <w:noProof/>
            <w:webHidden/>
            <w:sz w:val="22"/>
            <w:szCs w:val="22"/>
          </w:rPr>
          <w:fldChar w:fldCharType="end"/>
        </w:r>
      </w:hyperlink>
    </w:p>
    <w:p w14:paraId="68B80C07"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1" w:history="1">
        <w:r w:rsidR="00AA11A9" w:rsidRPr="00AA11A9">
          <w:rPr>
            <w:rStyle w:val="Lienhypertexte"/>
            <w:noProof/>
            <w:sz w:val="22"/>
            <w:szCs w:val="22"/>
          </w:rPr>
          <w:t>Tableau 27</w:t>
        </w:r>
        <w:r w:rsidR="00AA11A9" w:rsidRPr="00AA11A9">
          <w:rPr>
            <w:rStyle w:val="Lienhypertexte"/>
            <w:rFonts w:eastAsiaTheme="majorEastAsia" w:cs="Calibri"/>
            <w:noProof/>
            <w:sz w:val="22"/>
            <w:szCs w:val="22"/>
          </w:rPr>
          <w:t> : Niveau d’exécution du budget MHA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_Toc529305081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38</w:t>
        </w:r>
        <w:r w:rsidR="00AA11A9" w:rsidRPr="00AA11A9">
          <w:rPr>
            <w:noProof/>
            <w:webHidden/>
            <w:sz w:val="22"/>
            <w:szCs w:val="22"/>
          </w:rPr>
          <w:fldChar w:fldCharType="end"/>
        </w:r>
      </w:hyperlink>
    </w:p>
    <w:p w14:paraId="77B24873"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2" w:history="1">
        <w:r w:rsidR="00AA11A9" w:rsidRPr="00AA11A9">
          <w:rPr>
            <w:rStyle w:val="Lienhypertexte"/>
            <w:rFonts w:cs="Calibri"/>
            <w:noProof/>
            <w:sz w:val="22"/>
            <w:szCs w:val="22"/>
          </w:rPr>
          <w:t>Tableau 28</w:t>
        </w:r>
        <w:r w:rsidR="00AA11A9" w:rsidRPr="00AA11A9">
          <w:rPr>
            <w:rStyle w:val="Lienhypertexte"/>
            <w:rFonts w:eastAsiaTheme="majorEastAsia" w:cs="Calibri"/>
            <w:noProof/>
            <w:sz w:val="22"/>
            <w:szCs w:val="22"/>
          </w:rPr>
          <w:t> : Etat d’exécution des crédits alloués au MHA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_Toc529305082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39</w:t>
        </w:r>
        <w:r w:rsidR="00AA11A9" w:rsidRPr="00AA11A9">
          <w:rPr>
            <w:noProof/>
            <w:webHidden/>
            <w:sz w:val="22"/>
            <w:szCs w:val="22"/>
          </w:rPr>
          <w:fldChar w:fldCharType="end"/>
        </w:r>
      </w:hyperlink>
    </w:p>
    <w:p w14:paraId="0D9250CD"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3" w:history="1">
        <w:r w:rsidR="00AA11A9" w:rsidRPr="00AA11A9">
          <w:rPr>
            <w:rStyle w:val="Lienhypertexte"/>
            <w:noProof/>
            <w:sz w:val="22"/>
            <w:szCs w:val="22"/>
          </w:rPr>
          <w:t>Tableau 29</w:t>
        </w:r>
        <w:r w:rsidR="00AA11A9" w:rsidRPr="00AA11A9">
          <w:rPr>
            <w:rStyle w:val="Lienhypertexte"/>
            <w:rFonts w:eastAsiaTheme="majorEastAsia" w:cs="Calibri"/>
            <w:noProof/>
            <w:sz w:val="22"/>
            <w:szCs w:val="22"/>
          </w:rPr>
          <w:t> : Exécution des crédits volet ‘Hydraulique pastorale’ du MHA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_Toc529305083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40</w:t>
        </w:r>
        <w:r w:rsidR="00AA11A9" w:rsidRPr="00AA11A9">
          <w:rPr>
            <w:noProof/>
            <w:webHidden/>
            <w:sz w:val="22"/>
            <w:szCs w:val="22"/>
          </w:rPr>
          <w:fldChar w:fldCharType="end"/>
        </w:r>
      </w:hyperlink>
    </w:p>
    <w:p w14:paraId="4132870A"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4" w:history="1">
        <w:r w:rsidR="00AA11A9" w:rsidRPr="00AA11A9">
          <w:rPr>
            <w:rStyle w:val="Lienhypertexte"/>
            <w:noProof/>
            <w:sz w:val="22"/>
            <w:szCs w:val="22"/>
          </w:rPr>
          <w:t>Tableau 30</w:t>
        </w:r>
        <w:r w:rsidR="00AA11A9" w:rsidRPr="00AA11A9">
          <w:rPr>
            <w:rStyle w:val="Lienhypertexte"/>
            <w:rFonts w:eastAsiaTheme="majorEastAsia" w:cs="Calibri"/>
            <w:noProof/>
            <w:sz w:val="22"/>
            <w:szCs w:val="22"/>
          </w:rPr>
          <w:t> : Etat d’exécution des crédits alloués au MC/PSP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_Toc529305084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43</w:t>
        </w:r>
        <w:r w:rsidR="00AA11A9" w:rsidRPr="00AA11A9">
          <w:rPr>
            <w:noProof/>
            <w:webHidden/>
            <w:sz w:val="22"/>
            <w:szCs w:val="22"/>
          </w:rPr>
          <w:fldChar w:fldCharType="end"/>
        </w:r>
      </w:hyperlink>
    </w:p>
    <w:p w14:paraId="4A7357CF"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5" w:history="1">
        <w:r w:rsidR="00AA11A9" w:rsidRPr="00AA11A9">
          <w:rPr>
            <w:rStyle w:val="Lienhypertexte"/>
            <w:noProof/>
            <w:sz w:val="22"/>
            <w:szCs w:val="22"/>
          </w:rPr>
          <w:t>Tableau 31</w:t>
        </w:r>
        <w:r w:rsidR="00AA11A9" w:rsidRPr="00AA11A9">
          <w:rPr>
            <w:rStyle w:val="Lienhypertexte"/>
            <w:rFonts w:eastAsiaTheme="majorEastAsia" w:cs="Calibri"/>
            <w:noProof/>
            <w:sz w:val="22"/>
            <w:szCs w:val="22"/>
          </w:rPr>
          <w:t> : Etat d’exécution des crédits alloués au MC/PSP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_Toc529305085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44</w:t>
        </w:r>
        <w:r w:rsidR="00AA11A9" w:rsidRPr="00AA11A9">
          <w:rPr>
            <w:noProof/>
            <w:webHidden/>
            <w:sz w:val="22"/>
            <w:szCs w:val="22"/>
          </w:rPr>
          <w:fldChar w:fldCharType="end"/>
        </w:r>
      </w:hyperlink>
    </w:p>
    <w:p w14:paraId="45FC7D7C"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6" w:history="1">
        <w:r w:rsidR="00AA11A9" w:rsidRPr="00AA11A9">
          <w:rPr>
            <w:rStyle w:val="Lienhypertexte"/>
            <w:noProof/>
            <w:sz w:val="22"/>
            <w:szCs w:val="22"/>
          </w:rPr>
          <w:t>Tableau 32</w:t>
        </w:r>
        <w:r w:rsidR="00AA11A9" w:rsidRPr="00AA11A9">
          <w:rPr>
            <w:rStyle w:val="Lienhypertexte"/>
            <w:rFonts w:cs="Calibri"/>
            <w:noProof/>
            <w:sz w:val="22"/>
            <w:szCs w:val="22"/>
          </w:rPr>
          <w:t> : Etat d’exécution des crédits alloués au DNPGCA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_Toc529305086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46</w:t>
        </w:r>
        <w:r w:rsidR="00AA11A9" w:rsidRPr="00AA11A9">
          <w:rPr>
            <w:noProof/>
            <w:webHidden/>
            <w:sz w:val="22"/>
            <w:szCs w:val="22"/>
          </w:rPr>
          <w:fldChar w:fldCharType="end"/>
        </w:r>
      </w:hyperlink>
    </w:p>
    <w:p w14:paraId="0266DD5C"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7" w:history="1">
        <w:r w:rsidR="00AA11A9" w:rsidRPr="00AA11A9">
          <w:rPr>
            <w:rStyle w:val="Lienhypertexte"/>
            <w:noProof/>
            <w:sz w:val="22"/>
            <w:szCs w:val="22"/>
          </w:rPr>
          <w:t>Tableau 33</w:t>
        </w:r>
        <w:r w:rsidR="00AA11A9" w:rsidRPr="00AA11A9">
          <w:rPr>
            <w:rStyle w:val="Lienhypertexte"/>
            <w:rFonts w:eastAsiaTheme="majorEastAsia" w:cs="Calibri"/>
            <w:noProof/>
            <w:sz w:val="22"/>
            <w:szCs w:val="22"/>
          </w:rPr>
          <w:t> : Etat d’exécution des crédits votés au MAH/GC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_Toc529305087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49</w:t>
        </w:r>
        <w:r w:rsidR="00AA11A9" w:rsidRPr="00AA11A9">
          <w:rPr>
            <w:noProof/>
            <w:webHidden/>
            <w:sz w:val="22"/>
            <w:szCs w:val="22"/>
          </w:rPr>
          <w:fldChar w:fldCharType="end"/>
        </w:r>
      </w:hyperlink>
    </w:p>
    <w:p w14:paraId="3F46C7B2"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8" w:history="1">
        <w:r w:rsidR="00AA11A9" w:rsidRPr="00AA11A9">
          <w:rPr>
            <w:rStyle w:val="Lienhypertexte"/>
            <w:noProof/>
            <w:sz w:val="22"/>
            <w:szCs w:val="22"/>
          </w:rPr>
          <w:t>Tableau 34</w:t>
        </w:r>
        <w:r w:rsidR="00AA11A9" w:rsidRPr="00AA11A9">
          <w:rPr>
            <w:rStyle w:val="Lienhypertexte"/>
            <w:rFonts w:eastAsiaTheme="majorEastAsia" w:cs="Calibri"/>
            <w:noProof/>
            <w:sz w:val="22"/>
            <w:szCs w:val="22"/>
          </w:rPr>
          <w:t> : Etat d’exécution des crédits alloués au MAH/GC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_Toc529305088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49</w:t>
        </w:r>
        <w:r w:rsidR="00AA11A9" w:rsidRPr="00AA11A9">
          <w:rPr>
            <w:noProof/>
            <w:webHidden/>
            <w:sz w:val="22"/>
            <w:szCs w:val="22"/>
          </w:rPr>
          <w:fldChar w:fldCharType="end"/>
        </w:r>
      </w:hyperlink>
    </w:p>
    <w:p w14:paraId="1967D721"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89" w:history="1">
        <w:r w:rsidR="00AA11A9" w:rsidRPr="00AA11A9">
          <w:rPr>
            <w:rStyle w:val="Lienhypertexte"/>
            <w:noProof/>
            <w:sz w:val="22"/>
            <w:szCs w:val="22"/>
          </w:rPr>
          <w:t>Tableau 35 : Dépenses du Haut-Commissariat à l’Initiative 3N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_Toc529305089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53</w:t>
        </w:r>
        <w:r w:rsidR="00AA11A9" w:rsidRPr="00AA11A9">
          <w:rPr>
            <w:noProof/>
            <w:webHidden/>
            <w:sz w:val="22"/>
            <w:szCs w:val="22"/>
          </w:rPr>
          <w:fldChar w:fldCharType="end"/>
        </w:r>
      </w:hyperlink>
    </w:p>
    <w:p w14:paraId="3FB4C0D7"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0" w:history="1">
        <w:r w:rsidR="00AA11A9" w:rsidRPr="00AA11A9">
          <w:rPr>
            <w:rStyle w:val="Lienhypertexte"/>
            <w:noProof/>
            <w:sz w:val="22"/>
            <w:szCs w:val="22"/>
          </w:rPr>
          <w:t>Tableau 36 : Dépenses du Haut-Commissariat à l’Initiative 3N</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_Toc529305090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54</w:t>
        </w:r>
        <w:r w:rsidR="00AA11A9" w:rsidRPr="00AA11A9">
          <w:rPr>
            <w:noProof/>
            <w:webHidden/>
            <w:sz w:val="22"/>
            <w:szCs w:val="22"/>
          </w:rPr>
          <w:fldChar w:fldCharType="end"/>
        </w:r>
      </w:hyperlink>
    </w:p>
    <w:p w14:paraId="1456C642"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1" w:history="1">
        <w:r w:rsidR="00AA11A9" w:rsidRPr="00AA11A9">
          <w:rPr>
            <w:rStyle w:val="Lienhypertexte"/>
            <w:noProof/>
            <w:sz w:val="22"/>
            <w:szCs w:val="22"/>
          </w:rPr>
          <w:t>Tableau 37 : Dépenses du Haut-Commissariat à l’Initiative 3N</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_Toc529305091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54</w:t>
        </w:r>
        <w:r w:rsidR="00AA11A9" w:rsidRPr="00AA11A9">
          <w:rPr>
            <w:noProof/>
            <w:webHidden/>
            <w:sz w:val="22"/>
            <w:szCs w:val="22"/>
          </w:rPr>
          <w:fldChar w:fldCharType="end"/>
        </w:r>
      </w:hyperlink>
    </w:p>
    <w:p w14:paraId="600096C2"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2" w:history="1">
        <w:r w:rsidR="00AA11A9" w:rsidRPr="00AA11A9">
          <w:rPr>
            <w:rStyle w:val="Lienhypertexte"/>
            <w:noProof/>
            <w:sz w:val="22"/>
            <w:szCs w:val="22"/>
          </w:rPr>
          <w:t>Tableau 38</w:t>
        </w:r>
        <w:r w:rsidR="00AA11A9" w:rsidRPr="00AA11A9">
          <w:rPr>
            <w:rStyle w:val="Lienhypertexte"/>
            <w:rFonts w:eastAsiaTheme="majorEastAsia" w:cs="Calibri"/>
            <w:noProof/>
            <w:sz w:val="22"/>
            <w:szCs w:val="22"/>
          </w:rPr>
          <w:t> : Répartition des crédits de fonctionnement par administration du MAG</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_Toc529305092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55</w:t>
        </w:r>
        <w:r w:rsidR="00AA11A9" w:rsidRPr="00AA11A9">
          <w:rPr>
            <w:noProof/>
            <w:webHidden/>
            <w:sz w:val="22"/>
            <w:szCs w:val="22"/>
          </w:rPr>
          <w:fldChar w:fldCharType="end"/>
        </w:r>
      </w:hyperlink>
    </w:p>
    <w:p w14:paraId="11A486F1"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3" w:history="1">
        <w:r w:rsidR="00AA11A9" w:rsidRPr="00AA11A9">
          <w:rPr>
            <w:rStyle w:val="Lienhypertexte"/>
            <w:noProof/>
            <w:sz w:val="22"/>
            <w:szCs w:val="22"/>
          </w:rPr>
          <w:t>Tableau 39</w:t>
        </w:r>
        <w:r w:rsidR="00AA11A9" w:rsidRPr="00AA11A9">
          <w:rPr>
            <w:rStyle w:val="Lienhypertexte"/>
            <w:rFonts w:eastAsiaTheme="majorEastAsia" w:cs="Calibri"/>
            <w:noProof/>
            <w:sz w:val="22"/>
            <w:szCs w:val="22"/>
          </w:rPr>
          <w:t> : Sources des financements des budgets d’investissement au MAG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_Toc529305093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56</w:t>
        </w:r>
        <w:r w:rsidR="00AA11A9" w:rsidRPr="00AA11A9">
          <w:rPr>
            <w:noProof/>
            <w:webHidden/>
            <w:sz w:val="22"/>
            <w:szCs w:val="22"/>
          </w:rPr>
          <w:fldChar w:fldCharType="end"/>
        </w:r>
      </w:hyperlink>
    </w:p>
    <w:p w14:paraId="6FD985B1"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4" w:history="1">
        <w:r w:rsidR="00AA11A9" w:rsidRPr="00AA11A9">
          <w:rPr>
            <w:rStyle w:val="Lienhypertexte"/>
            <w:noProof/>
            <w:sz w:val="22"/>
            <w:szCs w:val="22"/>
          </w:rPr>
          <w:t>Tableau 40</w:t>
        </w:r>
        <w:r w:rsidR="00AA11A9" w:rsidRPr="00AA11A9">
          <w:rPr>
            <w:rStyle w:val="Lienhypertexte"/>
            <w:rFonts w:eastAsiaTheme="majorEastAsia" w:cs="Calibri"/>
            <w:noProof/>
            <w:sz w:val="22"/>
            <w:szCs w:val="22"/>
          </w:rPr>
          <w:t> : Réalisation physique en 2016 au MAG</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_Toc529305094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57</w:t>
        </w:r>
        <w:r w:rsidR="00AA11A9" w:rsidRPr="00AA11A9">
          <w:rPr>
            <w:noProof/>
            <w:webHidden/>
            <w:sz w:val="22"/>
            <w:szCs w:val="22"/>
          </w:rPr>
          <w:fldChar w:fldCharType="end"/>
        </w:r>
      </w:hyperlink>
    </w:p>
    <w:p w14:paraId="06EAD5B5"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5" w:history="1">
        <w:r w:rsidR="00AA11A9" w:rsidRPr="00AA11A9">
          <w:rPr>
            <w:rStyle w:val="Lienhypertexte"/>
            <w:noProof/>
            <w:sz w:val="22"/>
            <w:szCs w:val="22"/>
          </w:rPr>
          <w:t>Tableau 41</w:t>
        </w:r>
        <w:r w:rsidR="00AA11A9" w:rsidRPr="00AA11A9">
          <w:rPr>
            <w:rStyle w:val="Lienhypertexte"/>
            <w:rFonts w:eastAsiaTheme="majorEastAsia" w:cs="Calibri"/>
            <w:noProof/>
            <w:sz w:val="22"/>
            <w:szCs w:val="22"/>
          </w:rPr>
          <w:t> : Répartition du budget de fonctionnement en 2016 au MEL</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_Toc529305095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58</w:t>
        </w:r>
        <w:r w:rsidR="00AA11A9" w:rsidRPr="00AA11A9">
          <w:rPr>
            <w:noProof/>
            <w:webHidden/>
            <w:sz w:val="22"/>
            <w:szCs w:val="22"/>
          </w:rPr>
          <w:fldChar w:fldCharType="end"/>
        </w:r>
      </w:hyperlink>
    </w:p>
    <w:p w14:paraId="7A1544B6"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6" w:history="1">
        <w:r w:rsidR="00AA11A9" w:rsidRPr="00AA11A9">
          <w:rPr>
            <w:rStyle w:val="Lienhypertexte"/>
            <w:noProof/>
            <w:sz w:val="22"/>
            <w:szCs w:val="22"/>
          </w:rPr>
          <w:t>Tableau 42</w:t>
        </w:r>
        <w:r w:rsidR="00AA11A9" w:rsidRPr="00AA11A9">
          <w:rPr>
            <w:rStyle w:val="Lienhypertexte"/>
            <w:rFonts w:eastAsiaTheme="majorEastAsia" w:cs="Calibri"/>
            <w:noProof/>
            <w:sz w:val="22"/>
            <w:szCs w:val="22"/>
          </w:rPr>
          <w:t> : Répartition des investissements par source de financements au MEL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_Toc529305096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58</w:t>
        </w:r>
        <w:r w:rsidR="00AA11A9" w:rsidRPr="00AA11A9">
          <w:rPr>
            <w:noProof/>
            <w:webHidden/>
            <w:sz w:val="22"/>
            <w:szCs w:val="22"/>
          </w:rPr>
          <w:fldChar w:fldCharType="end"/>
        </w:r>
      </w:hyperlink>
    </w:p>
    <w:p w14:paraId="1CF9F0A8"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7" w:history="1">
        <w:r w:rsidR="00AA11A9" w:rsidRPr="00AA11A9">
          <w:rPr>
            <w:rStyle w:val="Lienhypertexte"/>
            <w:noProof/>
            <w:sz w:val="22"/>
            <w:szCs w:val="22"/>
          </w:rPr>
          <w:t>Tableau 43</w:t>
        </w:r>
        <w:r w:rsidR="00AA11A9" w:rsidRPr="00AA11A9">
          <w:rPr>
            <w:rStyle w:val="Lienhypertexte"/>
            <w:rFonts w:eastAsiaTheme="majorEastAsia" w:cs="Calibri"/>
            <w:noProof/>
            <w:sz w:val="22"/>
            <w:szCs w:val="22"/>
          </w:rPr>
          <w:t> : Répartition des fonctionnements par administration du MEDD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_Toc529305097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59</w:t>
        </w:r>
        <w:r w:rsidR="00AA11A9" w:rsidRPr="00AA11A9">
          <w:rPr>
            <w:noProof/>
            <w:webHidden/>
            <w:sz w:val="22"/>
            <w:szCs w:val="22"/>
          </w:rPr>
          <w:fldChar w:fldCharType="end"/>
        </w:r>
      </w:hyperlink>
    </w:p>
    <w:p w14:paraId="3B921E4B"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8" w:history="1">
        <w:r w:rsidR="00AA11A9" w:rsidRPr="00AA11A9">
          <w:rPr>
            <w:rStyle w:val="Lienhypertexte"/>
            <w:noProof/>
            <w:sz w:val="22"/>
            <w:szCs w:val="22"/>
          </w:rPr>
          <w:t>Tableau 44</w:t>
        </w:r>
        <w:r w:rsidR="00AA11A9" w:rsidRPr="00AA11A9">
          <w:rPr>
            <w:rStyle w:val="Lienhypertexte"/>
            <w:rFonts w:eastAsiaTheme="majorEastAsia" w:cs="Calibri"/>
            <w:noProof/>
            <w:sz w:val="22"/>
            <w:szCs w:val="22"/>
          </w:rPr>
          <w:t> : Répartition des investissements par source de financements au MEDD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_Toc529305098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60</w:t>
        </w:r>
        <w:r w:rsidR="00AA11A9" w:rsidRPr="00AA11A9">
          <w:rPr>
            <w:noProof/>
            <w:webHidden/>
            <w:sz w:val="22"/>
            <w:szCs w:val="22"/>
          </w:rPr>
          <w:fldChar w:fldCharType="end"/>
        </w:r>
      </w:hyperlink>
    </w:p>
    <w:p w14:paraId="6FA1051A"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099" w:history="1">
        <w:r w:rsidR="00AA11A9" w:rsidRPr="00AA11A9">
          <w:rPr>
            <w:rStyle w:val="Lienhypertexte"/>
            <w:noProof/>
            <w:sz w:val="22"/>
            <w:szCs w:val="22"/>
          </w:rPr>
          <w:t>Tableau 45</w:t>
        </w:r>
        <w:r w:rsidR="00AA11A9" w:rsidRPr="00AA11A9">
          <w:rPr>
            <w:rStyle w:val="Lienhypertexte"/>
            <w:rFonts w:eastAsiaTheme="majorEastAsia" w:cs="Calibri"/>
            <w:noProof/>
            <w:sz w:val="22"/>
            <w:szCs w:val="22"/>
          </w:rPr>
          <w:t> : Principales des réalisations physiques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_Toc529305099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61</w:t>
        </w:r>
        <w:r w:rsidR="00AA11A9" w:rsidRPr="00AA11A9">
          <w:rPr>
            <w:noProof/>
            <w:webHidden/>
            <w:sz w:val="22"/>
            <w:szCs w:val="22"/>
          </w:rPr>
          <w:fldChar w:fldCharType="end"/>
        </w:r>
      </w:hyperlink>
    </w:p>
    <w:p w14:paraId="0F4D98D4"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00" w:history="1">
        <w:r w:rsidR="00AA11A9" w:rsidRPr="00AA11A9">
          <w:rPr>
            <w:rStyle w:val="Lienhypertexte"/>
            <w:noProof/>
            <w:sz w:val="22"/>
            <w:szCs w:val="22"/>
          </w:rPr>
          <w:t>Tableau 46</w:t>
        </w:r>
        <w:r w:rsidR="00AA11A9" w:rsidRPr="00AA11A9">
          <w:rPr>
            <w:rStyle w:val="Lienhypertexte"/>
            <w:rFonts w:eastAsiaTheme="majorEastAsia" w:cs="Calibri"/>
            <w:noProof/>
            <w:sz w:val="22"/>
            <w:szCs w:val="22"/>
          </w:rPr>
          <w:t> : Répartition des crédits de fonctionnement au MHA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_Toc529305100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62</w:t>
        </w:r>
        <w:r w:rsidR="00AA11A9" w:rsidRPr="00AA11A9">
          <w:rPr>
            <w:noProof/>
            <w:webHidden/>
            <w:sz w:val="22"/>
            <w:szCs w:val="22"/>
          </w:rPr>
          <w:fldChar w:fldCharType="end"/>
        </w:r>
      </w:hyperlink>
    </w:p>
    <w:p w14:paraId="2EECC386"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01" w:history="1">
        <w:r w:rsidR="00AA11A9" w:rsidRPr="00AA11A9">
          <w:rPr>
            <w:rStyle w:val="Lienhypertexte"/>
            <w:noProof/>
            <w:sz w:val="22"/>
            <w:szCs w:val="22"/>
          </w:rPr>
          <w:t>Tableau 47</w:t>
        </w:r>
        <w:r w:rsidR="00AA11A9" w:rsidRPr="00AA11A9">
          <w:rPr>
            <w:rStyle w:val="Lienhypertexte"/>
            <w:rFonts w:eastAsiaTheme="majorEastAsia" w:cs="Calibri"/>
            <w:noProof/>
            <w:sz w:val="22"/>
            <w:szCs w:val="22"/>
          </w:rPr>
          <w:t> : Type de financement du MHA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_Toc529305101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63</w:t>
        </w:r>
        <w:r w:rsidR="00AA11A9" w:rsidRPr="00AA11A9">
          <w:rPr>
            <w:noProof/>
            <w:webHidden/>
            <w:sz w:val="22"/>
            <w:szCs w:val="22"/>
          </w:rPr>
          <w:fldChar w:fldCharType="end"/>
        </w:r>
      </w:hyperlink>
    </w:p>
    <w:p w14:paraId="4C15C299"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02" w:history="1">
        <w:r w:rsidR="00AA11A9" w:rsidRPr="00AA11A9">
          <w:rPr>
            <w:rStyle w:val="Lienhypertexte"/>
            <w:noProof/>
            <w:sz w:val="22"/>
            <w:szCs w:val="22"/>
          </w:rPr>
          <w:t>Tableau 48</w:t>
        </w:r>
        <w:r w:rsidR="00AA11A9" w:rsidRPr="00AA11A9">
          <w:rPr>
            <w:rStyle w:val="Lienhypertexte"/>
            <w:rFonts w:eastAsiaTheme="majorEastAsia" w:cs="Calibri"/>
            <w:noProof/>
            <w:sz w:val="22"/>
            <w:szCs w:val="22"/>
          </w:rPr>
          <w:t> : Réalisation des points d’eau d’hydraulique pastorale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_Toc529305102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63</w:t>
        </w:r>
        <w:r w:rsidR="00AA11A9" w:rsidRPr="00AA11A9">
          <w:rPr>
            <w:noProof/>
            <w:webHidden/>
            <w:sz w:val="22"/>
            <w:szCs w:val="22"/>
          </w:rPr>
          <w:fldChar w:fldCharType="end"/>
        </w:r>
      </w:hyperlink>
    </w:p>
    <w:p w14:paraId="79D73607"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03" w:history="1">
        <w:r w:rsidR="00AA11A9" w:rsidRPr="00AA11A9">
          <w:rPr>
            <w:rStyle w:val="Lienhypertexte"/>
            <w:noProof/>
            <w:sz w:val="22"/>
            <w:szCs w:val="22"/>
          </w:rPr>
          <w:t>Tableau 49 : Dépenses de fonctionnement du HC3N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_Toc529305103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70</w:t>
        </w:r>
        <w:r w:rsidR="00AA11A9" w:rsidRPr="00AA11A9">
          <w:rPr>
            <w:noProof/>
            <w:webHidden/>
            <w:sz w:val="22"/>
            <w:szCs w:val="22"/>
          </w:rPr>
          <w:fldChar w:fldCharType="end"/>
        </w:r>
      </w:hyperlink>
    </w:p>
    <w:p w14:paraId="5040B190"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04" w:history="1">
        <w:r w:rsidR="00AA11A9" w:rsidRPr="00AA11A9">
          <w:rPr>
            <w:rStyle w:val="Lienhypertexte"/>
            <w:noProof/>
            <w:sz w:val="22"/>
            <w:szCs w:val="22"/>
          </w:rPr>
          <w:t>Tableau 50 : Dépenses d’investissement du HC3N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_Toc529305104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70</w:t>
        </w:r>
        <w:r w:rsidR="00AA11A9" w:rsidRPr="00AA11A9">
          <w:rPr>
            <w:noProof/>
            <w:webHidden/>
            <w:sz w:val="22"/>
            <w:szCs w:val="22"/>
          </w:rPr>
          <w:fldChar w:fldCharType="end"/>
        </w:r>
      </w:hyperlink>
    </w:p>
    <w:p w14:paraId="69145A1E" w14:textId="77777777" w:rsidR="007F2C27" w:rsidRDefault="000C747C" w:rsidP="00AA11A9">
      <w:pPr>
        <w:spacing w:after="120" w:line="276" w:lineRule="auto"/>
        <w:rPr>
          <w:rFonts w:ascii="Calibri" w:hAnsi="Calibri" w:cs="Calibri"/>
        </w:rPr>
      </w:pPr>
      <w:r w:rsidRPr="00AA11A9">
        <w:rPr>
          <w:rFonts w:ascii="Calibri" w:hAnsi="Calibri" w:cs="Calibri"/>
        </w:rPr>
        <w:fldChar w:fldCharType="end"/>
      </w:r>
    </w:p>
    <w:p w14:paraId="5CCDA172" w14:textId="33CC1F42" w:rsidR="00055FD3" w:rsidRDefault="00055FD3">
      <w:pPr>
        <w:rPr>
          <w:rFonts w:ascii="Calibri" w:hAnsi="Calibri" w:cs="Calibri"/>
        </w:rPr>
      </w:pPr>
      <w:r>
        <w:rPr>
          <w:rFonts w:ascii="Calibri" w:hAnsi="Calibri" w:cs="Calibri"/>
        </w:rPr>
        <w:br w:type="page"/>
      </w:r>
    </w:p>
    <w:p w14:paraId="32B01415" w14:textId="27FF377B" w:rsidR="00055FD3" w:rsidRPr="000C747C" w:rsidRDefault="00055FD3" w:rsidP="00055FD3">
      <w:pPr>
        <w:pStyle w:val="Titre3"/>
        <w:numPr>
          <w:ilvl w:val="0"/>
          <w:numId w:val="0"/>
        </w:numPr>
        <w:ind w:left="720" w:hanging="720"/>
        <w:jc w:val="center"/>
        <w:rPr>
          <w:color w:val="2E74B5" w:themeColor="accent1" w:themeShade="BF"/>
        </w:rPr>
      </w:pPr>
      <w:bookmarkStart w:id="3" w:name="_Toc529304996"/>
      <w:r w:rsidRPr="000C747C">
        <w:rPr>
          <w:color w:val="2E74B5" w:themeColor="accent1" w:themeShade="BF"/>
        </w:rPr>
        <w:lastRenderedPageBreak/>
        <w:t>Liste des graphiques</w:t>
      </w:r>
      <w:bookmarkEnd w:id="3"/>
    </w:p>
    <w:p w14:paraId="38D800BE" w14:textId="77777777" w:rsidR="00055FD3" w:rsidRDefault="00055FD3" w:rsidP="006108EB">
      <w:pPr>
        <w:spacing w:after="60"/>
        <w:rPr>
          <w:rFonts w:ascii="Calibri" w:hAnsi="Calibri" w:cs="Calibri"/>
        </w:rPr>
      </w:pPr>
    </w:p>
    <w:p w14:paraId="57B77338" w14:textId="77777777" w:rsidR="00055FD3" w:rsidRPr="00AA1494" w:rsidRDefault="00055FD3" w:rsidP="006108EB">
      <w:pPr>
        <w:spacing w:after="60"/>
        <w:rPr>
          <w:rFonts w:ascii="Calibri" w:hAnsi="Calibri" w:cs="Calibri"/>
        </w:rPr>
      </w:pPr>
    </w:p>
    <w:p w14:paraId="2788CCAF" w14:textId="77777777" w:rsidR="00AA11A9" w:rsidRPr="00AA11A9" w:rsidRDefault="000C747C"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r w:rsidRPr="00AA11A9">
        <w:rPr>
          <w:rFonts w:ascii="Calibri" w:hAnsi="Calibri" w:cs="Calibri"/>
          <w:sz w:val="22"/>
          <w:szCs w:val="22"/>
        </w:rPr>
        <w:fldChar w:fldCharType="begin"/>
      </w:r>
      <w:r w:rsidRPr="00AA11A9">
        <w:rPr>
          <w:rFonts w:ascii="Calibri" w:hAnsi="Calibri" w:cs="Calibri"/>
          <w:sz w:val="22"/>
          <w:szCs w:val="22"/>
        </w:rPr>
        <w:instrText xml:space="preserve"> TOC \h \z \c "Graphique" </w:instrText>
      </w:r>
      <w:r w:rsidRPr="00AA11A9">
        <w:rPr>
          <w:rFonts w:ascii="Calibri" w:hAnsi="Calibri" w:cs="Calibri"/>
          <w:sz w:val="22"/>
          <w:szCs w:val="22"/>
        </w:rPr>
        <w:fldChar w:fldCharType="separate"/>
      </w:r>
      <w:hyperlink w:anchor="_Toc529305105" w:history="1">
        <w:r w:rsidR="00AA11A9" w:rsidRPr="00AA11A9">
          <w:rPr>
            <w:rStyle w:val="Lienhypertexte"/>
            <w:noProof/>
            <w:sz w:val="22"/>
            <w:szCs w:val="22"/>
          </w:rPr>
          <w:t>Graphique 5</w:t>
        </w:r>
        <w:r w:rsidR="00AA11A9" w:rsidRPr="00AA11A9">
          <w:rPr>
            <w:rStyle w:val="Lienhypertexte"/>
            <w:rFonts w:eastAsiaTheme="majorEastAsia" w:cs="Calibri"/>
            <w:noProof/>
            <w:sz w:val="22"/>
            <w:szCs w:val="22"/>
          </w:rPr>
          <w:t> : Taux d'exécution du secteur rural</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_Toc529305105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31</w:t>
        </w:r>
        <w:r w:rsidR="00AA11A9" w:rsidRPr="00AA11A9">
          <w:rPr>
            <w:noProof/>
            <w:webHidden/>
            <w:sz w:val="22"/>
            <w:szCs w:val="22"/>
          </w:rPr>
          <w:fldChar w:fldCharType="end"/>
        </w:r>
      </w:hyperlink>
    </w:p>
    <w:p w14:paraId="46211351"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06" w:history="1">
        <w:r w:rsidR="00AA11A9" w:rsidRPr="00AA11A9">
          <w:rPr>
            <w:rStyle w:val="Lienhypertexte"/>
            <w:noProof/>
            <w:sz w:val="22"/>
            <w:szCs w:val="22"/>
          </w:rPr>
          <w:t>Graphique 2</w:t>
        </w:r>
        <w:r w:rsidR="00AA11A9" w:rsidRPr="00AA11A9">
          <w:rPr>
            <w:rStyle w:val="Lienhypertexte"/>
            <w:rFonts w:eastAsiaTheme="majorEastAsia" w:cs="Calibri"/>
            <w:noProof/>
            <w:sz w:val="22"/>
            <w:szCs w:val="22"/>
          </w:rPr>
          <w:t> : Importance relative des types de financement des investissements au MAG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_Toc529305106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34</w:t>
        </w:r>
        <w:r w:rsidR="00AA11A9" w:rsidRPr="00AA11A9">
          <w:rPr>
            <w:noProof/>
            <w:webHidden/>
            <w:sz w:val="22"/>
            <w:szCs w:val="22"/>
          </w:rPr>
          <w:fldChar w:fldCharType="end"/>
        </w:r>
      </w:hyperlink>
    </w:p>
    <w:p w14:paraId="7DEED7AC"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07" w:history="1">
        <w:r w:rsidR="00AA11A9" w:rsidRPr="00AA11A9">
          <w:rPr>
            <w:rStyle w:val="Lienhypertexte"/>
            <w:noProof/>
            <w:sz w:val="22"/>
            <w:szCs w:val="22"/>
          </w:rPr>
          <w:t>Graphique 7</w:t>
        </w:r>
        <w:r w:rsidR="00AA11A9" w:rsidRPr="00AA11A9">
          <w:rPr>
            <w:rStyle w:val="Lienhypertexte"/>
            <w:rFonts w:eastAsiaTheme="majorEastAsia" w:cs="Calibri"/>
            <w:noProof/>
            <w:sz w:val="22"/>
            <w:szCs w:val="22"/>
          </w:rPr>
          <w:t> : Répartition des crédits d’investissement de développement au titre de l’année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_Toc529305107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39</w:t>
        </w:r>
        <w:r w:rsidR="00AA11A9" w:rsidRPr="00AA11A9">
          <w:rPr>
            <w:noProof/>
            <w:webHidden/>
            <w:sz w:val="22"/>
            <w:szCs w:val="22"/>
          </w:rPr>
          <w:fldChar w:fldCharType="end"/>
        </w:r>
      </w:hyperlink>
    </w:p>
    <w:p w14:paraId="4ED4EC1A"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08" w:history="1">
        <w:r w:rsidR="00AA11A9" w:rsidRPr="00AA11A9">
          <w:rPr>
            <w:rStyle w:val="Lienhypertexte"/>
            <w:noProof/>
            <w:sz w:val="22"/>
            <w:szCs w:val="22"/>
          </w:rPr>
          <w:t>Graphique 4</w:t>
        </w:r>
        <w:r w:rsidR="00AA11A9" w:rsidRPr="00AA11A9">
          <w:rPr>
            <w:rStyle w:val="Lienhypertexte"/>
            <w:rFonts w:eastAsiaTheme="majorEastAsia" w:cs="Calibri"/>
            <w:noProof/>
            <w:sz w:val="22"/>
            <w:szCs w:val="22"/>
          </w:rPr>
          <w:t> : Illustration de la capacité d’absorption des crédits</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_Toc529305108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40</w:t>
        </w:r>
        <w:r w:rsidR="00AA11A9" w:rsidRPr="00AA11A9">
          <w:rPr>
            <w:noProof/>
            <w:webHidden/>
            <w:sz w:val="22"/>
            <w:szCs w:val="22"/>
          </w:rPr>
          <w:fldChar w:fldCharType="end"/>
        </w:r>
      </w:hyperlink>
    </w:p>
    <w:p w14:paraId="59727CC8"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09" w:history="1">
        <w:r w:rsidR="00AA11A9" w:rsidRPr="00AA11A9">
          <w:rPr>
            <w:rStyle w:val="Lienhypertexte"/>
            <w:noProof/>
            <w:sz w:val="22"/>
            <w:szCs w:val="22"/>
          </w:rPr>
          <w:t>Graphique 5</w:t>
        </w:r>
        <w:r w:rsidR="00AA11A9" w:rsidRPr="00AA11A9">
          <w:rPr>
            <w:rStyle w:val="Lienhypertexte"/>
            <w:rFonts w:eastAsiaTheme="majorEastAsia" w:cs="Calibri"/>
            <w:noProof/>
            <w:sz w:val="22"/>
            <w:szCs w:val="22"/>
          </w:rPr>
          <w:t> : Répartition des crédits d’investissement de développement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_Toc529305109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41</w:t>
        </w:r>
        <w:r w:rsidR="00AA11A9" w:rsidRPr="00AA11A9">
          <w:rPr>
            <w:noProof/>
            <w:webHidden/>
            <w:sz w:val="22"/>
            <w:szCs w:val="22"/>
          </w:rPr>
          <w:fldChar w:fldCharType="end"/>
        </w:r>
      </w:hyperlink>
    </w:p>
    <w:p w14:paraId="1829EE9C"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10" w:history="1">
        <w:r w:rsidR="00AA11A9" w:rsidRPr="00AA11A9">
          <w:rPr>
            <w:rStyle w:val="Lienhypertexte"/>
            <w:noProof/>
            <w:sz w:val="22"/>
            <w:szCs w:val="22"/>
          </w:rPr>
          <w:t>Graphique 6</w:t>
        </w:r>
        <w:r w:rsidR="00AA11A9" w:rsidRPr="00AA11A9">
          <w:rPr>
            <w:rStyle w:val="Lienhypertexte"/>
            <w:rFonts w:eastAsiaTheme="majorEastAsia" w:cs="Calibri"/>
            <w:noProof/>
            <w:sz w:val="22"/>
            <w:szCs w:val="22"/>
          </w:rPr>
          <w:t> : Réparation par source de financement du budget de l’OPVN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_Toc529305110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44</w:t>
        </w:r>
        <w:r w:rsidR="00AA11A9" w:rsidRPr="00AA11A9">
          <w:rPr>
            <w:noProof/>
            <w:webHidden/>
            <w:sz w:val="22"/>
            <w:szCs w:val="22"/>
          </w:rPr>
          <w:fldChar w:fldCharType="end"/>
        </w:r>
      </w:hyperlink>
    </w:p>
    <w:p w14:paraId="1BB38402"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11" w:history="1">
        <w:r w:rsidR="00AA11A9" w:rsidRPr="00AA11A9">
          <w:rPr>
            <w:rStyle w:val="Lienhypertexte"/>
            <w:noProof/>
            <w:sz w:val="22"/>
            <w:szCs w:val="22"/>
          </w:rPr>
          <w:t>Graphique 7</w:t>
        </w:r>
        <w:r w:rsidR="00AA11A9" w:rsidRPr="00AA11A9">
          <w:rPr>
            <w:rStyle w:val="Lienhypertexte"/>
            <w:rFonts w:eastAsiaTheme="majorEastAsia" w:cs="Calibri"/>
            <w:noProof/>
            <w:sz w:val="22"/>
            <w:szCs w:val="22"/>
          </w:rPr>
          <w:t> : Réparation par source de financement de l’exécution financière du DNPGCA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_Toc529305111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47</w:t>
        </w:r>
        <w:r w:rsidR="00AA11A9" w:rsidRPr="00AA11A9">
          <w:rPr>
            <w:noProof/>
            <w:webHidden/>
            <w:sz w:val="22"/>
            <w:szCs w:val="22"/>
          </w:rPr>
          <w:fldChar w:fldCharType="end"/>
        </w:r>
      </w:hyperlink>
    </w:p>
    <w:p w14:paraId="50DBF015"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12" w:history="1">
        <w:r w:rsidR="00AA11A9" w:rsidRPr="00AA11A9">
          <w:rPr>
            <w:rStyle w:val="Lienhypertexte"/>
            <w:noProof/>
            <w:sz w:val="22"/>
            <w:szCs w:val="22"/>
          </w:rPr>
          <w:t>Graphique 8</w:t>
        </w:r>
        <w:r w:rsidR="00AA11A9" w:rsidRPr="00AA11A9">
          <w:rPr>
            <w:rStyle w:val="Lienhypertexte"/>
            <w:rFonts w:eastAsiaTheme="majorEastAsia" w:cs="Calibri"/>
            <w:noProof/>
            <w:sz w:val="22"/>
            <w:szCs w:val="22"/>
          </w:rPr>
          <w:t> : Capacité d’absorption de la DN/MSP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_Toc529305112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51</w:t>
        </w:r>
        <w:r w:rsidR="00AA11A9" w:rsidRPr="00AA11A9">
          <w:rPr>
            <w:noProof/>
            <w:webHidden/>
            <w:sz w:val="22"/>
            <w:szCs w:val="22"/>
          </w:rPr>
          <w:fldChar w:fldCharType="end"/>
        </w:r>
      </w:hyperlink>
    </w:p>
    <w:p w14:paraId="209627AD"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13" w:history="1">
        <w:r w:rsidR="00AA11A9" w:rsidRPr="00AA11A9">
          <w:rPr>
            <w:rStyle w:val="Lienhypertexte"/>
            <w:noProof/>
            <w:sz w:val="22"/>
            <w:szCs w:val="22"/>
          </w:rPr>
          <w:t>Graphique 9</w:t>
        </w:r>
        <w:r w:rsidR="00AA11A9" w:rsidRPr="00AA11A9">
          <w:rPr>
            <w:rStyle w:val="Lienhypertexte"/>
            <w:rFonts w:eastAsiaTheme="majorEastAsia" w:cs="Calibri"/>
            <w:noProof/>
            <w:sz w:val="22"/>
            <w:szCs w:val="22"/>
          </w:rPr>
          <w:t> : Répartition des financements de la Direction de la Nutrition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_Toc529305113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52</w:t>
        </w:r>
        <w:r w:rsidR="00AA11A9" w:rsidRPr="00AA11A9">
          <w:rPr>
            <w:noProof/>
            <w:webHidden/>
            <w:sz w:val="22"/>
            <w:szCs w:val="22"/>
          </w:rPr>
          <w:fldChar w:fldCharType="end"/>
        </w:r>
      </w:hyperlink>
    </w:p>
    <w:p w14:paraId="3B7CEDB7"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14" w:history="1">
        <w:r w:rsidR="00AA11A9" w:rsidRPr="00AA11A9">
          <w:rPr>
            <w:rStyle w:val="Lienhypertexte"/>
            <w:noProof/>
            <w:sz w:val="22"/>
            <w:szCs w:val="22"/>
          </w:rPr>
          <w:t>Graphique 10</w:t>
        </w:r>
        <w:r w:rsidR="00AA11A9" w:rsidRPr="00AA11A9">
          <w:rPr>
            <w:rStyle w:val="Lienhypertexte"/>
            <w:rFonts w:eastAsiaTheme="majorEastAsia" w:cs="Calibri"/>
            <w:noProof/>
            <w:sz w:val="22"/>
            <w:szCs w:val="22"/>
          </w:rPr>
          <w:t> : Taux d’exécution du budget d’investissements 2016 du MAG</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_Toc529305114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56</w:t>
        </w:r>
        <w:r w:rsidR="00AA11A9" w:rsidRPr="00AA11A9">
          <w:rPr>
            <w:noProof/>
            <w:webHidden/>
            <w:sz w:val="22"/>
            <w:szCs w:val="22"/>
          </w:rPr>
          <w:fldChar w:fldCharType="end"/>
        </w:r>
      </w:hyperlink>
    </w:p>
    <w:p w14:paraId="42B86577" w14:textId="77777777" w:rsidR="00AA11A9" w:rsidRPr="00AA11A9" w:rsidRDefault="00B83528" w:rsidP="00AA11A9">
      <w:pPr>
        <w:pStyle w:val="Tabledesillustrations"/>
        <w:tabs>
          <w:tab w:val="right" w:leader="dot" w:pos="9062"/>
        </w:tabs>
        <w:spacing w:after="120" w:line="276" w:lineRule="auto"/>
        <w:rPr>
          <w:rFonts w:eastAsiaTheme="minorEastAsia" w:cstheme="minorBidi"/>
          <w:i w:val="0"/>
          <w:iCs w:val="0"/>
          <w:noProof/>
          <w:sz w:val="22"/>
          <w:szCs w:val="22"/>
          <w:lang w:eastAsia="fr-FR"/>
        </w:rPr>
      </w:pPr>
      <w:hyperlink w:anchor="_Toc529305115" w:history="1">
        <w:r w:rsidR="00AA11A9" w:rsidRPr="00AA11A9">
          <w:rPr>
            <w:rStyle w:val="Lienhypertexte"/>
            <w:noProof/>
            <w:sz w:val="22"/>
            <w:szCs w:val="22"/>
          </w:rPr>
          <w:t>Graphique 11</w:t>
        </w:r>
        <w:r w:rsidR="00AA11A9" w:rsidRPr="00AA11A9">
          <w:rPr>
            <w:rStyle w:val="Lienhypertexte"/>
            <w:rFonts w:eastAsiaTheme="majorEastAsia" w:cs="Calibri"/>
            <w:noProof/>
            <w:sz w:val="22"/>
            <w:szCs w:val="22"/>
          </w:rPr>
          <w:t> : Niveau de performance des investissements du MEDD en 2016</w:t>
        </w:r>
        <w:r w:rsidR="00AA11A9" w:rsidRPr="00AA11A9">
          <w:rPr>
            <w:noProof/>
            <w:webHidden/>
            <w:sz w:val="22"/>
            <w:szCs w:val="22"/>
          </w:rPr>
          <w:tab/>
        </w:r>
        <w:r w:rsidR="00AA11A9" w:rsidRPr="00AA11A9">
          <w:rPr>
            <w:noProof/>
            <w:webHidden/>
            <w:sz w:val="22"/>
            <w:szCs w:val="22"/>
          </w:rPr>
          <w:fldChar w:fldCharType="begin"/>
        </w:r>
        <w:r w:rsidR="00AA11A9" w:rsidRPr="00AA11A9">
          <w:rPr>
            <w:noProof/>
            <w:webHidden/>
            <w:sz w:val="22"/>
            <w:szCs w:val="22"/>
          </w:rPr>
          <w:instrText xml:space="preserve"> PAGEREF _Toc529305115 \h </w:instrText>
        </w:r>
        <w:r w:rsidR="00AA11A9" w:rsidRPr="00AA11A9">
          <w:rPr>
            <w:noProof/>
            <w:webHidden/>
            <w:sz w:val="22"/>
            <w:szCs w:val="22"/>
          </w:rPr>
        </w:r>
        <w:r w:rsidR="00AA11A9" w:rsidRPr="00AA11A9">
          <w:rPr>
            <w:noProof/>
            <w:webHidden/>
            <w:sz w:val="22"/>
            <w:szCs w:val="22"/>
          </w:rPr>
          <w:fldChar w:fldCharType="separate"/>
        </w:r>
        <w:r w:rsidR="001C37F0">
          <w:rPr>
            <w:noProof/>
            <w:webHidden/>
            <w:sz w:val="22"/>
            <w:szCs w:val="22"/>
          </w:rPr>
          <w:t>60</w:t>
        </w:r>
        <w:r w:rsidR="00AA11A9" w:rsidRPr="00AA11A9">
          <w:rPr>
            <w:noProof/>
            <w:webHidden/>
            <w:sz w:val="22"/>
            <w:szCs w:val="22"/>
          </w:rPr>
          <w:fldChar w:fldCharType="end"/>
        </w:r>
      </w:hyperlink>
    </w:p>
    <w:p w14:paraId="043AB419" w14:textId="19D958A5" w:rsidR="00F12682" w:rsidRDefault="000C747C" w:rsidP="00AA11A9">
      <w:pPr>
        <w:spacing w:after="120" w:line="276" w:lineRule="auto"/>
        <w:rPr>
          <w:rFonts w:ascii="Calibri" w:hAnsi="Calibri" w:cs="Calibri"/>
        </w:rPr>
      </w:pPr>
      <w:r w:rsidRPr="00AA11A9">
        <w:rPr>
          <w:rFonts w:ascii="Calibri" w:hAnsi="Calibri" w:cs="Calibri"/>
        </w:rPr>
        <w:fldChar w:fldCharType="end"/>
      </w:r>
    </w:p>
    <w:p w14:paraId="422A7F7E" w14:textId="77777777" w:rsidR="00F12682" w:rsidRDefault="00F12682">
      <w:pPr>
        <w:rPr>
          <w:rFonts w:ascii="Calibri" w:hAnsi="Calibri" w:cs="Calibri"/>
        </w:rPr>
      </w:pPr>
      <w:r>
        <w:rPr>
          <w:rFonts w:ascii="Calibri" w:hAnsi="Calibri" w:cs="Calibri"/>
        </w:rPr>
        <w:br w:type="page"/>
      </w:r>
    </w:p>
    <w:p w14:paraId="12386DCF" w14:textId="77777777" w:rsidR="00B462C1" w:rsidRPr="00603F08" w:rsidRDefault="00B462C1" w:rsidP="00343562">
      <w:pPr>
        <w:spacing w:after="120"/>
        <w:rPr>
          <w:rFonts w:cstheme="minorHAnsi"/>
        </w:rPr>
      </w:pPr>
    </w:p>
    <w:p w14:paraId="1DFCE168" w14:textId="77777777" w:rsidR="000E00F8" w:rsidRPr="004A5122" w:rsidRDefault="000E00F8" w:rsidP="000E00F8">
      <w:pPr>
        <w:rPr>
          <w:rFonts w:cstheme="minorHAnsi"/>
        </w:rPr>
        <w:sectPr w:rsidR="000E00F8" w:rsidRPr="004A5122" w:rsidSect="007F2C27">
          <w:headerReference w:type="default" r:id="rId13"/>
          <w:footerReference w:type="default" r:id="rId14"/>
          <w:pgSz w:w="11906" w:h="16838"/>
          <w:pgMar w:top="1417" w:right="1417" w:bottom="1417" w:left="1417" w:header="708" w:footer="708" w:gutter="0"/>
          <w:pgNumType w:fmt="lowerRoman" w:start="1"/>
          <w:cols w:space="708"/>
          <w:docGrid w:linePitch="360"/>
        </w:sectPr>
      </w:pPr>
    </w:p>
    <w:p w14:paraId="47236DE6" w14:textId="745CA614" w:rsidR="00742AFB" w:rsidRDefault="00742AFB" w:rsidP="00F12682">
      <w:pPr>
        <w:pStyle w:val="Titre1"/>
        <w:numPr>
          <w:ilvl w:val="0"/>
          <w:numId w:val="0"/>
        </w:numPr>
        <w:ind w:left="432" w:hanging="432"/>
        <w:jc w:val="both"/>
        <w:rPr>
          <w:rFonts w:asciiTheme="minorHAnsi" w:hAnsiTheme="minorHAnsi" w:cstheme="minorHAnsi"/>
          <w:sz w:val="28"/>
        </w:rPr>
      </w:pPr>
      <w:bookmarkStart w:id="4" w:name="_Toc523577305"/>
      <w:bookmarkStart w:id="5" w:name="_Toc529304997"/>
      <w:bookmarkEnd w:id="4"/>
      <w:r w:rsidRPr="004A5122">
        <w:rPr>
          <w:rFonts w:asciiTheme="minorHAnsi" w:hAnsiTheme="minorHAnsi" w:cstheme="minorHAnsi"/>
          <w:sz w:val="28"/>
        </w:rPr>
        <w:lastRenderedPageBreak/>
        <w:t>Chapitre 1 :</w:t>
      </w:r>
      <w:r w:rsidR="005420EE" w:rsidRPr="004A5122">
        <w:rPr>
          <w:rFonts w:asciiTheme="minorHAnsi" w:hAnsiTheme="minorHAnsi" w:cstheme="minorHAnsi"/>
          <w:sz w:val="28"/>
        </w:rPr>
        <w:t xml:space="preserve"> </w:t>
      </w:r>
      <w:r w:rsidR="006B61C2" w:rsidRPr="004A5122">
        <w:rPr>
          <w:rFonts w:asciiTheme="minorHAnsi" w:hAnsiTheme="minorHAnsi" w:cstheme="minorHAnsi"/>
          <w:sz w:val="28"/>
        </w:rPr>
        <w:t>Intro</w:t>
      </w:r>
      <w:r w:rsidR="00AE6F92" w:rsidRPr="004A5122">
        <w:rPr>
          <w:rFonts w:asciiTheme="minorHAnsi" w:hAnsiTheme="minorHAnsi" w:cstheme="minorHAnsi"/>
          <w:sz w:val="28"/>
        </w:rPr>
        <w:t>duction générale</w:t>
      </w:r>
      <w:bookmarkEnd w:id="5"/>
    </w:p>
    <w:p w14:paraId="353BFCE7" w14:textId="77777777" w:rsidR="00AE6F92" w:rsidRDefault="00AE6F92" w:rsidP="00F12682">
      <w:pPr>
        <w:pStyle w:val="Titre2"/>
        <w:rPr>
          <w:rFonts w:asciiTheme="minorHAnsi" w:hAnsiTheme="minorHAnsi" w:cstheme="minorHAnsi"/>
        </w:rPr>
      </w:pPr>
      <w:bookmarkStart w:id="6" w:name="_Toc529304998"/>
      <w:r w:rsidRPr="004A5122">
        <w:rPr>
          <w:rFonts w:asciiTheme="minorHAnsi" w:hAnsiTheme="minorHAnsi" w:cstheme="minorHAnsi"/>
        </w:rPr>
        <w:t>Contexte</w:t>
      </w:r>
      <w:r w:rsidR="00AC0EBF" w:rsidRPr="004A5122">
        <w:rPr>
          <w:rFonts w:asciiTheme="minorHAnsi" w:hAnsiTheme="minorHAnsi" w:cstheme="minorHAnsi"/>
        </w:rPr>
        <w:t xml:space="preserve"> </w:t>
      </w:r>
      <w:r w:rsidR="00D96C36" w:rsidRPr="004A5122">
        <w:rPr>
          <w:rFonts w:asciiTheme="minorHAnsi" w:hAnsiTheme="minorHAnsi" w:cstheme="minorHAnsi"/>
        </w:rPr>
        <w:t xml:space="preserve">stratégique </w:t>
      </w:r>
      <w:r w:rsidR="00AC0EBF" w:rsidRPr="004A5122">
        <w:rPr>
          <w:rFonts w:asciiTheme="minorHAnsi" w:hAnsiTheme="minorHAnsi" w:cstheme="minorHAnsi"/>
        </w:rPr>
        <w:t>national et sectoriel</w:t>
      </w:r>
      <w:bookmarkEnd w:id="6"/>
    </w:p>
    <w:p w14:paraId="1D0DE682" w14:textId="7C959D3C" w:rsidR="00BE4918" w:rsidRPr="00366701" w:rsidRDefault="00BE4918" w:rsidP="00F12682">
      <w:pPr>
        <w:spacing w:after="80" w:line="276" w:lineRule="auto"/>
        <w:jc w:val="both"/>
        <w:rPr>
          <w:rFonts w:cstheme="minorHAnsi"/>
          <w:sz w:val="24"/>
          <w:szCs w:val="24"/>
        </w:rPr>
      </w:pPr>
      <w:r w:rsidRPr="00366701">
        <w:rPr>
          <w:rFonts w:cstheme="minorHAnsi"/>
          <w:sz w:val="24"/>
          <w:szCs w:val="24"/>
        </w:rPr>
        <w:t xml:space="preserve">Dans le cadre de la planification stratégique, l’année 2016 constitue une année de transition entre </w:t>
      </w:r>
      <w:r w:rsidR="00404A84" w:rsidRPr="00366701">
        <w:rPr>
          <w:rFonts w:cstheme="minorHAnsi"/>
          <w:sz w:val="24"/>
          <w:szCs w:val="24"/>
        </w:rPr>
        <w:t>l’évaluation du</w:t>
      </w:r>
      <w:r w:rsidRPr="00366701">
        <w:rPr>
          <w:rFonts w:cstheme="minorHAnsi"/>
          <w:sz w:val="24"/>
          <w:szCs w:val="24"/>
        </w:rPr>
        <w:t xml:space="preserve"> Plan de Développement Econom</w:t>
      </w:r>
      <w:r w:rsidR="00404A84" w:rsidRPr="00366701">
        <w:rPr>
          <w:rFonts w:cstheme="minorHAnsi"/>
          <w:sz w:val="24"/>
          <w:szCs w:val="24"/>
        </w:rPr>
        <w:t>ique et Social (PDES) 2012-2015</w:t>
      </w:r>
      <w:r w:rsidRPr="00366701">
        <w:rPr>
          <w:rFonts w:cstheme="minorHAnsi"/>
          <w:sz w:val="24"/>
          <w:szCs w:val="24"/>
        </w:rPr>
        <w:t xml:space="preserve"> </w:t>
      </w:r>
      <w:r w:rsidR="00404A84" w:rsidRPr="00366701">
        <w:rPr>
          <w:rFonts w:cstheme="minorHAnsi"/>
          <w:sz w:val="24"/>
          <w:szCs w:val="24"/>
        </w:rPr>
        <w:t xml:space="preserve">et la préparation </w:t>
      </w:r>
      <w:r w:rsidR="0086086D" w:rsidRPr="00366701">
        <w:rPr>
          <w:rFonts w:cstheme="minorHAnsi"/>
          <w:sz w:val="24"/>
          <w:szCs w:val="24"/>
        </w:rPr>
        <w:t xml:space="preserve">du processus d’élaboration du PDES 2017-2021 et de la </w:t>
      </w:r>
      <w:r w:rsidR="00845E4B" w:rsidRPr="00366701">
        <w:rPr>
          <w:rFonts w:cstheme="minorHAnsi"/>
          <w:sz w:val="24"/>
          <w:szCs w:val="24"/>
        </w:rPr>
        <w:t>Stratégie de Développement Durable et de Croissance Inclusive (SDDCI)</w:t>
      </w:r>
      <w:r w:rsidR="0086086D" w:rsidRPr="00366701">
        <w:rPr>
          <w:rFonts w:cstheme="minorHAnsi"/>
          <w:sz w:val="24"/>
          <w:szCs w:val="24"/>
        </w:rPr>
        <w:t xml:space="preserve">. </w:t>
      </w:r>
    </w:p>
    <w:p w14:paraId="6C0798AB" w14:textId="0573FD80" w:rsidR="00BE4918" w:rsidRPr="00366701" w:rsidRDefault="00800471" w:rsidP="00F12682">
      <w:pPr>
        <w:spacing w:after="80" w:line="276" w:lineRule="auto"/>
        <w:jc w:val="both"/>
        <w:rPr>
          <w:rFonts w:cstheme="minorHAnsi"/>
          <w:sz w:val="24"/>
          <w:szCs w:val="24"/>
        </w:rPr>
      </w:pPr>
      <w:r w:rsidRPr="00366701">
        <w:rPr>
          <w:rFonts w:cstheme="minorHAnsi"/>
          <w:sz w:val="24"/>
          <w:szCs w:val="24"/>
        </w:rPr>
        <w:t>L’</w:t>
      </w:r>
      <w:r w:rsidR="00BE4918" w:rsidRPr="00366701">
        <w:rPr>
          <w:rFonts w:cstheme="minorHAnsi"/>
          <w:sz w:val="24"/>
          <w:szCs w:val="24"/>
        </w:rPr>
        <w:t xml:space="preserve">évaluation </w:t>
      </w:r>
      <w:r w:rsidRPr="00366701">
        <w:rPr>
          <w:rFonts w:cstheme="minorHAnsi"/>
          <w:sz w:val="24"/>
          <w:szCs w:val="24"/>
        </w:rPr>
        <w:t xml:space="preserve">du PDES 2012-2015 </w:t>
      </w:r>
      <w:r w:rsidR="00BE4918" w:rsidRPr="00366701">
        <w:rPr>
          <w:rFonts w:cstheme="minorHAnsi"/>
          <w:sz w:val="24"/>
          <w:szCs w:val="24"/>
        </w:rPr>
        <w:t>a concl</w:t>
      </w:r>
      <w:r w:rsidRPr="00366701">
        <w:rPr>
          <w:rFonts w:cstheme="minorHAnsi"/>
          <w:sz w:val="24"/>
          <w:szCs w:val="24"/>
        </w:rPr>
        <w:t>u à une performance moyenne de s</w:t>
      </w:r>
      <w:r w:rsidR="00BE4918" w:rsidRPr="00366701">
        <w:rPr>
          <w:rFonts w:cstheme="minorHAnsi"/>
          <w:sz w:val="24"/>
          <w:szCs w:val="24"/>
        </w:rPr>
        <w:t xml:space="preserve">a mise en </w:t>
      </w:r>
      <w:r w:rsidRPr="00366701">
        <w:rPr>
          <w:rFonts w:cstheme="minorHAnsi"/>
          <w:sz w:val="24"/>
          <w:szCs w:val="24"/>
        </w:rPr>
        <w:t>œuvre</w:t>
      </w:r>
      <w:r w:rsidR="00BE4918" w:rsidRPr="00366701">
        <w:rPr>
          <w:rFonts w:cstheme="minorHAnsi"/>
          <w:sz w:val="24"/>
          <w:szCs w:val="24"/>
        </w:rPr>
        <w:t xml:space="preserve">, en termes de résultats attendus. Elle a relevé en particulier que des progrès réels ont été enregistrés dans divers programmes. Cependant, ces derniers restent en deçà des ambitions fortes affichées au départ. L’évaluation a, en outre, formulé plusieurs recommandations pertinentes afin d’améliorer et d’enrichir la formulation et la mise en </w:t>
      </w:r>
      <w:r w:rsidRPr="00366701">
        <w:rPr>
          <w:rFonts w:cstheme="minorHAnsi"/>
          <w:sz w:val="24"/>
          <w:szCs w:val="24"/>
        </w:rPr>
        <w:t>œuvre</w:t>
      </w:r>
      <w:r w:rsidR="00BE4918" w:rsidRPr="00366701">
        <w:rPr>
          <w:rFonts w:cstheme="minorHAnsi"/>
          <w:sz w:val="24"/>
          <w:szCs w:val="24"/>
        </w:rPr>
        <w:t xml:space="preserve"> du PDES 2017-2021. </w:t>
      </w:r>
    </w:p>
    <w:p w14:paraId="7A78CE81" w14:textId="05DA927D" w:rsidR="00BE4918" w:rsidRPr="00366701" w:rsidRDefault="00BE4918" w:rsidP="00F12682">
      <w:pPr>
        <w:spacing w:after="80" w:line="276" w:lineRule="auto"/>
        <w:jc w:val="both"/>
        <w:rPr>
          <w:rFonts w:cstheme="minorHAnsi"/>
          <w:sz w:val="24"/>
          <w:szCs w:val="24"/>
        </w:rPr>
      </w:pPr>
      <w:r w:rsidRPr="00366701">
        <w:rPr>
          <w:rFonts w:cstheme="minorHAnsi"/>
          <w:sz w:val="24"/>
          <w:szCs w:val="24"/>
        </w:rPr>
        <w:t xml:space="preserve">Par ailleurs, la Stratégie de Développement Durable et de Croissance Inclusive (SDDCI), a défini la vision du Niger à l’horizon 2035, avec comme ambition d’en faire </w:t>
      </w:r>
      <w:r w:rsidR="00366701">
        <w:rPr>
          <w:rFonts w:cstheme="minorHAnsi"/>
          <w:sz w:val="24"/>
          <w:szCs w:val="24"/>
        </w:rPr>
        <w:t>« </w:t>
      </w:r>
      <w:r w:rsidRPr="00366701">
        <w:rPr>
          <w:rFonts w:cstheme="minorHAnsi"/>
          <w:sz w:val="24"/>
          <w:szCs w:val="24"/>
        </w:rPr>
        <w:t>un pays uni, démocratique et moderne, paisible, prospère et fier de ses valeurs culturelles, sous-tendu par un développement durable, éthique, équitable et équilibré dans une Afrique unie et solidaire</w:t>
      </w:r>
      <w:r w:rsidR="00366701">
        <w:rPr>
          <w:rFonts w:cstheme="minorHAnsi"/>
          <w:sz w:val="24"/>
          <w:szCs w:val="24"/>
        </w:rPr>
        <w:t> »</w:t>
      </w:r>
      <w:r w:rsidRPr="00366701">
        <w:rPr>
          <w:rFonts w:cstheme="minorHAnsi"/>
          <w:sz w:val="24"/>
          <w:szCs w:val="24"/>
        </w:rPr>
        <w:t>. A ce titre, la SDDCI a été fondée sur une démarche prospective à long terme afin d’anticiper l’avenir et de déterminer</w:t>
      </w:r>
      <w:r w:rsidR="00932031" w:rsidRPr="00366701">
        <w:rPr>
          <w:rFonts w:cstheme="minorHAnsi"/>
          <w:sz w:val="24"/>
          <w:szCs w:val="24"/>
        </w:rPr>
        <w:t xml:space="preserve"> le futur désiré pour le Niger.</w:t>
      </w:r>
    </w:p>
    <w:p w14:paraId="07972AC5" w14:textId="15429A4F" w:rsidR="00BE4918" w:rsidRPr="00366701" w:rsidRDefault="00BE4918" w:rsidP="00F12682">
      <w:pPr>
        <w:spacing w:after="80" w:line="276" w:lineRule="auto"/>
        <w:jc w:val="both"/>
        <w:rPr>
          <w:rFonts w:cstheme="minorHAnsi"/>
          <w:sz w:val="24"/>
          <w:szCs w:val="24"/>
        </w:rPr>
      </w:pPr>
      <w:r w:rsidRPr="00366701">
        <w:rPr>
          <w:rFonts w:cstheme="minorHAnsi"/>
          <w:sz w:val="24"/>
          <w:szCs w:val="24"/>
        </w:rPr>
        <w:t xml:space="preserve">Dans cette perspective, l’objectif de développement à l’horizon 2035 est de </w:t>
      </w:r>
      <w:r w:rsidR="00366701">
        <w:rPr>
          <w:rFonts w:cstheme="minorHAnsi"/>
          <w:sz w:val="24"/>
          <w:szCs w:val="24"/>
        </w:rPr>
        <w:t>« </w:t>
      </w:r>
      <w:r w:rsidRPr="00366701">
        <w:rPr>
          <w:rFonts w:cstheme="minorHAnsi"/>
          <w:sz w:val="24"/>
          <w:szCs w:val="24"/>
        </w:rPr>
        <w:t>bâtir un pays moderne, démocratique et uni, bien gouverné et pacifique, ouvert au monde, ainsi qu’une économie émergente, fondée sur un partage équilibré des fruits du progrès</w:t>
      </w:r>
      <w:r w:rsidR="00366701">
        <w:rPr>
          <w:rFonts w:cstheme="minorHAnsi"/>
          <w:sz w:val="24"/>
          <w:szCs w:val="24"/>
        </w:rPr>
        <w:t> »</w:t>
      </w:r>
      <w:r w:rsidRPr="00366701">
        <w:rPr>
          <w:rFonts w:cstheme="minorHAnsi"/>
          <w:sz w:val="24"/>
          <w:szCs w:val="24"/>
        </w:rPr>
        <w:t xml:space="preserve">. </w:t>
      </w:r>
    </w:p>
    <w:p w14:paraId="4D507D70" w14:textId="45C89670" w:rsidR="00BE4918" w:rsidRPr="00366701" w:rsidRDefault="00BE4918" w:rsidP="00F12682">
      <w:pPr>
        <w:spacing w:after="80" w:line="276" w:lineRule="auto"/>
        <w:jc w:val="both"/>
        <w:rPr>
          <w:rFonts w:cstheme="minorHAnsi"/>
          <w:sz w:val="24"/>
          <w:szCs w:val="24"/>
        </w:rPr>
      </w:pPr>
      <w:r w:rsidRPr="00366701">
        <w:rPr>
          <w:rFonts w:cstheme="minorHAnsi"/>
          <w:sz w:val="24"/>
          <w:szCs w:val="24"/>
        </w:rPr>
        <w:t xml:space="preserve">Dans un tel contexte, seule une politique fondée sur une claire volonté de </w:t>
      </w:r>
      <w:r w:rsidR="00366701">
        <w:rPr>
          <w:rFonts w:cstheme="minorHAnsi"/>
          <w:sz w:val="24"/>
          <w:szCs w:val="24"/>
        </w:rPr>
        <w:t>« </w:t>
      </w:r>
      <w:r w:rsidRPr="00366701">
        <w:rPr>
          <w:rFonts w:cstheme="minorHAnsi"/>
          <w:sz w:val="24"/>
          <w:szCs w:val="24"/>
        </w:rPr>
        <w:t>rupture</w:t>
      </w:r>
      <w:r w:rsidR="00366701">
        <w:rPr>
          <w:rFonts w:cstheme="minorHAnsi"/>
          <w:sz w:val="24"/>
          <w:szCs w:val="24"/>
        </w:rPr>
        <w:t> »</w:t>
      </w:r>
      <w:r w:rsidRPr="00366701">
        <w:rPr>
          <w:rFonts w:cstheme="minorHAnsi"/>
          <w:sz w:val="24"/>
          <w:szCs w:val="24"/>
        </w:rPr>
        <w:t xml:space="preserve"> permet de concrétiser la vision du Niger en 2035. Un tel scénario exige un changement de comportements et de mentalités, des réformes d’ampleur et nécessite la construction d’un consensus et l’élaboration de véritables </w:t>
      </w:r>
      <w:r w:rsidR="00366701">
        <w:rPr>
          <w:rFonts w:cstheme="minorHAnsi"/>
          <w:sz w:val="24"/>
          <w:szCs w:val="24"/>
        </w:rPr>
        <w:t>« </w:t>
      </w:r>
      <w:r w:rsidRPr="00366701">
        <w:rPr>
          <w:rFonts w:cstheme="minorHAnsi"/>
          <w:sz w:val="24"/>
          <w:szCs w:val="24"/>
        </w:rPr>
        <w:t>politiques d’Etat</w:t>
      </w:r>
      <w:r w:rsidR="00366701">
        <w:rPr>
          <w:rFonts w:cstheme="minorHAnsi"/>
          <w:sz w:val="24"/>
          <w:szCs w:val="24"/>
        </w:rPr>
        <w:t> »</w:t>
      </w:r>
      <w:r w:rsidRPr="00366701">
        <w:rPr>
          <w:rFonts w:cstheme="minorHAnsi"/>
          <w:sz w:val="24"/>
          <w:szCs w:val="24"/>
        </w:rPr>
        <w:t xml:space="preserve">. Le PDES 2017-2021, constitue la première déclinaison quinquennale de la SDDCI Niger 2035 et est articulé autour des ambitions profondes du Programme de Renaissance Acte 2 dont il constitue le principal instrument de mise en </w:t>
      </w:r>
      <w:r w:rsidR="00B514B0" w:rsidRPr="00366701">
        <w:rPr>
          <w:rFonts w:cstheme="minorHAnsi"/>
          <w:sz w:val="24"/>
          <w:szCs w:val="24"/>
        </w:rPr>
        <w:t>œuvre</w:t>
      </w:r>
      <w:r w:rsidRPr="00366701">
        <w:rPr>
          <w:rFonts w:cstheme="minorHAnsi"/>
          <w:sz w:val="24"/>
          <w:szCs w:val="24"/>
        </w:rPr>
        <w:t xml:space="preserve">. Il s’appuie également sur la Déclaration de Politique Générale (DPG) du Premier Ministre dont il tire sa substance, ses principales orientations et axes stratégiques. Enfin, il intègre les orientations du Document d’Orientations Economiques (DOE), notamment le cadrage macroéconomique et les orientations sectorielles. </w:t>
      </w:r>
    </w:p>
    <w:p w14:paraId="412ED513" w14:textId="56BEE7D7" w:rsidR="008C1B59" w:rsidRPr="00366701" w:rsidRDefault="008C1B59" w:rsidP="00F12682">
      <w:pPr>
        <w:spacing w:after="120" w:line="276" w:lineRule="auto"/>
        <w:rPr>
          <w:rFonts w:cstheme="minorHAnsi"/>
          <w:sz w:val="24"/>
          <w:szCs w:val="24"/>
        </w:rPr>
      </w:pPr>
    </w:p>
    <w:p w14:paraId="0C0EC2DD" w14:textId="7FE8D3BE" w:rsidR="00BA404A" w:rsidRDefault="009168CF" w:rsidP="00F12682">
      <w:pPr>
        <w:pStyle w:val="Titre2"/>
        <w:rPr>
          <w:rFonts w:asciiTheme="minorHAnsi" w:hAnsiTheme="minorHAnsi" w:cstheme="minorHAnsi"/>
        </w:rPr>
      </w:pPr>
      <w:bookmarkStart w:id="7" w:name="_Toc529304999"/>
      <w:r w:rsidRPr="004A5122">
        <w:rPr>
          <w:rFonts w:asciiTheme="minorHAnsi" w:hAnsiTheme="minorHAnsi" w:cstheme="minorHAnsi"/>
        </w:rPr>
        <w:t>Cadre institutionne</w:t>
      </w:r>
      <w:r w:rsidR="00220071" w:rsidRPr="004A5122">
        <w:rPr>
          <w:rFonts w:asciiTheme="minorHAnsi" w:hAnsiTheme="minorHAnsi" w:cstheme="minorHAnsi"/>
        </w:rPr>
        <w:t>l</w:t>
      </w:r>
      <w:r w:rsidR="00E15F69" w:rsidRPr="004A5122">
        <w:rPr>
          <w:rFonts w:asciiTheme="minorHAnsi" w:hAnsiTheme="minorHAnsi" w:cstheme="minorHAnsi"/>
        </w:rPr>
        <w:t xml:space="preserve"> </w:t>
      </w:r>
      <w:r w:rsidR="00522C87" w:rsidRPr="004A5122">
        <w:rPr>
          <w:rFonts w:asciiTheme="minorHAnsi" w:hAnsiTheme="minorHAnsi" w:cstheme="minorHAnsi"/>
        </w:rPr>
        <w:t>d</w:t>
      </w:r>
      <w:r w:rsidR="00961DD5" w:rsidRPr="004A5122">
        <w:rPr>
          <w:rFonts w:asciiTheme="minorHAnsi" w:hAnsiTheme="minorHAnsi" w:cstheme="minorHAnsi"/>
        </w:rPr>
        <w:t xml:space="preserve">u secteur </w:t>
      </w:r>
      <w:r w:rsidR="00522C87" w:rsidRPr="004A5122">
        <w:rPr>
          <w:rFonts w:asciiTheme="minorHAnsi" w:hAnsiTheme="minorHAnsi" w:cstheme="minorHAnsi"/>
        </w:rPr>
        <w:t>SANDAD</w:t>
      </w:r>
      <w:bookmarkEnd w:id="7"/>
    </w:p>
    <w:p w14:paraId="4EB9C98F" w14:textId="49846FFF" w:rsidR="00A936CE" w:rsidRPr="00366701" w:rsidRDefault="008C1B59" w:rsidP="00F12682">
      <w:pPr>
        <w:spacing w:after="80" w:line="276" w:lineRule="auto"/>
        <w:jc w:val="both"/>
        <w:rPr>
          <w:rFonts w:cstheme="minorHAnsi"/>
          <w:sz w:val="24"/>
          <w:szCs w:val="24"/>
        </w:rPr>
      </w:pPr>
      <w:r w:rsidRPr="00366701">
        <w:rPr>
          <w:rFonts w:cstheme="minorHAnsi"/>
          <w:sz w:val="24"/>
          <w:szCs w:val="24"/>
        </w:rPr>
        <w:t>Sur le plan institutionnel, l</w:t>
      </w:r>
      <w:r w:rsidR="002B6DA0" w:rsidRPr="00366701">
        <w:rPr>
          <w:rFonts w:cstheme="minorHAnsi"/>
          <w:sz w:val="24"/>
          <w:szCs w:val="24"/>
        </w:rPr>
        <w:t xml:space="preserve">e secteur rural est marqué </w:t>
      </w:r>
      <w:r w:rsidR="002A6C52" w:rsidRPr="00366701">
        <w:rPr>
          <w:rFonts w:cstheme="minorHAnsi"/>
          <w:sz w:val="24"/>
          <w:szCs w:val="24"/>
        </w:rPr>
        <w:t xml:space="preserve">en 2016 </w:t>
      </w:r>
      <w:r w:rsidR="002B6DA0" w:rsidRPr="00366701">
        <w:rPr>
          <w:rFonts w:cstheme="minorHAnsi"/>
          <w:sz w:val="24"/>
          <w:szCs w:val="24"/>
        </w:rPr>
        <w:t xml:space="preserve">par l’élaboration de la deuxième version du Plan d’Actions de </w:t>
      </w:r>
      <w:r w:rsidR="00366701">
        <w:rPr>
          <w:rFonts w:cstheme="minorHAnsi"/>
          <w:sz w:val="24"/>
          <w:szCs w:val="24"/>
        </w:rPr>
        <w:t>l’</w:t>
      </w:r>
      <w:r w:rsidRPr="00366701">
        <w:rPr>
          <w:rFonts w:cstheme="minorHAnsi"/>
          <w:sz w:val="24"/>
          <w:szCs w:val="24"/>
        </w:rPr>
        <w:t xml:space="preserve">Initiative </w:t>
      </w:r>
      <w:r w:rsidR="002A6C52" w:rsidRPr="00366701">
        <w:rPr>
          <w:rFonts w:cstheme="minorHAnsi"/>
          <w:sz w:val="24"/>
          <w:szCs w:val="24"/>
        </w:rPr>
        <w:t>3N pour la période 2016-2020</w:t>
      </w:r>
      <w:r w:rsidR="001353E2" w:rsidRPr="00366701">
        <w:rPr>
          <w:rFonts w:cstheme="minorHAnsi"/>
          <w:sz w:val="24"/>
          <w:szCs w:val="24"/>
        </w:rPr>
        <w:t xml:space="preserve">, avec une évolution </w:t>
      </w:r>
      <w:r w:rsidR="00473AE4" w:rsidRPr="00366701">
        <w:rPr>
          <w:rFonts w:cstheme="minorHAnsi"/>
          <w:sz w:val="24"/>
          <w:szCs w:val="24"/>
        </w:rPr>
        <w:t xml:space="preserve">de onze (11) Programmes d'Investissements Prioritaires </w:t>
      </w:r>
      <w:r w:rsidR="00366701">
        <w:rPr>
          <w:rFonts w:cstheme="minorHAnsi"/>
          <w:sz w:val="24"/>
          <w:szCs w:val="24"/>
        </w:rPr>
        <w:t>à</w:t>
      </w:r>
      <w:r w:rsidR="00335EA9" w:rsidRPr="00366701">
        <w:rPr>
          <w:rFonts w:cstheme="minorHAnsi"/>
          <w:sz w:val="24"/>
          <w:szCs w:val="24"/>
        </w:rPr>
        <w:t xml:space="preserve"> </w:t>
      </w:r>
      <w:r w:rsidR="00366701">
        <w:rPr>
          <w:rFonts w:cstheme="minorHAnsi"/>
          <w:sz w:val="24"/>
          <w:szCs w:val="24"/>
        </w:rPr>
        <w:t>d</w:t>
      </w:r>
      <w:r w:rsidR="00335EA9" w:rsidRPr="00366701">
        <w:rPr>
          <w:rFonts w:cstheme="minorHAnsi"/>
          <w:sz w:val="24"/>
          <w:szCs w:val="24"/>
        </w:rPr>
        <w:t xml:space="preserve">ouze (12) </w:t>
      </w:r>
      <w:r w:rsidR="00473AE4" w:rsidRPr="00366701">
        <w:rPr>
          <w:rFonts w:cstheme="minorHAnsi"/>
          <w:sz w:val="24"/>
          <w:szCs w:val="24"/>
        </w:rPr>
        <w:t>Programmes stratégiques</w:t>
      </w:r>
      <w:r w:rsidR="00335EA9" w:rsidRPr="00366701">
        <w:rPr>
          <w:rFonts w:cstheme="minorHAnsi"/>
          <w:sz w:val="24"/>
          <w:szCs w:val="24"/>
        </w:rPr>
        <w:t xml:space="preserve"> dans le nouveau plan d’actions</w:t>
      </w:r>
      <w:r w:rsidRPr="00366701">
        <w:rPr>
          <w:rFonts w:cstheme="minorHAnsi"/>
          <w:sz w:val="24"/>
          <w:szCs w:val="24"/>
        </w:rPr>
        <w:t xml:space="preserve">. </w:t>
      </w:r>
      <w:r w:rsidR="00335EA9" w:rsidRPr="00366701">
        <w:rPr>
          <w:rFonts w:cstheme="minorHAnsi"/>
          <w:sz w:val="24"/>
          <w:szCs w:val="24"/>
        </w:rPr>
        <w:t xml:space="preserve">Au niveau sous sectoriel, l’année 2016 est marquée par </w:t>
      </w:r>
      <w:r w:rsidRPr="00366701">
        <w:rPr>
          <w:rFonts w:cstheme="minorHAnsi"/>
          <w:sz w:val="24"/>
          <w:szCs w:val="24"/>
        </w:rPr>
        <w:t xml:space="preserve">la </w:t>
      </w:r>
      <w:r w:rsidR="00A936CE" w:rsidRPr="00366701">
        <w:rPr>
          <w:rFonts w:cstheme="minorHAnsi"/>
          <w:sz w:val="24"/>
          <w:szCs w:val="24"/>
        </w:rPr>
        <w:t>fusion</w:t>
      </w:r>
      <w:r w:rsidRPr="00366701">
        <w:rPr>
          <w:rFonts w:cstheme="minorHAnsi"/>
          <w:sz w:val="24"/>
          <w:szCs w:val="24"/>
        </w:rPr>
        <w:t xml:space="preserve"> d</w:t>
      </w:r>
      <w:r w:rsidR="002F789A" w:rsidRPr="00366701">
        <w:rPr>
          <w:rFonts w:cstheme="minorHAnsi"/>
          <w:sz w:val="24"/>
          <w:szCs w:val="24"/>
        </w:rPr>
        <w:t xml:space="preserve">es départements ministériels en charge de </w:t>
      </w:r>
      <w:r w:rsidRPr="00366701">
        <w:rPr>
          <w:rFonts w:cstheme="minorHAnsi"/>
          <w:sz w:val="24"/>
          <w:szCs w:val="24"/>
        </w:rPr>
        <w:t xml:space="preserve">l’Agriculture et de l’Elevage, </w:t>
      </w:r>
      <w:r w:rsidR="002F789A" w:rsidRPr="00366701">
        <w:rPr>
          <w:rFonts w:cstheme="minorHAnsi"/>
          <w:sz w:val="24"/>
          <w:szCs w:val="24"/>
        </w:rPr>
        <w:t>pour donner le Ministère d’</w:t>
      </w:r>
      <w:r w:rsidR="00A936CE" w:rsidRPr="00366701">
        <w:rPr>
          <w:rFonts w:cstheme="minorHAnsi"/>
          <w:sz w:val="24"/>
          <w:szCs w:val="24"/>
        </w:rPr>
        <w:t xml:space="preserve">Etat de l’Agriculture et de l’Elevage. </w:t>
      </w:r>
      <w:r w:rsidR="00826E24" w:rsidRPr="00366701">
        <w:rPr>
          <w:rFonts w:cstheme="minorHAnsi"/>
          <w:sz w:val="24"/>
          <w:szCs w:val="24"/>
        </w:rPr>
        <w:t>Aussi</w:t>
      </w:r>
      <w:r w:rsidRPr="00366701">
        <w:rPr>
          <w:rFonts w:cstheme="minorHAnsi"/>
          <w:sz w:val="24"/>
          <w:szCs w:val="24"/>
        </w:rPr>
        <w:t xml:space="preserve">, </w:t>
      </w:r>
      <w:r w:rsidR="00A936CE" w:rsidRPr="00366701">
        <w:rPr>
          <w:rFonts w:cstheme="minorHAnsi"/>
          <w:sz w:val="24"/>
          <w:szCs w:val="24"/>
        </w:rPr>
        <w:t>en 2016, le Ministère de l’Action Humanitaire et de la Gestion des Catastrophes a vu le jour, afin de se conformer aux dynamiques internationales.</w:t>
      </w:r>
    </w:p>
    <w:p w14:paraId="2D3E5566" w14:textId="128C6F6C" w:rsidR="008C1B59" w:rsidRPr="00366701" w:rsidRDefault="008C1B59" w:rsidP="00F12682">
      <w:pPr>
        <w:spacing w:after="80" w:line="276" w:lineRule="auto"/>
        <w:jc w:val="both"/>
        <w:rPr>
          <w:rFonts w:cstheme="minorHAnsi"/>
          <w:sz w:val="24"/>
          <w:szCs w:val="24"/>
        </w:rPr>
      </w:pPr>
      <w:r w:rsidRPr="00366701">
        <w:rPr>
          <w:rFonts w:cstheme="minorHAnsi"/>
          <w:sz w:val="24"/>
          <w:szCs w:val="24"/>
        </w:rPr>
        <w:lastRenderedPageBreak/>
        <w:t>Le H</w:t>
      </w:r>
      <w:r w:rsidR="00366701">
        <w:rPr>
          <w:rFonts w:cstheme="minorHAnsi"/>
          <w:sz w:val="24"/>
          <w:szCs w:val="24"/>
        </w:rPr>
        <w:t>aut-</w:t>
      </w:r>
      <w:r w:rsidRPr="00366701">
        <w:rPr>
          <w:rFonts w:cstheme="minorHAnsi"/>
          <w:sz w:val="24"/>
          <w:szCs w:val="24"/>
        </w:rPr>
        <w:t>C</w:t>
      </w:r>
      <w:r w:rsidR="00366701">
        <w:rPr>
          <w:rFonts w:cstheme="minorHAnsi"/>
          <w:sz w:val="24"/>
          <w:szCs w:val="24"/>
        </w:rPr>
        <w:t xml:space="preserve">ommissariat à l’Initiative </w:t>
      </w:r>
      <w:r w:rsidRPr="00366701">
        <w:rPr>
          <w:rFonts w:cstheme="minorHAnsi"/>
          <w:sz w:val="24"/>
          <w:szCs w:val="24"/>
        </w:rPr>
        <w:t xml:space="preserve">3N </w:t>
      </w:r>
      <w:r w:rsidR="00366701">
        <w:rPr>
          <w:rFonts w:cstheme="minorHAnsi"/>
          <w:sz w:val="24"/>
          <w:szCs w:val="24"/>
        </w:rPr>
        <w:t xml:space="preserve">(HC3N) </w:t>
      </w:r>
      <w:r w:rsidRPr="00366701">
        <w:rPr>
          <w:rFonts w:cstheme="minorHAnsi"/>
          <w:sz w:val="24"/>
          <w:szCs w:val="24"/>
        </w:rPr>
        <w:t>est chargé particulièrement de coordonner</w:t>
      </w:r>
      <w:r w:rsidR="00366701">
        <w:rPr>
          <w:rFonts w:cstheme="minorHAnsi"/>
          <w:sz w:val="24"/>
          <w:szCs w:val="24"/>
        </w:rPr>
        <w:t xml:space="preserve">, </w:t>
      </w:r>
      <w:r w:rsidRPr="00366701">
        <w:rPr>
          <w:rFonts w:cstheme="minorHAnsi"/>
          <w:sz w:val="24"/>
          <w:szCs w:val="24"/>
        </w:rPr>
        <w:t>d’impulser</w:t>
      </w:r>
      <w:r w:rsidR="00366701">
        <w:rPr>
          <w:rFonts w:cstheme="minorHAnsi"/>
          <w:sz w:val="24"/>
          <w:szCs w:val="24"/>
        </w:rPr>
        <w:t xml:space="preserve"> et suivre et évaluer</w:t>
      </w:r>
      <w:r w:rsidRPr="00366701">
        <w:rPr>
          <w:rFonts w:cstheme="minorHAnsi"/>
          <w:sz w:val="24"/>
          <w:szCs w:val="24"/>
        </w:rPr>
        <w:t xml:space="preserve"> les interventions des acteurs</w:t>
      </w:r>
      <w:r w:rsidR="00366701">
        <w:rPr>
          <w:rFonts w:cstheme="minorHAnsi"/>
          <w:sz w:val="24"/>
          <w:szCs w:val="24"/>
        </w:rPr>
        <w:t xml:space="preserve"> </w:t>
      </w:r>
      <w:r w:rsidR="00366701" w:rsidRPr="00366701">
        <w:rPr>
          <w:rFonts w:cstheme="minorHAnsi"/>
          <w:sz w:val="24"/>
          <w:szCs w:val="24"/>
        </w:rPr>
        <w:t>(Ministères et autres structures)</w:t>
      </w:r>
      <w:r w:rsidRPr="00366701">
        <w:rPr>
          <w:rFonts w:cstheme="minorHAnsi"/>
          <w:sz w:val="24"/>
          <w:szCs w:val="24"/>
        </w:rPr>
        <w:t xml:space="preserve"> </w:t>
      </w:r>
      <w:r w:rsidR="00366701">
        <w:rPr>
          <w:rFonts w:cstheme="minorHAnsi"/>
          <w:sz w:val="24"/>
          <w:szCs w:val="24"/>
        </w:rPr>
        <w:t>dans le</w:t>
      </w:r>
      <w:r w:rsidRPr="00366701">
        <w:rPr>
          <w:rFonts w:cstheme="minorHAnsi"/>
          <w:sz w:val="24"/>
          <w:szCs w:val="24"/>
        </w:rPr>
        <w:t xml:space="preserve"> domaine</w:t>
      </w:r>
      <w:r w:rsidR="00366701" w:rsidRPr="00366701">
        <w:t xml:space="preserve"> </w:t>
      </w:r>
      <w:r w:rsidR="00366701" w:rsidRPr="00366701">
        <w:rPr>
          <w:rFonts w:cstheme="minorHAnsi"/>
          <w:sz w:val="24"/>
          <w:szCs w:val="24"/>
        </w:rPr>
        <w:t>de la sécurité alimentaire et nutritionnelle et le développement agricole durable</w:t>
      </w:r>
      <w:r w:rsidRPr="00366701">
        <w:rPr>
          <w:rFonts w:cstheme="minorHAnsi"/>
          <w:sz w:val="24"/>
          <w:szCs w:val="24"/>
        </w:rPr>
        <w:t>. La maitrise d’ouvrage est confiée à ceux-ci. Ils définissent leurs plans, programmes et projets pour les branches d’activités relevant de leurs tutelles respectives tout en restant normalement conformes aux orientations stratégiques de l’Initiative 3N.</w:t>
      </w:r>
    </w:p>
    <w:p w14:paraId="4B5EE2A0" w14:textId="67169EDC" w:rsidR="008C1B59" w:rsidRPr="00366701" w:rsidRDefault="008C1B59" w:rsidP="00F12682">
      <w:pPr>
        <w:spacing w:after="80" w:line="276" w:lineRule="auto"/>
        <w:jc w:val="both"/>
        <w:rPr>
          <w:rFonts w:cstheme="minorHAnsi"/>
          <w:sz w:val="24"/>
          <w:szCs w:val="24"/>
        </w:rPr>
      </w:pPr>
      <w:r w:rsidRPr="00366701">
        <w:rPr>
          <w:rFonts w:cstheme="minorHAnsi"/>
          <w:sz w:val="24"/>
          <w:szCs w:val="24"/>
        </w:rPr>
        <w:t>Durant le premier quinquennat (2012-2015) de conception et de mise en œuvre de</w:t>
      </w:r>
      <w:r w:rsidR="00366701">
        <w:rPr>
          <w:rFonts w:cstheme="minorHAnsi"/>
          <w:sz w:val="24"/>
          <w:szCs w:val="24"/>
        </w:rPr>
        <w:t xml:space="preserve"> l’Initiative 3N</w:t>
      </w:r>
      <w:r w:rsidRPr="00366701">
        <w:rPr>
          <w:rFonts w:cstheme="minorHAnsi"/>
          <w:sz w:val="24"/>
          <w:szCs w:val="24"/>
        </w:rPr>
        <w:t>, l’organisation conçue collégialement et mise en place sous la coordination du HC3N, a fonctionné mais à des niveaux variables selon les instances et les sous-secteurs concernés. Le dispositif pertinent et complet mis en place n’a pas été totalement fonctionnel, aussi bien au niveau central qu’au niveau des régions et communes. L’année 2016 a donné lieu à un processus de réflexion et d’introspection afin d’analyser les insuffisances du dispositif de pilotage et de gouvernance du secteur mais également les besoins en renforcement de l’institution en charge de la gouvernance elle-même. Ceci a donné lieu à un audit organisationnel dont les recommandations ont proposé les orientations de révision et réajustement en cours.</w:t>
      </w:r>
    </w:p>
    <w:p w14:paraId="4B5819A8" w14:textId="701D92C1" w:rsidR="00E15F69" w:rsidRPr="00366701" w:rsidRDefault="00E15F69" w:rsidP="00F12682">
      <w:pPr>
        <w:spacing w:after="120" w:line="276" w:lineRule="auto"/>
        <w:jc w:val="both"/>
        <w:rPr>
          <w:rFonts w:cstheme="minorHAnsi"/>
          <w:sz w:val="24"/>
          <w:szCs w:val="24"/>
        </w:rPr>
      </w:pPr>
    </w:p>
    <w:p w14:paraId="0DDD1A4D" w14:textId="7A492ED5" w:rsidR="00E15F69" w:rsidRDefault="00E74F01" w:rsidP="00F12682">
      <w:pPr>
        <w:pStyle w:val="Titre2"/>
        <w:rPr>
          <w:rFonts w:asciiTheme="minorHAnsi" w:hAnsiTheme="minorHAnsi" w:cstheme="minorHAnsi"/>
        </w:rPr>
      </w:pPr>
      <w:bookmarkStart w:id="8" w:name="_Toc529305000"/>
      <w:r w:rsidRPr="004A5122">
        <w:rPr>
          <w:rFonts w:asciiTheme="minorHAnsi" w:hAnsiTheme="minorHAnsi" w:cstheme="minorHAnsi"/>
        </w:rPr>
        <w:t>Evolution des réformes des finances publiques</w:t>
      </w:r>
      <w:bookmarkEnd w:id="8"/>
    </w:p>
    <w:p w14:paraId="7A0CC1D8" w14:textId="77777777" w:rsidR="00925D65" w:rsidRPr="00400B14" w:rsidRDefault="00925D65" w:rsidP="00F12682">
      <w:pPr>
        <w:pStyle w:val="Default"/>
        <w:spacing w:after="80" w:line="276" w:lineRule="auto"/>
        <w:jc w:val="both"/>
        <w:rPr>
          <w:rFonts w:ascii="Calibri" w:hAnsi="Calibri" w:cs="Calibri"/>
          <w:color w:val="auto"/>
        </w:rPr>
      </w:pPr>
      <w:r w:rsidRPr="00400B14">
        <w:rPr>
          <w:rFonts w:ascii="Calibri" w:hAnsi="Calibri" w:cs="Calibri"/>
          <w:color w:val="auto"/>
        </w:rPr>
        <w:t xml:space="preserve">Depuis la fin des années 1990, l’UEMOA avait mis en place un cadre harmonisé de la gestion des finances publiques, à travers six (06) Directives relatives aux loi de Finances, au Code de transparence, au règlement Général de la Comptabilité Publique, à la nomenclature budgétaire de l’Etat, au Plan Comptable et au Tableau des Opérations financières de l’Etat. Toutes ces Directives avaient été transposées dans l’ordonnancement juridique nigérien entre 2002 et 2003. Certes les différents instruments qui en ont résulté n’ont pas manqué d’apporter des améliorations notables dans la gestion de nos finances publiques quand bien même tous les aspects de ce cadre harmonisé n’ont pas été appliqués. </w:t>
      </w:r>
    </w:p>
    <w:p w14:paraId="56757081" w14:textId="77777777" w:rsidR="00925D65" w:rsidRPr="00400B14" w:rsidRDefault="00925D65" w:rsidP="00F12682">
      <w:pPr>
        <w:pStyle w:val="Default"/>
        <w:spacing w:after="80" w:line="276" w:lineRule="auto"/>
        <w:jc w:val="both"/>
        <w:rPr>
          <w:rFonts w:ascii="Calibri" w:hAnsi="Calibri" w:cs="Calibri"/>
          <w:color w:val="auto"/>
        </w:rPr>
      </w:pPr>
      <w:r w:rsidRPr="00400B14">
        <w:rPr>
          <w:rFonts w:ascii="Calibri" w:hAnsi="Calibri" w:cs="Calibri"/>
          <w:color w:val="auto"/>
        </w:rPr>
        <w:t xml:space="preserve">Mais à peine entamée la mise en œuvre de ce cadre harmonisé, les réflexions sur le mode de gestion des finances publiques ont rapidement évolué, notamment à travers l’expérience de l’évaluation de la gestion des finances publiques selon la méthodologie dite PEFA. </w:t>
      </w:r>
    </w:p>
    <w:p w14:paraId="7269FA93" w14:textId="27154F22" w:rsidR="00925D65" w:rsidRPr="00400B14" w:rsidRDefault="00925D65" w:rsidP="00F12682">
      <w:pPr>
        <w:pStyle w:val="Default"/>
        <w:spacing w:after="80" w:line="276" w:lineRule="auto"/>
        <w:jc w:val="both"/>
        <w:rPr>
          <w:rFonts w:ascii="Calibri" w:hAnsi="Calibri" w:cs="Calibri"/>
          <w:color w:val="auto"/>
        </w:rPr>
      </w:pPr>
      <w:r w:rsidRPr="00400B14">
        <w:rPr>
          <w:rFonts w:ascii="Calibri" w:hAnsi="Calibri" w:cs="Calibri"/>
          <w:color w:val="auto"/>
        </w:rPr>
        <w:t xml:space="preserve">En effet il est apparu que le cadre de gestion classique n’est pas en mesure de répondre aux objectifs de la gestion des finances publiques à s’avoir : </w:t>
      </w:r>
    </w:p>
    <w:p w14:paraId="66BEC0F4" w14:textId="35C6CD5C" w:rsidR="00925D65" w:rsidRPr="00400B14" w:rsidRDefault="00925D65" w:rsidP="00F12682">
      <w:pPr>
        <w:pStyle w:val="Default"/>
        <w:numPr>
          <w:ilvl w:val="0"/>
          <w:numId w:val="34"/>
        </w:numPr>
        <w:spacing w:after="80" w:line="276" w:lineRule="auto"/>
        <w:ind w:left="567" w:hanging="210"/>
        <w:jc w:val="both"/>
        <w:rPr>
          <w:rFonts w:ascii="Calibri" w:hAnsi="Calibri" w:cs="Calibri"/>
          <w:color w:val="auto"/>
        </w:rPr>
      </w:pPr>
      <w:r w:rsidRPr="00400B14">
        <w:rPr>
          <w:rFonts w:ascii="Calibri" w:hAnsi="Calibri" w:cs="Calibri"/>
          <w:color w:val="auto"/>
        </w:rPr>
        <w:t xml:space="preserve">La fourniture adéquate des prestations des services publiques ; </w:t>
      </w:r>
    </w:p>
    <w:p w14:paraId="3EFD2BAE" w14:textId="1DBBF052" w:rsidR="00925D65" w:rsidRPr="00400B14" w:rsidRDefault="00925D65" w:rsidP="00F12682">
      <w:pPr>
        <w:pStyle w:val="Default"/>
        <w:numPr>
          <w:ilvl w:val="0"/>
          <w:numId w:val="34"/>
        </w:numPr>
        <w:spacing w:after="80" w:line="276" w:lineRule="auto"/>
        <w:ind w:left="567" w:hanging="210"/>
        <w:jc w:val="both"/>
        <w:rPr>
          <w:rFonts w:ascii="Calibri" w:hAnsi="Calibri" w:cs="Calibri"/>
          <w:color w:val="auto"/>
        </w:rPr>
      </w:pPr>
      <w:r w:rsidRPr="00400B14">
        <w:rPr>
          <w:rFonts w:ascii="Calibri" w:hAnsi="Calibri" w:cs="Calibri"/>
          <w:color w:val="auto"/>
        </w:rPr>
        <w:t xml:space="preserve">L’allocation stratégique des ressources à cette fin et ; </w:t>
      </w:r>
    </w:p>
    <w:p w14:paraId="1181804A" w14:textId="5335E754" w:rsidR="00925D65" w:rsidRPr="00400B14" w:rsidRDefault="00925D65" w:rsidP="00F12682">
      <w:pPr>
        <w:pStyle w:val="Default"/>
        <w:numPr>
          <w:ilvl w:val="0"/>
          <w:numId w:val="34"/>
        </w:numPr>
        <w:spacing w:after="80" w:line="276" w:lineRule="auto"/>
        <w:ind w:left="567" w:hanging="210"/>
        <w:jc w:val="both"/>
        <w:rPr>
          <w:rFonts w:ascii="Calibri" w:hAnsi="Calibri" w:cs="Calibri"/>
          <w:color w:val="auto"/>
        </w:rPr>
      </w:pPr>
      <w:r w:rsidRPr="00400B14">
        <w:rPr>
          <w:rFonts w:ascii="Calibri" w:hAnsi="Calibri" w:cs="Calibri"/>
          <w:color w:val="auto"/>
        </w:rPr>
        <w:t xml:space="preserve">La discipline budgétaire garantissant l’harmonie d’ensemble. </w:t>
      </w:r>
    </w:p>
    <w:p w14:paraId="56752B3F" w14:textId="77777777" w:rsidR="00925D65" w:rsidRPr="00400B14" w:rsidRDefault="00925D65" w:rsidP="00F12682">
      <w:pPr>
        <w:pStyle w:val="Default"/>
        <w:spacing w:after="120" w:line="276" w:lineRule="auto"/>
        <w:jc w:val="both"/>
        <w:rPr>
          <w:rFonts w:ascii="Calibri" w:hAnsi="Calibri" w:cs="Calibri"/>
          <w:color w:val="auto"/>
        </w:rPr>
      </w:pPr>
      <w:r w:rsidRPr="00400B14">
        <w:rPr>
          <w:rFonts w:ascii="Calibri" w:hAnsi="Calibri" w:cs="Calibri"/>
          <w:color w:val="auto"/>
        </w:rPr>
        <w:t xml:space="preserve">Conformément aux critères de performance qui y sont attachés. </w:t>
      </w:r>
    </w:p>
    <w:p w14:paraId="6808F005" w14:textId="77777777" w:rsidR="00925D65" w:rsidRPr="00400B14" w:rsidRDefault="00925D65" w:rsidP="00F12682">
      <w:pPr>
        <w:pStyle w:val="Default"/>
        <w:spacing w:after="120" w:line="276" w:lineRule="auto"/>
        <w:jc w:val="both"/>
        <w:rPr>
          <w:rFonts w:ascii="Calibri" w:hAnsi="Calibri" w:cs="Calibri"/>
          <w:color w:val="auto"/>
        </w:rPr>
      </w:pPr>
      <w:r w:rsidRPr="00400B14">
        <w:rPr>
          <w:rFonts w:ascii="Calibri" w:hAnsi="Calibri" w:cs="Calibri"/>
          <w:color w:val="auto"/>
        </w:rPr>
        <w:t xml:space="preserve">C’est dans ce cadre que l’UEMOA, à l’instar et à la suite des autres institutions financières et d’un certain nombre de pays précurseurs, a engagé des réflexions ayant conduit à la mise en place d’un nouveau cadre de gestion des finances publiques en 2009. </w:t>
      </w:r>
    </w:p>
    <w:p w14:paraId="39ECCB61" w14:textId="3437EE34" w:rsidR="00925D65" w:rsidRPr="00400B14" w:rsidRDefault="00925D65" w:rsidP="00F12682">
      <w:pPr>
        <w:pStyle w:val="Default"/>
        <w:spacing w:after="120" w:line="276" w:lineRule="auto"/>
        <w:jc w:val="both"/>
        <w:rPr>
          <w:rFonts w:ascii="Calibri" w:hAnsi="Calibri" w:cs="Calibri"/>
          <w:color w:val="auto"/>
        </w:rPr>
      </w:pPr>
      <w:r w:rsidRPr="00400B14">
        <w:rPr>
          <w:rFonts w:ascii="Calibri" w:hAnsi="Calibri" w:cs="Calibri"/>
          <w:color w:val="auto"/>
        </w:rPr>
        <w:t xml:space="preserve">Les directives relatives au nouveau cadre portent sur les mêmes instruments que l’ancien tout en introduisant un changement radical dans le mode de fonctionnement et de gestion des </w:t>
      </w:r>
      <w:r w:rsidRPr="00400B14">
        <w:rPr>
          <w:rFonts w:ascii="Calibri" w:hAnsi="Calibri" w:cs="Calibri"/>
          <w:color w:val="auto"/>
        </w:rPr>
        <w:lastRenderedPageBreak/>
        <w:t>administrations publiques. Ces nouvelles directives font l’objet de transposition progressive dans l’ordonnancement juridique du Niger depuis 2012 et les nouveaux textes de base sont</w:t>
      </w:r>
      <w:r w:rsidR="00400B14" w:rsidRPr="00400B14">
        <w:rPr>
          <w:rFonts w:ascii="Calibri" w:hAnsi="Calibri" w:cs="Calibri"/>
          <w:color w:val="auto"/>
        </w:rPr>
        <w:t> :</w:t>
      </w:r>
    </w:p>
    <w:p w14:paraId="264FD9AE" w14:textId="6DAE9100" w:rsidR="00400B14" w:rsidRPr="00400B14" w:rsidRDefault="00400B14" w:rsidP="00F12682">
      <w:pPr>
        <w:pStyle w:val="Default"/>
        <w:numPr>
          <w:ilvl w:val="0"/>
          <w:numId w:val="34"/>
        </w:numPr>
        <w:spacing w:after="120" w:line="276" w:lineRule="auto"/>
        <w:ind w:left="567" w:hanging="210"/>
        <w:jc w:val="both"/>
        <w:rPr>
          <w:rFonts w:ascii="Calibri" w:hAnsi="Calibri" w:cs="Calibri"/>
          <w:color w:val="auto"/>
        </w:rPr>
      </w:pPr>
      <w:r w:rsidRPr="00400B14">
        <w:rPr>
          <w:rFonts w:ascii="Calibri" w:hAnsi="Calibri" w:cs="Calibri"/>
          <w:color w:val="auto"/>
        </w:rPr>
        <w:t xml:space="preserve">Loi organique </w:t>
      </w:r>
      <w:r w:rsidR="009E28A6" w:rsidRPr="00400B14">
        <w:rPr>
          <w:rFonts w:ascii="Calibri" w:hAnsi="Calibri" w:cs="Calibri"/>
          <w:color w:val="auto"/>
        </w:rPr>
        <w:t>N</w:t>
      </w:r>
      <w:r w:rsidRPr="00400B14">
        <w:rPr>
          <w:rFonts w:ascii="Calibri" w:hAnsi="Calibri" w:cs="Calibri"/>
          <w:color w:val="auto"/>
        </w:rPr>
        <w:t>°2012-09 du 26 mars 2012 relative aux lois de finances ;</w:t>
      </w:r>
    </w:p>
    <w:p w14:paraId="605EBB74" w14:textId="768C608E" w:rsidR="00400B14" w:rsidRPr="00400B14" w:rsidRDefault="00400B14" w:rsidP="00F12682">
      <w:pPr>
        <w:pStyle w:val="Default"/>
        <w:numPr>
          <w:ilvl w:val="0"/>
          <w:numId w:val="34"/>
        </w:numPr>
        <w:spacing w:after="120" w:line="276" w:lineRule="auto"/>
        <w:ind w:left="567" w:hanging="210"/>
        <w:jc w:val="both"/>
        <w:rPr>
          <w:rFonts w:ascii="Calibri" w:hAnsi="Calibri" w:cs="Calibri"/>
          <w:color w:val="auto"/>
        </w:rPr>
      </w:pPr>
      <w:r w:rsidRPr="00400B14">
        <w:rPr>
          <w:rFonts w:ascii="Calibri" w:hAnsi="Calibri" w:cs="Calibri"/>
          <w:color w:val="auto"/>
        </w:rPr>
        <w:t>Décret N°2013-83/PRN/MF du 1</w:t>
      </w:r>
      <w:r w:rsidRPr="00400B14">
        <w:rPr>
          <w:rFonts w:ascii="Calibri" w:hAnsi="Calibri" w:cs="Calibri"/>
          <w:color w:val="auto"/>
          <w:vertAlign w:val="superscript"/>
        </w:rPr>
        <w:t>er</w:t>
      </w:r>
      <w:r w:rsidRPr="00400B14">
        <w:rPr>
          <w:rFonts w:ascii="Calibri" w:hAnsi="Calibri" w:cs="Calibri"/>
          <w:color w:val="auto"/>
        </w:rPr>
        <w:t xml:space="preserve"> mars 2013 portant règlement général de la comptabilité publique (RGPC) ;</w:t>
      </w:r>
    </w:p>
    <w:p w14:paraId="2D4A49C7" w14:textId="60944C58" w:rsidR="00400B14" w:rsidRPr="00400B14" w:rsidRDefault="00400B14" w:rsidP="00F12682">
      <w:pPr>
        <w:pStyle w:val="Default"/>
        <w:numPr>
          <w:ilvl w:val="0"/>
          <w:numId w:val="34"/>
        </w:numPr>
        <w:spacing w:after="120" w:line="276" w:lineRule="auto"/>
        <w:ind w:left="567" w:hanging="210"/>
        <w:jc w:val="both"/>
        <w:rPr>
          <w:rFonts w:ascii="Calibri" w:hAnsi="Calibri" w:cs="Calibri"/>
          <w:color w:val="auto"/>
        </w:rPr>
      </w:pPr>
      <w:r w:rsidRPr="00400B14">
        <w:rPr>
          <w:rFonts w:ascii="Calibri" w:hAnsi="Calibri" w:cs="Calibri"/>
          <w:color w:val="auto"/>
        </w:rPr>
        <w:t>Décret N°2013-84/PRN/MF du 1</w:t>
      </w:r>
      <w:r w:rsidRPr="00400B14">
        <w:rPr>
          <w:rFonts w:ascii="Calibri" w:hAnsi="Calibri" w:cs="Calibri"/>
          <w:color w:val="auto"/>
          <w:vertAlign w:val="superscript"/>
        </w:rPr>
        <w:t>er</w:t>
      </w:r>
      <w:r w:rsidRPr="00400B14">
        <w:rPr>
          <w:rFonts w:ascii="Calibri" w:hAnsi="Calibri" w:cs="Calibri"/>
          <w:color w:val="auto"/>
        </w:rPr>
        <w:t xml:space="preserve"> mars 2013 portant nomenclature budgétaire de l'État (NBE) ;</w:t>
      </w:r>
    </w:p>
    <w:p w14:paraId="15FD1BB5" w14:textId="562C773E" w:rsidR="00400B14" w:rsidRPr="00400B14" w:rsidRDefault="00400B14" w:rsidP="00F12682">
      <w:pPr>
        <w:pStyle w:val="Default"/>
        <w:numPr>
          <w:ilvl w:val="0"/>
          <w:numId w:val="34"/>
        </w:numPr>
        <w:spacing w:after="120" w:line="276" w:lineRule="auto"/>
        <w:ind w:left="567" w:hanging="210"/>
        <w:jc w:val="both"/>
        <w:rPr>
          <w:rFonts w:ascii="Calibri" w:hAnsi="Calibri" w:cs="Calibri"/>
          <w:color w:val="auto"/>
        </w:rPr>
      </w:pPr>
      <w:r w:rsidRPr="00400B14">
        <w:rPr>
          <w:rFonts w:ascii="Calibri" w:hAnsi="Calibri" w:cs="Calibri"/>
          <w:color w:val="auto"/>
        </w:rPr>
        <w:t>Décret N°2013-85/PRN/MF du 1</w:t>
      </w:r>
      <w:r w:rsidRPr="00400B14">
        <w:rPr>
          <w:rFonts w:ascii="Calibri" w:hAnsi="Calibri" w:cs="Calibri"/>
          <w:color w:val="auto"/>
          <w:vertAlign w:val="superscript"/>
        </w:rPr>
        <w:t>er</w:t>
      </w:r>
      <w:r w:rsidRPr="00400B14">
        <w:rPr>
          <w:rFonts w:ascii="Calibri" w:hAnsi="Calibri" w:cs="Calibri"/>
          <w:color w:val="auto"/>
        </w:rPr>
        <w:t xml:space="preserve"> mars 2013 portant Plan Comptable de l'État (PCE) ;</w:t>
      </w:r>
    </w:p>
    <w:p w14:paraId="2A1C9C03" w14:textId="03A3A90B" w:rsidR="00400B14" w:rsidRPr="00400B14" w:rsidRDefault="00400B14" w:rsidP="00F12682">
      <w:pPr>
        <w:pStyle w:val="Default"/>
        <w:numPr>
          <w:ilvl w:val="0"/>
          <w:numId w:val="34"/>
        </w:numPr>
        <w:spacing w:after="120" w:line="276" w:lineRule="auto"/>
        <w:ind w:left="567" w:hanging="210"/>
        <w:jc w:val="both"/>
        <w:rPr>
          <w:rFonts w:ascii="Calibri" w:hAnsi="Calibri" w:cs="Calibri"/>
          <w:color w:val="auto"/>
        </w:rPr>
      </w:pPr>
      <w:r w:rsidRPr="00400B14">
        <w:rPr>
          <w:rFonts w:ascii="Calibri" w:hAnsi="Calibri" w:cs="Calibri"/>
          <w:color w:val="auto"/>
        </w:rPr>
        <w:t>Décret N°2013-86/PRN/MF du 1</w:t>
      </w:r>
      <w:r w:rsidRPr="00400B14">
        <w:rPr>
          <w:rFonts w:ascii="Calibri" w:hAnsi="Calibri" w:cs="Calibri"/>
          <w:color w:val="auto"/>
          <w:vertAlign w:val="superscript"/>
        </w:rPr>
        <w:t>er</w:t>
      </w:r>
      <w:r w:rsidRPr="00400B14">
        <w:rPr>
          <w:rFonts w:ascii="Calibri" w:hAnsi="Calibri" w:cs="Calibri"/>
          <w:color w:val="auto"/>
        </w:rPr>
        <w:t xml:space="preserve"> mars 2013 portant Tableau des Opérations Financières de l'État (TOFE) ;</w:t>
      </w:r>
    </w:p>
    <w:p w14:paraId="2699EDD7" w14:textId="580C4265" w:rsidR="00400B14" w:rsidRPr="00400B14" w:rsidRDefault="00400B14" w:rsidP="00F12682">
      <w:pPr>
        <w:pStyle w:val="Default"/>
        <w:numPr>
          <w:ilvl w:val="0"/>
          <w:numId w:val="34"/>
        </w:numPr>
        <w:spacing w:after="120" w:line="276" w:lineRule="auto"/>
        <w:ind w:left="567" w:hanging="210"/>
        <w:jc w:val="both"/>
        <w:rPr>
          <w:rFonts w:ascii="Calibri" w:hAnsi="Calibri" w:cs="Calibri"/>
          <w:color w:val="auto"/>
        </w:rPr>
      </w:pPr>
      <w:r w:rsidRPr="00400B14">
        <w:rPr>
          <w:rFonts w:ascii="Calibri" w:hAnsi="Calibri" w:cs="Calibri"/>
          <w:color w:val="auto"/>
        </w:rPr>
        <w:t>Loi N°2014-07 du 16 avril 2014, portant adoption du Code de transparence dans la gestion des finances publiques ;</w:t>
      </w:r>
    </w:p>
    <w:p w14:paraId="7A462745" w14:textId="0B240D84" w:rsidR="00400B14" w:rsidRPr="00400B14" w:rsidRDefault="00400B14" w:rsidP="00F12682">
      <w:pPr>
        <w:pStyle w:val="Default"/>
        <w:numPr>
          <w:ilvl w:val="0"/>
          <w:numId w:val="34"/>
        </w:numPr>
        <w:spacing w:after="120" w:line="276" w:lineRule="auto"/>
        <w:ind w:left="567" w:hanging="210"/>
        <w:jc w:val="both"/>
        <w:rPr>
          <w:rFonts w:ascii="Calibri" w:hAnsi="Calibri" w:cs="Calibri"/>
          <w:color w:val="auto"/>
        </w:rPr>
      </w:pPr>
      <w:r w:rsidRPr="00400B14">
        <w:rPr>
          <w:rFonts w:ascii="Calibri" w:hAnsi="Calibri" w:cs="Calibri"/>
          <w:color w:val="auto"/>
        </w:rPr>
        <w:t>Décret N°2014-436/PRN/MF du 19 juin 2014 portant réglementation des matières de l’Etat et de ses démembrements ;</w:t>
      </w:r>
    </w:p>
    <w:p w14:paraId="60BA15DC" w14:textId="5CFD9932" w:rsidR="00400B14" w:rsidRPr="00400B14" w:rsidRDefault="00400B14" w:rsidP="00F12682">
      <w:pPr>
        <w:pStyle w:val="Default"/>
        <w:numPr>
          <w:ilvl w:val="0"/>
          <w:numId w:val="34"/>
        </w:numPr>
        <w:spacing w:after="120" w:line="276" w:lineRule="auto"/>
        <w:ind w:left="567" w:hanging="210"/>
        <w:jc w:val="both"/>
        <w:rPr>
          <w:rFonts w:ascii="Calibri" w:hAnsi="Calibri" w:cs="Calibri"/>
          <w:color w:val="auto"/>
        </w:rPr>
      </w:pPr>
      <w:r w:rsidRPr="00400B14">
        <w:rPr>
          <w:rFonts w:ascii="Calibri" w:hAnsi="Calibri" w:cs="Calibri"/>
          <w:color w:val="auto"/>
        </w:rPr>
        <w:t xml:space="preserve">Décret </w:t>
      </w:r>
      <w:r w:rsidR="009E28A6">
        <w:rPr>
          <w:rFonts w:ascii="Calibri" w:hAnsi="Calibri" w:cs="Calibri"/>
          <w:color w:val="auto"/>
        </w:rPr>
        <w:t>N°</w:t>
      </w:r>
      <w:r w:rsidRPr="00400B14">
        <w:rPr>
          <w:rFonts w:ascii="Calibri" w:hAnsi="Calibri" w:cs="Calibri"/>
          <w:color w:val="auto"/>
        </w:rPr>
        <w:t>2016-302/PRN/MISP/D/ACR/MFF du 29 juin 2016 portant régime financier des collectivités.</w:t>
      </w:r>
    </w:p>
    <w:p w14:paraId="1B0A0863" w14:textId="752EAA82" w:rsidR="00925D65" w:rsidRPr="00400B14" w:rsidRDefault="00925D65" w:rsidP="00F12682">
      <w:pPr>
        <w:pStyle w:val="Default"/>
        <w:spacing w:after="120" w:line="276" w:lineRule="auto"/>
        <w:jc w:val="both"/>
        <w:rPr>
          <w:rFonts w:ascii="Calibri" w:hAnsi="Calibri" w:cs="Calibri"/>
          <w:color w:val="auto"/>
        </w:rPr>
      </w:pPr>
      <w:r w:rsidRPr="00400B14">
        <w:rPr>
          <w:rFonts w:ascii="Calibri" w:hAnsi="Calibri" w:cs="Calibri"/>
          <w:color w:val="auto"/>
        </w:rPr>
        <w:t>Il est également important de noter que les modalités d’application pratiques de ces textes de base ont été adoptées à travers des arrêtés et des instructions ministériels élaborés entre 2014 et 2016.</w:t>
      </w:r>
    </w:p>
    <w:p w14:paraId="0F5DA43C" w14:textId="7E7370CF" w:rsidR="00925D65" w:rsidRPr="00400B14" w:rsidRDefault="00400B14" w:rsidP="00F12682">
      <w:pPr>
        <w:pStyle w:val="Default"/>
        <w:spacing w:after="120" w:line="276" w:lineRule="auto"/>
        <w:jc w:val="both"/>
        <w:rPr>
          <w:rFonts w:ascii="Calibri" w:hAnsi="Calibri" w:cs="Calibri"/>
          <w:color w:val="auto"/>
        </w:rPr>
      </w:pPr>
      <w:r w:rsidRPr="00400B14">
        <w:rPr>
          <w:rFonts w:ascii="Calibri" w:hAnsi="Calibri" w:cs="Calibri"/>
          <w:color w:val="auto"/>
        </w:rPr>
        <w:t xml:space="preserve">Il est aussi à noter que </w:t>
      </w:r>
      <w:r w:rsidR="00925D65" w:rsidRPr="00400B14">
        <w:rPr>
          <w:rFonts w:ascii="Calibri" w:hAnsi="Calibri" w:cs="Calibri"/>
          <w:color w:val="auto"/>
        </w:rPr>
        <w:t>l’application, au Niger, de la réforme de la gestion des finances publiques (PEMFAR) et de la Directive 6 de l’UEMOA, à travers la loi 12/2009 portant loi organique relative aux lois des finances, qui exige, entre autres, une présentation, à partir de l’exercice 2017, des budgets des Ministères sous forme d’un Document de Programmation Pluriannuelle des Dépenses (DPPD). Ces DPPD traduisent les Programmes stratégiques pluriannuels de l’Initiative 3N en Programmes opérationnels sur une période triennal glissante.</w:t>
      </w:r>
    </w:p>
    <w:p w14:paraId="4CC36C55" w14:textId="77777777" w:rsidR="00851DFE" w:rsidRDefault="00851DFE" w:rsidP="00F12682">
      <w:pPr>
        <w:pStyle w:val="Default"/>
        <w:spacing w:after="120" w:line="276" w:lineRule="auto"/>
        <w:jc w:val="both"/>
        <w:rPr>
          <w:rFonts w:ascii="Calibri" w:hAnsi="Calibri" w:cs="Calibri"/>
          <w:color w:val="auto"/>
        </w:rPr>
      </w:pPr>
    </w:p>
    <w:p w14:paraId="7646AE65" w14:textId="2E5910DA" w:rsidR="00591FC2" w:rsidRDefault="00315753" w:rsidP="00F12682">
      <w:pPr>
        <w:pStyle w:val="Titre2"/>
        <w:rPr>
          <w:rFonts w:asciiTheme="minorHAnsi" w:hAnsiTheme="minorHAnsi" w:cstheme="minorHAnsi"/>
        </w:rPr>
      </w:pPr>
      <w:bookmarkStart w:id="9" w:name="_Toc529305001"/>
      <w:r w:rsidRPr="004A5122">
        <w:rPr>
          <w:rFonts w:asciiTheme="minorHAnsi" w:hAnsiTheme="minorHAnsi" w:cstheme="minorHAnsi"/>
        </w:rPr>
        <w:t xml:space="preserve">Justification de la </w:t>
      </w:r>
      <w:r w:rsidR="001D7733" w:rsidRPr="001D7733">
        <w:rPr>
          <w:rFonts w:asciiTheme="minorHAnsi" w:hAnsiTheme="minorHAnsi" w:cstheme="minorHAnsi"/>
        </w:rPr>
        <w:t>Revue des Dépenses Publiques</w:t>
      </w:r>
      <w:bookmarkEnd w:id="9"/>
    </w:p>
    <w:p w14:paraId="189E25DA" w14:textId="77777777" w:rsidR="00811DFB" w:rsidRPr="001155B6" w:rsidRDefault="00811DFB" w:rsidP="00F12682">
      <w:pPr>
        <w:pStyle w:val="Default"/>
        <w:spacing w:after="120" w:line="276" w:lineRule="auto"/>
        <w:jc w:val="both"/>
        <w:rPr>
          <w:rFonts w:ascii="Calibri" w:hAnsi="Calibri" w:cs="Calibri"/>
          <w:color w:val="auto"/>
        </w:rPr>
      </w:pPr>
      <w:r w:rsidRPr="001155B6">
        <w:rPr>
          <w:rFonts w:ascii="Calibri" w:hAnsi="Calibri" w:cs="Calibri"/>
          <w:color w:val="auto"/>
        </w:rPr>
        <w:t>La politique budgétaire constitue un des principaux leviers conjoncturels de la politique économique d’un pays. Ceci est d’autant plus vrai pour un pays comme le Niger qui, à l’instar des autres pays de l’UEMOA, n’a pas l’entière souveraineté de la politique monétaire qui est conduite par la BCEAO et qui échappe donc au pouvoir d’un seul Etat.</w:t>
      </w:r>
    </w:p>
    <w:p w14:paraId="061EE34E" w14:textId="77777777" w:rsidR="00811DFB" w:rsidRPr="001155B6" w:rsidRDefault="00811DFB" w:rsidP="00F12682">
      <w:pPr>
        <w:pStyle w:val="Default"/>
        <w:spacing w:after="120" w:line="276" w:lineRule="auto"/>
        <w:jc w:val="both"/>
        <w:rPr>
          <w:rFonts w:ascii="Calibri" w:hAnsi="Calibri" w:cs="Calibri"/>
          <w:color w:val="auto"/>
        </w:rPr>
      </w:pPr>
      <w:r w:rsidRPr="001155B6">
        <w:rPr>
          <w:rFonts w:ascii="Calibri" w:hAnsi="Calibri" w:cs="Calibri"/>
          <w:color w:val="auto"/>
        </w:rPr>
        <w:t>L’Etat, ayant pour seul outil la politique budgétaire, doit la gérer de manière efficace et donc, maitriser l’effet que peuvent avoir les dépenses publiques sur l’activité économique. La qualité des dépenses publiques, et au-delà leur efficacité, doit donc être l’une des préoccupations permanente des décideurs politiques et des économistes. Le choix de l’allocation des dépenses de l’Etat, en faveur par exemple des dépenses de fonctionnement ou des dépenses d’investissement, peut s’avérer déterminant dans la relance de la croissance dans les pays en développement.</w:t>
      </w:r>
    </w:p>
    <w:p w14:paraId="6A02E945" w14:textId="77777777" w:rsidR="00811DFB" w:rsidRPr="001155B6" w:rsidRDefault="00811DFB" w:rsidP="00F12682">
      <w:pPr>
        <w:spacing w:after="120" w:line="276" w:lineRule="auto"/>
        <w:jc w:val="both"/>
        <w:rPr>
          <w:rFonts w:ascii="Calibri" w:hAnsi="Calibri" w:cs="Calibri"/>
          <w:sz w:val="24"/>
          <w:szCs w:val="24"/>
        </w:rPr>
      </w:pPr>
      <w:r w:rsidRPr="001155B6">
        <w:rPr>
          <w:rFonts w:ascii="Calibri" w:hAnsi="Calibri" w:cs="Calibri"/>
          <w:sz w:val="24"/>
          <w:szCs w:val="24"/>
        </w:rPr>
        <w:lastRenderedPageBreak/>
        <w:t>La production agro-</w:t>
      </w:r>
      <w:proofErr w:type="spellStart"/>
      <w:r w:rsidRPr="001155B6">
        <w:rPr>
          <w:rFonts w:ascii="Calibri" w:hAnsi="Calibri" w:cs="Calibri"/>
          <w:sz w:val="24"/>
          <w:szCs w:val="24"/>
        </w:rPr>
        <w:t>sylvo</w:t>
      </w:r>
      <w:proofErr w:type="spellEnd"/>
      <w:r w:rsidRPr="001155B6">
        <w:rPr>
          <w:rFonts w:ascii="Calibri" w:hAnsi="Calibri" w:cs="Calibri"/>
          <w:sz w:val="24"/>
          <w:szCs w:val="24"/>
        </w:rPr>
        <w:t xml:space="preserve">-pastorale et halieutique joue un rôle prépondérant dans l’économie nigérienne, avec une contribution de 42% du PIB en moyenne par an. Elle constitue également la principale occupation pour 80% de la population. Par conséquent, le niveau et la qualité des dépenses publiques effectuées dans ce secteur impacte directement sur le niveau de vie de la majorité de la population et également sur l’évolution de l’économie nigérienne dans son ensemble. Dans le cadre des accords de Maputo, les pays africains se sont engagés à porter leurs dépenses dans le domaine </w:t>
      </w:r>
      <w:r w:rsidRPr="001155B6">
        <w:rPr>
          <w:rFonts w:ascii="Calibri" w:eastAsia="Calibri" w:hAnsi="Calibri" w:cs="Calibri"/>
          <w:sz w:val="24"/>
          <w:szCs w:val="24"/>
        </w:rPr>
        <w:t>de la sécurité alimentaire et nutritionnelle et le développement durable</w:t>
      </w:r>
      <w:r w:rsidRPr="001155B6">
        <w:rPr>
          <w:rFonts w:ascii="Calibri" w:hAnsi="Calibri" w:cs="Calibri"/>
          <w:sz w:val="24"/>
          <w:szCs w:val="24"/>
        </w:rPr>
        <w:t xml:space="preserve"> de à 10% de la dépense publique totale. Il s’avère important que le niveau d’atteinte de cet objectif soit annuellement évalué.</w:t>
      </w:r>
    </w:p>
    <w:p w14:paraId="0CBBF647" w14:textId="6DFCB21A" w:rsidR="00811DFB" w:rsidRPr="001155B6" w:rsidRDefault="00811DFB" w:rsidP="00F12682">
      <w:pPr>
        <w:spacing w:after="120" w:line="276" w:lineRule="auto"/>
        <w:jc w:val="both"/>
        <w:rPr>
          <w:rFonts w:ascii="Calibri" w:hAnsi="Calibri" w:cs="Calibri"/>
          <w:sz w:val="24"/>
          <w:szCs w:val="24"/>
        </w:rPr>
      </w:pPr>
      <w:r w:rsidRPr="001155B6">
        <w:rPr>
          <w:rFonts w:ascii="Calibri" w:hAnsi="Calibri" w:cs="Calibri"/>
          <w:sz w:val="24"/>
          <w:szCs w:val="24"/>
        </w:rPr>
        <w:t xml:space="preserve">Au Niger, le cadre de référence pour les dépenses publiques dans le domaine de </w:t>
      </w:r>
      <w:r w:rsidRPr="001155B6">
        <w:rPr>
          <w:rFonts w:ascii="Calibri" w:eastAsia="Calibri" w:hAnsi="Calibri" w:cs="Calibri"/>
          <w:sz w:val="24"/>
          <w:szCs w:val="24"/>
        </w:rPr>
        <w:t xml:space="preserve">la sécurité alimentaire et nutritionnelle et le développement durable </w:t>
      </w:r>
      <w:r w:rsidRPr="001155B6">
        <w:rPr>
          <w:rFonts w:ascii="Calibri" w:hAnsi="Calibri" w:cs="Calibri"/>
          <w:sz w:val="24"/>
          <w:szCs w:val="24"/>
        </w:rPr>
        <w:t>est l’Initiative 3N « les Nigériens Nourrissent les Nigériens », dont l’objectif global est de « contribuer à mettre les populations Nigériennes à l’abri de la famine et leur garantir les conditions d’une pleine participation à la production nationale et à l’amélioration de leurs revenus » et l’objectif spécifique est de « Renforcer les capacités nationales de productions alimentaires, d`approvisionnement et de résilience face aux crises alimentaires et aux catastrophes ». L’initiative 3N repose sur cinq axes stratégiques, à savoir 1) l’accroissement et diversification des productions agro-</w:t>
      </w:r>
      <w:proofErr w:type="spellStart"/>
      <w:r w:rsidRPr="001155B6">
        <w:rPr>
          <w:rFonts w:ascii="Calibri" w:hAnsi="Calibri" w:cs="Calibri"/>
          <w:sz w:val="24"/>
          <w:szCs w:val="24"/>
        </w:rPr>
        <w:t>sylvo</w:t>
      </w:r>
      <w:proofErr w:type="spellEnd"/>
      <w:r w:rsidRPr="001155B6">
        <w:rPr>
          <w:rFonts w:ascii="Calibri" w:hAnsi="Calibri" w:cs="Calibri"/>
          <w:sz w:val="24"/>
          <w:szCs w:val="24"/>
        </w:rPr>
        <w:t>-pastorales et halieutiques, 2) l’approvisionnement régulier des marchés ruraux et urbains en produits agricoles et agroalimentaires, 3) l’amélioration de la résilience des</w:t>
      </w:r>
      <w:r w:rsidR="003D34E5">
        <w:rPr>
          <w:rFonts w:ascii="Calibri" w:hAnsi="Calibri" w:cs="Calibri"/>
          <w:sz w:val="24"/>
          <w:szCs w:val="24"/>
        </w:rPr>
        <w:t xml:space="preserve"> </w:t>
      </w:r>
      <w:r w:rsidRPr="001155B6">
        <w:rPr>
          <w:rFonts w:ascii="Calibri" w:hAnsi="Calibri" w:cs="Calibri"/>
          <w:sz w:val="24"/>
          <w:szCs w:val="24"/>
        </w:rPr>
        <w:t>populations face aux changements climatiques, crises et catastrophes, 4) l’amélioration de l’état nutritionnel des nigériennes et des nigériens et 5) l’animation et la coordination de l’Initiative 3N.</w:t>
      </w:r>
    </w:p>
    <w:p w14:paraId="56BAFE08" w14:textId="77777777" w:rsidR="00406E83" w:rsidRPr="00406E83" w:rsidRDefault="00811DFB" w:rsidP="00F12682">
      <w:pPr>
        <w:autoSpaceDE w:val="0"/>
        <w:autoSpaceDN w:val="0"/>
        <w:adjustRightInd w:val="0"/>
        <w:spacing w:after="120" w:line="276" w:lineRule="auto"/>
        <w:jc w:val="both"/>
        <w:rPr>
          <w:rFonts w:ascii="Calibri" w:hAnsi="Calibri" w:cs="Calibri"/>
          <w:sz w:val="24"/>
          <w:szCs w:val="24"/>
        </w:rPr>
      </w:pPr>
      <w:r w:rsidRPr="001155B6">
        <w:rPr>
          <w:rFonts w:ascii="Calibri" w:hAnsi="Calibri" w:cs="Calibri"/>
          <w:sz w:val="24"/>
          <w:szCs w:val="24"/>
        </w:rPr>
        <w:t xml:space="preserve">Après avoir mis en œuvre un premier Plan d’investissement pour la période 2012-2015, et sur la base d’un bilan 2011-2015, un Plan d’action pour la période 2016-2020 vient d’être </w:t>
      </w:r>
      <w:proofErr w:type="gramStart"/>
      <w:r w:rsidRPr="001155B6">
        <w:rPr>
          <w:rFonts w:ascii="Calibri" w:hAnsi="Calibri" w:cs="Calibri"/>
          <w:sz w:val="24"/>
          <w:szCs w:val="24"/>
        </w:rPr>
        <w:t>élaboré</w:t>
      </w:r>
      <w:proofErr w:type="gramEnd"/>
      <w:r w:rsidRPr="001155B6">
        <w:rPr>
          <w:rFonts w:ascii="Calibri" w:hAnsi="Calibri" w:cs="Calibri"/>
          <w:sz w:val="24"/>
          <w:szCs w:val="24"/>
        </w:rPr>
        <w:t xml:space="preserve">, structuré en 5 axes d’intervention et une quinzaine de Programmes stratégiques. L’élaboration de ce nouveau plan d’action, présenté sous forme d’un budget programme par objectif, a </w:t>
      </w:r>
      <w:r w:rsidRPr="00406E83">
        <w:rPr>
          <w:rFonts w:ascii="Calibri" w:hAnsi="Calibri" w:cs="Calibri"/>
          <w:sz w:val="24"/>
          <w:szCs w:val="24"/>
        </w:rPr>
        <w:t>coïncidé avec l’application, au Niger, de la réforme de la gestion des finances publiques (PEMFAR) et de la Directive 6 de l’UEMOA, à travers la loi 12/2009 portant loi organique relative aux lois des finances</w:t>
      </w:r>
      <w:r w:rsidR="00406E83" w:rsidRPr="00406E83">
        <w:rPr>
          <w:rFonts w:ascii="Calibri" w:hAnsi="Calibri" w:cs="Calibri"/>
          <w:sz w:val="24"/>
          <w:szCs w:val="24"/>
        </w:rPr>
        <w:t>.</w:t>
      </w:r>
    </w:p>
    <w:p w14:paraId="392678CC" w14:textId="77777777" w:rsidR="00811DFB" w:rsidRPr="001155B6" w:rsidRDefault="00811DFB" w:rsidP="00F12682">
      <w:pPr>
        <w:autoSpaceDE w:val="0"/>
        <w:autoSpaceDN w:val="0"/>
        <w:adjustRightInd w:val="0"/>
        <w:spacing w:after="120" w:line="276" w:lineRule="auto"/>
        <w:jc w:val="both"/>
        <w:rPr>
          <w:rFonts w:ascii="Calibri" w:hAnsi="Calibri" w:cs="Calibri"/>
          <w:sz w:val="24"/>
          <w:szCs w:val="24"/>
        </w:rPr>
      </w:pPr>
      <w:r w:rsidRPr="001155B6">
        <w:rPr>
          <w:rFonts w:ascii="Calibri" w:hAnsi="Calibri" w:cs="Calibri"/>
          <w:sz w:val="24"/>
          <w:szCs w:val="24"/>
        </w:rPr>
        <w:t>La mise en œuvre des Revues des Dépenses Publiques s’inscrit dans la même réforme. Elle permet de vérifier, à posteriori, la mobilisation effective des ressources, ainsi que la structure et la qualité des dépenses effectuées. En effet, il existe souvent des grands écarts entre les ambitions programmatiques et leur exécution effective : fréquemment les décaissements s'écartent sensiblement des fonds alloués ; les coûts administratifs prennent souvent une place trop importante des dépenses totales ; la déconcentration des dépenses n’est souvent pas effective ; la répartition spatiale des dépenses n’est pas équilibrée ; l’exécution des marchés publics peut non pas être efficiente, etc…</w:t>
      </w:r>
    </w:p>
    <w:p w14:paraId="13F500BB" w14:textId="77777777" w:rsidR="00811DFB" w:rsidRPr="001155B6" w:rsidRDefault="00811DFB" w:rsidP="00F12682">
      <w:pPr>
        <w:autoSpaceDE w:val="0"/>
        <w:autoSpaceDN w:val="0"/>
        <w:adjustRightInd w:val="0"/>
        <w:spacing w:after="120" w:line="276" w:lineRule="auto"/>
        <w:jc w:val="both"/>
        <w:rPr>
          <w:rFonts w:ascii="Calibri" w:hAnsi="Calibri" w:cs="Calibri"/>
          <w:sz w:val="24"/>
          <w:szCs w:val="24"/>
        </w:rPr>
      </w:pPr>
      <w:r w:rsidRPr="001155B6">
        <w:rPr>
          <w:rFonts w:ascii="Calibri" w:hAnsi="Calibri" w:cs="Calibri"/>
          <w:sz w:val="24"/>
          <w:szCs w:val="24"/>
        </w:rPr>
        <w:t>En dehors de son importance dans l’orientation des prises de décisions des pouvoirs publics, les revues des dépenses publiques constituent un excellent outil de dialogue entre l’Etat et les Partenaires techniques et financière, qui, jusque-là, contribuent pour une part essentielle aux dépenses publiques du Niger.</w:t>
      </w:r>
    </w:p>
    <w:p w14:paraId="3929B883" w14:textId="77777777" w:rsidR="00811DFB" w:rsidRPr="001155B6" w:rsidRDefault="00811DFB" w:rsidP="00F12682">
      <w:pPr>
        <w:autoSpaceDE w:val="0"/>
        <w:autoSpaceDN w:val="0"/>
        <w:adjustRightInd w:val="0"/>
        <w:spacing w:after="120" w:line="276" w:lineRule="auto"/>
        <w:jc w:val="both"/>
        <w:rPr>
          <w:rFonts w:ascii="Calibri" w:hAnsi="Calibri" w:cs="Calibri"/>
          <w:sz w:val="24"/>
          <w:szCs w:val="24"/>
        </w:rPr>
      </w:pPr>
      <w:r w:rsidRPr="001155B6">
        <w:rPr>
          <w:rFonts w:ascii="Calibri" w:hAnsi="Calibri" w:cs="Calibri"/>
          <w:sz w:val="24"/>
          <w:szCs w:val="24"/>
        </w:rPr>
        <w:t xml:space="preserve">Le Niger dispose déjà un certain nombre d’expériences dans la mise en œuvre des revus des dépenses publiques. Dans le cadre de la Stratégie de Développement Rural, qui était le cadre de </w:t>
      </w:r>
      <w:r w:rsidRPr="001155B6">
        <w:rPr>
          <w:rFonts w:ascii="Calibri" w:hAnsi="Calibri" w:cs="Calibri"/>
          <w:sz w:val="24"/>
          <w:szCs w:val="24"/>
        </w:rPr>
        <w:lastRenderedPageBreak/>
        <w:t>référence du secteur entre 2003-2011, des revues des dépenses publiques du secteur rural ont régulièrement été effectuées. Bien que ces exercices étaient déjà basés sur les standards internationaux et qu’ils aient produit des analyses assez illustratives de l’emploi effectif des ressources publiques au niveau du secteur rural, leur utilisation dans les processus décisionnels notamment en matière de politique budgétaire est resté très limitée, étant donné un contexte encore peu préparé aux outils de gouvernance de l’approche programme.</w:t>
      </w:r>
    </w:p>
    <w:p w14:paraId="1098445F" w14:textId="42A845E4" w:rsidR="00811DFB" w:rsidRPr="001155B6" w:rsidRDefault="00811DFB" w:rsidP="00F12682">
      <w:pPr>
        <w:widowControl w:val="0"/>
        <w:autoSpaceDE w:val="0"/>
        <w:autoSpaceDN w:val="0"/>
        <w:adjustRightInd w:val="0"/>
        <w:spacing w:after="120" w:line="276" w:lineRule="auto"/>
        <w:jc w:val="both"/>
        <w:rPr>
          <w:rFonts w:ascii="Calibri" w:hAnsi="Calibri" w:cs="Calibri"/>
          <w:sz w:val="24"/>
          <w:szCs w:val="24"/>
        </w:rPr>
      </w:pPr>
      <w:r w:rsidRPr="001155B6">
        <w:rPr>
          <w:rFonts w:ascii="Calibri" w:hAnsi="Calibri" w:cs="Calibri"/>
          <w:sz w:val="24"/>
          <w:szCs w:val="24"/>
        </w:rPr>
        <w:t xml:space="preserve">Depuis lors, le contexte a évolué, à travers notamment la mise en œuvre de la directive 6 de l’UEMOA précédemment citée, qui rend obligatoire le passage du budget de moyens classique à un budget programme, avec tous ce que cela implique : (i) transfert du pouvoir d’ordonnancement aux Ministères techniques, (ii) désignation des responsables des programmes, (iii) devoir du </w:t>
      </w:r>
      <w:proofErr w:type="spellStart"/>
      <w:r w:rsidRPr="001155B6">
        <w:rPr>
          <w:rFonts w:ascii="Calibri" w:hAnsi="Calibri" w:cs="Calibri"/>
          <w:sz w:val="24"/>
          <w:szCs w:val="24"/>
        </w:rPr>
        <w:t>reporting</w:t>
      </w:r>
      <w:proofErr w:type="spellEnd"/>
      <w:r w:rsidRPr="001155B6">
        <w:rPr>
          <w:rFonts w:ascii="Calibri" w:hAnsi="Calibri" w:cs="Calibri"/>
          <w:sz w:val="24"/>
          <w:szCs w:val="24"/>
        </w:rPr>
        <w:t xml:space="preserve"> basé sur la performance, etc... Une autre évolution est l’aboutissement (pour certains secteurs) du processus de transfert de compétences de l’Etat aux collectivit</w:t>
      </w:r>
      <w:r w:rsidR="001D7733">
        <w:rPr>
          <w:rFonts w:ascii="Calibri" w:hAnsi="Calibri" w:cs="Calibri"/>
          <w:sz w:val="24"/>
          <w:szCs w:val="24"/>
        </w:rPr>
        <w:t>és territoriales décentralisées</w:t>
      </w:r>
      <w:r w:rsidRPr="001155B6">
        <w:rPr>
          <w:rFonts w:ascii="Calibri" w:hAnsi="Calibri" w:cs="Calibri"/>
          <w:sz w:val="24"/>
          <w:szCs w:val="24"/>
        </w:rPr>
        <w:t>, qui occasionne la rétrocession d’une partie des ressources budgétaires. Ce sont d’autant plus des raisons qui amènent les acteurs d’accorder plus d’importance à la réalisation de Revues des dépenses publiques.</w:t>
      </w:r>
    </w:p>
    <w:p w14:paraId="3C83AEA1" w14:textId="77777777" w:rsidR="00811DFB" w:rsidRPr="001155B6" w:rsidRDefault="00811DFB" w:rsidP="00F12682">
      <w:pPr>
        <w:widowControl w:val="0"/>
        <w:autoSpaceDE w:val="0"/>
        <w:autoSpaceDN w:val="0"/>
        <w:adjustRightInd w:val="0"/>
        <w:spacing w:after="120" w:line="276" w:lineRule="auto"/>
        <w:jc w:val="both"/>
        <w:rPr>
          <w:rFonts w:ascii="Calibri" w:hAnsi="Calibri" w:cs="Calibri"/>
          <w:sz w:val="24"/>
          <w:szCs w:val="24"/>
        </w:rPr>
      </w:pPr>
      <w:r w:rsidRPr="001155B6">
        <w:rPr>
          <w:rFonts w:ascii="Calibri" w:hAnsi="Calibri" w:cs="Calibri"/>
          <w:sz w:val="24"/>
          <w:szCs w:val="24"/>
        </w:rPr>
        <w:t>Il convient également de mentionner un accroissement sensible de l’assistance des bailleurs de fonds au secteur de la sécurité alimentaire et nutritionnelle et au développement agricole. Cela s’explique par une évolution positive des conditions cadres au Niger, caractérisé par une relative stabilité politique et une volonté du gouvernement à faire du développement de la sécurité alimentaire et du développement agricole une priorité.</w:t>
      </w:r>
    </w:p>
    <w:p w14:paraId="22CF2038" w14:textId="77777777" w:rsidR="00811DFB" w:rsidRPr="001155B6" w:rsidRDefault="00811DFB" w:rsidP="00F12682">
      <w:pPr>
        <w:tabs>
          <w:tab w:val="left" w:pos="2769"/>
        </w:tabs>
        <w:spacing w:after="120" w:line="276" w:lineRule="auto"/>
        <w:jc w:val="both"/>
        <w:rPr>
          <w:rFonts w:ascii="Calibri" w:hAnsi="Calibri" w:cs="Calibri"/>
          <w:sz w:val="24"/>
          <w:szCs w:val="24"/>
        </w:rPr>
      </w:pPr>
      <w:r w:rsidRPr="001155B6">
        <w:rPr>
          <w:rFonts w:ascii="Calibri" w:hAnsi="Calibri" w:cs="Calibri"/>
          <w:sz w:val="24"/>
          <w:szCs w:val="24"/>
        </w:rPr>
        <w:t>Une partie des ressources des bailleurs au secteur de la sécurité alimentaire et nutritionnelle et au développement agricole est fournie sous forme d’Aide Budgétaire Sectorielle (ABS). Il convient de citer plus particulièrement l’appui à la mise en œuvre de l’Initiative 3N dans le cadre du 11</w:t>
      </w:r>
      <w:r w:rsidRPr="001155B6">
        <w:rPr>
          <w:rFonts w:ascii="Calibri" w:hAnsi="Calibri" w:cs="Calibri"/>
          <w:sz w:val="24"/>
          <w:szCs w:val="24"/>
          <w:vertAlign w:val="superscript"/>
        </w:rPr>
        <w:t>ème</w:t>
      </w:r>
      <w:r w:rsidRPr="001155B6">
        <w:rPr>
          <w:rFonts w:ascii="Calibri" w:hAnsi="Calibri" w:cs="Calibri"/>
          <w:sz w:val="24"/>
          <w:szCs w:val="24"/>
        </w:rPr>
        <w:t xml:space="preserve"> FED, qui fait l’objet de la signature d’un Contrat de Réforme Sectoriel (CRS) entre l’Etat du Niger et la Commission de l’Union Européenne. Celui-ci vise, en outre de l’amélioration de la capacité financière du gouvernement pour atteindre les objectifs de la politique sectorielle, la promotion des réformes sectorielles. La réalisation en 2016 d’une revue des dépenses publiques 2011-2015 fait partie du paquet des éléments de réforme identifiés et a constitué un indicateur de performance, déclencheur d’une tranche variable de l’aide budgétaire prévue pour 2016. Pour les acteurs de l’Initiative 3N (HC3N, Ministères, administrations de mission), cette revue des dépenses publiques 2011-2015 servira de situation de référence à la fois pour la mise en œuvre du Plan d’Action 2016-2020 de l’Initiative 3N que pour celle du CRS/UE. Elle servira de base pour la tenue des revues sectorielles annuelles consécutives.</w:t>
      </w:r>
    </w:p>
    <w:p w14:paraId="7F13D3FD" w14:textId="77777777" w:rsidR="00811DFB" w:rsidRDefault="00811DFB" w:rsidP="00F12682">
      <w:pPr>
        <w:autoSpaceDE w:val="0"/>
        <w:autoSpaceDN w:val="0"/>
        <w:adjustRightInd w:val="0"/>
        <w:spacing w:after="120" w:line="276" w:lineRule="auto"/>
        <w:jc w:val="both"/>
        <w:rPr>
          <w:rFonts w:ascii="Calibri" w:hAnsi="Calibri" w:cs="Calibri"/>
          <w:sz w:val="24"/>
          <w:szCs w:val="24"/>
        </w:rPr>
      </w:pPr>
      <w:r w:rsidRPr="001155B6">
        <w:rPr>
          <w:rFonts w:ascii="Calibri" w:hAnsi="Calibri" w:cs="Calibri"/>
          <w:sz w:val="24"/>
          <w:szCs w:val="24"/>
        </w:rPr>
        <w:t>Les exemples des revues des dépenses publiques conduites dans le passé au niveau du secteur rural montrent certaines difficultés, surtout en ce qui concerne l’application (et l’applicabilité) des recommandations. Cela est lié au manque de certaines données essentielles, au manque d’effort</w:t>
      </w:r>
      <w:r w:rsidRPr="001155B6">
        <w:rPr>
          <w:rFonts w:ascii="MS Gothic" w:eastAsia="MS Gothic" w:hAnsi="MS Gothic" w:cs="MS Gothic"/>
          <w:sz w:val="24"/>
          <w:szCs w:val="24"/>
        </w:rPr>
        <w:t> </w:t>
      </w:r>
      <w:r w:rsidRPr="001155B6">
        <w:rPr>
          <w:rFonts w:ascii="Calibri" w:hAnsi="Calibri" w:cs="Calibri"/>
          <w:sz w:val="24"/>
          <w:szCs w:val="24"/>
        </w:rPr>
        <w:t>pour les analyses pointues, au ciblage parfois insuffisant, au manque d’adhésion des parties prenantes et à des capacités limitées.</w:t>
      </w:r>
    </w:p>
    <w:p w14:paraId="16F9379C" w14:textId="77777777" w:rsidR="001155B6" w:rsidRPr="001155B6" w:rsidRDefault="001155B6" w:rsidP="00F12682">
      <w:pPr>
        <w:autoSpaceDE w:val="0"/>
        <w:autoSpaceDN w:val="0"/>
        <w:adjustRightInd w:val="0"/>
        <w:spacing w:after="120" w:line="276" w:lineRule="auto"/>
        <w:jc w:val="both"/>
        <w:rPr>
          <w:rFonts w:ascii="Calibri" w:hAnsi="Calibri" w:cs="Calibri"/>
          <w:sz w:val="24"/>
          <w:szCs w:val="24"/>
        </w:rPr>
      </w:pPr>
    </w:p>
    <w:p w14:paraId="60CAFED9" w14:textId="720A87C3" w:rsidR="00BA404A" w:rsidRPr="00616037" w:rsidRDefault="00BA404A" w:rsidP="00F12682">
      <w:pPr>
        <w:pStyle w:val="Titre2"/>
      </w:pPr>
      <w:bookmarkStart w:id="10" w:name="_Toc529305002"/>
      <w:r w:rsidRPr="00616037">
        <w:lastRenderedPageBreak/>
        <w:t>P</w:t>
      </w:r>
      <w:r w:rsidR="00E361BF">
        <w:t>ortée de l’étude</w:t>
      </w:r>
      <w:bookmarkEnd w:id="10"/>
    </w:p>
    <w:p w14:paraId="19965CF4" w14:textId="6972FAF0" w:rsidR="00BA404A" w:rsidRDefault="00BA404A" w:rsidP="00F12682">
      <w:pPr>
        <w:pStyle w:val="Titre3"/>
        <w:rPr>
          <w:rFonts w:eastAsia="Calibri"/>
        </w:rPr>
      </w:pPr>
      <w:bookmarkStart w:id="11" w:name="_Toc529305003"/>
      <w:r w:rsidRPr="001A3CDC">
        <w:rPr>
          <w:rFonts w:eastAsia="Calibri"/>
        </w:rPr>
        <w:t>Couverture thématique</w:t>
      </w:r>
      <w:bookmarkEnd w:id="11"/>
    </w:p>
    <w:p w14:paraId="3878CE03" w14:textId="41590E23" w:rsidR="00BA404A" w:rsidRDefault="00BA404A" w:rsidP="00F12682">
      <w:pPr>
        <w:spacing w:after="120" w:line="276" w:lineRule="auto"/>
        <w:jc w:val="both"/>
        <w:rPr>
          <w:rFonts w:ascii="Calibri" w:hAnsi="Calibri" w:cs="Calibri"/>
          <w:sz w:val="24"/>
          <w:szCs w:val="24"/>
        </w:rPr>
      </w:pPr>
      <w:r w:rsidRPr="00F927F3">
        <w:rPr>
          <w:rFonts w:ascii="Calibri" w:hAnsi="Calibri" w:cs="Calibri"/>
          <w:sz w:val="24"/>
          <w:szCs w:val="24"/>
        </w:rPr>
        <w:t>L</w:t>
      </w:r>
      <w:r w:rsidR="001155B6" w:rsidRPr="00F927F3">
        <w:rPr>
          <w:rFonts w:ascii="Calibri" w:hAnsi="Calibri" w:cs="Calibri"/>
          <w:sz w:val="24"/>
          <w:szCs w:val="24"/>
        </w:rPr>
        <w:t xml:space="preserve">a revue des Dépenses Publiques </w:t>
      </w:r>
      <w:r w:rsidRPr="00F927F3">
        <w:rPr>
          <w:rFonts w:ascii="Calibri" w:hAnsi="Calibri" w:cs="Calibri"/>
          <w:sz w:val="24"/>
          <w:szCs w:val="24"/>
        </w:rPr>
        <w:t>2016 couvre les sous-secteurs suivants : Agriculture, Elevage, Environnement (foresterie, pêche, préservation et restauration des terres), Hydraulique (hydraulique pastorale), Commerce et transformation des produits agro-</w:t>
      </w:r>
      <w:proofErr w:type="spellStart"/>
      <w:r w:rsidRPr="00F927F3">
        <w:rPr>
          <w:rFonts w:ascii="Calibri" w:hAnsi="Calibri" w:cs="Calibri"/>
          <w:sz w:val="24"/>
          <w:szCs w:val="24"/>
        </w:rPr>
        <w:t>sylvo</w:t>
      </w:r>
      <w:proofErr w:type="spellEnd"/>
      <w:r w:rsidRPr="00F927F3">
        <w:rPr>
          <w:rFonts w:ascii="Calibri" w:hAnsi="Calibri" w:cs="Calibri"/>
          <w:sz w:val="24"/>
          <w:szCs w:val="24"/>
        </w:rPr>
        <w:t>-pastorales et halieutiques/ comportement des marchés, Prévention et gestion des crises alimentaires et Nutrition.</w:t>
      </w:r>
    </w:p>
    <w:p w14:paraId="0D842CF9" w14:textId="77777777" w:rsidR="00BA404A" w:rsidRDefault="00BA404A" w:rsidP="00F12682">
      <w:pPr>
        <w:spacing w:after="0" w:line="240" w:lineRule="auto"/>
        <w:rPr>
          <w:rFonts w:ascii="Calibri" w:hAnsi="Calibri" w:cs="Calibri"/>
        </w:rPr>
      </w:pPr>
    </w:p>
    <w:p w14:paraId="22BE04CE" w14:textId="7B11A93E" w:rsidR="00BA404A" w:rsidRDefault="00BA404A" w:rsidP="00F12682">
      <w:pPr>
        <w:pStyle w:val="Titre3"/>
        <w:rPr>
          <w:rFonts w:eastAsia="Calibri"/>
        </w:rPr>
      </w:pPr>
      <w:bookmarkStart w:id="12" w:name="_Toc529305004"/>
      <w:r w:rsidRPr="004A5122">
        <w:rPr>
          <w:rFonts w:eastAsia="Calibri"/>
        </w:rPr>
        <w:t>Couverture institutionnelle</w:t>
      </w:r>
      <w:bookmarkEnd w:id="12"/>
    </w:p>
    <w:p w14:paraId="6ECB1D16" w14:textId="4F1D4820" w:rsidR="00BA404A" w:rsidRPr="00F927F3" w:rsidRDefault="00F927F3" w:rsidP="00F12682">
      <w:pPr>
        <w:spacing w:after="120" w:line="276" w:lineRule="auto"/>
        <w:ind w:right="-143"/>
        <w:rPr>
          <w:rFonts w:ascii="Calibri" w:hAnsi="Calibri" w:cs="Calibri"/>
          <w:sz w:val="24"/>
          <w:szCs w:val="24"/>
        </w:rPr>
      </w:pPr>
      <w:r w:rsidRPr="00F927F3">
        <w:rPr>
          <w:rFonts w:ascii="Calibri" w:hAnsi="Calibri" w:cs="Calibri"/>
          <w:sz w:val="24"/>
          <w:szCs w:val="24"/>
        </w:rPr>
        <w:t xml:space="preserve">La revue des Dépenses Publiques 2016 couvre </w:t>
      </w:r>
      <w:r w:rsidR="00BA404A" w:rsidRPr="00F927F3">
        <w:rPr>
          <w:rFonts w:ascii="Calibri" w:hAnsi="Calibri" w:cs="Calibri"/>
          <w:sz w:val="24"/>
          <w:szCs w:val="24"/>
        </w:rPr>
        <w:t>les dépenses des entités ministérielles</w:t>
      </w:r>
      <w:r w:rsidR="007D560C">
        <w:rPr>
          <w:rFonts w:ascii="Calibri" w:hAnsi="Calibri" w:cs="Calibri"/>
          <w:sz w:val="24"/>
          <w:szCs w:val="24"/>
        </w:rPr>
        <w:t xml:space="preserve"> </w:t>
      </w:r>
      <w:r w:rsidR="00BA404A" w:rsidRPr="00F927F3">
        <w:rPr>
          <w:rFonts w:ascii="Calibri" w:hAnsi="Calibri" w:cs="Calibri"/>
          <w:sz w:val="24"/>
          <w:szCs w:val="24"/>
        </w:rPr>
        <w:t>/administrations suivantes :</w:t>
      </w:r>
    </w:p>
    <w:p w14:paraId="0127D56C" w14:textId="77777777" w:rsidR="00BA404A" w:rsidRPr="00F927F3" w:rsidRDefault="00BA404A"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F927F3">
        <w:rPr>
          <w:rFonts w:ascii="Calibri" w:hAnsi="Calibri" w:cs="Calibri"/>
          <w:sz w:val="24"/>
          <w:szCs w:val="24"/>
        </w:rPr>
        <w:t>Ministère de l’Agriculture et de l’Elevage ;</w:t>
      </w:r>
    </w:p>
    <w:p w14:paraId="70335098" w14:textId="77777777" w:rsidR="00BA404A" w:rsidRPr="00F927F3" w:rsidRDefault="00BA404A"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F927F3">
        <w:rPr>
          <w:rFonts w:ascii="Calibri" w:hAnsi="Calibri" w:cs="Calibri"/>
          <w:sz w:val="24"/>
          <w:szCs w:val="24"/>
        </w:rPr>
        <w:t>Ministère de l’Environnement et du Développement Durable ;</w:t>
      </w:r>
    </w:p>
    <w:p w14:paraId="7BA7D88B" w14:textId="77777777" w:rsidR="00BA404A" w:rsidRPr="00F927F3" w:rsidRDefault="00BA404A"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F927F3">
        <w:rPr>
          <w:rFonts w:ascii="Calibri" w:hAnsi="Calibri" w:cs="Calibri"/>
          <w:sz w:val="24"/>
          <w:szCs w:val="24"/>
        </w:rPr>
        <w:t>Ministère de l’Hydraulique et de l’Assainissement (hydraulique pastorale) ;</w:t>
      </w:r>
    </w:p>
    <w:p w14:paraId="712B4581" w14:textId="6C0AE968" w:rsidR="00BA404A" w:rsidRPr="00F927F3" w:rsidRDefault="00BA404A"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F927F3">
        <w:rPr>
          <w:rFonts w:ascii="Calibri" w:hAnsi="Calibri" w:cs="Calibri"/>
          <w:sz w:val="24"/>
          <w:szCs w:val="24"/>
        </w:rPr>
        <w:t xml:space="preserve">Ministère du Commerce et de la </w:t>
      </w:r>
      <w:r w:rsidR="001D7733" w:rsidRPr="00F927F3">
        <w:rPr>
          <w:rFonts w:ascii="Calibri" w:hAnsi="Calibri" w:cs="Calibri"/>
          <w:sz w:val="24"/>
          <w:szCs w:val="24"/>
        </w:rPr>
        <w:t xml:space="preserve">Promotion </w:t>
      </w:r>
      <w:r w:rsidRPr="00F927F3">
        <w:rPr>
          <w:rFonts w:ascii="Calibri" w:hAnsi="Calibri" w:cs="Calibri"/>
          <w:sz w:val="24"/>
          <w:szCs w:val="24"/>
        </w:rPr>
        <w:t xml:space="preserve">du </w:t>
      </w:r>
      <w:r w:rsidR="001D7733" w:rsidRPr="00F927F3">
        <w:rPr>
          <w:rFonts w:ascii="Calibri" w:hAnsi="Calibri" w:cs="Calibri"/>
          <w:sz w:val="24"/>
          <w:szCs w:val="24"/>
        </w:rPr>
        <w:t>Secteur Privé </w:t>
      </w:r>
      <w:r w:rsidRPr="00F927F3">
        <w:rPr>
          <w:rFonts w:ascii="Calibri" w:hAnsi="Calibri" w:cs="Calibri"/>
          <w:sz w:val="24"/>
          <w:szCs w:val="24"/>
        </w:rPr>
        <w:t>;</w:t>
      </w:r>
    </w:p>
    <w:p w14:paraId="24164D31" w14:textId="69C7A40E" w:rsidR="00BA404A" w:rsidRPr="00F927F3" w:rsidRDefault="00BA404A"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F927F3">
        <w:rPr>
          <w:rFonts w:ascii="Calibri" w:hAnsi="Calibri" w:cs="Calibri"/>
          <w:sz w:val="24"/>
          <w:szCs w:val="24"/>
        </w:rPr>
        <w:t xml:space="preserve">Ministère de la Santé </w:t>
      </w:r>
      <w:r w:rsidR="001D7733" w:rsidRPr="00F927F3">
        <w:rPr>
          <w:rFonts w:ascii="Calibri" w:hAnsi="Calibri" w:cs="Calibri"/>
          <w:sz w:val="24"/>
          <w:szCs w:val="24"/>
        </w:rPr>
        <w:t xml:space="preserve">Publique </w:t>
      </w:r>
      <w:r w:rsidRPr="00F927F3">
        <w:rPr>
          <w:rFonts w:ascii="Calibri" w:hAnsi="Calibri" w:cs="Calibri"/>
          <w:sz w:val="24"/>
          <w:szCs w:val="24"/>
        </w:rPr>
        <w:t>(Direction de la Nutrition) ;</w:t>
      </w:r>
    </w:p>
    <w:p w14:paraId="069C16DD" w14:textId="77777777" w:rsidR="00BA404A" w:rsidRPr="00F927F3" w:rsidRDefault="00BA404A"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F927F3">
        <w:rPr>
          <w:rFonts w:ascii="Calibri" w:hAnsi="Calibri" w:cs="Calibri"/>
          <w:sz w:val="24"/>
          <w:szCs w:val="24"/>
        </w:rPr>
        <w:t>Primature (Dispositif National de Prévention et de Gestion des Crises Alimentaires et Naturelles, Conseil National de l’Environnement pour un Développement durable) ;</w:t>
      </w:r>
    </w:p>
    <w:p w14:paraId="2D25C965" w14:textId="77777777" w:rsidR="00BA404A" w:rsidRPr="00F927F3" w:rsidRDefault="00BA404A"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F927F3">
        <w:rPr>
          <w:rFonts w:ascii="Calibri" w:hAnsi="Calibri" w:cs="Calibri"/>
          <w:sz w:val="24"/>
          <w:szCs w:val="24"/>
        </w:rPr>
        <w:t>Présidence (Haut-Commissariat à l’Initiative 3N, Haut-Commissariat à l’Aménagement de la Vallée du Niger).</w:t>
      </w:r>
    </w:p>
    <w:p w14:paraId="67037B45" w14:textId="4E9255A8" w:rsidR="00BA404A" w:rsidRDefault="00BA404A" w:rsidP="00F12682">
      <w:pPr>
        <w:spacing w:after="120" w:line="276" w:lineRule="auto"/>
        <w:jc w:val="both"/>
        <w:rPr>
          <w:rFonts w:ascii="Calibri" w:hAnsi="Calibri" w:cs="Calibri"/>
          <w:sz w:val="24"/>
          <w:szCs w:val="24"/>
        </w:rPr>
      </w:pPr>
      <w:r w:rsidRPr="00F927F3">
        <w:rPr>
          <w:rFonts w:ascii="Calibri" w:hAnsi="Calibri" w:cs="Calibri"/>
          <w:sz w:val="24"/>
          <w:szCs w:val="24"/>
        </w:rPr>
        <w:t>L’analyse couvr</w:t>
      </w:r>
      <w:r w:rsidR="00F927F3">
        <w:rPr>
          <w:rFonts w:ascii="Calibri" w:hAnsi="Calibri" w:cs="Calibri"/>
          <w:sz w:val="24"/>
          <w:szCs w:val="24"/>
        </w:rPr>
        <w:t xml:space="preserve">e </w:t>
      </w:r>
      <w:r w:rsidRPr="00F927F3">
        <w:rPr>
          <w:rFonts w:ascii="Calibri" w:hAnsi="Calibri" w:cs="Calibri"/>
          <w:sz w:val="24"/>
          <w:szCs w:val="24"/>
        </w:rPr>
        <w:t>également les dépenses des administrations et établissement publiques sous tutelle (OPVN, CAIMA, Code Rural, INRAN, ONAHA, AFMA, RECA) ainsi que les dépenses extrabudgétaires dans le secteur (activités financés par les bailleurs des fonds).</w:t>
      </w:r>
    </w:p>
    <w:p w14:paraId="5B1BCC84" w14:textId="77777777" w:rsidR="00B462C1" w:rsidRPr="00F927F3" w:rsidRDefault="00B462C1" w:rsidP="00F12682">
      <w:pPr>
        <w:spacing w:after="120" w:line="276" w:lineRule="auto"/>
        <w:jc w:val="both"/>
        <w:rPr>
          <w:rFonts w:ascii="Calibri" w:hAnsi="Calibri" w:cs="Calibri"/>
          <w:sz w:val="24"/>
          <w:szCs w:val="24"/>
        </w:rPr>
      </w:pPr>
    </w:p>
    <w:p w14:paraId="109D6243" w14:textId="77777777" w:rsidR="00E74F01" w:rsidRPr="004A5122" w:rsidRDefault="00D96C36" w:rsidP="00F12682">
      <w:pPr>
        <w:pStyle w:val="Titre2"/>
        <w:rPr>
          <w:rFonts w:asciiTheme="minorHAnsi" w:hAnsiTheme="minorHAnsi" w:cstheme="minorHAnsi"/>
        </w:rPr>
      </w:pPr>
      <w:bookmarkStart w:id="13" w:name="_Toc529305005"/>
      <w:r w:rsidRPr="004A5122">
        <w:rPr>
          <w:rFonts w:asciiTheme="minorHAnsi" w:hAnsiTheme="minorHAnsi" w:cstheme="minorHAnsi"/>
        </w:rPr>
        <w:t>Structure du rapport</w:t>
      </w:r>
      <w:bookmarkEnd w:id="13"/>
    </w:p>
    <w:p w14:paraId="79CD5003" w14:textId="6FEA274C" w:rsidR="00BD4D02" w:rsidRPr="00F927F3" w:rsidRDefault="00BD4D02" w:rsidP="00F12682">
      <w:pPr>
        <w:spacing w:after="120" w:line="276" w:lineRule="auto"/>
        <w:rPr>
          <w:sz w:val="24"/>
          <w:szCs w:val="24"/>
        </w:rPr>
      </w:pPr>
      <w:r w:rsidRPr="00F927F3">
        <w:rPr>
          <w:sz w:val="24"/>
          <w:szCs w:val="24"/>
        </w:rPr>
        <w:t xml:space="preserve">Ce document s’articule autour de six (6) chapitres suivants : </w:t>
      </w:r>
    </w:p>
    <w:p w14:paraId="392326F9" w14:textId="77777777" w:rsidR="003D27C9" w:rsidRPr="00F927F3" w:rsidRDefault="003D27C9" w:rsidP="00F12682">
      <w:pPr>
        <w:pStyle w:val="Paragraphedeliste"/>
        <w:numPr>
          <w:ilvl w:val="0"/>
          <w:numId w:val="50"/>
        </w:numPr>
        <w:spacing w:after="80" w:line="276" w:lineRule="auto"/>
        <w:ind w:left="567" w:hanging="210"/>
        <w:contextualSpacing w:val="0"/>
        <w:rPr>
          <w:sz w:val="24"/>
          <w:szCs w:val="24"/>
        </w:rPr>
      </w:pPr>
      <w:r w:rsidRPr="00F927F3">
        <w:rPr>
          <w:sz w:val="24"/>
          <w:szCs w:val="24"/>
        </w:rPr>
        <w:t>Chapitre 1 : Introduction générale ;</w:t>
      </w:r>
    </w:p>
    <w:p w14:paraId="149AEB69" w14:textId="77777777" w:rsidR="003D27C9" w:rsidRPr="00F927F3" w:rsidRDefault="003D27C9" w:rsidP="00F12682">
      <w:pPr>
        <w:pStyle w:val="Paragraphedeliste"/>
        <w:numPr>
          <w:ilvl w:val="0"/>
          <w:numId w:val="50"/>
        </w:numPr>
        <w:spacing w:after="80" w:line="276" w:lineRule="auto"/>
        <w:ind w:left="567" w:hanging="210"/>
        <w:contextualSpacing w:val="0"/>
        <w:rPr>
          <w:sz w:val="24"/>
          <w:szCs w:val="24"/>
        </w:rPr>
      </w:pPr>
      <w:r w:rsidRPr="00F927F3">
        <w:rPr>
          <w:sz w:val="24"/>
          <w:szCs w:val="24"/>
        </w:rPr>
        <w:t>Chapitre 2 : Objectifs, Méthodologie et déroulement de la mission ;</w:t>
      </w:r>
    </w:p>
    <w:p w14:paraId="1645E387" w14:textId="5ED6D139" w:rsidR="003D27C9" w:rsidRPr="00F927F3" w:rsidRDefault="003D27C9" w:rsidP="00F12682">
      <w:pPr>
        <w:pStyle w:val="Paragraphedeliste"/>
        <w:numPr>
          <w:ilvl w:val="0"/>
          <w:numId w:val="50"/>
        </w:numPr>
        <w:spacing w:after="80" w:line="276" w:lineRule="auto"/>
        <w:ind w:left="567" w:hanging="210"/>
        <w:contextualSpacing w:val="0"/>
        <w:rPr>
          <w:sz w:val="24"/>
          <w:szCs w:val="24"/>
        </w:rPr>
      </w:pPr>
      <w:r w:rsidRPr="00F927F3">
        <w:rPr>
          <w:sz w:val="24"/>
          <w:szCs w:val="24"/>
        </w:rPr>
        <w:t xml:space="preserve">Chapitre 3 : Analyse de performance du secteur en matière de </w:t>
      </w:r>
      <w:r w:rsidR="00F927F3">
        <w:rPr>
          <w:sz w:val="24"/>
          <w:szCs w:val="24"/>
        </w:rPr>
        <w:t>G</w:t>
      </w:r>
      <w:r w:rsidRPr="00F927F3">
        <w:rPr>
          <w:sz w:val="24"/>
          <w:szCs w:val="24"/>
        </w:rPr>
        <w:t xml:space="preserve">estion des </w:t>
      </w:r>
      <w:r w:rsidR="00F927F3">
        <w:rPr>
          <w:sz w:val="24"/>
          <w:szCs w:val="24"/>
        </w:rPr>
        <w:t>F</w:t>
      </w:r>
      <w:r w:rsidRPr="00F927F3">
        <w:rPr>
          <w:sz w:val="24"/>
          <w:szCs w:val="24"/>
        </w:rPr>
        <w:t xml:space="preserve">inances </w:t>
      </w:r>
      <w:r w:rsidR="00F927F3">
        <w:rPr>
          <w:sz w:val="24"/>
          <w:szCs w:val="24"/>
        </w:rPr>
        <w:t>P</w:t>
      </w:r>
      <w:r w:rsidRPr="00F927F3">
        <w:rPr>
          <w:sz w:val="24"/>
          <w:szCs w:val="24"/>
        </w:rPr>
        <w:t>ubliques (cycle budgétaire) ;</w:t>
      </w:r>
    </w:p>
    <w:p w14:paraId="1236775B" w14:textId="77777777" w:rsidR="003D27C9" w:rsidRPr="00F927F3" w:rsidRDefault="003D27C9" w:rsidP="00F12682">
      <w:pPr>
        <w:pStyle w:val="Paragraphedeliste"/>
        <w:numPr>
          <w:ilvl w:val="0"/>
          <w:numId w:val="50"/>
        </w:numPr>
        <w:spacing w:after="80" w:line="276" w:lineRule="auto"/>
        <w:ind w:left="567" w:hanging="210"/>
        <w:contextualSpacing w:val="0"/>
        <w:rPr>
          <w:sz w:val="24"/>
          <w:szCs w:val="24"/>
        </w:rPr>
      </w:pPr>
      <w:r w:rsidRPr="00F927F3">
        <w:rPr>
          <w:sz w:val="24"/>
          <w:szCs w:val="24"/>
        </w:rPr>
        <w:t>Chapitre 4 : Prévision et exécution des dépenses publiques ;</w:t>
      </w:r>
    </w:p>
    <w:p w14:paraId="4E8D9235" w14:textId="77777777" w:rsidR="003D27C9" w:rsidRPr="00F927F3" w:rsidRDefault="003D27C9" w:rsidP="00F12682">
      <w:pPr>
        <w:pStyle w:val="Paragraphedeliste"/>
        <w:numPr>
          <w:ilvl w:val="0"/>
          <w:numId w:val="50"/>
        </w:numPr>
        <w:spacing w:after="80" w:line="276" w:lineRule="auto"/>
        <w:ind w:left="567" w:hanging="210"/>
        <w:contextualSpacing w:val="0"/>
        <w:rPr>
          <w:sz w:val="24"/>
          <w:szCs w:val="24"/>
        </w:rPr>
      </w:pPr>
      <w:r w:rsidRPr="00F927F3">
        <w:rPr>
          <w:sz w:val="24"/>
          <w:szCs w:val="24"/>
        </w:rPr>
        <w:t>Chapitre 5 : Analyse de l’efficacité des dépenses publiques ;</w:t>
      </w:r>
    </w:p>
    <w:p w14:paraId="282EE547" w14:textId="77777777" w:rsidR="003D27C9" w:rsidRPr="00F927F3" w:rsidRDefault="003D27C9" w:rsidP="00F12682">
      <w:pPr>
        <w:pStyle w:val="Paragraphedeliste"/>
        <w:numPr>
          <w:ilvl w:val="0"/>
          <w:numId w:val="50"/>
        </w:numPr>
        <w:spacing w:after="80" w:line="276" w:lineRule="auto"/>
        <w:ind w:left="567" w:hanging="210"/>
        <w:contextualSpacing w:val="0"/>
        <w:rPr>
          <w:sz w:val="24"/>
          <w:szCs w:val="24"/>
        </w:rPr>
      </w:pPr>
      <w:r w:rsidRPr="00F927F3">
        <w:rPr>
          <w:sz w:val="24"/>
          <w:szCs w:val="24"/>
        </w:rPr>
        <w:t>Chapitre 6 : Conclusion et recommandations.</w:t>
      </w:r>
    </w:p>
    <w:p w14:paraId="48B5C6D7" w14:textId="77777777" w:rsidR="00F927F3" w:rsidRPr="00F927F3" w:rsidRDefault="00F927F3" w:rsidP="00F12682">
      <w:pPr>
        <w:spacing w:after="120" w:line="276" w:lineRule="auto"/>
        <w:rPr>
          <w:sz w:val="24"/>
          <w:szCs w:val="24"/>
        </w:rPr>
      </w:pPr>
    </w:p>
    <w:p w14:paraId="445F936A" w14:textId="77777777" w:rsidR="00B514B0" w:rsidRPr="004A5122" w:rsidRDefault="00B514B0" w:rsidP="00F12682">
      <w:pPr>
        <w:spacing w:after="120" w:line="276" w:lineRule="auto"/>
        <w:jc w:val="both"/>
        <w:sectPr w:rsidR="00B514B0" w:rsidRPr="004A5122" w:rsidSect="00797C5C">
          <w:headerReference w:type="default" r:id="rId15"/>
          <w:footerReference w:type="default" r:id="rId16"/>
          <w:pgSz w:w="11906" w:h="16838"/>
          <w:pgMar w:top="1134" w:right="1134" w:bottom="1134" w:left="1134" w:header="709" w:footer="709" w:gutter="0"/>
          <w:pgNumType w:start="1"/>
          <w:cols w:space="708"/>
          <w:docGrid w:linePitch="360"/>
        </w:sectPr>
      </w:pPr>
    </w:p>
    <w:p w14:paraId="00CF6AB4" w14:textId="4131CBCF" w:rsidR="00742AFB" w:rsidRDefault="00742AFB" w:rsidP="00F12682">
      <w:pPr>
        <w:pStyle w:val="Titre1"/>
        <w:numPr>
          <w:ilvl w:val="0"/>
          <w:numId w:val="0"/>
        </w:numPr>
        <w:ind w:left="432" w:hanging="432"/>
        <w:jc w:val="both"/>
        <w:rPr>
          <w:rFonts w:asciiTheme="minorHAnsi" w:hAnsiTheme="minorHAnsi" w:cstheme="minorHAnsi"/>
          <w:sz w:val="28"/>
        </w:rPr>
      </w:pPr>
      <w:bookmarkStart w:id="14" w:name="_Toc529305006"/>
      <w:r w:rsidRPr="004A5122">
        <w:rPr>
          <w:rFonts w:asciiTheme="minorHAnsi" w:hAnsiTheme="minorHAnsi" w:cstheme="minorHAnsi"/>
          <w:sz w:val="28"/>
        </w:rPr>
        <w:lastRenderedPageBreak/>
        <w:t xml:space="preserve">Chapitre </w:t>
      </w:r>
      <w:r w:rsidR="008930AA" w:rsidRPr="004A5122">
        <w:rPr>
          <w:rFonts w:asciiTheme="minorHAnsi" w:hAnsiTheme="minorHAnsi" w:cstheme="minorHAnsi"/>
          <w:sz w:val="28"/>
        </w:rPr>
        <w:t>2 :</w:t>
      </w:r>
      <w:r w:rsidR="009044C0" w:rsidRPr="004A5122">
        <w:rPr>
          <w:rFonts w:asciiTheme="minorHAnsi" w:hAnsiTheme="minorHAnsi" w:cstheme="minorHAnsi"/>
          <w:sz w:val="28"/>
        </w:rPr>
        <w:t xml:space="preserve"> </w:t>
      </w:r>
      <w:r w:rsidR="00961DD5" w:rsidRPr="004A5122">
        <w:rPr>
          <w:rFonts w:asciiTheme="minorHAnsi" w:hAnsiTheme="minorHAnsi" w:cstheme="minorHAnsi"/>
          <w:sz w:val="28"/>
        </w:rPr>
        <w:t>Objectifs</w:t>
      </w:r>
      <w:r w:rsidR="00645D04" w:rsidRPr="004A5122">
        <w:rPr>
          <w:rFonts w:asciiTheme="minorHAnsi" w:hAnsiTheme="minorHAnsi" w:cstheme="minorHAnsi"/>
          <w:sz w:val="28"/>
        </w:rPr>
        <w:t>,</w:t>
      </w:r>
      <w:r w:rsidR="009044C0" w:rsidRPr="004A5122">
        <w:rPr>
          <w:rFonts w:asciiTheme="minorHAnsi" w:hAnsiTheme="minorHAnsi" w:cstheme="minorHAnsi"/>
          <w:sz w:val="28"/>
        </w:rPr>
        <w:t xml:space="preserve"> Méthodologie</w:t>
      </w:r>
      <w:r w:rsidR="00645D04" w:rsidRPr="004A5122">
        <w:rPr>
          <w:rFonts w:asciiTheme="minorHAnsi" w:hAnsiTheme="minorHAnsi" w:cstheme="minorHAnsi"/>
          <w:sz w:val="28"/>
        </w:rPr>
        <w:t xml:space="preserve"> et déroulement de la mission</w:t>
      </w:r>
      <w:bookmarkEnd w:id="14"/>
    </w:p>
    <w:p w14:paraId="303D1E02" w14:textId="69366403" w:rsidR="00113973" w:rsidRDefault="00961DD5" w:rsidP="00F12682">
      <w:pPr>
        <w:pStyle w:val="Titre2"/>
        <w:numPr>
          <w:ilvl w:val="1"/>
          <w:numId w:val="1"/>
        </w:numPr>
        <w:rPr>
          <w:rFonts w:asciiTheme="minorHAnsi" w:hAnsiTheme="minorHAnsi" w:cstheme="minorHAnsi"/>
        </w:rPr>
      </w:pPr>
      <w:bookmarkStart w:id="15" w:name="_Toc529305007"/>
      <w:r w:rsidRPr="004A5122">
        <w:rPr>
          <w:rFonts w:asciiTheme="minorHAnsi" w:hAnsiTheme="minorHAnsi" w:cstheme="minorHAnsi"/>
        </w:rPr>
        <w:t>Objectifs et résultats attendus</w:t>
      </w:r>
      <w:bookmarkEnd w:id="15"/>
    </w:p>
    <w:p w14:paraId="507FF362" w14:textId="4BD13AF4" w:rsidR="00210E5F" w:rsidRDefault="00210E5F" w:rsidP="00F12682">
      <w:pPr>
        <w:spacing w:after="100" w:line="276" w:lineRule="auto"/>
        <w:jc w:val="both"/>
        <w:rPr>
          <w:sz w:val="24"/>
          <w:szCs w:val="24"/>
        </w:rPr>
      </w:pPr>
      <w:r w:rsidRPr="00F927F3">
        <w:rPr>
          <w:sz w:val="24"/>
          <w:szCs w:val="24"/>
        </w:rPr>
        <w:t>L’objectif global est de contribuer à l’amélioration de l’efficacité et de l’efficience des dépenses publiques pour la sécurité alimentaire et nutritionnelle et le développement agricole durable</w:t>
      </w:r>
      <w:r w:rsidR="00F927F3">
        <w:rPr>
          <w:sz w:val="24"/>
          <w:szCs w:val="24"/>
        </w:rPr>
        <w:t>.</w:t>
      </w:r>
    </w:p>
    <w:p w14:paraId="57A8D10A" w14:textId="77777777" w:rsidR="00210E5F" w:rsidRPr="00F927F3" w:rsidRDefault="00210E5F" w:rsidP="00F12682">
      <w:pPr>
        <w:spacing w:after="100" w:line="276" w:lineRule="auto"/>
        <w:jc w:val="both"/>
        <w:rPr>
          <w:sz w:val="24"/>
          <w:szCs w:val="24"/>
        </w:rPr>
      </w:pPr>
      <w:r w:rsidRPr="00F927F3">
        <w:rPr>
          <w:sz w:val="24"/>
          <w:szCs w:val="24"/>
        </w:rPr>
        <w:t>Les objectifs spécifiques sont :</w:t>
      </w:r>
    </w:p>
    <w:p w14:paraId="02684FB1" w14:textId="77777777" w:rsidR="00210E5F" w:rsidRPr="00F927F3" w:rsidRDefault="00210E5F" w:rsidP="00F12682">
      <w:pPr>
        <w:numPr>
          <w:ilvl w:val="0"/>
          <w:numId w:val="8"/>
        </w:numPr>
        <w:spacing w:after="100" w:line="276" w:lineRule="auto"/>
        <w:ind w:left="567" w:hanging="210"/>
        <w:jc w:val="both"/>
        <w:rPr>
          <w:sz w:val="24"/>
          <w:szCs w:val="24"/>
        </w:rPr>
      </w:pPr>
      <w:r w:rsidRPr="00F927F3">
        <w:rPr>
          <w:sz w:val="24"/>
          <w:szCs w:val="24"/>
        </w:rPr>
        <w:t>Evaluer le volume global de la dépense dans le domaine de la sécurité alimentaire et nutritionnelle et le développement agricole durable et d’évaluer par-là, le niveau d’atteinte des engagements de Malabo ;</w:t>
      </w:r>
    </w:p>
    <w:p w14:paraId="76C5F1B8" w14:textId="77777777" w:rsidR="00210E5F" w:rsidRPr="00F927F3" w:rsidRDefault="00210E5F" w:rsidP="00F12682">
      <w:pPr>
        <w:numPr>
          <w:ilvl w:val="0"/>
          <w:numId w:val="8"/>
        </w:numPr>
        <w:spacing w:after="100" w:line="276" w:lineRule="auto"/>
        <w:ind w:left="567" w:hanging="210"/>
        <w:jc w:val="both"/>
        <w:rPr>
          <w:sz w:val="24"/>
          <w:szCs w:val="24"/>
        </w:rPr>
      </w:pPr>
      <w:r w:rsidRPr="00F927F3">
        <w:rPr>
          <w:sz w:val="24"/>
          <w:szCs w:val="24"/>
        </w:rPr>
        <w:t>Examiner l’évolution de cette dépense, ainsi que l’évolution de leur composition (dépenses de fonctionnement et dépenses d’investissement) ;</w:t>
      </w:r>
    </w:p>
    <w:p w14:paraId="22D7176F" w14:textId="5383B439" w:rsidR="00210E5F" w:rsidRPr="00F927F3" w:rsidRDefault="00210E5F" w:rsidP="00F12682">
      <w:pPr>
        <w:numPr>
          <w:ilvl w:val="0"/>
          <w:numId w:val="8"/>
        </w:numPr>
        <w:spacing w:after="100" w:line="276" w:lineRule="auto"/>
        <w:ind w:left="567" w:hanging="210"/>
        <w:jc w:val="both"/>
        <w:rPr>
          <w:sz w:val="24"/>
          <w:szCs w:val="24"/>
        </w:rPr>
      </w:pPr>
      <w:r w:rsidRPr="00F927F3">
        <w:rPr>
          <w:sz w:val="24"/>
          <w:szCs w:val="24"/>
        </w:rPr>
        <w:t>Analyser l’impact de la dépense annuelle et analyser l’alignement des dépenses du secteur sur les objectifs/cibles nationaux et sectoriels ;</w:t>
      </w:r>
    </w:p>
    <w:p w14:paraId="30AAC3FC" w14:textId="77777777" w:rsidR="00210E5F" w:rsidRPr="00F927F3" w:rsidRDefault="00210E5F" w:rsidP="00F12682">
      <w:pPr>
        <w:numPr>
          <w:ilvl w:val="0"/>
          <w:numId w:val="8"/>
        </w:numPr>
        <w:spacing w:after="100" w:line="276" w:lineRule="auto"/>
        <w:ind w:left="567" w:hanging="210"/>
        <w:jc w:val="both"/>
        <w:rPr>
          <w:sz w:val="24"/>
          <w:szCs w:val="24"/>
        </w:rPr>
      </w:pPr>
      <w:r w:rsidRPr="00F927F3">
        <w:rPr>
          <w:sz w:val="24"/>
          <w:szCs w:val="24"/>
        </w:rPr>
        <w:t>Formuler des recommandations pour un meilleur ciblage des dépenses publiques dans domaine de la sécurité alimentaire et nutritionnelle et le développement agricole durable.</w:t>
      </w:r>
    </w:p>
    <w:p w14:paraId="02541948" w14:textId="77777777" w:rsidR="00210E5F" w:rsidRPr="00F927F3" w:rsidRDefault="00210E5F" w:rsidP="00F12682">
      <w:pPr>
        <w:spacing w:after="100" w:line="276" w:lineRule="auto"/>
        <w:jc w:val="both"/>
        <w:rPr>
          <w:rFonts w:cs="Calibri"/>
          <w:sz w:val="24"/>
          <w:szCs w:val="24"/>
        </w:rPr>
      </w:pPr>
      <w:r w:rsidRPr="00F927F3">
        <w:rPr>
          <w:rFonts w:cs="Calibri"/>
          <w:sz w:val="24"/>
          <w:szCs w:val="24"/>
        </w:rPr>
        <w:t xml:space="preserve">Les résultats attendus relatives aux dépenses 2016 dans le domaine de la sécurité alimentaire et nutritionnelle et le développement agricole durable (SAN/DAD) et dans le cadre du Plan d´Action 2016-2020 de l´Initiative 3N sont les suivants : </w:t>
      </w:r>
    </w:p>
    <w:p w14:paraId="6F5A7DB9" w14:textId="77777777" w:rsidR="00210E5F" w:rsidRPr="00F927F3" w:rsidRDefault="00210E5F" w:rsidP="00F12682">
      <w:pPr>
        <w:numPr>
          <w:ilvl w:val="0"/>
          <w:numId w:val="9"/>
        </w:numPr>
        <w:spacing w:after="100" w:line="276" w:lineRule="auto"/>
        <w:ind w:left="426" w:hanging="207"/>
        <w:jc w:val="both"/>
        <w:rPr>
          <w:rFonts w:cs="Calibri"/>
          <w:sz w:val="24"/>
          <w:szCs w:val="24"/>
        </w:rPr>
      </w:pPr>
      <w:r w:rsidRPr="00F927F3">
        <w:rPr>
          <w:rFonts w:cs="Calibri"/>
          <w:sz w:val="24"/>
          <w:szCs w:val="24"/>
        </w:rPr>
        <w:t>Une évaluation critique de la performance et de l’efficience de l’ensemble du cycle budgétaire - formulation ; mise en œuvre : budgets, programmes, produits et résultats ; identification des éventuels problèmes d’efficacité de la dépense du secteur ; et recommandations sur les améliorations nécessaires à apporter au cycle ;</w:t>
      </w:r>
    </w:p>
    <w:p w14:paraId="7D96269B" w14:textId="77777777" w:rsidR="00210E5F" w:rsidRPr="00F927F3" w:rsidRDefault="00210E5F" w:rsidP="00F12682">
      <w:pPr>
        <w:numPr>
          <w:ilvl w:val="0"/>
          <w:numId w:val="9"/>
        </w:numPr>
        <w:spacing w:after="100" w:line="276" w:lineRule="auto"/>
        <w:ind w:left="426" w:hanging="207"/>
        <w:jc w:val="both"/>
        <w:rPr>
          <w:rFonts w:cs="Calibri"/>
          <w:sz w:val="24"/>
          <w:szCs w:val="24"/>
        </w:rPr>
      </w:pPr>
      <w:r w:rsidRPr="00F927F3">
        <w:rPr>
          <w:rFonts w:cs="Calibri"/>
          <w:sz w:val="24"/>
          <w:szCs w:val="24"/>
        </w:rPr>
        <w:t>Une appréciation de l’exécution et la performance du budget sectoriel SAN/DAD, par sous-secteur, par poste et par organisme, l’évaluation de l’emploi et de l’efficacité opérationnelle des fonds publics, et l’identification des principaux obstacles à une exécution effective du budget y compris en termes d'analyse de politique économique ;</w:t>
      </w:r>
    </w:p>
    <w:p w14:paraId="0453F795" w14:textId="77777777" w:rsidR="00210E5F" w:rsidRPr="00F927F3" w:rsidRDefault="00210E5F" w:rsidP="00F12682">
      <w:pPr>
        <w:numPr>
          <w:ilvl w:val="0"/>
          <w:numId w:val="9"/>
        </w:numPr>
        <w:spacing w:after="100" w:line="276" w:lineRule="auto"/>
        <w:ind w:left="426" w:hanging="207"/>
        <w:jc w:val="both"/>
        <w:rPr>
          <w:rFonts w:cs="Calibri"/>
          <w:sz w:val="24"/>
          <w:szCs w:val="24"/>
        </w:rPr>
      </w:pPr>
      <w:r w:rsidRPr="00F927F3">
        <w:rPr>
          <w:rFonts w:cs="Calibri"/>
          <w:sz w:val="24"/>
          <w:szCs w:val="24"/>
        </w:rPr>
        <w:t>Une analyse des tendances des allocations budgétaires au secteur, les décaissements correspondants et les dépenses effectives, ainsi que les variances implicites et l’ensemble de l’exécution du budget sectoriel par organisme, à titre d’évaluation de la capacité d’absorption et des problèmes de gestion ;</w:t>
      </w:r>
    </w:p>
    <w:p w14:paraId="244DB891" w14:textId="77777777" w:rsidR="00210E5F" w:rsidRPr="00F927F3" w:rsidRDefault="00210E5F" w:rsidP="00F12682">
      <w:pPr>
        <w:numPr>
          <w:ilvl w:val="0"/>
          <w:numId w:val="9"/>
        </w:numPr>
        <w:spacing w:after="100" w:line="276" w:lineRule="auto"/>
        <w:ind w:left="426" w:hanging="207"/>
        <w:jc w:val="both"/>
        <w:rPr>
          <w:rFonts w:cs="Calibri"/>
          <w:sz w:val="24"/>
          <w:szCs w:val="24"/>
        </w:rPr>
      </w:pPr>
      <w:r w:rsidRPr="00F927F3">
        <w:rPr>
          <w:rFonts w:cs="Calibri"/>
          <w:sz w:val="24"/>
          <w:szCs w:val="24"/>
        </w:rPr>
        <w:t>Une appréciation des allocations et des dépenses du secteur comparées aux principales priorités au sein du secteur. Les liens entre les objectifs, fonctions organisationnelles, produits et ressources disponibles sont-ils appropriés ?</w:t>
      </w:r>
    </w:p>
    <w:p w14:paraId="54AE574F" w14:textId="77777777" w:rsidR="00210E5F" w:rsidRPr="00F927F3" w:rsidRDefault="00210E5F" w:rsidP="00F12682">
      <w:pPr>
        <w:numPr>
          <w:ilvl w:val="0"/>
          <w:numId w:val="9"/>
        </w:numPr>
        <w:spacing w:after="100" w:line="276" w:lineRule="auto"/>
        <w:ind w:left="426" w:hanging="207"/>
        <w:jc w:val="both"/>
        <w:rPr>
          <w:rFonts w:cs="Calibri"/>
          <w:sz w:val="24"/>
          <w:szCs w:val="24"/>
        </w:rPr>
      </w:pPr>
      <w:r w:rsidRPr="00F927F3">
        <w:rPr>
          <w:rFonts w:cs="Calibri"/>
          <w:sz w:val="24"/>
          <w:szCs w:val="24"/>
        </w:rPr>
        <w:t>Une identification de la performance et l’incidence de diverses sources de financement sur l’allocation au secteur SAN/DAD (par exemple : dépenses de projets versus appui budgétaire affecté), et alignement et exécution du budget par rapport aux priorités du secteur ;</w:t>
      </w:r>
    </w:p>
    <w:p w14:paraId="3F585A39" w14:textId="77777777" w:rsidR="00210E5F" w:rsidRPr="00F927F3" w:rsidRDefault="00210E5F" w:rsidP="00F12682">
      <w:pPr>
        <w:numPr>
          <w:ilvl w:val="0"/>
          <w:numId w:val="9"/>
        </w:numPr>
        <w:spacing w:after="100" w:line="276" w:lineRule="auto"/>
        <w:ind w:left="426" w:hanging="207"/>
        <w:jc w:val="both"/>
        <w:rPr>
          <w:rFonts w:cs="Calibri"/>
          <w:sz w:val="24"/>
          <w:szCs w:val="24"/>
        </w:rPr>
      </w:pPr>
      <w:r w:rsidRPr="00F927F3">
        <w:rPr>
          <w:rFonts w:cs="Calibri"/>
          <w:sz w:val="24"/>
          <w:szCs w:val="24"/>
        </w:rPr>
        <w:t>Une analyse de la capacité des institutions sectorielles à formuler et exécuter leurs budgets et à présenter de façon convaincante leurs demandes d’accès aux ressources publiques ;</w:t>
      </w:r>
    </w:p>
    <w:p w14:paraId="3B8A2575" w14:textId="77777777" w:rsidR="00210E5F" w:rsidRPr="00F927F3" w:rsidRDefault="00210E5F" w:rsidP="00F12682">
      <w:pPr>
        <w:numPr>
          <w:ilvl w:val="0"/>
          <w:numId w:val="9"/>
        </w:numPr>
        <w:spacing w:after="100" w:line="276" w:lineRule="auto"/>
        <w:ind w:left="426" w:hanging="207"/>
        <w:jc w:val="both"/>
        <w:rPr>
          <w:rFonts w:cs="Calibri"/>
          <w:sz w:val="24"/>
          <w:szCs w:val="24"/>
        </w:rPr>
      </w:pPr>
      <w:r w:rsidRPr="00F927F3">
        <w:rPr>
          <w:rFonts w:cs="Calibri"/>
          <w:sz w:val="24"/>
          <w:szCs w:val="24"/>
        </w:rPr>
        <w:lastRenderedPageBreak/>
        <w:t>Une situation de référence pour les éventuelles « revues légères » qui donneront des indications utiles pour les programmations budgétaires annuelles pour le secteur de la sécurité alimentaire et nutritionnelle est établie.</w:t>
      </w:r>
    </w:p>
    <w:p w14:paraId="010714D8" w14:textId="77777777" w:rsidR="00F927F3" w:rsidRPr="00F927F3" w:rsidRDefault="00210E5F" w:rsidP="00F12682">
      <w:pPr>
        <w:tabs>
          <w:tab w:val="left" w:pos="2769"/>
        </w:tabs>
        <w:spacing w:after="100" w:line="276" w:lineRule="auto"/>
        <w:jc w:val="both"/>
        <w:rPr>
          <w:rFonts w:cs="Calibri"/>
          <w:sz w:val="24"/>
          <w:szCs w:val="24"/>
        </w:rPr>
      </w:pPr>
      <w:r w:rsidRPr="00F927F3">
        <w:rPr>
          <w:rFonts w:cs="Calibri"/>
          <w:sz w:val="24"/>
          <w:szCs w:val="24"/>
        </w:rPr>
        <w:t>La revue appréciera également le niveau d’accessibilité et de fiabilité des informations relatives aux dépenses du secteur pour l</w:t>
      </w:r>
      <w:r w:rsidR="00F927F3" w:rsidRPr="00F927F3">
        <w:rPr>
          <w:rFonts w:cs="Calibri"/>
          <w:sz w:val="24"/>
          <w:szCs w:val="24"/>
        </w:rPr>
        <w:t>’</w:t>
      </w:r>
      <w:r w:rsidRPr="00F927F3">
        <w:rPr>
          <w:rFonts w:cs="Calibri"/>
          <w:sz w:val="24"/>
          <w:szCs w:val="24"/>
        </w:rPr>
        <w:t>année 2016</w:t>
      </w:r>
      <w:r w:rsidR="00F927F3" w:rsidRPr="00F927F3">
        <w:rPr>
          <w:rFonts w:cs="Calibri"/>
          <w:sz w:val="24"/>
          <w:szCs w:val="24"/>
        </w:rPr>
        <w:t>.</w:t>
      </w:r>
    </w:p>
    <w:p w14:paraId="77609D50" w14:textId="77777777" w:rsidR="00210E5F" w:rsidRPr="00F927F3" w:rsidRDefault="00210E5F" w:rsidP="00F12682">
      <w:pPr>
        <w:spacing w:after="0" w:line="276" w:lineRule="auto"/>
        <w:rPr>
          <w:sz w:val="24"/>
          <w:szCs w:val="24"/>
        </w:rPr>
      </w:pPr>
    </w:p>
    <w:p w14:paraId="389D5477" w14:textId="48D992E6" w:rsidR="00630C7B" w:rsidRDefault="00630C7B" w:rsidP="00F12682">
      <w:pPr>
        <w:pStyle w:val="Titre2"/>
        <w:numPr>
          <w:ilvl w:val="1"/>
          <w:numId w:val="1"/>
        </w:numPr>
        <w:rPr>
          <w:rFonts w:asciiTheme="minorHAnsi" w:hAnsiTheme="minorHAnsi" w:cstheme="minorHAnsi"/>
        </w:rPr>
      </w:pPr>
      <w:bookmarkStart w:id="16" w:name="_Toc520652779"/>
      <w:bookmarkStart w:id="17" w:name="_Toc520736938"/>
      <w:bookmarkStart w:id="18" w:name="_Toc523405202"/>
      <w:bookmarkStart w:id="19" w:name="_Toc523405294"/>
      <w:bookmarkStart w:id="20" w:name="_Toc523577318"/>
      <w:bookmarkStart w:id="21" w:name="_Toc529305008"/>
      <w:bookmarkEnd w:id="16"/>
      <w:bookmarkEnd w:id="17"/>
      <w:bookmarkEnd w:id="18"/>
      <w:bookmarkEnd w:id="19"/>
      <w:bookmarkEnd w:id="20"/>
      <w:r w:rsidRPr="004A5122">
        <w:rPr>
          <w:rFonts w:asciiTheme="minorHAnsi" w:hAnsiTheme="minorHAnsi" w:cstheme="minorHAnsi"/>
        </w:rPr>
        <w:t xml:space="preserve">Approche </w:t>
      </w:r>
      <w:r w:rsidR="00113973" w:rsidRPr="004A5122">
        <w:rPr>
          <w:rFonts w:asciiTheme="minorHAnsi" w:hAnsiTheme="minorHAnsi" w:cstheme="minorHAnsi"/>
        </w:rPr>
        <w:t>méthodologique</w:t>
      </w:r>
      <w:r w:rsidR="00B03B89" w:rsidRPr="004A5122">
        <w:rPr>
          <w:rFonts w:asciiTheme="minorHAnsi" w:hAnsiTheme="minorHAnsi" w:cstheme="minorHAnsi"/>
        </w:rPr>
        <w:t xml:space="preserve"> de la revue</w:t>
      </w:r>
      <w:r w:rsidR="00B31EB5">
        <w:rPr>
          <w:rFonts w:asciiTheme="minorHAnsi" w:hAnsiTheme="minorHAnsi" w:cstheme="minorHAnsi"/>
        </w:rPr>
        <w:t xml:space="preserve"> et déroulement de la mission</w:t>
      </w:r>
      <w:bookmarkEnd w:id="21"/>
    </w:p>
    <w:p w14:paraId="43C5214F" w14:textId="77777777" w:rsidR="00210E5F" w:rsidRPr="00F927F3" w:rsidRDefault="00210E5F" w:rsidP="00F12682">
      <w:pPr>
        <w:autoSpaceDE w:val="0"/>
        <w:autoSpaceDN w:val="0"/>
        <w:adjustRightInd w:val="0"/>
        <w:spacing w:after="120" w:line="276" w:lineRule="auto"/>
        <w:jc w:val="both"/>
        <w:rPr>
          <w:rFonts w:cs="Calibri"/>
          <w:sz w:val="24"/>
          <w:szCs w:val="24"/>
        </w:rPr>
      </w:pPr>
      <w:r w:rsidRPr="00F927F3">
        <w:rPr>
          <w:rFonts w:cs="Calibri"/>
          <w:sz w:val="24"/>
          <w:szCs w:val="24"/>
        </w:rPr>
        <w:t>La méthodologie proposée pour mener la revue des dépenses 2016 est basée sur le "manuel de la revue des dépenses publiques sectoriel" de la Banque Mondiale. Ainsi, l’approche méthodologique a privilégié un certain nombre de principes et a proposé une structuration par phase et étapes.</w:t>
      </w:r>
    </w:p>
    <w:p w14:paraId="79EA897C" w14:textId="77777777" w:rsidR="00210E5F" w:rsidRPr="007D560C" w:rsidRDefault="00210E5F" w:rsidP="00F12682">
      <w:pPr>
        <w:autoSpaceDE w:val="0"/>
        <w:autoSpaceDN w:val="0"/>
        <w:adjustRightInd w:val="0"/>
        <w:spacing w:after="120" w:line="276" w:lineRule="auto"/>
        <w:jc w:val="both"/>
        <w:rPr>
          <w:rFonts w:cs="Calibri"/>
          <w:i/>
          <w:sz w:val="24"/>
          <w:szCs w:val="24"/>
        </w:rPr>
      </w:pPr>
      <w:bookmarkStart w:id="22" w:name="_Toc516421849"/>
      <w:bookmarkStart w:id="23" w:name="_Toc516510308"/>
      <w:r w:rsidRPr="007D560C">
        <w:rPr>
          <w:rFonts w:cs="Calibri"/>
          <w:i/>
          <w:sz w:val="24"/>
          <w:szCs w:val="24"/>
          <w:u w:val="single"/>
        </w:rPr>
        <w:t>Etape 1</w:t>
      </w:r>
      <w:r w:rsidRPr="007D560C">
        <w:rPr>
          <w:rFonts w:cs="Calibri"/>
          <w:i/>
          <w:sz w:val="24"/>
          <w:szCs w:val="24"/>
        </w:rPr>
        <w:t> : Principes de base</w:t>
      </w:r>
      <w:bookmarkEnd w:id="22"/>
      <w:bookmarkEnd w:id="23"/>
    </w:p>
    <w:p w14:paraId="35A95468" w14:textId="77777777" w:rsidR="00210E5F" w:rsidRPr="00F927F3" w:rsidRDefault="00210E5F" w:rsidP="00F12682">
      <w:pPr>
        <w:pStyle w:val="Paragraphedeliste"/>
        <w:spacing w:after="120" w:line="276" w:lineRule="auto"/>
        <w:ind w:left="0"/>
        <w:contextualSpacing w:val="0"/>
        <w:jc w:val="both"/>
        <w:rPr>
          <w:rFonts w:cs="Arial"/>
          <w:spacing w:val="-1"/>
          <w:sz w:val="24"/>
          <w:szCs w:val="24"/>
          <w:lang w:eastAsia="fr-FR"/>
        </w:rPr>
      </w:pPr>
      <w:r w:rsidRPr="00F927F3">
        <w:rPr>
          <w:rFonts w:cs="Arial"/>
          <w:spacing w:val="-1"/>
          <w:sz w:val="24"/>
          <w:szCs w:val="24"/>
          <w:lang w:eastAsia="fr-FR"/>
        </w:rPr>
        <w:t>Les principes ordinaires suivants ont servi de socle à l’étude. Il s’agit de :</w:t>
      </w:r>
    </w:p>
    <w:p w14:paraId="3C17E516" w14:textId="77777777" w:rsidR="00210E5F" w:rsidRPr="00F927F3" w:rsidRDefault="00210E5F" w:rsidP="00F12682">
      <w:pPr>
        <w:pStyle w:val="Paragraphedeliste"/>
        <w:numPr>
          <w:ilvl w:val="0"/>
          <w:numId w:val="38"/>
        </w:numPr>
        <w:spacing w:after="60" w:line="276" w:lineRule="auto"/>
        <w:ind w:left="567" w:hanging="210"/>
        <w:contextualSpacing w:val="0"/>
        <w:jc w:val="both"/>
        <w:rPr>
          <w:rFonts w:cs="Arial"/>
          <w:spacing w:val="-1"/>
          <w:sz w:val="24"/>
          <w:szCs w:val="24"/>
          <w:lang w:eastAsia="fr-FR"/>
        </w:rPr>
      </w:pPr>
      <w:r w:rsidRPr="00F927F3">
        <w:rPr>
          <w:rFonts w:cs="Arial"/>
          <w:spacing w:val="-1"/>
          <w:sz w:val="24"/>
          <w:szCs w:val="24"/>
          <w:lang w:eastAsia="fr-FR"/>
        </w:rPr>
        <w:t>la méthode participative : Participation de tous acteurs institutionnels de la chaine des dépenses du secteur ;</w:t>
      </w:r>
    </w:p>
    <w:p w14:paraId="7BBC4585" w14:textId="77777777" w:rsidR="00210E5F" w:rsidRPr="00F927F3" w:rsidRDefault="00210E5F" w:rsidP="00F12682">
      <w:pPr>
        <w:pStyle w:val="Paragraphedeliste"/>
        <w:numPr>
          <w:ilvl w:val="0"/>
          <w:numId w:val="38"/>
        </w:numPr>
        <w:spacing w:after="60" w:line="276" w:lineRule="auto"/>
        <w:ind w:left="567" w:hanging="210"/>
        <w:contextualSpacing w:val="0"/>
        <w:jc w:val="both"/>
        <w:rPr>
          <w:rFonts w:cs="Arial"/>
          <w:spacing w:val="-1"/>
          <w:sz w:val="24"/>
          <w:szCs w:val="24"/>
          <w:lang w:eastAsia="fr-FR"/>
        </w:rPr>
      </w:pPr>
      <w:r w:rsidRPr="00F927F3">
        <w:rPr>
          <w:rFonts w:cs="Arial"/>
          <w:spacing w:val="-1"/>
          <w:sz w:val="24"/>
          <w:szCs w:val="24"/>
          <w:lang w:eastAsia="fr-FR"/>
        </w:rPr>
        <w:t>la recherche du consensus : Feedback régulier au commanditaire (comité de suivi de la RDP, HC3N), discussions) ;</w:t>
      </w:r>
    </w:p>
    <w:p w14:paraId="00C3F8EE" w14:textId="77777777" w:rsidR="00210E5F" w:rsidRPr="00F927F3" w:rsidRDefault="00210E5F" w:rsidP="00F12682">
      <w:pPr>
        <w:pStyle w:val="Paragraphedeliste"/>
        <w:numPr>
          <w:ilvl w:val="0"/>
          <w:numId w:val="38"/>
        </w:numPr>
        <w:spacing w:after="60" w:line="276" w:lineRule="auto"/>
        <w:ind w:left="567" w:hanging="210"/>
        <w:contextualSpacing w:val="0"/>
        <w:jc w:val="both"/>
        <w:rPr>
          <w:rFonts w:cs="Arial"/>
          <w:spacing w:val="-1"/>
          <w:sz w:val="24"/>
          <w:szCs w:val="24"/>
          <w:lang w:eastAsia="fr-FR"/>
        </w:rPr>
      </w:pPr>
      <w:r w:rsidRPr="00F927F3">
        <w:rPr>
          <w:rFonts w:cs="Arial"/>
          <w:spacing w:val="-1"/>
          <w:sz w:val="24"/>
          <w:szCs w:val="24"/>
          <w:lang w:eastAsia="fr-FR"/>
        </w:rPr>
        <w:t>la formulation de recommandation visant l’amélioration de l’efficacité et la pertinence des dépenses</w:t>
      </w:r>
    </w:p>
    <w:p w14:paraId="79316E71" w14:textId="77777777" w:rsidR="00210E5F" w:rsidRPr="00F927F3" w:rsidRDefault="00210E5F" w:rsidP="00F12682">
      <w:pPr>
        <w:pStyle w:val="Paragraphedeliste"/>
        <w:numPr>
          <w:ilvl w:val="0"/>
          <w:numId w:val="38"/>
        </w:numPr>
        <w:spacing w:after="60" w:line="276" w:lineRule="auto"/>
        <w:ind w:left="567" w:hanging="210"/>
        <w:contextualSpacing w:val="0"/>
        <w:jc w:val="both"/>
        <w:rPr>
          <w:rFonts w:cs="Arial"/>
          <w:spacing w:val="-1"/>
          <w:sz w:val="24"/>
          <w:szCs w:val="24"/>
          <w:lang w:eastAsia="fr-FR"/>
        </w:rPr>
      </w:pPr>
      <w:r w:rsidRPr="00F927F3">
        <w:rPr>
          <w:rFonts w:cs="Arial"/>
          <w:spacing w:val="-1"/>
          <w:sz w:val="24"/>
          <w:szCs w:val="24"/>
          <w:lang w:eastAsia="fr-FR"/>
        </w:rPr>
        <w:t>le respect des délais et livrables.</w:t>
      </w:r>
    </w:p>
    <w:p w14:paraId="1C4B04C9" w14:textId="77777777" w:rsidR="00210E5F" w:rsidRPr="007D560C" w:rsidRDefault="00210E5F" w:rsidP="00F12682">
      <w:pPr>
        <w:autoSpaceDE w:val="0"/>
        <w:autoSpaceDN w:val="0"/>
        <w:adjustRightInd w:val="0"/>
        <w:spacing w:after="120" w:line="276" w:lineRule="auto"/>
        <w:jc w:val="both"/>
        <w:rPr>
          <w:rFonts w:cs="Calibri"/>
          <w:i/>
          <w:sz w:val="24"/>
          <w:szCs w:val="24"/>
        </w:rPr>
      </w:pPr>
      <w:bookmarkStart w:id="24" w:name="_Toc516421850"/>
      <w:bookmarkStart w:id="25" w:name="_Toc516510309"/>
      <w:r w:rsidRPr="007D560C">
        <w:rPr>
          <w:rFonts w:cs="Calibri"/>
          <w:i/>
          <w:sz w:val="24"/>
          <w:szCs w:val="24"/>
          <w:u w:val="single"/>
        </w:rPr>
        <w:t>Etape 2</w:t>
      </w:r>
      <w:r w:rsidRPr="007D560C">
        <w:rPr>
          <w:rFonts w:cs="Calibri"/>
          <w:i/>
          <w:sz w:val="24"/>
          <w:szCs w:val="24"/>
        </w:rPr>
        <w:t> : Structuration méthodologique</w:t>
      </w:r>
      <w:bookmarkEnd w:id="24"/>
      <w:bookmarkEnd w:id="25"/>
    </w:p>
    <w:p w14:paraId="0503612C" w14:textId="77777777" w:rsidR="00210E5F" w:rsidRPr="00F927F3" w:rsidRDefault="00210E5F" w:rsidP="00F12682">
      <w:pPr>
        <w:spacing w:after="120" w:line="276" w:lineRule="auto"/>
        <w:rPr>
          <w:sz w:val="24"/>
          <w:szCs w:val="24"/>
          <w:lang w:eastAsia="fr-FR"/>
        </w:rPr>
      </w:pPr>
      <w:bookmarkStart w:id="26" w:name="_Toc516421851"/>
      <w:bookmarkStart w:id="27" w:name="_Toc516510310"/>
      <w:r w:rsidRPr="00F927F3">
        <w:rPr>
          <w:sz w:val="24"/>
          <w:szCs w:val="24"/>
          <w:u w:val="single"/>
          <w:lang w:eastAsia="fr-FR"/>
        </w:rPr>
        <w:t>Phase 1</w:t>
      </w:r>
      <w:r w:rsidRPr="00F927F3">
        <w:rPr>
          <w:sz w:val="24"/>
          <w:szCs w:val="24"/>
          <w:lang w:eastAsia="fr-FR"/>
        </w:rPr>
        <w:t xml:space="preserve"> : Préparation</w:t>
      </w:r>
      <w:bookmarkEnd w:id="26"/>
      <w:bookmarkEnd w:id="27"/>
    </w:p>
    <w:p w14:paraId="6DB399C4" w14:textId="77777777" w:rsidR="00210E5F" w:rsidRPr="00F927F3" w:rsidRDefault="00210E5F" w:rsidP="00F12682">
      <w:pPr>
        <w:spacing w:after="120" w:line="276" w:lineRule="auto"/>
        <w:rPr>
          <w:sz w:val="24"/>
          <w:szCs w:val="24"/>
          <w:lang w:eastAsia="fr-FR"/>
        </w:rPr>
      </w:pPr>
      <w:r w:rsidRPr="00F927F3">
        <w:rPr>
          <w:sz w:val="24"/>
          <w:szCs w:val="24"/>
          <w:lang w:eastAsia="fr-FR"/>
        </w:rPr>
        <w:t>Elle a consisté aux activités suivantes :</w:t>
      </w:r>
    </w:p>
    <w:p w14:paraId="1E1EEAAB" w14:textId="77777777" w:rsidR="00210E5F" w:rsidRPr="00F927F3" w:rsidRDefault="00210E5F" w:rsidP="00F12682">
      <w:pPr>
        <w:pStyle w:val="Paragraphedeliste"/>
        <w:numPr>
          <w:ilvl w:val="0"/>
          <w:numId w:val="11"/>
        </w:numPr>
        <w:spacing w:after="120" w:line="276" w:lineRule="auto"/>
        <w:ind w:hanging="218"/>
        <w:contextualSpacing w:val="0"/>
        <w:jc w:val="both"/>
        <w:rPr>
          <w:rFonts w:cs="Calibri"/>
          <w:sz w:val="24"/>
          <w:szCs w:val="24"/>
        </w:rPr>
      </w:pPr>
      <w:r w:rsidRPr="00F927F3">
        <w:rPr>
          <w:rFonts w:cs="Calibri"/>
          <w:sz w:val="24"/>
          <w:szCs w:val="24"/>
        </w:rPr>
        <w:t xml:space="preserve">Réunion de cadrage : </w:t>
      </w:r>
    </w:p>
    <w:p w14:paraId="231D5C58" w14:textId="77777777" w:rsidR="00210E5F" w:rsidRPr="00F927F3" w:rsidRDefault="00210E5F" w:rsidP="00F12682">
      <w:pPr>
        <w:pStyle w:val="Paragraphedeliste"/>
        <w:numPr>
          <w:ilvl w:val="1"/>
          <w:numId w:val="15"/>
        </w:numPr>
        <w:spacing w:after="60" w:line="276" w:lineRule="auto"/>
        <w:ind w:left="709" w:hanging="273"/>
        <w:contextualSpacing w:val="0"/>
        <w:jc w:val="both"/>
        <w:rPr>
          <w:rFonts w:cs="Calibri"/>
          <w:sz w:val="24"/>
          <w:szCs w:val="24"/>
        </w:rPr>
      </w:pPr>
      <w:r w:rsidRPr="00F927F3">
        <w:rPr>
          <w:rFonts w:cs="Calibri"/>
          <w:sz w:val="24"/>
          <w:szCs w:val="24"/>
        </w:rPr>
        <w:t xml:space="preserve">Participants : consultants et les cadres ministériels devant accompagner le processus, </w:t>
      </w:r>
    </w:p>
    <w:p w14:paraId="386C549E" w14:textId="77777777" w:rsidR="00210E5F" w:rsidRPr="00F927F3" w:rsidRDefault="00210E5F" w:rsidP="00F12682">
      <w:pPr>
        <w:pStyle w:val="Paragraphedeliste"/>
        <w:numPr>
          <w:ilvl w:val="1"/>
          <w:numId w:val="11"/>
        </w:numPr>
        <w:spacing w:after="60" w:line="276" w:lineRule="auto"/>
        <w:ind w:left="709" w:hanging="273"/>
        <w:contextualSpacing w:val="0"/>
        <w:jc w:val="both"/>
        <w:rPr>
          <w:rFonts w:cs="Calibri"/>
          <w:sz w:val="24"/>
          <w:szCs w:val="24"/>
        </w:rPr>
      </w:pPr>
      <w:r w:rsidRPr="00F927F3">
        <w:rPr>
          <w:rFonts w:cs="Calibri"/>
          <w:sz w:val="24"/>
          <w:szCs w:val="24"/>
        </w:rPr>
        <w:t>Objectif : i) Compréhension des TDR en particulier le cahier de charge de l’équipe de consultants et les résultats attendus, ii) Calendrier précis des travaux - chronogramme ;</w:t>
      </w:r>
    </w:p>
    <w:p w14:paraId="2EF6F12A" w14:textId="77777777" w:rsidR="00210E5F" w:rsidRPr="00F927F3" w:rsidRDefault="00210E5F" w:rsidP="00F12682">
      <w:pPr>
        <w:pStyle w:val="Paragraphedeliste"/>
        <w:numPr>
          <w:ilvl w:val="0"/>
          <w:numId w:val="11"/>
        </w:numPr>
        <w:spacing w:after="120" w:line="276" w:lineRule="auto"/>
        <w:ind w:hanging="218"/>
        <w:contextualSpacing w:val="0"/>
        <w:jc w:val="both"/>
        <w:rPr>
          <w:rFonts w:cs="Calibri"/>
          <w:sz w:val="24"/>
          <w:szCs w:val="24"/>
        </w:rPr>
      </w:pPr>
      <w:r w:rsidRPr="00F927F3">
        <w:rPr>
          <w:rFonts w:cs="Calibri"/>
          <w:sz w:val="24"/>
          <w:szCs w:val="24"/>
        </w:rPr>
        <w:t>Préparation du cadre d’analyse et élaboration des fiches et outils de collecte des informations ;</w:t>
      </w:r>
    </w:p>
    <w:p w14:paraId="528EA1D6" w14:textId="77777777" w:rsidR="00210E5F" w:rsidRPr="00F927F3" w:rsidRDefault="00210E5F" w:rsidP="00F12682">
      <w:pPr>
        <w:pStyle w:val="Paragraphedeliste"/>
        <w:numPr>
          <w:ilvl w:val="0"/>
          <w:numId w:val="11"/>
        </w:numPr>
        <w:spacing w:after="120" w:line="276" w:lineRule="auto"/>
        <w:ind w:hanging="218"/>
        <w:contextualSpacing w:val="0"/>
        <w:jc w:val="both"/>
        <w:rPr>
          <w:rFonts w:cs="Calibri"/>
          <w:sz w:val="24"/>
          <w:szCs w:val="24"/>
        </w:rPr>
      </w:pPr>
      <w:r w:rsidRPr="00F927F3">
        <w:rPr>
          <w:rFonts w:cs="Calibri"/>
          <w:sz w:val="24"/>
          <w:szCs w:val="24"/>
        </w:rPr>
        <w:t>Identification des catégories et des sources de données.</w:t>
      </w:r>
    </w:p>
    <w:p w14:paraId="6552153A" w14:textId="77777777" w:rsidR="00210E5F" w:rsidRPr="00F927F3" w:rsidRDefault="00210E5F" w:rsidP="00F12682">
      <w:pPr>
        <w:spacing w:after="120" w:line="276" w:lineRule="auto"/>
        <w:rPr>
          <w:sz w:val="24"/>
          <w:szCs w:val="24"/>
          <w:lang w:eastAsia="fr-FR"/>
        </w:rPr>
      </w:pPr>
      <w:bookmarkStart w:id="28" w:name="_Toc516421852"/>
      <w:bookmarkStart w:id="29" w:name="_Toc516510311"/>
      <w:r w:rsidRPr="00F927F3">
        <w:rPr>
          <w:sz w:val="24"/>
          <w:szCs w:val="24"/>
          <w:u w:val="single"/>
          <w:lang w:eastAsia="fr-FR"/>
        </w:rPr>
        <w:t>Phase 2</w:t>
      </w:r>
      <w:r w:rsidRPr="00F927F3">
        <w:rPr>
          <w:sz w:val="24"/>
          <w:szCs w:val="24"/>
          <w:lang w:eastAsia="fr-FR"/>
        </w:rPr>
        <w:t> : Collecte données / informations</w:t>
      </w:r>
      <w:bookmarkEnd w:id="28"/>
      <w:bookmarkEnd w:id="29"/>
    </w:p>
    <w:p w14:paraId="19054217" w14:textId="435A4CDD" w:rsidR="00210E5F" w:rsidRPr="00F927F3" w:rsidRDefault="00210E5F" w:rsidP="00F12682">
      <w:pPr>
        <w:pStyle w:val="Paragraphedeliste"/>
        <w:spacing w:after="120" w:line="276" w:lineRule="auto"/>
        <w:ind w:left="0"/>
        <w:contextualSpacing w:val="0"/>
        <w:jc w:val="both"/>
        <w:rPr>
          <w:rFonts w:cs="Calibri"/>
          <w:sz w:val="24"/>
          <w:szCs w:val="24"/>
        </w:rPr>
      </w:pPr>
      <w:r w:rsidRPr="00F927F3">
        <w:rPr>
          <w:rFonts w:cs="Calibri"/>
          <w:sz w:val="24"/>
          <w:szCs w:val="24"/>
        </w:rPr>
        <w:t xml:space="preserve">Il </w:t>
      </w:r>
      <w:r w:rsidR="002779E9" w:rsidRPr="00F927F3">
        <w:rPr>
          <w:sz w:val="24"/>
          <w:szCs w:val="24"/>
          <w:lang w:eastAsia="fr-FR"/>
        </w:rPr>
        <w:t>s’</w:t>
      </w:r>
      <w:r w:rsidR="002779E9">
        <w:rPr>
          <w:sz w:val="24"/>
          <w:szCs w:val="24"/>
          <w:lang w:eastAsia="fr-FR"/>
        </w:rPr>
        <w:t xml:space="preserve">est </w:t>
      </w:r>
      <w:r w:rsidR="002779E9" w:rsidRPr="00F927F3">
        <w:rPr>
          <w:sz w:val="24"/>
          <w:szCs w:val="24"/>
          <w:lang w:eastAsia="fr-FR"/>
        </w:rPr>
        <w:t>agi</w:t>
      </w:r>
      <w:r w:rsidRPr="00F927F3">
        <w:rPr>
          <w:rFonts w:cs="Calibri"/>
          <w:sz w:val="24"/>
          <w:szCs w:val="24"/>
        </w:rPr>
        <w:t xml:space="preserve"> de : </w:t>
      </w:r>
    </w:p>
    <w:p w14:paraId="79C53508" w14:textId="77777777" w:rsidR="00210E5F" w:rsidRPr="00F927F3" w:rsidRDefault="00210E5F" w:rsidP="00F12682">
      <w:pPr>
        <w:pStyle w:val="Paragraphedeliste"/>
        <w:numPr>
          <w:ilvl w:val="0"/>
          <w:numId w:val="11"/>
        </w:numPr>
        <w:spacing w:after="120" w:line="276" w:lineRule="auto"/>
        <w:ind w:hanging="218"/>
        <w:contextualSpacing w:val="0"/>
        <w:jc w:val="both"/>
        <w:rPr>
          <w:rFonts w:cs="Calibri"/>
          <w:sz w:val="24"/>
          <w:szCs w:val="24"/>
        </w:rPr>
      </w:pPr>
      <w:r w:rsidRPr="00F927F3">
        <w:rPr>
          <w:rFonts w:cs="Calibri"/>
          <w:sz w:val="24"/>
          <w:szCs w:val="24"/>
        </w:rPr>
        <w:t>Collecte de la documentation disponible auprès des structures suivantes : les DEP, DRFM, DS et DRH des ministères et Institutions en charge de la mise en œuvre de l’Initiative 3N, le Ministère en charge des Finances, le HC3N ;</w:t>
      </w:r>
    </w:p>
    <w:p w14:paraId="1D907B74" w14:textId="77777777" w:rsidR="00210E5F" w:rsidRPr="00F927F3" w:rsidRDefault="00210E5F" w:rsidP="00F12682">
      <w:pPr>
        <w:pStyle w:val="Paragraphedeliste"/>
        <w:numPr>
          <w:ilvl w:val="0"/>
          <w:numId w:val="11"/>
        </w:numPr>
        <w:spacing w:after="120" w:line="276" w:lineRule="auto"/>
        <w:ind w:hanging="218"/>
        <w:contextualSpacing w:val="0"/>
        <w:jc w:val="both"/>
        <w:rPr>
          <w:rFonts w:cs="Calibri"/>
          <w:sz w:val="24"/>
          <w:szCs w:val="24"/>
        </w:rPr>
      </w:pPr>
      <w:r w:rsidRPr="00F927F3">
        <w:rPr>
          <w:rFonts w:cs="Calibri"/>
          <w:sz w:val="24"/>
          <w:szCs w:val="24"/>
        </w:rPr>
        <w:t xml:space="preserve">Organiser des entretiens liminaires avec les acteurs clés de la chaine de dépense, depuis la décision à l’évaluation de la dépense. </w:t>
      </w:r>
    </w:p>
    <w:p w14:paraId="143E1CC5" w14:textId="77777777" w:rsidR="00406E83" w:rsidRPr="00DB747C" w:rsidRDefault="00406E83" w:rsidP="00F12682">
      <w:pPr>
        <w:spacing w:after="0" w:line="240" w:lineRule="auto"/>
        <w:jc w:val="both"/>
        <w:rPr>
          <w:rFonts w:cs="Arial"/>
          <w:spacing w:val="-1"/>
          <w:sz w:val="24"/>
          <w:szCs w:val="24"/>
          <w:lang w:eastAsia="fr-FR"/>
        </w:rPr>
      </w:pPr>
      <w:bookmarkStart w:id="30" w:name="_Toc516421853"/>
      <w:bookmarkStart w:id="31" w:name="_Toc516510312"/>
    </w:p>
    <w:p w14:paraId="4ADCDB3F" w14:textId="77777777" w:rsidR="00210E5F" w:rsidRPr="00F927F3" w:rsidRDefault="00210E5F" w:rsidP="00F12682">
      <w:pPr>
        <w:spacing w:after="120" w:line="276" w:lineRule="auto"/>
        <w:rPr>
          <w:sz w:val="24"/>
          <w:szCs w:val="24"/>
          <w:lang w:eastAsia="fr-FR"/>
        </w:rPr>
      </w:pPr>
      <w:r w:rsidRPr="00406E83">
        <w:rPr>
          <w:sz w:val="24"/>
          <w:szCs w:val="24"/>
          <w:u w:val="single"/>
          <w:lang w:eastAsia="fr-FR"/>
        </w:rPr>
        <w:t>Phase 3</w:t>
      </w:r>
      <w:r w:rsidRPr="00F927F3">
        <w:rPr>
          <w:sz w:val="24"/>
          <w:szCs w:val="24"/>
          <w:lang w:eastAsia="fr-FR"/>
        </w:rPr>
        <w:t> : Traitement et analyse des données</w:t>
      </w:r>
      <w:bookmarkEnd w:id="30"/>
      <w:bookmarkEnd w:id="31"/>
    </w:p>
    <w:p w14:paraId="15D3CC04" w14:textId="663F77BA" w:rsidR="00210E5F" w:rsidRPr="00F927F3" w:rsidRDefault="00210E5F" w:rsidP="00F12682">
      <w:pPr>
        <w:spacing w:after="120" w:line="276" w:lineRule="auto"/>
        <w:rPr>
          <w:sz w:val="24"/>
          <w:szCs w:val="24"/>
          <w:lang w:eastAsia="fr-FR"/>
        </w:rPr>
      </w:pPr>
      <w:r w:rsidRPr="00F927F3">
        <w:rPr>
          <w:sz w:val="24"/>
          <w:szCs w:val="24"/>
          <w:lang w:eastAsia="fr-FR"/>
        </w:rPr>
        <w:t xml:space="preserve">Cette phase consiste aux traitements et </w:t>
      </w:r>
      <w:r w:rsidR="00CA4C05">
        <w:rPr>
          <w:sz w:val="24"/>
          <w:szCs w:val="24"/>
          <w:lang w:eastAsia="fr-FR"/>
        </w:rPr>
        <w:t>à l’</w:t>
      </w:r>
      <w:r w:rsidRPr="00F927F3">
        <w:rPr>
          <w:sz w:val="24"/>
          <w:szCs w:val="24"/>
          <w:lang w:eastAsia="fr-FR"/>
        </w:rPr>
        <w:t>analyse des informations relatives à la RDP. Il s’</w:t>
      </w:r>
      <w:r w:rsidR="005F3BBA">
        <w:rPr>
          <w:sz w:val="24"/>
          <w:szCs w:val="24"/>
          <w:lang w:eastAsia="fr-FR"/>
        </w:rPr>
        <w:t xml:space="preserve">est </w:t>
      </w:r>
      <w:r w:rsidRPr="00F927F3">
        <w:rPr>
          <w:sz w:val="24"/>
          <w:szCs w:val="24"/>
          <w:lang w:eastAsia="fr-FR"/>
        </w:rPr>
        <w:t xml:space="preserve">agi après traitement des données, et entre autres analyses, de : </w:t>
      </w:r>
    </w:p>
    <w:p w14:paraId="79467DE8" w14:textId="77777777" w:rsidR="00210E5F" w:rsidRPr="00F927F3" w:rsidRDefault="00210E5F" w:rsidP="00F12682">
      <w:pPr>
        <w:numPr>
          <w:ilvl w:val="0"/>
          <w:numId w:val="10"/>
        </w:numPr>
        <w:spacing w:after="120" w:line="276" w:lineRule="auto"/>
        <w:ind w:hanging="357"/>
        <w:jc w:val="both"/>
        <w:rPr>
          <w:sz w:val="24"/>
          <w:szCs w:val="24"/>
        </w:rPr>
      </w:pPr>
      <w:r w:rsidRPr="00F927F3">
        <w:rPr>
          <w:sz w:val="24"/>
          <w:szCs w:val="24"/>
        </w:rPr>
        <w:t>Apprécier l’exécution et la performance du budget sectoriel SAN/DAD</w:t>
      </w:r>
    </w:p>
    <w:p w14:paraId="20591FEC" w14:textId="77777777" w:rsidR="00210E5F" w:rsidRPr="00F927F3" w:rsidRDefault="00210E5F" w:rsidP="00F12682">
      <w:pPr>
        <w:numPr>
          <w:ilvl w:val="0"/>
          <w:numId w:val="12"/>
        </w:numPr>
        <w:spacing w:after="120" w:line="276" w:lineRule="auto"/>
        <w:ind w:left="1276" w:hanging="193"/>
        <w:jc w:val="both"/>
        <w:rPr>
          <w:sz w:val="24"/>
          <w:szCs w:val="24"/>
        </w:rPr>
      </w:pPr>
      <w:r w:rsidRPr="00F927F3">
        <w:rPr>
          <w:sz w:val="24"/>
          <w:szCs w:val="24"/>
        </w:rPr>
        <w:t>Evaluation de l’emploi et de l’efficacité opérationnelle des fonds publics ;</w:t>
      </w:r>
    </w:p>
    <w:p w14:paraId="162A7748" w14:textId="71C82C02" w:rsidR="00210E5F" w:rsidRPr="00F927F3" w:rsidRDefault="00210E5F" w:rsidP="00F12682">
      <w:pPr>
        <w:numPr>
          <w:ilvl w:val="0"/>
          <w:numId w:val="12"/>
        </w:numPr>
        <w:spacing w:after="120" w:line="276" w:lineRule="auto"/>
        <w:ind w:left="1276" w:hanging="193"/>
        <w:jc w:val="both"/>
        <w:rPr>
          <w:sz w:val="24"/>
          <w:szCs w:val="24"/>
        </w:rPr>
      </w:pPr>
      <w:r w:rsidRPr="00F927F3">
        <w:rPr>
          <w:sz w:val="24"/>
          <w:szCs w:val="24"/>
        </w:rPr>
        <w:t>Identific</w:t>
      </w:r>
      <w:r w:rsidR="005F3BBA">
        <w:rPr>
          <w:sz w:val="24"/>
          <w:szCs w:val="24"/>
        </w:rPr>
        <w:t>ation des principaux obstacles ;</w:t>
      </w:r>
    </w:p>
    <w:p w14:paraId="762EB0C3" w14:textId="55B22F4B" w:rsidR="00210E5F" w:rsidRPr="00F927F3" w:rsidRDefault="00210E5F" w:rsidP="00F12682">
      <w:pPr>
        <w:numPr>
          <w:ilvl w:val="0"/>
          <w:numId w:val="10"/>
        </w:numPr>
        <w:spacing w:after="120" w:line="276" w:lineRule="auto"/>
        <w:ind w:hanging="357"/>
        <w:jc w:val="both"/>
        <w:rPr>
          <w:sz w:val="24"/>
          <w:szCs w:val="24"/>
        </w:rPr>
      </w:pPr>
      <w:r w:rsidRPr="00F927F3">
        <w:rPr>
          <w:sz w:val="24"/>
          <w:szCs w:val="24"/>
        </w:rPr>
        <w:t>Analyser et apprécier les tendances des allocations budgétaires</w:t>
      </w:r>
      <w:r w:rsidR="005F3BBA">
        <w:rPr>
          <w:sz w:val="24"/>
          <w:szCs w:val="24"/>
        </w:rPr>
        <w:t> :</w:t>
      </w:r>
    </w:p>
    <w:p w14:paraId="78401E19" w14:textId="77777777" w:rsidR="00210E5F" w:rsidRPr="00F927F3" w:rsidRDefault="00210E5F" w:rsidP="00F12682">
      <w:pPr>
        <w:numPr>
          <w:ilvl w:val="0"/>
          <w:numId w:val="12"/>
        </w:numPr>
        <w:spacing w:after="60" w:line="276" w:lineRule="auto"/>
        <w:ind w:left="1276" w:hanging="193"/>
        <w:jc w:val="both"/>
        <w:rPr>
          <w:sz w:val="24"/>
          <w:szCs w:val="24"/>
        </w:rPr>
      </w:pPr>
      <w:r w:rsidRPr="00F927F3">
        <w:rPr>
          <w:sz w:val="24"/>
          <w:szCs w:val="24"/>
        </w:rPr>
        <w:t>Analyse des décaissements et les dépenses effectives ;</w:t>
      </w:r>
    </w:p>
    <w:p w14:paraId="4ECFAFA0" w14:textId="77777777" w:rsidR="00210E5F" w:rsidRPr="00F927F3" w:rsidRDefault="00210E5F" w:rsidP="00F12682">
      <w:pPr>
        <w:numPr>
          <w:ilvl w:val="0"/>
          <w:numId w:val="12"/>
        </w:numPr>
        <w:spacing w:after="60" w:line="276" w:lineRule="auto"/>
        <w:ind w:left="1276" w:hanging="193"/>
        <w:jc w:val="both"/>
        <w:rPr>
          <w:sz w:val="24"/>
          <w:szCs w:val="24"/>
        </w:rPr>
      </w:pPr>
      <w:r w:rsidRPr="00F927F3">
        <w:rPr>
          <w:sz w:val="24"/>
          <w:szCs w:val="24"/>
        </w:rPr>
        <w:t>Analyse des variances implicites et l’ensemble d’exécution du budget sectoriel par organisme ;</w:t>
      </w:r>
    </w:p>
    <w:p w14:paraId="1091616C" w14:textId="77777777" w:rsidR="00210E5F" w:rsidRPr="00F927F3" w:rsidRDefault="00210E5F" w:rsidP="00F12682">
      <w:pPr>
        <w:numPr>
          <w:ilvl w:val="0"/>
          <w:numId w:val="12"/>
        </w:numPr>
        <w:spacing w:after="60" w:line="276" w:lineRule="auto"/>
        <w:ind w:left="1276" w:hanging="193"/>
        <w:jc w:val="both"/>
        <w:rPr>
          <w:sz w:val="24"/>
          <w:szCs w:val="24"/>
        </w:rPr>
      </w:pPr>
      <w:r w:rsidRPr="00F927F3">
        <w:rPr>
          <w:sz w:val="24"/>
          <w:szCs w:val="24"/>
        </w:rPr>
        <w:t>Evaluation de la capacité d’absorption du budget et des problèmes de gestion ;</w:t>
      </w:r>
    </w:p>
    <w:p w14:paraId="34532CF9" w14:textId="77777777" w:rsidR="00210E5F" w:rsidRPr="00F927F3" w:rsidRDefault="00210E5F" w:rsidP="00F12682">
      <w:pPr>
        <w:numPr>
          <w:ilvl w:val="0"/>
          <w:numId w:val="12"/>
        </w:numPr>
        <w:spacing w:after="60" w:line="276" w:lineRule="auto"/>
        <w:ind w:left="1276" w:hanging="193"/>
        <w:jc w:val="both"/>
        <w:rPr>
          <w:sz w:val="24"/>
          <w:szCs w:val="24"/>
        </w:rPr>
      </w:pPr>
      <w:r w:rsidRPr="00F927F3">
        <w:rPr>
          <w:sz w:val="24"/>
          <w:szCs w:val="24"/>
        </w:rPr>
        <w:t>Appréciation des allocations et des dépenses du secteur comparées aux principales priorités du secteur.</w:t>
      </w:r>
    </w:p>
    <w:p w14:paraId="75F123E5" w14:textId="6C6FC430" w:rsidR="00210E5F" w:rsidRPr="00F927F3" w:rsidRDefault="00210E5F" w:rsidP="00F12682">
      <w:pPr>
        <w:numPr>
          <w:ilvl w:val="0"/>
          <w:numId w:val="10"/>
        </w:numPr>
        <w:spacing w:after="60" w:line="276" w:lineRule="auto"/>
        <w:ind w:hanging="357"/>
        <w:jc w:val="both"/>
        <w:rPr>
          <w:sz w:val="24"/>
          <w:szCs w:val="24"/>
        </w:rPr>
      </w:pPr>
      <w:r w:rsidRPr="00F927F3">
        <w:rPr>
          <w:sz w:val="24"/>
          <w:szCs w:val="24"/>
        </w:rPr>
        <w:t>Identifier la performance et l’incidence de diverses sources de financement sur l’allocation au secteur SAN/DAD</w:t>
      </w:r>
      <w:r w:rsidR="005F3BBA">
        <w:rPr>
          <w:sz w:val="24"/>
          <w:szCs w:val="24"/>
        </w:rPr>
        <w:t> ;</w:t>
      </w:r>
    </w:p>
    <w:p w14:paraId="3EFB076C" w14:textId="288AD27D" w:rsidR="00210E5F" w:rsidRPr="00F927F3" w:rsidRDefault="00210E5F" w:rsidP="00F12682">
      <w:pPr>
        <w:numPr>
          <w:ilvl w:val="0"/>
          <w:numId w:val="10"/>
        </w:numPr>
        <w:spacing w:after="60" w:line="276" w:lineRule="auto"/>
        <w:ind w:hanging="357"/>
        <w:jc w:val="both"/>
        <w:rPr>
          <w:sz w:val="24"/>
          <w:szCs w:val="24"/>
        </w:rPr>
      </w:pPr>
      <w:r w:rsidRPr="00F927F3">
        <w:rPr>
          <w:sz w:val="24"/>
          <w:szCs w:val="24"/>
        </w:rPr>
        <w:t>Analyser la capacité des institutions sectorielles à formuler et exécuter leurs budgets</w:t>
      </w:r>
      <w:r w:rsidR="005F3BBA">
        <w:rPr>
          <w:sz w:val="24"/>
          <w:szCs w:val="24"/>
        </w:rPr>
        <w:t> ;</w:t>
      </w:r>
    </w:p>
    <w:p w14:paraId="3F587E32" w14:textId="213E5F65" w:rsidR="00210E5F" w:rsidRPr="00F927F3" w:rsidRDefault="00210E5F" w:rsidP="00F12682">
      <w:pPr>
        <w:numPr>
          <w:ilvl w:val="0"/>
          <w:numId w:val="10"/>
        </w:numPr>
        <w:spacing w:after="60" w:line="276" w:lineRule="auto"/>
        <w:ind w:hanging="357"/>
        <w:jc w:val="both"/>
        <w:rPr>
          <w:sz w:val="24"/>
          <w:szCs w:val="24"/>
        </w:rPr>
      </w:pPr>
      <w:r w:rsidRPr="00F927F3">
        <w:rPr>
          <w:sz w:val="24"/>
          <w:szCs w:val="24"/>
        </w:rPr>
        <w:t>Faire la synthèse SWOT</w:t>
      </w:r>
      <w:r w:rsidR="005F3BBA">
        <w:rPr>
          <w:sz w:val="24"/>
          <w:szCs w:val="24"/>
        </w:rPr>
        <w:t> ;</w:t>
      </w:r>
    </w:p>
    <w:p w14:paraId="40EE1456" w14:textId="2153E727" w:rsidR="00210E5F" w:rsidRPr="00F927F3" w:rsidRDefault="00210E5F" w:rsidP="00F12682">
      <w:pPr>
        <w:numPr>
          <w:ilvl w:val="0"/>
          <w:numId w:val="10"/>
        </w:numPr>
        <w:spacing w:after="60" w:line="276" w:lineRule="auto"/>
        <w:ind w:hanging="357"/>
        <w:jc w:val="both"/>
        <w:rPr>
          <w:sz w:val="24"/>
          <w:szCs w:val="24"/>
        </w:rPr>
      </w:pPr>
      <w:r w:rsidRPr="00F927F3">
        <w:rPr>
          <w:sz w:val="24"/>
          <w:szCs w:val="24"/>
        </w:rPr>
        <w:t>Form</w:t>
      </w:r>
      <w:r w:rsidR="005F3BBA">
        <w:rPr>
          <w:sz w:val="24"/>
          <w:szCs w:val="24"/>
        </w:rPr>
        <w:t>uler des recommandations.</w:t>
      </w:r>
    </w:p>
    <w:p w14:paraId="73347CC3" w14:textId="77777777" w:rsidR="00210E5F" w:rsidRPr="00F927F3" w:rsidRDefault="00210E5F" w:rsidP="00F12682">
      <w:pPr>
        <w:spacing w:after="120" w:line="276" w:lineRule="auto"/>
        <w:rPr>
          <w:sz w:val="24"/>
          <w:szCs w:val="24"/>
          <w:lang w:eastAsia="fr-FR"/>
        </w:rPr>
      </w:pPr>
      <w:bookmarkStart w:id="32" w:name="_Toc516421854"/>
      <w:bookmarkStart w:id="33" w:name="_Toc516510313"/>
      <w:r w:rsidRPr="00F927F3">
        <w:rPr>
          <w:sz w:val="24"/>
          <w:szCs w:val="24"/>
          <w:u w:val="single"/>
          <w:lang w:eastAsia="fr-FR"/>
        </w:rPr>
        <w:t>Phase 4</w:t>
      </w:r>
      <w:r w:rsidRPr="00F927F3">
        <w:rPr>
          <w:sz w:val="24"/>
          <w:szCs w:val="24"/>
          <w:lang w:eastAsia="fr-FR"/>
        </w:rPr>
        <w:t xml:space="preserve"> : </w:t>
      </w:r>
      <w:bookmarkEnd w:id="32"/>
      <w:r w:rsidRPr="00F927F3">
        <w:rPr>
          <w:sz w:val="24"/>
          <w:szCs w:val="24"/>
          <w:lang w:eastAsia="fr-FR"/>
        </w:rPr>
        <w:t>Rapport et restitution</w:t>
      </w:r>
      <w:bookmarkEnd w:id="33"/>
    </w:p>
    <w:p w14:paraId="7260ADFC" w14:textId="77777777" w:rsidR="00210E5F" w:rsidRPr="00F927F3" w:rsidRDefault="00210E5F" w:rsidP="00F12682">
      <w:pPr>
        <w:numPr>
          <w:ilvl w:val="0"/>
          <w:numId w:val="14"/>
        </w:numPr>
        <w:spacing w:after="60" w:line="276" w:lineRule="auto"/>
        <w:ind w:left="714" w:hanging="357"/>
        <w:rPr>
          <w:rFonts w:cs="Calibri"/>
          <w:sz w:val="24"/>
          <w:szCs w:val="24"/>
        </w:rPr>
      </w:pPr>
      <w:r w:rsidRPr="00F927F3">
        <w:rPr>
          <w:rFonts w:cs="Calibri"/>
          <w:sz w:val="24"/>
          <w:szCs w:val="24"/>
        </w:rPr>
        <w:t>Rédaction du rapport ;</w:t>
      </w:r>
    </w:p>
    <w:p w14:paraId="01FFA0E0" w14:textId="77777777" w:rsidR="00210E5F" w:rsidRPr="00F927F3" w:rsidRDefault="00210E5F" w:rsidP="00F12682">
      <w:pPr>
        <w:numPr>
          <w:ilvl w:val="0"/>
          <w:numId w:val="14"/>
        </w:numPr>
        <w:spacing w:after="60" w:line="276" w:lineRule="auto"/>
        <w:ind w:left="714" w:hanging="357"/>
        <w:rPr>
          <w:sz w:val="24"/>
          <w:szCs w:val="24"/>
          <w:lang w:eastAsia="fr-FR"/>
        </w:rPr>
      </w:pPr>
      <w:r w:rsidRPr="00F927F3">
        <w:rPr>
          <w:rFonts w:cs="Calibri"/>
          <w:sz w:val="24"/>
          <w:szCs w:val="24"/>
        </w:rPr>
        <w:t>Présentation du rapport provisoire au comité de suivi ;</w:t>
      </w:r>
    </w:p>
    <w:p w14:paraId="46CB5C75" w14:textId="77777777" w:rsidR="00210E5F" w:rsidRPr="00F927F3" w:rsidRDefault="00210E5F" w:rsidP="00F12682">
      <w:pPr>
        <w:numPr>
          <w:ilvl w:val="0"/>
          <w:numId w:val="14"/>
        </w:numPr>
        <w:spacing w:after="60" w:line="276" w:lineRule="auto"/>
        <w:ind w:left="714" w:hanging="357"/>
        <w:rPr>
          <w:sz w:val="24"/>
          <w:szCs w:val="24"/>
          <w:lang w:eastAsia="fr-FR"/>
        </w:rPr>
      </w:pPr>
      <w:r w:rsidRPr="00F927F3">
        <w:rPr>
          <w:rFonts w:cs="Calibri"/>
          <w:sz w:val="24"/>
          <w:szCs w:val="24"/>
        </w:rPr>
        <w:t>Prise en compte des observations.</w:t>
      </w:r>
    </w:p>
    <w:p w14:paraId="56D37149" w14:textId="77777777" w:rsidR="00210E5F" w:rsidRPr="00F927F3" w:rsidRDefault="00210E5F" w:rsidP="00F12682">
      <w:pPr>
        <w:spacing w:after="120" w:line="276" w:lineRule="auto"/>
        <w:rPr>
          <w:sz w:val="24"/>
          <w:szCs w:val="24"/>
          <w:lang w:eastAsia="fr-FR"/>
        </w:rPr>
      </w:pPr>
      <w:bookmarkStart w:id="34" w:name="_Toc516421855"/>
      <w:bookmarkStart w:id="35" w:name="_Toc516510314"/>
      <w:r w:rsidRPr="00F927F3">
        <w:rPr>
          <w:sz w:val="24"/>
          <w:szCs w:val="24"/>
          <w:u w:val="single"/>
          <w:lang w:eastAsia="fr-FR"/>
        </w:rPr>
        <w:t>Phase 5</w:t>
      </w:r>
      <w:r w:rsidRPr="00F927F3">
        <w:rPr>
          <w:sz w:val="24"/>
          <w:szCs w:val="24"/>
          <w:lang w:eastAsia="fr-FR"/>
        </w:rPr>
        <w:t> : Atelier de validation "RDP 2016 et 2017</w:t>
      </w:r>
      <w:bookmarkEnd w:id="34"/>
      <w:bookmarkEnd w:id="35"/>
      <w:r w:rsidRPr="00F927F3">
        <w:rPr>
          <w:sz w:val="24"/>
          <w:szCs w:val="24"/>
          <w:lang w:eastAsia="fr-FR"/>
        </w:rPr>
        <w:t>"</w:t>
      </w:r>
    </w:p>
    <w:p w14:paraId="08ADE573" w14:textId="074FF5C9" w:rsidR="00210E5F" w:rsidRDefault="00210E5F" w:rsidP="00F12682">
      <w:pPr>
        <w:spacing w:after="120" w:line="276" w:lineRule="auto"/>
        <w:ind w:right="-427"/>
        <w:rPr>
          <w:sz w:val="24"/>
          <w:szCs w:val="24"/>
        </w:rPr>
      </w:pPr>
      <w:r w:rsidRPr="00F927F3">
        <w:rPr>
          <w:sz w:val="24"/>
          <w:szCs w:val="24"/>
        </w:rPr>
        <w:t>Selon la programmation du HC3N, l’atelier réunira les participants indiqués dans les TDR de la missi</w:t>
      </w:r>
      <w:r w:rsidR="00F927F3">
        <w:rPr>
          <w:sz w:val="24"/>
          <w:szCs w:val="24"/>
        </w:rPr>
        <w:t>on.</w:t>
      </w:r>
    </w:p>
    <w:p w14:paraId="1F833333" w14:textId="77777777" w:rsidR="00F927F3" w:rsidRDefault="00F927F3" w:rsidP="00F12682">
      <w:pPr>
        <w:spacing w:after="0" w:line="240" w:lineRule="auto"/>
        <w:rPr>
          <w:sz w:val="24"/>
          <w:szCs w:val="24"/>
        </w:rPr>
      </w:pPr>
    </w:p>
    <w:p w14:paraId="222D590A" w14:textId="16227282" w:rsidR="00210E5F" w:rsidRDefault="00534FD1" w:rsidP="00F12682">
      <w:pPr>
        <w:pStyle w:val="Titre2"/>
        <w:numPr>
          <w:ilvl w:val="1"/>
          <w:numId w:val="1"/>
        </w:numPr>
        <w:rPr>
          <w:rFonts w:asciiTheme="minorHAnsi" w:hAnsiTheme="minorHAnsi" w:cstheme="minorHAnsi"/>
        </w:rPr>
      </w:pPr>
      <w:bookmarkStart w:id="36" w:name="_Toc529305009"/>
      <w:r w:rsidRPr="004A5122">
        <w:rPr>
          <w:rFonts w:asciiTheme="minorHAnsi" w:hAnsiTheme="minorHAnsi" w:cstheme="minorHAnsi"/>
        </w:rPr>
        <w:t>Etude documentaire et définition des concepts clés</w:t>
      </w:r>
      <w:bookmarkEnd w:id="36"/>
    </w:p>
    <w:p w14:paraId="5046E936" w14:textId="00ADD9F7" w:rsidR="00534FD1" w:rsidRPr="004A5122" w:rsidRDefault="00534FD1" w:rsidP="00F12682">
      <w:pPr>
        <w:spacing w:after="120" w:line="276" w:lineRule="auto"/>
        <w:jc w:val="both"/>
        <w:rPr>
          <w:rFonts w:cstheme="minorHAnsi"/>
          <w:sz w:val="24"/>
          <w:szCs w:val="24"/>
        </w:rPr>
      </w:pPr>
      <w:r w:rsidRPr="004A5122">
        <w:rPr>
          <w:rFonts w:cstheme="minorHAnsi"/>
          <w:b/>
          <w:sz w:val="24"/>
          <w:szCs w:val="24"/>
        </w:rPr>
        <w:t>Déclaration de Maputo (2003)</w:t>
      </w:r>
      <w:r w:rsidR="004D3D2C">
        <w:rPr>
          <w:rFonts w:cstheme="minorHAnsi"/>
          <w:b/>
          <w:sz w:val="24"/>
          <w:szCs w:val="24"/>
        </w:rPr>
        <w:t> :</w:t>
      </w:r>
      <w:r w:rsidRPr="004A5122">
        <w:rPr>
          <w:rFonts w:cstheme="minorHAnsi"/>
          <w:sz w:val="24"/>
          <w:szCs w:val="24"/>
        </w:rPr>
        <w:t xml:space="preserve"> Par cette déclaration, les gouvernements africains se sont engagés à augmenter la part de leur budget national consacrée à l’agriculture et au développement rural, avec un objectif de 10% au minimum, afin d’atteindre une croissance agricole d’au moins 6% par an. Suite à cet engagement, le NEPAD a précisé les modalités de calcul de la part des dépenses agricoles, de développement rural et de sécurité alimentaire dans les budgets nationaux (UA/NEPAD 2005) de façon à pouvoir réaliser des comparaisons homogènes entre pays. </w:t>
      </w:r>
    </w:p>
    <w:p w14:paraId="690FE0F6" w14:textId="77A22580" w:rsidR="004D3D2C" w:rsidRPr="00B462C1" w:rsidRDefault="004D3D2C" w:rsidP="00F12682">
      <w:pPr>
        <w:spacing w:after="120" w:line="276" w:lineRule="auto"/>
        <w:jc w:val="both"/>
        <w:rPr>
          <w:rFonts w:cstheme="minorHAnsi"/>
          <w:sz w:val="24"/>
          <w:szCs w:val="24"/>
        </w:rPr>
      </w:pPr>
      <w:r w:rsidRPr="004A5122">
        <w:rPr>
          <w:rFonts w:cstheme="minorHAnsi"/>
          <w:b/>
          <w:sz w:val="24"/>
          <w:szCs w:val="24"/>
        </w:rPr>
        <w:t xml:space="preserve">Les dépenses </w:t>
      </w:r>
      <w:r w:rsidR="008B592D" w:rsidRPr="004A5122">
        <w:rPr>
          <w:rFonts w:cstheme="minorHAnsi"/>
          <w:b/>
          <w:sz w:val="24"/>
          <w:szCs w:val="24"/>
        </w:rPr>
        <w:t>Publiques :</w:t>
      </w:r>
      <w:r w:rsidR="008B592D">
        <w:rPr>
          <w:rFonts w:cstheme="minorHAnsi"/>
          <w:sz w:val="24"/>
          <w:szCs w:val="24"/>
        </w:rPr>
        <w:t xml:space="preserve"> l</w:t>
      </w:r>
      <w:r w:rsidR="008B592D" w:rsidRPr="00A97060">
        <w:rPr>
          <w:rFonts w:cstheme="minorHAnsi"/>
          <w:sz w:val="24"/>
          <w:szCs w:val="24"/>
        </w:rPr>
        <w:t xml:space="preserve">es dépenses </w:t>
      </w:r>
      <w:r w:rsidRPr="004A5122">
        <w:rPr>
          <w:rFonts w:cstheme="minorHAnsi"/>
          <w:sz w:val="24"/>
          <w:szCs w:val="24"/>
        </w:rPr>
        <w:t xml:space="preserve">prises en compte dans cette revue correspondent aux rubriques telles que définies par la Classification des Fonctions de Gouvernement (COFOG) des Nations Unies et retenues par le NEPAD. Cette classification adoptée par le NEPAD pour le PDDAA </w:t>
      </w:r>
      <w:r w:rsidRPr="004A5122">
        <w:rPr>
          <w:rFonts w:cstheme="minorHAnsi"/>
          <w:sz w:val="24"/>
          <w:szCs w:val="24"/>
        </w:rPr>
        <w:lastRenderedPageBreak/>
        <w:t>permet de faire des comparaisons au niveau international sur une base homogène. Elle permet notamment d’évaluer l’atteinte des objectifs auxquels s’est engagé le Gouvernement, notamment et de manière prééminente, l’objectif des 10% des dépenses publiques consacrées à l’agriculture dans le contexte de la Déclaration de Maputo. A savoir, les données budgétaires prise en compte correspondent aux dépenses effectives (et non aux allocations budgétaires) dans le secteur agricole élargi, incluant les domaines de l’agriculture (productions végétales et animales), de la forêt (activités de production forestière, non compris les activités de conservation forestière, par exemple dans le contexte des forêts classées) et de la chasse (y compris les productions sylvicoles autres que le bois) et de la pêche. Ces dépen</w:t>
      </w:r>
      <w:r w:rsidR="007A420D">
        <w:rPr>
          <w:rFonts w:cstheme="minorHAnsi"/>
          <w:sz w:val="24"/>
          <w:szCs w:val="24"/>
        </w:rPr>
        <w:t>ses recouvrent les dépenses de sécurité alimentaire</w:t>
      </w:r>
      <w:r w:rsidRPr="004A5122">
        <w:rPr>
          <w:rFonts w:cstheme="minorHAnsi"/>
          <w:sz w:val="24"/>
          <w:szCs w:val="24"/>
        </w:rPr>
        <w:t xml:space="preserve"> au sens large dans la mesure. Les dépenses de développement rural prises en compte sont celles conce</w:t>
      </w:r>
      <w:r w:rsidR="007A420D">
        <w:rPr>
          <w:rFonts w:cstheme="minorHAnsi"/>
          <w:sz w:val="24"/>
          <w:szCs w:val="24"/>
        </w:rPr>
        <w:t>rnant l’espace rural productif</w:t>
      </w:r>
      <w:r w:rsidRPr="004A5122">
        <w:rPr>
          <w:rFonts w:cstheme="minorHAnsi"/>
          <w:sz w:val="24"/>
          <w:szCs w:val="24"/>
        </w:rPr>
        <w:t xml:space="preserve"> (ex. aménagements hydro-agricoles, hydraulique pastorale). Elles ne concernent pas </w:t>
      </w:r>
      <w:r w:rsidRPr="00B462C1">
        <w:rPr>
          <w:rFonts w:cstheme="minorHAnsi"/>
          <w:sz w:val="24"/>
          <w:szCs w:val="24"/>
        </w:rPr>
        <w:t xml:space="preserve">les dépenses de type social (ex. eau potable sous la rubrique hydraulique villageoise). Il est à noter que les dépenses concernant les pistes rurales ne font pas partie des dépenses retenues par la nomenclature COFOG. </w:t>
      </w:r>
    </w:p>
    <w:p w14:paraId="21361C14" w14:textId="2F6EE934" w:rsidR="004D3D2C" w:rsidRDefault="004D3D2C" w:rsidP="00F12682">
      <w:pPr>
        <w:spacing w:after="120" w:line="276" w:lineRule="auto"/>
        <w:jc w:val="both"/>
        <w:rPr>
          <w:rFonts w:cstheme="minorHAnsi"/>
          <w:sz w:val="24"/>
          <w:szCs w:val="24"/>
        </w:rPr>
      </w:pPr>
      <w:r w:rsidRPr="00B462C1">
        <w:rPr>
          <w:rFonts w:cstheme="minorHAnsi"/>
          <w:b/>
          <w:sz w:val="24"/>
          <w:szCs w:val="24"/>
        </w:rPr>
        <w:t>Engagements et décaissements budgétaires.</w:t>
      </w:r>
      <w:r w:rsidRPr="00B462C1">
        <w:rPr>
          <w:rFonts w:cstheme="minorHAnsi"/>
          <w:sz w:val="24"/>
          <w:szCs w:val="24"/>
        </w:rPr>
        <w:t xml:space="preserve"> Les dépenses analysées dans cette r</w:t>
      </w:r>
      <w:r w:rsidR="008E19FA" w:rsidRPr="00B462C1">
        <w:rPr>
          <w:rFonts w:cstheme="minorHAnsi"/>
          <w:sz w:val="24"/>
          <w:szCs w:val="24"/>
        </w:rPr>
        <w:t>evue correspondent aux engagements</w:t>
      </w:r>
      <w:r w:rsidRPr="00B462C1">
        <w:rPr>
          <w:rFonts w:cstheme="minorHAnsi"/>
          <w:sz w:val="24"/>
          <w:szCs w:val="24"/>
        </w:rPr>
        <w:t xml:space="preserve"> soumis au contrôle financier du Ministère des Finances (MF). Ces engagements, inclus</w:t>
      </w:r>
      <w:r w:rsidR="008E19FA" w:rsidRPr="00B462C1">
        <w:rPr>
          <w:rFonts w:cstheme="minorHAnsi"/>
          <w:sz w:val="24"/>
          <w:szCs w:val="24"/>
        </w:rPr>
        <w:t xml:space="preserve"> </w:t>
      </w:r>
      <w:r w:rsidRPr="00B462C1">
        <w:rPr>
          <w:rFonts w:cstheme="minorHAnsi"/>
          <w:sz w:val="24"/>
          <w:szCs w:val="24"/>
        </w:rPr>
        <w:t>dans la base de données d</w:t>
      </w:r>
      <w:r w:rsidR="008F2B8D" w:rsidRPr="00B462C1">
        <w:rPr>
          <w:rFonts w:cstheme="minorHAnsi"/>
          <w:sz w:val="24"/>
          <w:szCs w:val="24"/>
        </w:rPr>
        <w:t>e la Direction de l’Informatique Financière (DIF)</w:t>
      </w:r>
      <w:r w:rsidRPr="00B462C1">
        <w:rPr>
          <w:rFonts w:cstheme="minorHAnsi"/>
          <w:sz w:val="24"/>
          <w:szCs w:val="24"/>
        </w:rPr>
        <w:t>, sont considérés comme reflétant au mieux l’exécution du budget. En effet, les données concernant les décaissements proprement dits (source Trésor Public) n’ont pas pu être obtenues, sauf pour le financement extérieur des investissements</w:t>
      </w:r>
      <w:r w:rsidR="002F1585" w:rsidRPr="00B462C1">
        <w:rPr>
          <w:rFonts w:cstheme="minorHAnsi"/>
          <w:sz w:val="24"/>
          <w:szCs w:val="24"/>
        </w:rPr>
        <w:t>.</w:t>
      </w:r>
    </w:p>
    <w:p w14:paraId="4A9C21CC" w14:textId="77777777" w:rsidR="001C57F5" w:rsidRDefault="001C57F5" w:rsidP="00F12682">
      <w:pPr>
        <w:spacing w:after="120" w:line="276" w:lineRule="auto"/>
        <w:jc w:val="both"/>
        <w:rPr>
          <w:rFonts w:cstheme="minorHAnsi"/>
          <w:sz w:val="24"/>
          <w:szCs w:val="24"/>
        </w:rPr>
      </w:pPr>
      <w:r w:rsidRPr="00342109">
        <w:rPr>
          <w:rFonts w:cstheme="minorHAnsi"/>
          <w:b/>
          <w:sz w:val="24"/>
          <w:szCs w:val="24"/>
        </w:rPr>
        <w:t>Taux d’exécution</w:t>
      </w:r>
      <w:r w:rsidRPr="00342109">
        <w:rPr>
          <w:rFonts w:cstheme="minorHAnsi"/>
          <w:sz w:val="24"/>
          <w:szCs w:val="24"/>
        </w:rPr>
        <w:t> : Le taux d’exécution du budget est obtenu en divisant les dépenses effectuées par les crédits votés au niveau de la Loi de Finance.</w:t>
      </w:r>
    </w:p>
    <w:p w14:paraId="62C978AE" w14:textId="77777777" w:rsidR="001C57F5" w:rsidRDefault="001C57F5" w:rsidP="00F12682">
      <w:pPr>
        <w:spacing w:after="120" w:line="276" w:lineRule="auto"/>
        <w:jc w:val="both"/>
        <w:rPr>
          <w:rFonts w:cstheme="minorHAnsi"/>
          <w:sz w:val="24"/>
          <w:szCs w:val="24"/>
        </w:rPr>
      </w:pPr>
      <w:r w:rsidRPr="00342109">
        <w:rPr>
          <w:rFonts w:cstheme="minorHAnsi"/>
          <w:b/>
          <w:sz w:val="24"/>
          <w:szCs w:val="24"/>
        </w:rPr>
        <w:t>Taux d’absorption</w:t>
      </w:r>
      <w:r w:rsidRPr="00342109">
        <w:rPr>
          <w:rFonts w:cstheme="minorHAnsi"/>
          <w:sz w:val="24"/>
          <w:szCs w:val="24"/>
        </w:rPr>
        <w:t> : Le taux d’exécution du budget est obtenu en divisant les dépenses effectuées par les crédits libérés au niveau de la Loi de Finance.</w:t>
      </w:r>
    </w:p>
    <w:p w14:paraId="2F57A749" w14:textId="01B8EC32" w:rsidR="00A35E93" w:rsidRPr="00A35E93" w:rsidRDefault="00A35E93" w:rsidP="00F12682">
      <w:pPr>
        <w:pStyle w:val="Default"/>
        <w:spacing w:after="120" w:line="276" w:lineRule="auto"/>
        <w:jc w:val="both"/>
        <w:rPr>
          <w:rFonts w:ascii="Calibri" w:hAnsi="Calibri" w:cs="Calibri"/>
          <w:color w:val="auto"/>
        </w:rPr>
      </w:pPr>
      <w:r w:rsidRPr="00A35E93">
        <w:rPr>
          <w:rFonts w:ascii="Calibri" w:hAnsi="Calibri" w:cs="Calibri"/>
          <w:b/>
          <w:bCs/>
          <w:iCs/>
          <w:color w:val="auto"/>
        </w:rPr>
        <w:t>Classifications selon les différents titres de la nomenclature budgétaire</w:t>
      </w:r>
      <w:r>
        <w:rPr>
          <w:rFonts w:ascii="Calibri" w:hAnsi="Calibri" w:cs="Calibri"/>
          <w:b/>
          <w:bCs/>
          <w:iCs/>
          <w:color w:val="auto"/>
        </w:rPr>
        <w:t xml:space="preserve"> : </w:t>
      </w:r>
      <w:r w:rsidRPr="00A35E93">
        <w:rPr>
          <w:rFonts w:ascii="Calibri" w:hAnsi="Calibri" w:cs="Calibri"/>
          <w:color w:val="auto"/>
        </w:rPr>
        <w:t xml:space="preserve">Les titres des dépenses du budget de l’Etat sont définis comme suit : </w:t>
      </w:r>
    </w:p>
    <w:p w14:paraId="50B96EC4" w14:textId="77777777" w:rsidR="00A35E93" w:rsidRPr="00A35E93" w:rsidRDefault="00A35E93" w:rsidP="00F12682">
      <w:pPr>
        <w:pStyle w:val="Default"/>
        <w:numPr>
          <w:ilvl w:val="0"/>
          <w:numId w:val="23"/>
        </w:numPr>
        <w:spacing w:after="120" w:line="276" w:lineRule="auto"/>
        <w:ind w:left="284" w:right="-285" w:hanging="207"/>
        <w:jc w:val="both"/>
        <w:rPr>
          <w:rFonts w:ascii="Calibri" w:hAnsi="Calibri" w:cs="Calibri"/>
          <w:color w:val="auto"/>
        </w:rPr>
      </w:pPr>
      <w:r w:rsidRPr="00A35E93">
        <w:rPr>
          <w:rFonts w:ascii="Calibri" w:hAnsi="Calibri" w:cs="Calibri"/>
          <w:b/>
          <w:bCs/>
          <w:color w:val="auto"/>
        </w:rPr>
        <w:t xml:space="preserve">Titre 1 : Dette publique : </w:t>
      </w:r>
      <w:r w:rsidRPr="00A35E93">
        <w:rPr>
          <w:rFonts w:ascii="Calibri" w:hAnsi="Calibri" w:cs="Calibri"/>
          <w:color w:val="auto"/>
        </w:rPr>
        <w:t>Ce titre recense l’ensemble des dépenses de la dette publique intérieure et extérieure.</w:t>
      </w:r>
    </w:p>
    <w:p w14:paraId="74DB2779" w14:textId="77777777" w:rsidR="00A35E93" w:rsidRPr="00A35E93" w:rsidRDefault="00A35E93" w:rsidP="00F12682">
      <w:pPr>
        <w:pStyle w:val="Default"/>
        <w:numPr>
          <w:ilvl w:val="0"/>
          <w:numId w:val="23"/>
        </w:numPr>
        <w:spacing w:after="120" w:line="276" w:lineRule="auto"/>
        <w:ind w:left="284" w:right="-285" w:hanging="207"/>
        <w:jc w:val="both"/>
        <w:rPr>
          <w:rFonts w:ascii="Calibri" w:hAnsi="Calibri" w:cs="Calibri"/>
          <w:color w:val="auto"/>
        </w:rPr>
      </w:pPr>
      <w:r w:rsidRPr="00A35E93">
        <w:rPr>
          <w:rFonts w:ascii="Calibri" w:hAnsi="Calibri" w:cs="Calibri"/>
          <w:b/>
          <w:color w:val="auto"/>
        </w:rPr>
        <w:t>T</w:t>
      </w:r>
      <w:r w:rsidRPr="00A35E93">
        <w:rPr>
          <w:rFonts w:ascii="Calibri" w:hAnsi="Calibri" w:cs="Calibri"/>
          <w:b/>
          <w:bCs/>
          <w:color w:val="auto"/>
        </w:rPr>
        <w:t xml:space="preserve">itre 2 : Dépenses de personnel : </w:t>
      </w:r>
      <w:r w:rsidRPr="00A35E93">
        <w:rPr>
          <w:rFonts w:ascii="Calibri" w:hAnsi="Calibri" w:cs="Calibri"/>
          <w:color w:val="auto"/>
        </w:rPr>
        <w:t>Ce titre regroupe l’ensemble des opérations liées au paiement des salaires, les traitements et indemnités.</w:t>
      </w:r>
    </w:p>
    <w:p w14:paraId="168637BC" w14:textId="77777777" w:rsidR="00A35E93" w:rsidRPr="00A35E93" w:rsidRDefault="00A35E93" w:rsidP="00F12682">
      <w:pPr>
        <w:pStyle w:val="Default"/>
        <w:numPr>
          <w:ilvl w:val="0"/>
          <w:numId w:val="23"/>
        </w:numPr>
        <w:spacing w:after="120" w:line="276" w:lineRule="auto"/>
        <w:ind w:left="284" w:right="-285" w:hanging="207"/>
        <w:jc w:val="both"/>
        <w:rPr>
          <w:rFonts w:ascii="Calibri" w:hAnsi="Calibri" w:cs="Calibri"/>
          <w:color w:val="auto"/>
        </w:rPr>
      </w:pPr>
      <w:r w:rsidRPr="00A35E93">
        <w:rPr>
          <w:rFonts w:ascii="Calibri" w:hAnsi="Calibri" w:cs="Calibri"/>
          <w:b/>
          <w:bCs/>
          <w:color w:val="auto"/>
        </w:rPr>
        <w:t xml:space="preserve">Titre 3 : Dépenses de fonctionnement : </w:t>
      </w:r>
      <w:r w:rsidRPr="00A35E93">
        <w:rPr>
          <w:rFonts w:ascii="Calibri" w:hAnsi="Calibri" w:cs="Calibri"/>
          <w:color w:val="auto"/>
        </w:rPr>
        <w:t>Il recense l’ensemble des dépenses ordinaires effectuées par les pouvoirs publics et l’administration. Ce sont elles qui donnent aux différents services de l’Etat les moyens nécessaires à l’accomplissement de leurs missions.</w:t>
      </w:r>
    </w:p>
    <w:p w14:paraId="3614D4A1" w14:textId="77777777" w:rsidR="00A35E93" w:rsidRPr="00A35E93" w:rsidRDefault="00A35E93" w:rsidP="00F12682">
      <w:pPr>
        <w:pStyle w:val="Default"/>
        <w:numPr>
          <w:ilvl w:val="0"/>
          <w:numId w:val="23"/>
        </w:numPr>
        <w:spacing w:after="120" w:line="276" w:lineRule="auto"/>
        <w:ind w:left="284" w:right="-285" w:hanging="207"/>
        <w:jc w:val="both"/>
        <w:rPr>
          <w:rFonts w:ascii="Calibri" w:hAnsi="Calibri" w:cs="Calibri"/>
          <w:color w:val="auto"/>
        </w:rPr>
      </w:pPr>
      <w:r w:rsidRPr="00A35E93">
        <w:rPr>
          <w:rFonts w:ascii="Calibri" w:hAnsi="Calibri" w:cs="Calibri"/>
          <w:b/>
          <w:bCs/>
          <w:color w:val="auto"/>
        </w:rPr>
        <w:t xml:space="preserve">Titre 4 : Dépenses de subventions et transferts : </w:t>
      </w:r>
      <w:r w:rsidRPr="00A35E93">
        <w:rPr>
          <w:rFonts w:ascii="Calibri" w:hAnsi="Calibri" w:cs="Calibri"/>
          <w:color w:val="auto"/>
        </w:rPr>
        <w:t>Il regroupe les transferts et versements de subventions de toutes natures au profit d’organismes publics, tant nationaux qu’internationaux, ainsi qu’à des organismes ou personnes privées.</w:t>
      </w:r>
    </w:p>
    <w:p w14:paraId="582DFA35" w14:textId="77777777" w:rsidR="00A35E93" w:rsidRPr="00A35E93" w:rsidRDefault="00A35E93" w:rsidP="00F12682">
      <w:pPr>
        <w:pStyle w:val="Default"/>
        <w:numPr>
          <w:ilvl w:val="0"/>
          <w:numId w:val="23"/>
        </w:numPr>
        <w:spacing w:after="120" w:line="276" w:lineRule="auto"/>
        <w:ind w:left="284" w:right="-285" w:hanging="207"/>
        <w:jc w:val="both"/>
        <w:rPr>
          <w:rFonts w:ascii="Calibri" w:hAnsi="Calibri" w:cs="Calibri"/>
          <w:color w:val="auto"/>
        </w:rPr>
      </w:pPr>
      <w:r w:rsidRPr="00A35E93">
        <w:rPr>
          <w:rFonts w:ascii="Calibri" w:hAnsi="Calibri" w:cs="Calibri"/>
          <w:b/>
          <w:bCs/>
          <w:color w:val="auto"/>
        </w:rPr>
        <w:t xml:space="preserve">Titre 5 : Dépenses d’investissement : </w:t>
      </w:r>
      <w:r w:rsidRPr="00A35E93">
        <w:rPr>
          <w:rFonts w:ascii="Calibri" w:hAnsi="Calibri" w:cs="Calibri"/>
          <w:color w:val="auto"/>
        </w:rPr>
        <w:t>Ce titre centralise les dépenses d’investissements sur projets.</w:t>
      </w:r>
    </w:p>
    <w:p w14:paraId="632BAD8B" w14:textId="07B01FDD" w:rsidR="00F927F3" w:rsidRPr="00F12682" w:rsidRDefault="00A35E93" w:rsidP="002A2146">
      <w:pPr>
        <w:pStyle w:val="Default"/>
        <w:numPr>
          <w:ilvl w:val="0"/>
          <w:numId w:val="23"/>
        </w:numPr>
        <w:spacing w:after="120" w:line="276" w:lineRule="auto"/>
        <w:ind w:left="284" w:right="-285" w:hanging="207"/>
        <w:jc w:val="both"/>
        <w:rPr>
          <w:rFonts w:cstheme="minorHAnsi"/>
        </w:rPr>
      </w:pPr>
      <w:r w:rsidRPr="00F12682">
        <w:rPr>
          <w:rFonts w:ascii="Calibri" w:hAnsi="Calibri" w:cs="Calibri"/>
          <w:color w:val="auto"/>
        </w:rPr>
        <w:t>T</w:t>
      </w:r>
      <w:r w:rsidRPr="00F12682">
        <w:rPr>
          <w:rFonts w:ascii="Calibri" w:hAnsi="Calibri" w:cs="Calibri"/>
          <w:b/>
          <w:bCs/>
          <w:color w:val="auto"/>
        </w:rPr>
        <w:t xml:space="preserve">itre 7 : Comptes spéciaux du trésor : </w:t>
      </w:r>
      <w:r w:rsidRPr="00F12682">
        <w:rPr>
          <w:rFonts w:ascii="Calibri" w:hAnsi="Calibri" w:cs="Calibri"/>
          <w:color w:val="auto"/>
        </w:rPr>
        <w:t>Les comptes spéciaux ou d’affectation spéciale concernent des opérations à caractère définitif (pensions, participations financières de l’Etat, etc.).</w:t>
      </w:r>
    </w:p>
    <w:p w14:paraId="5C8E7142" w14:textId="317F27CA" w:rsidR="00754914" w:rsidRDefault="00B30008" w:rsidP="00F12682">
      <w:pPr>
        <w:pStyle w:val="Titre1"/>
        <w:numPr>
          <w:ilvl w:val="0"/>
          <w:numId w:val="0"/>
        </w:numPr>
        <w:ind w:left="432" w:hanging="432"/>
        <w:jc w:val="both"/>
        <w:rPr>
          <w:rFonts w:asciiTheme="minorHAnsi" w:hAnsiTheme="minorHAnsi" w:cstheme="minorHAnsi"/>
          <w:sz w:val="28"/>
        </w:rPr>
      </w:pPr>
      <w:bookmarkStart w:id="37" w:name="_Toc529305010"/>
      <w:r w:rsidRPr="004A5122">
        <w:rPr>
          <w:rFonts w:asciiTheme="minorHAnsi" w:hAnsiTheme="minorHAnsi" w:cstheme="minorHAnsi"/>
          <w:sz w:val="28"/>
        </w:rPr>
        <w:lastRenderedPageBreak/>
        <w:t xml:space="preserve">Chapitre 3 : </w:t>
      </w:r>
      <w:r w:rsidR="00E022D6" w:rsidRPr="004A5122">
        <w:rPr>
          <w:rFonts w:asciiTheme="minorHAnsi" w:hAnsiTheme="minorHAnsi" w:cstheme="minorHAnsi"/>
          <w:sz w:val="28"/>
        </w:rPr>
        <w:t>Analyse de p</w:t>
      </w:r>
      <w:r w:rsidR="002821AE" w:rsidRPr="004A5122">
        <w:rPr>
          <w:rFonts w:asciiTheme="minorHAnsi" w:hAnsiTheme="minorHAnsi" w:cstheme="minorHAnsi"/>
          <w:sz w:val="28"/>
        </w:rPr>
        <w:t>erformance du</w:t>
      </w:r>
      <w:r w:rsidR="00754914" w:rsidRPr="004A5122">
        <w:rPr>
          <w:rFonts w:asciiTheme="minorHAnsi" w:hAnsiTheme="minorHAnsi" w:cstheme="minorHAnsi"/>
          <w:sz w:val="28"/>
        </w:rPr>
        <w:t xml:space="preserve"> secteur en matière de </w:t>
      </w:r>
      <w:r w:rsidR="00F927F3">
        <w:rPr>
          <w:rFonts w:asciiTheme="minorHAnsi" w:hAnsiTheme="minorHAnsi" w:cstheme="minorHAnsi"/>
          <w:sz w:val="28"/>
        </w:rPr>
        <w:t>G</w:t>
      </w:r>
      <w:r w:rsidR="00754914" w:rsidRPr="004A5122">
        <w:rPr>
          <w:rFonts w:asciiTheme="minorHAnsi" w:hAnsiTheme="minorHAnsi" w:cstheme="minorHAnsi"/>
          <w:sz w:val="28"/>
        </w:rPr>
        <w:t xml:space="preserve">estion des </w:t>
      </w:r>
      <w:r w:rsidR="00F927F3">
        <w:rPr>
          <w:rFonts w:asciiTheme="minorHAnsi" w:hAnsiTheme="minorHAnsi" w:cstheme="minorHAnsi"/>
          <w:sz w:val="28"/>
        </w:rPr>
        <w:t>F</w:t>
      </w:r>
      <w:r w:rsidR="00754914" w:rsidRPr="004A5122">
        <w:rPr>
          <w:rFonts w:asciiTheme="minorHAnsi" w:hAnsiTheme="minorHAnsi" w:cstheme="minorHAnsi"/>
          <w:sz w:val="28"/>
        </w:rPr>
        <w:t xml:space="preserve">inances </w:t>
      </w:r>
      <w:r w:rsidR="00F927F3">
        <w:rPr>
          <w:rFonts w:asciiTheme="minorHAnsi" w:hAnsiTheme="minorHAnsi" w:cstheme="minorHAnsi"/>
          <w:sz w:val="28"/>
        </w:rPr>
        <w:t>P</w:t>
      </w:r>
      <w:r w:rsidR="00754914" w:rsidRPr="004A5122">
        <w:rPr>
          <w:rFonts w:asciiTheme="minorHAnsi" w:hAnsiTheme="minorHAnsi" w:cstheme="minorHAnsi"/>
          <w:sz w:val="28"/>
        </w:rPr>
        <w:t>ubliques</w:t>
      </w:r>
      <w:r w:rsidRPr="004A5122">
        <w:rPr>
          <w:rFonts w:asciiTheme="minorHAnsi" w:hAnsiTheme="minorHAnsi" w:cstheme="minorHAnsi"/>
          <w:sz w:val="28"/>
        </w:rPr>
        <w:t xml:space="preserve"> </w:t>
      </w:r>
      <w:r w:rsidR="006E3ED3" w:rsidRPr="004A5122">
        <w:rPr>
          <w:rFonts w:asciiTheme="minorHAnsi" w:hAnsiTheme="minorHAnsi" w:cstheme="minorHAnsi"/>
          <w:sz w:val="28"/>
        </w:rPr>
        <w:t>(cycle budgétaire)</w:t>
      </w:r>
      <w:bookmarkEnd w:id="37"/>
    </w:p>
    <w:p w14:paraId="5F9BD228" w14:textId="631A41F7" w:rsidR="00264522" w:rsidRDefault="00754914" w:rsidP="00F12682">
      <w:pPr>
        <w:pStyle w:val="Titre2"/>
        <w:numPr>
          <w:ilvl w:val="1"/>
          <w:numId w:val="21"/>
        </w:numPr>
        <w:rPr>
          <w:rFonts w:asciiTheme="minorHAnsi" w:hAnsiTheme="minorHAnsi" w:cstheme="minorHAnsi"/>
        </w:rPr>
      </w:pPr>
      <w:bookmarkStart w:id="38" w:name="_Toc529305011"/>
      <w:r w:rsidRPr="004A5122">
        <w:rPr>
          <w:rFonts w:asciiTheme="minorHAnsi" w:hAnsiTheme="minorHAnsi" w:cstheme="minorHAnsi"/>
        </w:rPr>
        <w:t>Performance</w:t>
      </w:r>
      <w:r w:rsidR="00893505" w:rsidRPr="004A5122">
        <w:rPr>
          <w:rFonts w:asciiTheme="minorHAnsi" w:hAnsiTheme="minorHAnsi" w:cstheme="minorHAnsi"/>
        </w:rPr>
        <w:t>/capacité</w:t>
      </w:r>
      <w:r w:rsidRPr="004A5122">
        <w:rPr>
          <w:rFonts w:asciiTheme="minorHAnsi" w:hAnsiTheme="minorHAnsi" w:cstheme="minorHAnsi"/>
        </w:rPr>
        <w:t xml:space="preserve"> générale du secteur en </w:t>
      </w:r>
      <w:r w:rsidR="002779E9" w:rsidRPr="002779E9">
        <w:rPr>
          <w:rFonts w:asciiTheme="minorHAnsi" w:hAnsiTheme="minorHAnsi" w:cstheme="minorHAnsi"/>
        </w:rPr>
        <w:t xml:space="preserve">matière de Gestion des Finances Publiques </w:t>
      </w:r>
      <w:r w:rsidRPr="004A5122">
        <w:rPr>
          <w:rFonts w:asciiTheme="minorHAnsi" w:hAnsiTheme="minorHAnsi" w:cstheme="minorHAnsi"/>
        </w:rPr>
        <w:t>en 2016</w:t>
      </w:r>
      <w:bookmarkEnd w:id="38"/>
    </w:p>
    <w:p w14:paraId="04FDC7A6" w14:textId="7C8CA97D" w:rsidR="007B4A2D" w:rsidRDefault="00754914" w:rsidP="00F12682">
      <w:pPr>
        <w:pStyle w:val="Titre3"/>
        <w:numPr>
          <w:ilvl w:val="2"/>
          <w:numId w:val="21"/>
        </w:numPr>
        <w:rPr>
          <w:rFonts w:asciiTheme="minorHAnsi" w:hAnsiTheme="minorHAnsi" w:cstheme="minorHAnsi"/>
        </w:rPr>
      </w:pPr>
      <w:bookmarkStart w:id="39" w:name="_Toc529305012"/>
      <w:r w:rsidRPr="004A5122">
        <w:rPr>
          <w:rFonts w:asciiTheme="minorHAnsi" w:hAnsiTheme="minorHAnsi" w:cstheme="minorHAnsi"/>
        </w:rPr>
        <w:t>Rappel du niveau des réformes en F</w:t>
      </w:r>
      <w:r w:rsidR="00F927F3">
        <w:rPr>
          <w:rFonts w:asciiTheme="minorHAnsi" w:hAnsiTheme="minorHAnsi" w:cstheme="minorHAnsi"/>
        </w:rPr>
        <w:t xml:space="preserve">inances </w:t>
      </w:r>
      <w:r w:rsidRPr="004A5122">
        <w:rPr>
          <w:rFonts w:asciiTheme="minorHAnsi" w:hAnsiTheme="minorHAnsi" w:cstheme="minorHAnsi"/>
        </w:rPr>
        <w:t>P</w:t>
      </w:r>
      <w:r w:rsidR="00F927F3">
        <w:rPr>
          <w:rFonts w:asciiTheme="minorHAnsi" w:hAnsiTheme="minorHAnsi" w:cstheme="minorHAnsi"/>
        </w:rPr>
        <w:t>ubliques</w:t>
      </w:r>
      <w:r w:rsidRPr="004A5122">
        <w:rPr>
          <w:rFonts w:asciiTheme="minorHAnsi" w:hAnsiTheme="minorHAnsi" w:cstheme="minorHAnsi"/>
        </w:rPr>
        <w:t xml:space="preserve"> en 2016</w:t>
      </w:r>
      <w:bookmarkEnd w:id="39"/>
    </w:p>
    <w:p w14:paraId="79F8722C" w14:textId="0E967554" w:rsidR="00791229" w:rsidRPr="004A5122" w:rsidRDefault="00791229" w:rsidP="00F12682">
      <w:pPr>
        <w:spacing w:after="120" w:line="276" w:lineRule="auto"/>
        <w:jc w:val="both"/>
        <w:rPr>
          <w:rFonts w:cstheme="minorHAnsi"/>
          <w:sz w:val="24"/>
          <w:szCs w:val="24"/>
        </w:rPr>
      </w:pPr>
      <w:r w:rsidRPr="004A5122">
        <w:rPr>
          <w:rFonts w:cstheme="minorHAnsi"/>
          <w:sz w:val="24"/>
          <w:szCs w:val="24"/>
        </w:rPr>
        <w:t>L’élaboration du second plan d’investissement de l’Initiative 3N coïncide avec plusieurs évènements dont la mise en œuvre de la Directive 06 de l’Union Monétaire Ouest Africaine (UEMOA) relative aux lois des finances des pays membres traduite au Niger par la loi 2012-portant loi de finance suivant une démarche Budget-Programme ; mais également les formulation des appuis des différents partenaires (cas du 11</w:t>
      </w:r>
      <w:r w:rsidRPr="00F927F3">
        <w:rPr>
          <w:rFonts w:cstheme="minorHAnsi"/>
          <w:sz w:val="24"/>
          <w:szCs w:val="24"/>
          <w:vertAlign w:val="superscript"/>
        </w:rPr>
        <w:t>ème</w:t>
      </w:r>
      <w:r w:rsidR="00F927F3">
        <w:rPr>
          <w:rFonts w:cstheme="minorHAnsi"/>
          <w:sz w:val="24"/>
          <w:szCs w:val="24"/>
        </w:rPr>
        <w:t xml:space="preserve"> </w:t>
      </w:r>
      <w:r w:rsidRPr="004A5122">
        <w:rPr>
          <w:rFonts w:cstheme="minorHAnsi"/>
          <w:sz w:val="24"/>
          <w:szCs w:val="24"/>
        </w:rPr>
        <w:t xml:space="preserve">FED suivant l’Aide Budgétaire Sectorielle) et les engagements internationaux comme les ODD et la </w:t>
      </w:r>
      <w:r w:rsidR="00F927F3" w:rsidRPr="004A5122">
        <w:rPr>
          <w:rFonts w:cstheme="minorHAnsi"/>
          <w:sz w:val="24"/>
          <w:szCs w:val="24"/>
        </w:rPr>
        <w:t>COP</w:t>
      </w:r>
      <w:r w:rsidRPr="004A5122">
        <w:rPr>
          <w:rFonts w:cstheme="minorHAnsi"/>
          <w:sz w:val="24"/>
          <w:szCs w:val="24"/>
        </w:rPr>
        <w:t>-21</w:t>
      </w:r>
      <w:r w:rsidR="00F927F3">
        <w:rPr>
          <w:rFonts w:cstheme="minorHAnsi"/>
          <w:sz w:val="24"/>
          <w:szCs w:val="24"/>
        </w:rPr>
        <w:t>,</w:t>
      </w:r>
      <w:r w:rsidRPr="004A5122">
        <w:rPr>
          <w:rFonts w:cstheme="minorHAnsi"/>
          <w:sz w:val="24"/>
          <w:szCs w:val="24"/>
        </w:rPr>
        <w:t xml:space="preserve"> etc.</w:t>
      </w:r>
    </w:p>
    <w:p w14:paraId="4B410782" w14:textId="77777777" w:rsidR="00791229" w:rsidRDefault="00791229" w:rsidP="00F12682">
      <w:pPr>
        <w:spacing w:after="120" w:line="276" w:lineRule="auto"/>
        <w:jc w:val="both"/>
        <w:rPr>
          <w:rFonts w:cstheme="minorHAnsi"/>
          <w:sz w:val="24"/>
          <w:szCs w:val="24"/>
        </w:rPr>
      </w:pPr>
      <w:r w:rsidRPr="004A5122">
        <w:rPr>
          <w:rFonts w:cstheme="minorHAnsi"/>
          <w:sz w:val="24"/>
          <w:szCs w:val="24"/>
        </w:rPr>
        <w:t>Des réajustements sont opérés dans le cadre ce processus, notamment l’alignement aux réformes qui impose de parler, en lieu et place du plan d’investissement, de « plan d’actions » assorti des budget-programmes avec une plus grande responsabilité aux maîtres d’ouvrage et maîtres d’œuvre.</w:t>
      </w:r>
    </w:p>
    <w:p w14:paraId="1DC974BD" w14:textId="77777777" w:rsidR="00F927F3" w:rsidRPr="004A5122" w:rsidRDefault="00F927F3" w:rsidP="00F12682">
      <w:pPr>
        <w:spacing w:after="120" w:line="276" w:lineRule="auto"/>
        <w:jc w:val="both"/>
        <w:rPr>
          <w:rFonts w:cstheme="minorHAnsi"/>
          <w:sz w:val="24"/>
          <w:szCs w:val="24"/>
        </w:rPr>
      </w:pPr>
    </w:p>
    <w:p w14:paraId="09C6A143" w14:textId="1BD1A344" w:rsidR="007C6035" w:rsidRDefault="00C135D9" w:rsidP="00F12682">
      <w:pPr>
        <w:pStyle w:val="Titre3"/>
        <w:numPr>
          <w:ilvl w:val="2"/>
          <w:numId w:val="21"/>
        </w:numPr>
        <w:rPr>
          <w:rFonts w:asciiTheme="minorHAnsi" w:hAnsiTheme="minorHAnsi" w:cstheme="minorHAnsi"/>
        </w:rPr>
      </w:pPr>
      <w:bookmarkStart w:id="40" w:name="_Toc529305013"/>
      <w:r w:rsidRPr="004A5122">
        <w:rPr>
          <w:rFonts w:asciiTheme="minorHAnsi" w:hAnsiTheme="minorHAnsi" w:cstheme="minorHAnsi"/>
        </w:rPr>
        <w:t>Analyse de la</w:t>
      </w:r>
      <w:r w:rsidR="0092779D" w:rsidRPr="004A5122">
        <w:rPr>
          <w:rFonts w:asciiTheme="minorHAnsi" w:hAnsiTheme="minorHAnsi" w:cstheme="minorHAnsi"/>
        </w:rPr>
        <w:t xml:space="preserve"> planification</w:t>
      </w:r>
      <w:r w:rsidR="00290DAE" w:rsidRPr="004A5122">
        <w:rPr>
          <w:rFonts w:asciiTheme="minorHAnsi" w:hAnsiTheme="minorHAnsi" w:cstheme="minorHAnsi"/>
        </w:rPr>
        <w:t>/</w:t>
      </w:r>
      <w:r w:rsidR="0077546B" w:rsidRPr="004A5122">
        <w:rPr>
          <w:rFonts w:asciiTheme="minorHAnsi" w:hAnsiTheme="minorHAnsi" w:cstheme="minorHAnsi"/>
        </w:rPr>
        <w:t>programmation</w:t>
      </w:r>
      <w:r w:rsidR="00207EC6">
        <w:rPr>
          <w:rFonts w:asciiTheme="minorHAnsi" w:hAnsiTheme="minorHAnsi" w:cstheme="minorHAnsi"/>
        </w:rPr>
        <w:t xml:space="preserve">, </w:t>
      </w:r>
      <w:r w:rsidRPr="004A5122">
        <w:rPr>
          <w:rFonts w:asciiTheme="minorHAnsi" w:hAnsiTheme="minorHAnsi" w:cstheme="minorHAnsi"/>
        </w:rPr>
        <w:t xml:space="preserve">budgétisation </w:t>
      </w:r>
      <w:r w:rsidR="00E709EB" w:rsidRPr="004A5122">
        <w:rPr>
          <w:rFonts w:asciiTheme="minorHAnsi" w:hAnsiTheme="minorHAnsi" w:cstheme="minorHAnsi"/>
        </w:rPr>
        <w:t>des dépenses</w:t>
      </w:r>
      <w:r w:rsidR="001455EE">
        <w:rPr>
          <w:rFonts w:asciiTheme="minorHAnsi" w:hAnsiTheme="minorHAnsi" w:cstheme="minorHAnsi"/>
        </w:rPr>
        <w:t xml:space="preserve"> et </w:t>
      </w:r>
      <w:r w:rsidR="001455EE" w:rsidRPr="004A5122">
        <w:rPr>
          <w:rFonts w:asciiTheme="minorHAnsi" w:hAnsiTheme="minorHAnsi" w:cstheme="minorHAnsi"/>
        </w:rPr>
        <w:t>reddition des comptes</w:t>
      </w:r>
      <w:bookmarkEnd w:id="40"/>
    </w:p>
    <w:p w14:paraId="5B63B337" w14:textId="77777777" w:rsidR="004507D1" w:rsidRPr="004A5122" w:rsidRDefault="004507D1" w:rsidP="00F12682">
      <w:pPr>
        <w:spacing w:after="120" w:line="276" w:lineRule="auto"/>
        <w:jc w:val="both"/>
        <w:rPr>
          <w:rFonts w:cstheme="minorHAnsi"/>
          <w:sz w:val="24"/>
          <w:szCs w:val="24"/>
        </w:rPr>
      </w:pPr>
      <w:r w:rsidRPr="004A5122">
        <w:rPr>
          <w:rFonts w:cstheme="minorHAnsi"/>
          <w:sz w:val="24"/>
          <w:szCs w:val="24"/>
        </w:rPr>
        <w:t>L’Initiative 3N, Stratégie de Sécurité Alimentaire et nutritionnelle et le développement Agricole Durables, « les Nigériens Nourrissent les Nigériens » a été adoptée par décret 2012-139/PRN du 18 Avril 2012. Son objectif global à l’horizon 2035 est de « contribuer à mettre durablement les populations nigériennes à l’abri de la faim et de la malnutrition et leur garantir les conditions d’une pleine participation à la production nationale et à l’amélioration de leurs revenus ». De façon spécifique, il s’agit de renforcer les capacités nationales de productions alimentaires, d’approvisionnement et de résilience face aux crises alimentaires et aux catastrophes.</w:t>
      </w:r>
    </w:p>
    <w:p w14:paraId="1ADF1A54" w14:textId="69C196B7" w:rsidR="004507D1" w:rsidRPr="004A5122" w:rsidRDefault="004507D1" w:rsidP="00F12682">
      <w:pPr>
        <w:spacing w:after="120" w:line="276" w:lineRule="auto"/>
        <w:jc w:val="both"/>
        <w:rPr>
          <w:rFonts w:cstheme="minorHAnsi"/>
          <w:sz w:val="24"/>
          <w:szCs w:val="24"/>
        </w:rPr>
      </w:pPr>
      <w:r w:rsidRPr="004A5122">
        <w:rPr>
          <w:rFonts w:cstheme="minorHAnsi"/>
          <w:sz w:val="24"/>
          <w:szCs w:val="24"/>
        </w:rPr>
        <w:t>La stratégie de l’Initiative 3N est construite autour de cinq (5) axes stratégiques, à savoir : (i) Axe stratégique 1 : Accroissement et diversification des productions agro-</w:t>
      </w:r>
      <w:proofErr w:type="spellStart"/>
      <w:r w:rsidRPr="004A5122">
        <w:rPr>
          <w:rFonts w:cstheme="minorHAnsi"/>
          <w:sz w:val="24"/>
          <w:szCs w:val="24"/>
        </w:rPr>
        <w:t>sylvo</w:t>
      </w:r>
      <w:proofErr w:type="spellEnd"/>
      <w:r w:rsidRPr="004A5122">
        <w:rPr>
          <w:rFonts w:cstheme="minorHAnsi"/>
          <w:sz w:val="24"/>
          <w:szCs w:val="24"/>
        </w:rPr>
        <w:t>-pastorales et halieutiques, (ii) Axe</w:t>
      </w:r>
      <w:r w:rsidR="003D34E5">
        <w:rPr>
          <w:rFonts w:cstheme="minorHAnsi"/>
          <w:sz w:val="24"/>
          <w:szCs w:val="24"/>
        </w:rPr>
        <w:t xml:space="preserve"> </w:t>
      </w:r>
      <w:r w:rsidRPr="004A5122">
        <w:rPr>
          <w:rFonts w:cstheme="minorHAnsi"/>
          <w:sz w:val="24"/>
          <w:szCs w:val="24"/>
        </w:rPr>
        <w:t>stratégique 2 : Approvisionnement régulier des marchés ruraux et urbains en produits agricoles et agroalimentaires, (iii) Axe stratégique 3 : Amélioration de la résilience des populations face aux changements climatiques, crises et catastrophes, (iv) Axe stratégique 4 : Amélioration de l’Etat nutritionnel des nigériens et (v) Axe stratégique 5 : Animation, coordination de l’Initiative 3N et impulsion des réformes.</w:t>
      </w:r>
    </w:p>
    <w:p w14:paraId="7C01B7B8" w14:textId="77777777" w:rsidR="004507D1" w:rsidRPr="004A5122" w:rsidRDefault="004507D1" w:rsidP="00F12682">
      <w:pPr>
        <w:spacing w:after="120" w:line="276" w:lineRule="auto"/>
        <w:jc w:val="both"/>
        <w:rPr>
          <w:rFonts w:cstheme="minorHAnsi"/>
          <w:sz w:val="24"/>
          <w:szCs w:val="24"/>
        </w:rPr>
      </w:pPr>
      <w:r w:rsidRPr="004A5122">
        <w:rPr>
          <w:rFonts w:cstheme="minorHAnsi"/>
          <w:sz w:val="24"/>
          <w:szCs w:val="24"/>
        </w:rPr>
        <w:t>L’Initiative 3N est un ensemble cohérent de mesures normatives et d’actions d’investissements à réaliser à court, moyen et long termes. Elle doit permettre au Niger de faire un saut qualitatif tant du point de vue des investissements pour le secteur du développement rural que des secteurs connexes de l’agroalimentaire et du commerce de produits agro-</w:t>
      </w:r>
      <w:proofErr w:type="spellStart"/>
      <w:r w:rsidRPr="004A5122">
        <w:rPr>
          <w:rFonts w:cstheme="minorHAnsi"/>
          <w:sz w:val="24"/>
          <w:szCs w:val="24"/>
        </w:rPr>
        <w:t>sylvo</w:t>
      </w:r>
      <w:proofErr w:type="spellEnd"/>
      <w:r w:rsidRPr="004A5122">
        <w:rPr>
          <w:rFonts w:cstheme="minorHAnsi"/>
          <w:sz w:val="24"/>
          <w:szCs w:val="24"/>
        </w:rPr>
        <w:t>-pastoraux locaux. Ces investissements devraient permettre de mettre en adéquation l’offre en produits agricoles et agroalimentaires et la demande sans cesse croissante et de plus en plus exigeante quant à la qualité des produits.</w:t>
      </w:r>
    </w:p>
    <w:p w14:paraId="6C0872A4" w14:textId="35566E2B" w:rsidR="004507D1" w:rsidRPr="004A5122" w:rsidRDefault="004507D1" w:rsidP="00F12682">
      <w:pPr>
        <w:spacing w:after="120" w:line="276" w:lineRule="auto"/>
        <w:jc w:val="both"/>
        <w:rPr>
          <w:rFonts w:cstheme="minorHAnsi"/>
          <w:sz w:val="24"/>
          <w:szCs w:val="24"/>
        </w:rPr>
      </w:pPr>
      <w:r w:rsidRPr="004A5122">
        <w:rPr>
          <w:rFonts w:cstheme="minorHAnsi"/>
          <w:sz w:val="24"/>
          <w:szCs w:val="24"/>
        </w:rPr>
        <w:lastRenderedPageBreak/>
        <w:t>Pour la mise en œuvre de l’Initiative 3N pendant la période 2012-2015, un Plan d’investissement a été élaboré et mis en œuvre à travers onze (11) Programmes d’Investissements Prioritaires. Ce Plan d’Investissement 2012-2015 a été financé à hauteur de 1 194,36 milliards de francs pour une prévision de 1000,85 milliards FCFA soit 119,43% de fonds mobilisés.</w:t>
      </w:r>
    </w:p>
    <w:p w14:paraId="79149A21" w14:textId="77777777" w:rsidR="00556B1A" w:rsidRPr="004A5122" w:rsidRDefault="00556B1A" w:rsidP="00F12682">
      <w:pPr>
        <w:spacing w:after="120" w:line="276" w:lineRule="auto"/>
        <w:jc w:val="both"/>
        <w:rPr>
          <w:rFonts w:cstheme="minorHAnsi"/>
          <w:sz w:val="24"/>
          <w:szCs w:val="24"/>
        </w:rPr>
      </w:pPr>
      <w:r w:rsidRPr="004A5122">
        <w:rPr>
          <w:rFonts w:cstheme="minorHAnsi"/>
          <w:sz w:val="24"/>
          <w:szCs w:val="24"/>
        </w:rPr>
        <w:t>Le cadre stratégique de l’Initiative 3N est élaboré pour l’horizon temporel 2035. Le constat qui se dégage de la mise en œuvre du premier plan d’investissement de la stratégie de l’Initiative 3N est qu’il reste globalement approprié et pertinent pour orienter la prochaine phase de mise en œuvre.</w:t>
      </w:r>
    </w:p>
    <w:p w14:paraId="2669DCC6" w14:textId="77777777" w:rsidR="00556B1A" w:rsidRPr="004A5122" w:rsidRDefault="00556B1A" w:rsidP="00F12682">
      <w:pPr>
        <w:spacing w:after="120" w:line="276" w:lineRule="auto"/>
        <w:jc w:val="both"/>
        <w:rPr>
          <w:rFonts w:cstheme="minorHAnsi"/>
          <w:sz w:val="24"/>
          <w:szCs w:val="24"/>
        </w:rPr>
      </w:pPr>
      <w:r w:rsidRPr="004A5122">
        <w:rPr>
          <w:rFonts w:cstheme="minorHAnsi"/>
          <w:sz w:val="24"/>
          <w:szCs w:val="24"/>
        </w:rPr>
        <w:t>Par conséquent, le nouveau Plan d’Action 2016-2020 a reconduit l’essentiel des thématiques tout en les restructurant et les renforçant lorsque nécessaire afin de mettre en avant :</w:t>
      </w:r>
    </w:p>
    <w:p w14:paraId="46476A47" w14:textId="77777777" w:rsidR="00556B1A" w:rsidRPr="004A5122" w:rsidRDefault="00556B1A" w:rsidP="00F12682">
      <w:pPr>
        <w:numPr>
          <w:ilvl w:val="0"/>
          <w:numId w:val="16"/>
        </w:numPr>
        <w:spacing w:after="120" w:line="276" w:lineRule="auto"/>
        <w:ind w:left="567" w:hanging="207"/>
        <w:jc w:val="both"/>
        <w:rPr>
          <w:rFonts w:cs="Calibri"/>
          <w:sz w:val="24"/>
        </w:rPr>
      </w:pPr>
      <w:r w:rsidRPr="004A5122">
        <w:rPr>
          <w:rFonts w:cs="Calibri"/>
          <w:sz w:val="24"/>
        </w:rPr>
        <w:t>La maîtrise de l’eau aux fins de productions agro-</w:t>
      </w:r>
      <w:proofErr w:type="spellStart"/>
      <w:r w:rsidRPr="004A5122">
        <w:rPr>
          <w:rFonts w:cs="Calibri"/>
          <w:sz w:val="24"/>
        </w:rPr>
        <w:t>sylvo</w:t>
      </w:r>
      <w:proofErr w:type="spellEnd"/>
      <w:r w:rsidRPr="004A5122">
        <w:rPr>
          <w:rFonts w:cs="Calibri"/>
          <w:sz w:val="24"/>
        </w:rPr>
        <w:t>-pastorales et halieutiques ;</w:t>
      </w:r>
    </w:p>
    <w:p w14:paraId="3CC4F12C" w14:textId="77777777" w:rsidR="00556B1A" w:rsidRPr="004A5122" w:rsidRDefault="00556B1A" w:rsidP="00F12682">
      <w:pPr>
        <w:numPr>
          <w:ilvl w:val="0"/>
          <w:numId w:val="16"/>
        </w:numPr>
        <w:spacing w:after="120" w:line="276" w:lineRule="auto"/>
        <w:ind w:left="567" w:hanging="207"/>
        <w:jc w:val="both"/>
        <w:rPr>
          <w:rFonts w:cs="Calibri"/>
          <w:sz w:val="24"/>
        </w:rPr>
      </w:pPr>
      <w:r w:rsidRPr="004A5122">
        <w:rPr>
          <w:rFonts w:cs="Calibri"/>
          <w:sz w:val="24"/>
        </w:rPr>
        <w:t>Les questions liées à la commercialisation des produits de manière à inscrire nos productions dans les chaînes de valeur et transformer notre agriculture de subsistance en une agriculture marchande, pourvoyeuse d’emplois et de revenus substantiels aux producteurs ruraux ;</w:t>
      </w:r>
    </w:p>
    <w:p w14:paraId="6A64F47B" w14:textId="77777777" w:rsidR="00556B1A" w:rsidRPr="004A5122" w:rsidRDefault="00556B1A" w:rsidP="00F12682">
      <w:pPr>
        <w:numPr>
          <w:ilvl w:val="0"/>
          <w:numId w:val="16"/>
        </w:numPr>
        <w:spacing w:after="120" w:line="276" w:lineRule="auto"/>
        <w:ind w:left="567" w:hanging="207"/>
        <w:jc w:val="both"/>
        <w:rPr>
          <w:rFonts w:cs="Calibri"/>
          <w:sz w:val="24"/>
        </w:rPr>
      </w:pPr>
      <w:r w:rsidRPr="004A5122">
        <w:rPr>
          <w:rFonts w:cs="Calibri"/>
          <w:sz w:val="24"/>
        </w:rPr>
        <w:t>La réalisation d’infrastructures de mise en marché des produits agro-</w:t>
      </w:r>
      <w:proofErr w:type="spellStart"/>
      <w:r w:rsidRPr="004A5122">
        <w:rPr>
          <w:rFonts w:cs="Calibri"/>
          <w:sz w:val="24"/>
        </w:rPr>
        <w:t>sylvo</w:t>
      </w:r>
      <w:proofErr w:type="spellEnd"/>
      <w:r w:rsidRPr="004A5122">
        <w:rPr>
          <w:rFonts w:cs="Calibri"/>
          <w:sz w:val="24"/>
        </w:rPr>
        <w:t>-pastoraux et/ou halieutiques (pistes de desserte, comptoirs de commercialisation, magasins de stockages, contrôle de qualité et conditionnement, etc.) et de leur transformation dans le but de leur apporter une valeur ajoutée doit être privilégiée ;</w:t>
      </w:r>
    </w:p>
    <w:p w14:paraId="3E04082C" w14:textId="77777777" w:rsidR="00556B1A" w:rsidRPr="004A5122" w:rsidRDefault="00556B1A" w:rsidP="00F12682">
      <w:pPr>
        <w:numPr>
          <w:ilvl w:val="0"/>
          <w:numId w:val="16"/>
        </w:numPr>
        <w:spacing w:after="120" w:line="276" w:lineRule="auto"/>
        <w:ind w:left="567" w:hanging="207"/>
        <w:jc w:val="both"/>
        <w:rPr>
          <w:rFonts w:cs="Calibri"/>
          <w:sz w:val="24"/>
        </w:rPr>
      </w:pPr>
      <w:r w:rsidRPr="004A5122">
        <w:rPr>
          <w:rFonts w:cs="Calibri"/>
          <w:sz w:val="24"/>
        </w:rPr>
        <w:t>La promotion de nouveaux types d’acteurs en agriculture et en élevage ainsi que la professionnalisation de ces métiers ;</w:t>
      </w:r>
    </w:p>
    <w:p w14:paraId="3BBA52A2" w14:textId="77777777" w:rsidR="00556B1A" w:rsidRPr="004A5122" w:rsidRDefault="00556B1A" w:rsidP="00F12682">
      <w:pPr>
        <w:numPr>
          <w:ilvl w:val="0"/>
          <w:numId w:val="16"/>
        </w:numPr>
        <w:spacing w:after="120" w:line="276" w:lineRule="auto"/>
        <w:ind w:left="567" w:hanging="207"/>
        <w:jc w:val="both"/>
        <w:rPr>
          <w:rFonts w:cs="Calibri"/>
          <w:sz w:val="24"/>
        </w:rPr>
      </w:pPr>
      <w:r w:rsidRPr="004A5122">
        <w:rPr>
          <w:rFonts w:cs="Calibri"/>
          <w:sz w:val="24"/>
        </w:rPr>
        <w:t>Un recentrage sur les actions de prévention de la malnutrition et la mise en œuvre de mécanismes de protection sociale à travers des investissements multisectoriels de long terme visant les plus vulnérables et non pas seulement des réponses curatives ponctuelles répétitives ;</w:t>
      </w:r>
    </w:p>
    <w:p w14:paraId="7600D1BD" w14:textId="77777777" w:rsidR="00556B1A" w:rsidRPr="004A5122" w:rsidRDefault="00556B1A" w:rsidP="00F12682">
      <w:pPr>
        <w:numPr>
          <w:ilvl w:val="0"/>
          <w:numId w:val="16"/>
        </w:numPr>
        <w:spacing w:after="120" w:line="276" w:lineRule="auto"/>
        <w:ind w:left="567" w:hanging="207"/>
        <w:jc w:val="both"/>
        <w:rPr>
          <w:rFonts w:cs="Calibri"/>
          <w:sz w:val="24"/>
        </w:rPr>
      </w:pPr>
      <w:r w:rsidRPr="004A5122">
        <w:rPr>
          <w:rFonts w:cs="Calibri"/>
          <w:sz w:val="24"/>
        </w:rPr>
        <w:t>La mise en place d’un programme de renforcement des capacités à tous les niveaux particulièrement sur les communes à travers les cadres de concertation communaux.</w:t>
      </w:r>
    </w:p>
    <w:p w14:paraId="187B250A" w14:textId="77777777" w:rsidR="00556B1A" w:rsidRPr="004A5122" w:rsidRDefault="00556B1A" w:rsidP="00F12682">
      <w:pPr>
        <w:spacing w:after="120" w:line="276" w:lineRule="auto"/>
        <w:jc w:val="both"/>
        <w:rPr>
          <w:rFonts w:cs="Calibri"/>
          <w:sz w:val="24"/>
        </w:rPr>
      </w:pPr>
      <w:r w:rsidRPr="004A5122">
        <w:rPr>
          <w:rFonts w:cs="Calibri"/>
          <w:sz w:val="24"/>
        </w:rPr>
        <w:t xml:space="preserve">Le nouveau Plan d’Action a ainsi permis un réajustement afin de corriger les insuffisances et d’assurer un meilleur ciblage et une meilleure traçabilité des actions et de leurs effets. Cela concerne notamment la façon d’appréhender le concept de la « résilience », qui est multidimensionnel et donc transversal, et qui constitue davantage un objectif stratégique de l’Initiative 3N plutôt qu’un pilier opérationnel spécifique de la mise en œuvre de l’Initiative 3N. D’autres besoins de réajustement résultent des évolutions de l’environnement institutionnel dans lequel le Niger s’insère. </w:t>
      </w:r>
    </w:p>
    <w:p w14:paraId="4748C155" w14:textId="77777777" w:rsidR="00556B1A" w:rsidRPr="004A5122" w:rsidRDefault="00556B1A" w:rsidP="00F12682">
      <w:pPr>
        <w:spacing w:after="120" w:line="276" w:lineRule="auto"/>
        <w:jc w:val="both"/>
        <w:rPr>
          <w:rFonts w:cs="Calibri"/>
          <w:sz w:val="24"/>
        </w:rPr>
      </w:pPr>
      <w:r w:rsidRPr="004A5122">
        <w:rPr>
          <w:rFonts w:cs="Calibri"/>
          <w:sz w:val="24"/>
        </w:rPr>
        <w:t>En effet, entre 2012 et 2015, la Niger a adhéré à plusieurs mouvements internationaux, continentaux et régionaux, et les engagements pris en lien avec la sécurité alimentaire et nutritionnelle doivent être incorporés dans la Programmation de l’Initiative 3N notamment les implications de la réforme des finances publiques (Directive 6 de l’UEMOA). Il convient de citer les Objectifs Développement Durable (ODD), les engagements issus de la Conférence internationale sur le Climat de Décembre 2015, les processus SUN (</w:t>
      </w:r>
      <w:proofErr w:type="spellStart"/>
      <w:r w:rsidRPr="004A5122">
        <w:rPr>
          <w:rFonts w:cs="Calibri"/>
          <w:sz w:val="24"/>
        </w:rPr>
        <w:t>Scaling</w:t>
      </w:r>
      <w:proofErr w:type="spellEnd"/>
      <w:r w:rsidRPr="004A5122">
        <w:rPr>
          <w:rFonts w:cs="Calibri"/>
          <w:sz w:val="24"/>
        </w:rPr>
        <w:t xml:space="preserve"> Up Nutrition) et REACH (</w:t>
      </w:r>
      <w:proofErr w:type="spellStart"/>
      <w:r w:rsidRPr="004A5122">
        <w:rPr>
          <w:rFonts w:cs="Calibri"/>
          <w:sz w:val="24"/>
        </w:rPr>
        <w:t>Renew</w:t>
      </w:r>
      <w:proofErr w:type="spellEnd"/>
      <w:r w:rsidRPr="004A5122">
        <w:rPr>
          <w:rFonts w:cs="Calibri"/>
          <w:sz w:val="24"/>
        </w:rPr>
        <w:t xml:space="preserve"> Effort Against Child </w:t>
      </w:r>
      <w:proofErr w:type="spellStart"/>
      <w:r w:rsidRPr="004A5122">
        <w:rPr>
          <w:rFonts w:cs="Calibri"/>
          <w:sz w:val="24"/>
        </w:rPr>
        <w:t>Hunger</w:t>
      </w:r>
      <w:proofErr w:type="spellEnd"/>
      <w:r w:rsidRPr="004A5122">
        <w:rPr>
          <w:rFonts w:cs="Calibri"/>
          <w:sz w:val="24"/>
        </w:rPr>
        <w:t xml:space="preserve"> and </w:t>
      </w:r>
      <w:proofErr w:type="spellStart"/>
      <w:r w:rsidRPr="004A5122">
        <w:rPr>
          <w:rFonts w:cs="Calibri"/>
          <w:sz w:val="24"/>
        </w:rPr>
        <w:t>undernutrition</w:t>
      </w:r>
      <w:proofErr w:type="spellEnd"/>
      <w:r w:rsidRPr="004A5122">
        <w:rPr>
          <w:rFonts w:cs="Calibri"/>
          <w:sz w:val="24"/>
        </w:rPr>
        <w:t xml:space="preserve">), l’initiative « Défi Faim Zéro », AGIR (Alliance Globale pour </w:t>
      </w:r>
      <w:r w:rsidRPr="004A5122">
        <w:rPr>
          <w:rFonts w:cs="Calibri"/>
          <w:sz w:val="24"/>
        </w:rPr>
        <w:lastRenderedPageBreak/>
        <w:t xml:space="preserve">les Initiatives de Résilience), « Plateforme pour la gestion des risques agricoles » et « Agriculture intelligente (ou résiliente) face au climat », les engagements du Sommet des Chefs d’Etat à Malabo sur la </w:t>
      </w:r>
      <w:r w:rsidRPr="004A5122">
        <w:rPr>
          <w:rFonts w:eastAsia="Calibri" w:cs="Calibri"/>
          <w:bCs/>
          <w:sz w:val="24"/>
        </w:rPr>
        <w:t xml:space="preserve">« Transformation de l’Agriculture Africaine pour une Prospérité Partagée et un mieux-être, à travers l’exploitation des Opportunités pour la Croissance Inclusive et le Développement Durable » </w:t>
      </w:r>
      <w:r w:rsidRPr="004A5122">
        <w:rPr>
          <w:rFonts w:cs="Calibri"/>
          <w:sz w:val="24"/>
        </w:rPr>
        <w:t>et bien d’autres évolutions contextuelles.</w:t>
      </w:r>
    </w:p>
    <w:p w14:paraId="4D2DA568" w14:textId="77777777" w:rsidR="00556B1A" w:rsidRPr="004A5122" w:rsidRDefault="00556B1A" w:rsidP="00F12682">
      <w:pPr>
        <w:spacing w:after="120" w:line="276" w:lineRule="auto"/>
        <w:jc w:val="both"/>
        <w:rPr>
          <w:rFonts w:cs="Calibri"/>
          <w:sz w:val="24"/>
        </w:rPr>
      </w:pPr>
      <w:r w:rsidRPr="004A5122">
        <w:rPr>
          <w:rFonts w:cs="Calibri"/>
          <w:sz w:val="24"/>
        </w:rPr>
        <w:t>De même cette nouvelle programmation de l’Initiative 3N est en phase avec les stratégies des principaux partenaires bilatéraux et multilatéraux du Niger. Elle intègre et se repose sur divers programmes récemment acquis ou en cours de formulation et donc sur des perspectives de ressources en partie déjà sécurisées.</w:t>
      </w:r>
    </w:p>
    <w:p w14:paraId="6B2F6437" w14:textId="4C084D12" w:rsidR="00556B1A" w:rsidRPr="004A5122" w:rsidRDefault="00556B1A" w:rsidP="00F12682">
      <w:pPr>
        <w:spacing w:after="120" w:line="276" w:lineRule="auto"/>
        <w:jc w:val="both"/>
        <w:rPr>
          <w:rFonts w:cs="Calibri"/>
          <w:sz w:val="24"/>
        </w:rPr>
      </w:pPr>
      <w:r w:rsidRPr="004A5122">
        <w:rPr>
          <w:rFonts w:cs="Calibri"/>
          <w:sz w:val="24"/>
        </w:rPr>
        <w:t>Le croisement des enseignements tirés de la mise en œuvre du premier Plan d’Investissement de l’Initiative 3N, de l’analyse des évolutions contextuelles et des perspectives de financements ont ainsi alimenté les travaux d’élaboration du PA 2016-2020 qui</w:t>
      </w:r>
      <w:r w:rsidR="003D34E5">
        <w:rPr>
          <w:rFonts w:cs="Calibri"/>
          <w:sz w:val="24"/>
        </w:rPr>
        <w:t xml:space="preserve"> </w:t>
      </w:r>
      <w:r w:rsidRPr="004A5122">
        <w:rPr>
          <w:rFonts w:cs="Calibri"/>
          <w:sz w:val="24"/>
        </w:rPr>
        <w:t>a impliqué l’ensemble des Ministères et acteurs de mise en œuvre de l’Initiative 3N et a coïncidé avec les prémices de la réforme des finances publiques (PRGFP) à travers l’application de la Directive 6/2009 de l’UEMOA. Cette directive instaure de nouvelles règles dans l'élaboration, l'exécution et de suivi du budget de l'Etat avec pour objectif d'améliorer l'efficacité de la dépense publique. Il marque, pour les Ministères, le passage à « l’Approche Programme » à travers l’élaboration de Documents de Programmation Pluriannuelle des Dépenses</w:t>
      </w:r>
      <w:r w:rsidR="00406E83">
        <w:rPr>
          <w:rFonts w:cs="Calibri"/>
          <w:sz w:val="24"/>
        </w:rPr>
        <w:t xml:space="preserve"> (DPPD)</w:t>
      </w:r>
      <w:r w:rsidRPr="004A5122">
        <w:rPr>
          <w:rFonts w:cs="Calibri"/>
          <w:sz w:val="24"/>
        </w:rPr>
        <w:t>.</w:t>
      </w:r>
    </w:p>
    <w:p w14:paraId="60FA301C" w14:textId="77777777" w:rsidR="00556B1A" w:rsidRDefault="00556B1A" w:rsidP="00F12682">
      <w:pPr>
        <w:spacing w:after="120" w:line="276" w:lineRule="auto"/>
        <w:jc w:val="both"/>
        <w:rPr>
          <w:rFonts w:cs="Calibri"/>
          <w:sz w:val="24"/>
        </w:rPr>
      </w:pPr>
      <w:r w:rsidRPr="004A5122">
        <w:rPr>
          <w:rFonts w:cs="Calibri"/>
          <w:sz w:val="24"/>
        </w:rPr>
        <w:t>Dans l’esprit de la réforme, le Plan d’Action 2016-2020 a ainsi été décliné en programmes stratégiques eux même constitués d’objectifs spécifiques et d’actions auxquels sont associés des cibles, des indicateurs et des coûts. Les objectifs spécifiques des programmes stratégiques correspondent à des plans de programmes ministériels présentés dans les Documents de Programmation Pluriannuelle des Dépenses. Cette démarche permet une articulation et une harmonisation entre le contenu du Plan d’Actions et la programmation des Ministères chargés de sa mise en œuvre.</w:t>
      </w:r>
    </w:p>
    <w:p w14:paraId="73345002" w14:textId="766B8980" w:rsidR="0091188A" w:rsidRDefault="00406E83" w:rsidP="00F12682">
      <w:pPr>
        <w:spacing w:after="120" w:line="276" w:lineRule="auto"/>
        <w:jc w:val="both"/>
        <w:rPr>
          <w:rFonts w:cs="Calibri"/>
          <w:sz w:val="24"/>
        </w:rPr>
      </w:pPr>
      <w:r>
        <w:rPr>
          <w:rFonts w:cs="Calibri"/>
          <w:sz w:val="24"/>
        </w:rPr>
        <w:t>En qui concerne l</w:t>
      </w:r>
      <w:r w:rsidR="005354A6">
        <w:rPr>
          <w:rFonts w:cs="Calibri"/>
          <w:sz w:val="24"/>
        </w:rPr>
        <w:t>a reddition des comptes</w:t>
      </w:r>
      <w:r w:rsidR="006F38A9">
        <w:rPr>
          <w:rFonts w:cs="Calibri"/>
          <w:sz w:val="24"/>
        </w:rPr>
        <w:t>, à part le sous-secteur de l’hydraulique, il n’existe pas à proprement parler une culture de rapportage annuelle</w:t>
      </w:r>
      <w:r w:rsidR="00AC4405">
        <w:rPr>
          <w:rFonts w:cs="Calibri"/>
          <w:sz w:val="24"/>
        </w:rPr>
        <w:t xml:space="preserve"> callée sur la loi des finances</w:t>
      </w:r>
      <w:r w:rsidR="006F38A9">
        <w:rPr>
          <w:rFonts w:cs="Calibri"/>
          <w:sz w:val="24"/>
        </w:rPr>
        <w:t>, au niveau des</w:t>
      </w:r>
      <w:r w:rsidR="00AC4405">
        <w:rPr>
          <w:rFonts w:cs="Calibri"/>
          <w:sz w:val="24"/>
        </w:rPr>
        <w:t xml:space="preserve"> autres</w:t>
      </w:r>
      <w:r w:rsidR="006F38A9">
        <w:rPr>
          <w:rFonts w:cs="Calibri"/>
          <w:sz w:val="24"/>
        </w:rPr>
        <w:t xml:space="preserve"> sous-secteurs de la SANDAD. </w:t>
      </w:r>
      <w:r w:rsidR="0091188A">
        <w:rPr>
          <w:rFonts w:cs="Calibri"/>
          <w:sz w:val="24"/>
        </w:rPr>
        <w:t xml:space="preserve">Cependant, au niveau global du secteur SANDAD, la reddition des comptes est observée que lors de l’élaboration des rapports de suivi de l’action gouvernementale et des revues de dépenses publiques. </w:t>
      </w:r>
    </w:p>
    <w:p w14:paraId="68E66836" w14:textId="0792B3B2" w:rsidR="00614139" w:rsidRDefault="0091188A" w:rsidP="00F12682">
      <w:pPr>
        <w:spacing w:after="120" w:line="276" w:lineRule="auto"/>
        <w:jc w:val="both"/>
        <w:rPr>
          <w:rFonts w:cs="Calibri"/>
          <w:sz w:val="24"/>
        </w:rPr>
      </w:pPr>
      <w:r>
        <w:rPr>
          <w:rFonts w:cs="Calibri"/>
          <w:sz w:val="24"/>
        </w:rPr>
        <w:t xml:space="preserve">Cette situation est aussi </w:t>
      </w:r>
      <w:r w:rsidR="00CA2D42">
        <w:rPr>
          <w:rFonts w:cs="Calibri"/>
          <w:sz w:val="24"/>
        </w:rPr>
        <w:t>compliquée</w:t>
      </w:r>
      <w:r>
        <w:rPr>
          <w:rFonts w:cs="Calibri"/>
          <w:sz w:val="24"/>
        </w:rPr>
        <w:t xml:space="preserve"> </w:t>
      </w:r>
      <w:r w:rsidR="00CA2D42">
        <w:rPr>
          <w:rFonts w:cs="Calibri"/>
          <w:sz w:val="24"/>
        </w:rPr>
        <w:t xml:space="preserve">par une </w:t>
      </w:r>
      <w:r w:rsidR="00DA598D" w:rsidRPr="004A5122">
        <w:rPr>
          <w:rFonts w:cs="Calibri"/>
          <w:sz w:val="24"/>
        </w:rPr>
        <w:t xml:space="preserve">exécution des dépenses </w:t>
      </w:r>
      <w:r w:rsidR="00CA2D42">
        <w:rPr>
          <w:rFonts w:cs="Calibri"/>
          <w:sz w:val="24"/>
        </w:rPr>
        <w:t>par</w:t>
      </w:r>
      <w:r w:rsidR="00E72CE5">
        <w:rPr>
          <w:rFonts w:cs="Calibri"/>
          <w:sz w:val="24"/>
        </w:rPr>
        <w:t xml:space="preserve"> des procédures non unifiées.</w:t>
      </w:r>
      <w:r w:rsidR="00CA2D42">
        <w:rPr>
          <w:rFonts w:cs="Calibri"/>
          <w:sz w:val="24"/>
        </w:rPr>
        <w:t xml:space="preserve"> En effet, on note une exécution d</w:t>
      </w:r>
      <w:r w:rsidR="00811870">
        <w:rPr>
          <w:rFonts w:cs="Calibri"/>
          <w:sz w:val="24"/>
        </w:rPr>
        <w:t xml:space="preserve">es dépenses </w:t>
      </w:r>
      <w:r w:rsidR="00FC4CAA">
        <w:rPr>
          <w:rFonts w:cs="Calibri"/>
          <w:sz w:val="24"/>
        </w:rPr>
        <w:t>directement opérée</w:t>
      </w:r>
      <w:r w:rsidR="00C13C59">
        <w:rPr>
          <w:rFonts w:cs="Calibri"/>
          <w:sz w:val="24"/>
        </w:rPr>
        <w:t xml:space="preserve"> par les DRFM et les DPM suivant</w:t>
      </w:r>
      <w:r w:rsidR="00FC4CAA">
        <w:rPr>
          <w:rFonts w:cs="Calibri"/>
          <w:sz w:val="24"/>
        </w:rPr>
        <w:t xml:space="preserve"> le circuit du trésor public </w:t>
      </w:r>
      <w:r w:rsidR="00C13C59">
        <w:rPr>
          <w:rFonts w:cs="Calibri"/>
          <w:sz w:val="24"/>
        </w:rPr>
        <w:t>en respectant</w:t>
      </w:r>
      <w:r w:rsidR="00FC4CAA">
        <w:rPr>
          <w:rFonts w:cs="Calibri"/>
          <w:sz w:val="24"/>
        </w:rPr>
        <w:t xml:space="preserve"> l</w:t>
      </w:r>
      <w:r w:rsidR="00C13C59">
        <w:rPr>
          <w:rFonts w:cs="Calibri"/>
          <w:sz w:val="24"/>
        </w:rPr>
        <w:t xml:space="preserve">a procédure </w:t>
      </w:r>
      <w:r w:rsidR="00FC4CAA">
        <w:rPr>
          <w:rFonts w:cs="Calibri"/>
          <w:sz w:val="24"/>
        </w:rPr>
        <w:t xml:space="preserve">d’ordonnancement et </w:t>
      </w:r>
      <w:r w:rsidR="00C13C59">
        <w:rPr>
          <w:rFonts w:cs="Calibri"/>
          <w:sz w:val="24"/>
        </w:rPr>
        <w:t xml:space="preserve">de </w:t>
      </w:r>
      <w:r w:rsidR="00FC4CAA">
        <w:rPr>
          <w:rFonts w:cs="Calibri"/>
          <w:sz w:val="24"/>
        </w:rPr>
        <w:t xml:space="preserve">liquidation. </w:t>
      </w:r>
      <w:r w:rsidR="00517977">
        <w:rPr>
          <w:rFonts w:cs="Calibri"/>
          <w:sz w:val="24"/>
        </w:rPr>
        <w:t xml:space="preserve">Il y a ensuite des dépenses inscrites dans le budget de l’Etat mais qui suivent les procédures des projets. </w:t>
      </w:r>
    </w:p>
    <w:p w14:paraId="32403523" w14:textId="77777777" w:rsidR="000B4309" w:rsidRDefault="000B4309" w:rsidP="00F12682">
      <w:pPr>
        <w:spacing w:after="0" w:line="240" w:lineRule="auto"/>
        <w:jc w:val="both"/>
        <w:rPr>
          <w:rFonts w:cs="Calibri"/>
          <w:sz w:val="24"/>
        </w:rPr>
      </w:pPr>
    </w:p>
    <w:p w14:paraId="696F5962" w14:textId="4AADA047" w:rsidR="00480893" w:rsidRDefault="00333E6C" w:rsidP="00F12682">
      <w:pPr>
        <w:pStyle w:val="Titre3"/>
        <w:numPr>
          <w:ilvl w:val="2"/>
          <w:numId w:val="21"/>
        </w:numPr>
        <w:rPr>
          <w:rFonts w:asciiTheme="minorHAnsi" w:hAnsiTheme="minorHAnsi" w:cstheme="minorHAnsi"/>
        </w:rPr>
      </w:pPr>
      <w:bookmarkStart w:id="41" w:name="_Toc523405214"/>
      <w:bookmarkStart w:id="42" w:name="_Toc523405306"/>
      <w:bookmarkStart w:id="43" w:name="_Toc523577333"/>
      <w:bookmarkStart w:id="44" w:name="_Toc529305014"/>
      <w:bookmarkEnd w:id="41"/>
      <w:bookmarkEnd w:id="42"/>
      <w:bookmarkEnd w:id="43"/>
      <w:r w:rsidRPr="004A5122">
        <w:rPr>
          <w:rFonts w:asciiTheme="minorHAnsi" w:hAnsiTheme="minorHAnsi" w:cstheme="minorHAnsi"/>
        </w:rPr>
        <w:t xml:space="preserve">Appréciation de l’accessibilité et </w:t>
      </w:r>
      <w:r w:rsidR="00384C89" w:rsidRPr="004A5122">
        <w:rPr>
          <w:rFonts w:asciiTheme="minorHAnsi" w:hAnsiTheme="minorHAnsi" w:cstheme="minorHAnsi"/>
        </w:rPr>
        <w:t xml:space="preserve">de la </w:t>
      </w:r>
      <w:r w:rsidRPr="004A5122">
        <w:rPr>
          <w:rFonts w:asciiTheme="minorHAnsi" w:hAnsiTheme="minorHAnsi" w:cstheme="minorHAnsi"/>
        </w:rPr>
        <w:t>fiabilité des données</w:t>
      </w:r>
      <w:bookmarkEnd w:id="44"/>
    </w:p>
    <w:p w14:paraId="594E291C" w14:textId="52056DDA" w:rsidR="001A08BF" w:rsidRPr="0004596D" w:rsidRDefault="00567A71" w:rsidP="00F12682">
      <w:pPr>
        <w:spacing w:after="120" w:line="276" w:lineRule="auto"/>
        <w:jc w:val="both"/>
        <w:rPr>
          <w:rFonts w:cs="Calibri"/>
          <w:sz w:val="24"/>
        </w:rPr>
      </w:pPr>
      <w:r w:rsidRPr="0004596D">
        <w:rPr>
          <w:rFonts w:cs="Calibri"/>
          <w:sz w:val="24"/>
        </w:rPr>
        <w:t xml:space="preserve">Dans le cadre de processus formel et institutionnalisé comme les revues, les données sont accessibles dans le secteur de la SANDAD. </w:t>
      </w:r>
      <w:r w:rsidR="004546F9" w:rsidRPr="0004596D">
        <w:rPr>
          <w:rFonts w:cs="Calibri"/>
          <w:sz w:val="24"/>
        </w:rPr>
        <w:t xml:space="preserve">Cependant, le manque des bases des données fiables </w:t>
      </w:r>
      <w:r w:rsidR="00346AAD" w:rsidRPr="0004596D">
        <w:rPr>
          <w:rFonts w:cs="Calibri"/>
          <w:sz w:val="24"/>
        </w:rPr>
        <w:t>et uni</w:t>
      </w:r>
      <w:r w:rsidR="00B4715E" w:rsidRPr="0004596D">
        <w:rPr>
          <w:rFonts w:cs="Calibri"/>
          <w:sz w:val="24"/>
        </w:rPr>
        <w:t xml:space="preserve">fiées </w:t>
      </w:r>
      <w:r w:rsidR="00346AAD" w:rsidRPr="0004596D">
        <w:rPr>
          <w:rFonts w:cs="Calibri"/>
          <w:sz w:val="24"/>
        </w:rPr>
        <w:t>par sous-secteur et/ou administration</w:t>
      </w:r>
      <w:r w:rsidR="00B4715E" w:rsidRPr="0004596D">
        <w:rPr>
          <w:rFonts w:cs="Calibri"/>
          <w:sz w:val="24"/>
        </w:rPr>
        <w:t xml:space="preserve"> ne facilite pas </w:t>
      </w:r>
      <w:r w:rsidR="007F13DE" w:rsidRPr="0004596D">
        <w:rPr>
          <w:rFonts w:cs="Calibri"/>
          <w:sz w:val="24"/>
        </w:rPr>
        <w:t>l’accessibilité aux données fiables</w:t>
      </w:r>
      <w:r w:rsidR="00346AAD" w:rsidRPr="0004596D">
        <w:rPr>
          <w:rFonts w:cs="Calibri"/>
          <w:sz w:val="24"/>
        </w:rPr>
        <w:t xml:space="preserve">. </w:t>
      </w:r>
      <w:r w:rsidR="00493D52" w:rsidRPr="0004596D">
        <w:rPr>
          <w:rFonts w:cs="Calibri"/>
          <w:sz w:val="24"/>
        </w:rPr>
        <w:t xml:space="preserve">Les </w:t>
      </w:r>
      <w:r w:rsidR="00493D52" w:rsidRPr="0004596D">
        <w:rPr>
          <w:rFonts w:cs="Calibri"/>
          <w:sz w:val="24"/>
        </w:rPr>
        <w:lastRenderedPageBreak/>
        <w:t xml:space="preserve">données aussi bien financière que celles relatives aux réalisations physiques sont </w:t>
      </w:r>
      <w:r w:rsidR="00A7508C" w:rsidRPr="0004596D">
        <w:rPr>
          <w:rFonts w:cs="Calibri"/>
          <w:sz w:val="24"/>
        </w:rPr>
        <w:t xml:space="preserve">stockées selon plusieurs méthodes et dans de format et/ou logiciels divers. Cette situation entraine </w:t>
      </w:r>
      <w:r w:rsidR="00855F2E" w:rsidRPr="0004596D">
        <w:rPr>
          <w:rFonts w:cs="Calibri"/>
          <w:sz w:val="24"/>
        </w:rPr>
        <w:t>une lenteur dans l</w:t>
      </w:r>
      <w:r w:rsidR="00A7508C" w:rsidRPr="0004596D">
        <w:rPr>
          <w:rFonts w:cs="Calibri"/>
          <w:sz w:val="24"/>
        </w:rPr>
        <w:t>’</w:t>
      </w:r>
      <w:r w:rsidR="00DE3C71" w:rsidRPr="0004596D">
        <w:rPr>
          <w:rFonts w:cs="Calibri"/>
          <w:sz w:val="24"/>
        </w:rPr>
        <w:t xml:space="preserve">accessibilité aux données, </w:t>
      </w:r>
      <w:r w:rsidR="00855F2E" w:rsidRPr="0004596D">
        <w:rPr>
          <w:rFonts w:cs="Calibri"/>
          <w:sz w:val="24"/>
        </w:rPr>
        <w:t>leur dispersion</w:t>
      </w:r>
      <w:r w:rsidR="001A08BF" w:rsidRPr="0004596D">
        <w:rPr>
          <w:rFonts w:cs="Calibri"/>
          <w:sz w:val="24"/>
        </w:rPr>
        <w:t xml:space="preserve"> et l’existence des écarts à l’intérieur d’une même administration.</w:t>
      </w:r>
    </w:p>
    <w:p w14:paraId="74176564" w14:textId="16BC19B8" w:rsidR="00BB3978" w:rsidRPr="0004596D" w:rsidRDefault="008637AA" w:rsidP="00F12682">
      <w:pPr>
        <w:spacing w:after="120" w:line="276" w:lineRule="auto"/>
        <w:jc w:val="both"/>
        <w:rPr>
          <w:rFonts w:cs="Calibri"/>
          <w:sz w:val="24"/>
        </w:rPr>
      </w:pPr>
      <w:r w:rsidRPr="0004596D">
        <w:rPr>
          <w:rFonts w:cs="Calibri"/>
          <w:sz w:val="24"/>
        </w:rPr>
        <w:t>Cette situation est beaucoup plus difficile pour les sous-secteurs de l’agriculture</w:t>
      </w:r>
      <w:r w:rsidR="00BB3978" w:rsidRPr="0004596D">
        <w:rPr>
          <w:rFonts w:cs="Calibri"/>
          <w:sz w:val="24"/>
        </w:rPr>
        <w:t>, l’élevage</w:t>
      </w:r>
      <w:r w:rsidRPr="0004596D">
        <w:rPr>
          <w:rFonts w:cs="Calibri"/>
          <w:sz w:val="24"/>
        </w:rPr>
        <w:t xml:space="preserve"> et de l’environnement</w:t>
      </w:r>
      <w:r w:rsidR="00BB3978" w:rsidRPr="0004596D">
        <w:rPr>
          <w:rFonts w:cs="Calibri"/>
          <w:sz w:val="24"/>
        </w:rPr>
        <w:t>, colonne vertébrale de la SANDAD</w:t>
      </w:r>
      <w:r w:rsidR="00FF7C83" w:rsidRPr="0004596D">
        <w:rPr>
          <w:rFonts w:cs="Calibri"/>
          <w:sz w:val="24"/>
        </w:rPr>
        <w:t>, ils se contentent de la production du rapport bilan de l’action gouvernementale au titre de l’année 2016.</w:t>
      </w:r>
    </w:p>
    <w:p w14:paraId="206453D1" w14:textId="3D39D2D5" w:rsidR="008B26E0" w:rsidRPr="006C65EE" w:rsidRDefault="00FF7C83" w:rsidP="00F12682">
      <w:pPr>
        <w:spacing w:after="120" w:line="276" w:lineRule="auto"/>
        <w:jc w:val="both"/>
        <w:rPr>
          <w:rFonts w:ascii="Calibri" w:eastAsiaTheme="majorEastAsia" w:hAnsi="Calibri" w:cs="Calibri"/>
          <w:iCs/>
          <w:sz w:val="24"/>
          <w:szCs w:val="24"/>
        </w:rPr>
      </w:pPr>
      <w:r>
        <w:rPr>
          <w:rFonts w:cs="Calibri"/>
          <w:sz w:val="24"/>
        </w:rPr>
        <w:t>Le</w:t>
      </w:r>
      <w:r w:rsidR="00531175">
        <w:rPr>
          <w:rFonts w:cs="Calibri"/>
          <w:sz w:val="24"/>
        </w:rPr>
        <w:t xml:space="preserve"> sous-secteur de l’hydraulique se singularise avec une culture consolidé</w:t>
      </w:r>
      <w:r w:rsidR="000576E0">
        <w:rPr>
          <w:rFonts w:cs="Calibri"/>
          <w:sz w:val="24"/>
        </w:rPr>
        <w:t>e</w:t>
      </w:r>
      <w:r w:rsidR="00531175">
        <w:rPr>
          <w:rFonts w:cs="Calibri"/>
          <w:sz w:val="24"/>
        </w:rPr>
        <w:t xml:space="preserve"> de planification, </w:t>
      </w:r>
      <w:r w:rsidR="00166CF3">
        <w:rPr>
          <w:rFonts w:cs="Calibri"/>
          <w:sz w:val="24"/>
        </w:rPr>
        <w:t>programmation, budgétisation et rapportage.</w:t>
      </w:r>
      <w:r w:rsidR="008B26E0">
        <w:rPr>
          <w:rFonts w:cs="Calibri"/>
          <w:sz w:val="24"/>
        </w:rPr>
        <w:t xml:space="preserve"> En effet, </w:t>
      </w:r>
      <w:r w:rsidR="008B26E0" w:rsidRPr="006C65EE">
        <w:rPr>
          <w:rFonts w:ascii="Calibri" w:eastAsiaTheme="majorEastAsia" w:hAnsi="Calibri" w:cs="Calibri"/>
          <w:iCs/>
          <w:sz w:val="24"/>
          <w:szCs w:val="24"/>
        </w:rPr>
        <w:t xml:space="preserve">Au titre de l’année 2016, le </w:t>
      </w:r>
      <w:r w:rsidR="00757CF6">
        <w:rPr>
          <w:rFonts w:ascii="Calibri" w:eastAsiaTheme="majorEastAsia" w:hAnsi="Calibri" w:cs="Calibri"/>
          <w:iCs/>
          <w:sz w:val="24"/>
          <w:szCs w:val="24"/>
        </w:rPr>
        <w:t xml:space="preserve">MHA </w:t>
      </w:r>
      <w:r w:rsidR="000576E0">
        <w:rPr>
          <w:rFonts w:ascii="Calibri" w:eastAsiaTheme="majorEastAsia" w:hAnsi="Calibri" w:cs="Calibri"/>
          <w:iCs/>
          <w:sz w:val="24"/>
          <w:szCs w:val="24"/>
        </w:rPr>
        <w:t>a</w:t>
      </w:r>
      <w:r w:rsidR="008B26E0" w:rsidRPr="006C65EE">
        <w:rPr>
          <w:rFonts w:ascii="Calibri" w:eastAsiaTheme="majorEastAsia" w:hAnsi="Calibri" w:cs="Calibri"/>
          <w:iCs/>
          <w:sz w:val="24"/>
          <w:szCs w:val="24"/>
        </w:rPr>
        <w:t xml:space="preserve"> produit plusieurs documents retraçant les principales données relatives à la gestion du MH/A. En effet, au cours des entretiens, nous avons pu aisément accéder à divers documents dont : </w:t>
      </w:r>
    </w:p>
    <w:p w14:paraId="43F03997" w14:textId="10EB2EC6" w:rsidR="008B26E0" w:rsidRPr="006C65EE" w:rsidRDefault="008B26E0" w:rsidP="00F12682">
      <w:pPr>
        <w:pStyle w:val="Paragraphedeliste"/>
        <w:numPr>
          <w:ilvl w:val="0"/>
          <w:numId w:val="17"/>
        </w:numPr>
        <w:spacing w:after="120" w:line="276" w:lineRule="auto"/>
        <w:ind w:left="567" w:hanging="207"/>
        <w:contextualSpacing w:val="0"/>
        <w:jc w:val="both"/>
        <w:rPr>
          <w:rFonts w:ascii="Calibri" w:eastAsiaTheme="majorEastAsia" w:hAnsi="Calibri" w:cs="Calibri"/>
          <w:iCs/>
          <w:sz w:val="24"/>
          <w:szCs w:val="24"/>
        </w:rPr>
      </w:pPr>
      <w:r w:rsidRPr="006C65EE">
        <w:rPr>
          <w:rFonts w:ascii="Calibri" w:eastAsiaTheme="majorEastAsia" w:hAnsi="Calibri" w:cs="Calibri"/>
          <w:iCs/>
          <w:sz w:val="24"/>
          <w:szCs w:val="24"/>
        </w:rPr>
        <w:t xml:space="preserve">le Rapport Annuel d’Activités du </w:t>
      </w:r>
      <w:r w:rsidR="00757CF6">
        <w:rPr>
          <w:rFonts w:ascii="Calibri" w:eastAsiaTheme="majorEastAsia" w:hAnsi="Calibri" w:cs="Calibri"/>
          <w:iCs/>
          <w:sz w:val="24"/>
          <w:szCs w:val="24"/>
        </w:rPr>
        <w:t xml:space="preserve">MHA </w:t>
      </w:r>
      <w:r w:rsidRPr="006C65EE">
        <w:rPr>
          <w:rFonts w:ascii="Calibri" w:eastAsiaTheme="majorEastAsia" w:hAnsi="Calibri" w:cs="Calibri"/>
          <w:iCs/>
          <w:sz w:val="24"/>
          <w:szCs w:val="24"/>
        </w:rPr>
        <w:t>au titre de l’année 2016</w:t>
      </w:r>
      <w:r>
        <w:rPr>
          <w:rFonts w:ascii="Calibri" w:eastAsiaTheme="majorEastAsia" w:hAnsi="Calibri" w:cs="Calibri"/>
          <w:iCs/>
          <w:sz w:val="24"/>
          <w:szCs w:val="24"/>
        </w:rPr>
        <w:t> ;</w:t>
      </w:r>
    </w:p>
    <w:p w14:paraId="71DE2653" w14:textId="77777777" w:rsidR="008B26E0" w:rsidRPr="006C65EE" w:rsidRDefault="008B26E0" w:rsidP="00F12682">
      <w:pPr>
        <w:pStyle w:val="Paragraphedeliste"/>
        <w:numPr>
          <w:ilvl w:val="0"/>
          <w:numId w:val="17"/>
        </w:numPr>
        <w:spacing w:after="120" w:line="276" w:lineRule="auto"/>
        <w:ind w:left="567" w:hanging="207"/>
        <w:contextualSpacing w:val="0"/>
        <w:jc w:val="both"/>
        <w:rPr>
          <w:rFonts w:ascii="Calibri" w:eastAsiaTheme="majorEastAsia" w:hAnsi="Calibri" w:cs="Calibri"/>
          <w:iCs/>
          <w:sz w:val="24"/>
          <w:szCs w:val="24"/>
        </w:rPr>
      </w:pPr>
      <w:r w:rsidRPr="006C65EE">
        <w:rPr>
          <w:rFonts w:ascii="Calibri" w:eastAsiaTheme="majorEastAsia" w:hAnsi="Calibri" w:cs="Calibri"/>
          <w:iCs/>
          <w:sz w:val="24"/>
          <w:szCs w:val="24"/>
        </w:rPr>
        <w:t>le DPPD de la période 2015-2017</w:t>
      </w:r>
      <w:r>
        <w:rPr>
          <w:rFonts w:ascii="Calibri" w:eastAsiaTheme="majorEastAsia" w:hAnsi="Calibri" w:cs="Calibri"/>
          <w:iCs/>
          <w:sz w:val="24"/>
          <w:szCs w:val="24"/>
        </w:rPr>
        <w:t> ;</w:t>
      </w:r>
    </w:p>
    <w:p w14:paraId="72714180" w14:textId="77777777" w:rsidR="008B26E0" w:rsidRPr="006C65EE" w:rsidRDefault="008B26E0" w:rsidP="00F12682">
      <w:pPr>
        <w:pStyle w:val="Paragraphedeliste"/>
        <w:numPr>
          <w:ilvl w:val="0"/>
          <w:numId w:val="17"/>
        </w:numPr>
        <w:spacing w:after="120" w:line="276" w:lineRule="auto"/>
        <w:ind w:left="567" w:hanging="207"/>
        <w:contextualSpacing w:val="0"/>
        <w:jc w:val="both"/>
        <w:rPr>
          <w:rFonts w:ascii="Calibri" w:eastAsiaTheme="majorEastAsia" w:hAnsi="Calibri" w:cs="Calibri"/>
          <w:iCs/>
          <w:sz w:val="24"/>
          <w:szCs w:val="24"/>
        </w:rPr>
      </w:pPr>
      <w:r w:rsidRPr="006C65EE">
        <w:rPr>
          <w:rFonts w:ascii="Calibri" w:eastAsiaTheme="majorEastAsia" w:hAnsi="Calibri" w:cs="Calibri"/>
          <w:iCs/>
          <w:sz w:val="24"/>
          <w:szCs w:val="24"/>
        </w:rPr>
        <w:t>le DPPD de la période 2016-2018</w:t>
      </w:r>
      <w:r>
        <w:rPr>
          <w:rFonts w:ascii="Calibri" w:eastAsiaTheme="majorEastAsia" w:hAnsi="Calibri" w:cs="Calibri"/>
          <w:iCs/>
          <w:sz w:val="24"/>
          <w:szCs w:val="24"/>
        </w:rPr>
        <w:t> ;</w:t>
      </w:r>
    </w:p>
    <w:p w14:paraId="7DEAB55F" w14:textId="77777777" w:rsidR="008B26E0" w:rsidRPr="006C65EE" w:rsidRDefault="008B26E0" w:rsidP="00F12682">
      <w:pPr>
        <w:pStyle w:val="Paragraphedeliste"/>
        <w:numPr>
          <w:ilvl w:val="0"/>
          <w:numId w:val="17"/>
        </w:numPr>
        <w:spacing w:after="120" w:line="276" w:lineRule="auto"/>
        <w:ind w:left="567" w:hanging="207"/>
        <w:contextualSpacing w:val="0"/>
        <w:jc w:val="both"/>
        <w:rPr>
          <w:rFonts w:ascii="Calibri" w:eastAsiaTheme="majorEastAsia" w:hAnsi="Calibri" w:cs="Calibri"/>
          <w:iCs/>
          <w:sz w:val="24"/>
          <w:szCs w:val="24"/>
        </w:rPr>
      </w:pPr>
      <w:r w:rsidRPr="006C65EE">
        <w:rPr>
          <w:rFonts w:ascii="Calibri" w:eastAsiaTheme="majorEastAsia" w:hAnsi="Calibri" w:cs="Calibri"/>
          <w:iCs/>
          <w:sz w:val="24"/>
          <w:szCs w:val="24"/>
        </w:rPr>
        <w:t>la liste des projets et programmes au titre de l’année 2016</w:t>
      </w:r>
      <w:r>
        <w:rPr>
          <w:rFonts w:ascii="Calibri" w:eastAsiaTheme="majorEastAsia" w:hAnsi="Calibri" w:cs="Calibri"/>
          <w:iCs/>
          <w:sz w:val="24"/>
          <w:szCs w:val="24"/>
        </w:rPr>
        <w:t> ;</w:t>
      </w:r>
    </w:p>
    <w:p w14:paraId="303CF0AE" w14:textId="77777777" w:rsidR="008B26E0" w:rsidRPr="006C65EE" w:rsidRDefault="008B26E0" w:rsidP="00F12682">
      <w:pPr>
        <w:pStyle w:val="Paragraphedeliste"/>
        <w:numPr>
          <w:ilvl w:val="0"/>
          <w:numId w:val="17"/>
        </w:numPr>
        <w:spacing w:after="120" w:line="276" w:lineRule="auto"/>
        <w:ind w:left="567" w:hanging="207"/>
        <w:contextualSpacing w:val="0"/>
        <w:jc w:val="both"/>
        <w:rPr>
          <w:rFonts w:ascii="Calibri" w:eastAsiaTheme="majorEastAsia" w:hAnsi="Calibri" w:cs="Calibri"/>
          <w:iCs/>
          <w:sz w:val="24"/>
          <w:szCs w:val="24"/>
        </w:rPr>
      </w:pPr>
      <w:r w:rsidRPr="006C65EE">
        <w:rPr>
          <w:rFonts w:ascii="Calibri" w:eastAsiaTheme="majorEastAsia" w:hAnsi="Calibri" w:cs="Calibri"/>
          <w:iCs/>
          <w:sz w:val="24"/>
          <w:szCs w:val="24"/>
        </w:rPr>
        <w:t>la situation des crédits délégués au cours de l’année 2016</w:t>
      </w:r>
      <w:r>
        <w:rPr>
          <w:rFonts w:ascii="Calibri" w:eastAsiaTheme="majorEastAsia" w:hAnsi="Calibri" w:cs="Calibri"/>
          <w:iCs/>
          <w:sz w:val="24"/>
          <w:szCs w:val="24"/>
        </w:rPr>
        <w:t> ;</w:t>
      </w:r>
    </w:p>
    <w:p w14:paraId="2CE9FDBB" w14:textId="025164C3" w:rsidR="008B26E0" w:rsidRPr="006C65EE" w:rsidRDefault="008B26E0" w:rsidP="00F12682">
      <w:pPr>
        <w:pStyle w:val="Paragraphedeliste"/>
        <w:numPr>
          <w:ilvl w:val="0"/>
          <w:numId w:val="17"/>
        </w:numPr>
        <w:spacing w:after="120" w:line="276" w:lineRule="auto"/>
        <w:ind w:left="567" w:hanging="207"/>
        <w:contextualSpacing w:val="0"/>
        <w:jc w:val="both"/>
        <w:rPr>
          <w:rFonts w:ascii="Calibri" w:eastAsiaTheme="majorEastAsia" w:hAnsi="Calibri" w:cs="Calibri"/>
          <w:iCs/>
          <w:sz w:val="24"/>
          <w:szCs w:val="24"/>
        </w:rPr>
      </w:pPr>
      <w:r w:rsidRPr="006C65EE">
        <w:rPr>
          <w:rFonts w:ascii="Calibri" w:eastAsiaTheme="majorEastAsia" w:hAnsi="Calibri" w:cs="Calibri"/>
          <w:iCs/>
          <w:sz w:val="24"/>
          <w:szCs w:val="24"/>
        </w:rPr>
        <w:t xml:space="preserve">la liste du personnel du </w:t>
      </w:r>
      <w:r w:rsidR="00757CF6">
        <w:rPr>
          <w:rFonts w:ascii="Calibri" w:eastAsiaTheme="majorEastAsia" w:hAnsi="Calibri" w:cs="Calibri"/>
          <w:iCs/>
          <w:sz w:val="24"/>
          <w:szCs w:val="24"/>
        </w:rPr>
        <w:t xml:space="preserve">MHA </w:t>
      </w:r>
      <w:r w:rsidRPr="006C65EE">
        <w:rPr>
          <w:rFonts w:ascii="Calibri" w:eastAsiaTheme="majorEastAsia" w:hAnsi="Calibri" w:cs="Calibri"/>
          <w:iCs/>
          <w:sz w:val="24"/>
          <w:szCs w:val="24"/>
        </w:rPr>
        <w:t>en 2016.</w:t>
      </w:r>
    </w:p>
    <w:p w14:paraId="27B7C374" w14:textId="77777777" w:rsidR="008B26E0" w:rsidRPr="00BB3978" w:rsidRDefault="008B26E0" w:rsidP="00F12682">
      <w:pPr>
        <w:spacing w:after="120" w:line="276" w:lineRule="auto"/>
        <w:jc w:val="both"/>
        <w:rPr>
          <w:rFonts w:cs="Calibri"/>
          <w:sz w:val="24"/>
        </w:rPr>
      </w:pPr>
      <w:r w:rsidRPr="00BB3978">
        <w:rPr>
          <w:rFonts w:cs="Calibri"/>
          <w:sz w:val="24"/>
        </w:rPr>
        <w:t xml:space="preserve">L’examen, par recoupement des différents documents, fait ressortir une parfaite cohérence entre les données d’un document à l’autre. </w:t>
      </w:r>
    </w:p>
    <w:p w14:paraId="077FB34B" w14:textId="2B8A4245" w:rsidR="00D84A76" w:rsidRDefault="00D84A76" w:rsidP="00F12682">
      <w:pPr>
        <w:spacing w:after="120" w:line="276" w:lineRule="auto"/>
        <w:jc w:val="both"/>
        <w:rPr>
          <w:rFonts w:cs="Calibri"/>
          <w:sz w:val="24"/>
        </w:rPr>
      </w:pPr>
      <w:r w:rsidRPr="004A5122">
        <w:rPr>
          <w:rFonts w:cs="Calibri"/>
          <w:sz w:val="24"/>
        </w:rPr>
        <w:t>L’exécution du budget fait l’objet de suivi quotidien à travers un fichier Excel et les informations sont portées mensuellement à la connaissance des autorités du MHA.</w:t>
      </w:r>
      <w:r>
        <w:rPr>
          <w:rFonts w:cs="Calibri"/>
          <w:sz w:val="24"/>
        </w:rPr>
        <w:t xml:space="preserve"> </w:t>
      </w:r>
      <w:r w:rsidRPr="004A5122">
        <w:rPr>
          <w:rFonts w:cs="Calibri"/>
          <w:sz w:val="24"/>
        </w:rPr>
        <w:t>Des tableaux de bord mensuels étaient régulièrement produits et soumis à l’appréciation des responsables du MHA.</w:t>
      </w:r>
    </w:p>
    <w:p w14:paraId="58071F35" w14:textId="125AC93F" w:rsidR="002A6AF9" w:rsidRPr="007574D7" w:rsidRDefault="002A6AF9"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szCs w:val="24"/>
        </w:rPr>
        <w:t xml:space="preserve">Aussi, </w:t>
      </w:r>
      <w:r w:rsidR="004546F9">
        <w:rPr>
          <w:rFonts w:ascii="Calibri" w:eastAsiaTheme="majorEastAsia" w:hAnsi="Calibri" w:cs="Calibri"/>
          <w:iCs/>
          <w:sz w:val="24"/>
        </w:rPr>
        <w:t>l</w:t>
      </w:r>
      <w:r w:rsidRPr="007574D7">
        <w:rPr>
          <w:rFonts w:ascii="Calibri" w:eastAsiaTheme="majorEastAsia" w:hAnsi="Calibri" w:cs="Calibri"/>
          <w:iCs/>
          <w:sz w:val="24"/>
        </w:rPr>
        <w:t xml:space="preserve">e MC/PSP disposait d’un système de rapportage ayant permis de collecter les informations relatives à la gestion du budget. Ainsi, divers rapports nous ont été présentés dont, nous pouvons citer, pour l’essentiel : </w:t>
      </w:r>
    </w:p>
    <w:p w14:paraId="0C3CACFD" w14:textId="77777777" w:rsidR="002A6AF9" w:rsidRPr="007574D7" w:rsidRDefault="002A6AF9" w:rsidP="00F12682">
      <w:pPr>
        <w:pStyle w:val="Paragraphedeliste"/>
        <w:numPr>
          <w:ilvl w:val="0"/>
          <w:numId w:val="18"/>
        </w:numPr>
        <w:spacing w:after="120" w:line="276" w:lineRule="auto"/>
        <w:ind w:left="714" w:hanging="147"/>
        <w:contextualSpacing w:val="0"/>
        <w:jc w:val="both"/>
        <w:rPr>
          <w:rFonts w:ascii="Calibri" w:eastAsiaTheme="majorEastAsia" w:hAnsi="Calibri" w:cs="Calibri"/>
          <w:iCs/>
          <w:sz w:val="24"/>
        </w:rPr>
      </w:pPr>
      <w:r w:rsidRPr="007574D7">
        <w:rPr>
          <w:rFonts w:ascii="Calibri" w:eastAsiaTheme="majorEastAsia" w:hAnsi="Calibri" w:cs="Calibri"/>
          <w:iCs/>
          <w:sz w:val="24"/>
        </w:rPr>
        <w:t>rapport d’activités au titre de l’année 2016</w:t>
      </w:r>
      <w:r>
        <w:rPr>
          <w:rFonts w:ascii="Calibri" w:eastAsiaTheme="majorEastAsia" w:hAnsi="Calibri" w:cs="Calibri"/>
          <w:iCs/>
          <w:sz w:val="24"/>
        </w:rPr>
        <w:t> ;</w:t>
      </w:r>
    </w:p>
    <w:p w14:paraId="0EC51724" w14:textId="77777777" w:rsidR="002A6AF9" w:rsidRPr="007574D7" w:rsidRDefault="002A6AF9" w:rsidP="00F12682">
      <w:pPr>
        <w:pStyle w:val="Paragraphedeliste"/>
        <w:numPr>
          <w:ilvl w:val="0"/>
          <w:numId w:val="18"/>
        </w:numPr>
        <w:spacing w:after="120" w:line="276" w:lineRule="auto"/>
        <w:ind w:left="714" w:hanging="147"/>
        <w:contextualSpacing w:val="0"/>
        <w:jc w:val="both"/>
        <w:rPr>
          <w:rFonts w:ascii="Calibri" w:eastAsiaTheme="majorEastAsia" w:hAnsi="Calibri" w:cs="Calibri"/>
          <w:iCs/>
          <w:sz w:val="24"/>
        </w:rPr>
      </w:pPr>
      <w:r w:rsidRPr="007574D7">
        <w:rPr>
          <w:rFonts w:ascii="Calibri" w:eastAsiaTheme="majorEastAsia" w:hAnsi="Calibri" w:cs="Calibri"/>
          <w:iCs/>
          <w:sz w:val="24"/>
        </w:rPr>
        <w:t>contribution du MC/PSP au rapport bilan de l’action gouvernementale au titre de l’année 2016.</w:t>
      </w:r>
    </w:p>
    <w:p w14:paraId="3A158084" w14:textId="719DD371" w:rsidR="002A6AF9" w:rsidRPr="00797C5C" w:rsidRDefault="002A6AF9" w:rsidP="00F12682">
      <w:pPr>
        <w:spacing w:after="120" w:line="276" w:lineRule="auto"/>
        <w:jc w:val="both"/>
        <w:rPr>
          <w:rFonts w:ascii="Calibri" w:eastAsiaTheme="majorEastAsia" w:hAnsi="Calibri" w:cs="Calibri"/>
          <w:iCs/>
          <w:sz w:val="24"/>
        </w:rPr>
      </w:pPr>
      <w:r w:rsidRPr="00797C5C">
        <w:rPr>
          <w:rFonts w:ascii="Calibri" w:eastAsiaTheme="majorEastAsia" w:hAnsi="Calibri" w:cs="Calibri"/>
          <w:iCs/>
          <w:sz w:val="24"/>
        </w:rPr>
        <w:t>Les informations contenues dans les différents</w:t>
      </w:r>
      <w:r w:rsidR="00DC32DA" w:rsidRPr="00797C5C">
        <w:rPr>
          <w:rFonts w:ascii="Calibri" w:eastAsiaTheme="majorEastAsia" w:hAnsi="Calibri" w:cs="Calibri"/>
          <w:iCs/>
          <w:sz w:val="24"/>
        </w:rPr>
        <w:t xml:space="preserve"> rapports</w:t>
      </w:r>
      <w:r w:rsidRPr="00797C5C">
        <w:rPr>
          <w:rFonts w:ascii="Calibri" w:eastAsiaTheme="majorEastAsia" w:hAnsi="Calibri" w:cs="Calibri"/>
          <w:iCs/>
          <w:sz w:val="24"/>
        </w:rPr>
        <w:t xml:space="preserve"> reflètent celles qui sont retracées dans les lois de règlement au titre de l’année 2016. C’est dire qu’il n’y a pas de doute sur la fiabilité des données rapportées dans les différents documents de </w:t>
      </w:r>
      <w:proofErr w:type="spellStart"/>
      <w:r w:rsidRPr="00797C5C">
        <w:rPr>
          <w:rFonts w:ascii="Calibri" w:eastAsiaTheme="majorEastAsia" w:hAnsi="Calibri" w:cs="Calibri"/>
          <w:iCs/>
          <w:sz w:val="24"/>
        </w:rPr>
        <w:t>reporting</w:t>
      </w:r>
      <w:proofErr w:type="spellEnd"/>
      <w:r w:rsidRPr="00797C5C">
        <w:rPr>
          <w:rFonts w:ascii="Calibri" w:eastAsiaTheme="majorEastAsia" w:hAnsi="Calibri" w:cs="Calibri"/>
          <w:iCs/>
          <w:sz w:val="24"/>
        </w:rPr>
        <w:t>.</w:t>
      </w:r>
    </w:p>
    <w:p w14:paraId="585A4E53" w14:textId="0F8C5EC3" w:rsidR="00943352" w:rsidRPr="00797C5C" w:rsidRDefault="00943352" w:rsidP="00F12682">
      <w:pPr>
        <w:spacing w:after="120" w:line="276" w:lineRule="auto"/>
        <w:jc w:val="both"/>
        <w:rPr>
          <w:rFonts w:ascii="Calibri" w:eastAsiaTheme="majorEastAsia" w:hAnsi="Calibri" w:cs="Calibri"/>
          <w:iCs/>
          <w:sz w:val="24"/>
        </w:rPr>
      </w:pPr>
      <w:r w:rsidRPr="00797C5C">
        <w:rPr>
          <w:rFonts w:ascii="Calibri" w:eastAsiaTheme="majorEastAsia" w:hAnsi="Calibri" w:cs="Calibri"/>
          <w:iCs/>
          <w:sz w:val="24"/>
        </w:rPr>
        <w:t xml:space="preserve">Les informations contenues dans le rapport d’activités du DNPGCA ne sont pas en cohérence avec celles fournies par le Ministère des Finances à travers la situation des crédits. Ce qui permet d’avoir un doute sur la fiabilité des données rapportées dans les différents documents de </w:t>
      </w:r>
      <w:proofErr w:type="spellStart"/>
      <w:r w:rsidRPr="00797C5C">
        <w:rPr>
          <w:rFonts w:ascii="Calibri" w:eastAsiaTheme="majorEastAsia" w:hAnsi="Calibri" w:cs="Calibri"/>
          <w:iCs/>
          <w:sz w:val="24"/>
        </w:rPr>
        <w:t>reporting</w:t>
      </w:r>
      <w:proofErr w:type="spellEnd"/>
      <w:r w:rsidRPr="00797C5C">
        <w:rPr>
          <w:rFonts w:ascii="Calibri" w:eastAsiaTheme="majorEastAsia" w:hAnsi="Calibri" w:cs="Calibri"/>
          <w:iCs/>
          <w:sz w:val="24"/>
        </w:rPr>
        <w:t xml:space="preserve"> du DNPGCA.</w:t>
      </w:r>
      <w:r w:rsidR="00ED1AF5" w:rsidRPr="00797C5C">
        <w:rPr>
          <w:rFonts w:ascii="Calibri" w:eastAsiaTheme="majorEastAsia" w:hAnsi="Calibri" w:cs="Calibri"/>
          <w:iCs/>
          <w:sz w:val="24"/>
        </w:rPr>
        <w:t xml:space="preserve"> </w:t>
      </w:r>
      <w:r w:rsidRPr="00797C5C">
        <w:rPr>
          <w:rFonts w:ascii="Calibri" w:eastAsiaTheme="majorEastAsia" w:hAnsi="Calibri" w:cs="Calibri"/>
          <w:iCs/>
          <w:sz w:val="24"/>
        </w:rPr>
        <w:t xml:space="preserve">En outre, il n’existe pas de cohérence entre les chiffres du rapport annuel d’activités : les données récapitulatives ne sont pas en phase avec les détails fournis pour expliciter le tableau. Il importe donc de doter le DNPGCA d’un dispositif performant à travers le recrutement de personnel en la matière et l’acquisition de logiciel adéquat. En outre, à la fin de chaque mois, un </w:t>
      </w:r>
      <w:r w:rsidRPr="00797C5C">
        <w:rPr>
          <w:rFonts w:ascii="Calibri" w:eastAsiaTheme="majorEastAsia" w:hAnsi="Calibri" w:cs="Calibri"/>
          <w:iCs/>
          <w:sz w:val="24"/>
        </w:rPr>
        <w:lastRenderedPageBreak/>
        <w:t>rapprochement des données entre le DNPGCA et le MF nous parait nécessaire pour s’assurer de la cohérence des don</w:t>
      </w:r>
      <w:r w:rsidR="00ED1AF5" w:rsidRPr="00797C5C">
        <w:rPr>
          <w:rFonts w:ascii="Calibri" w:eastAsiaTheme="majorEastAsia" w:hAnsi="Calibri" w:cs="Calibri"/>
          <w:iCs/>
          <w:sz w:val="24"/>
        </w:rPr>
        <w:t>nées avant toute</w:t>
      </w:r>
      <w:r w:rsidRPr="00797C5C">
        <w:rPr>
          <w:rFonts w:ascii="Calibri" w:eastAsiaTheme="majorEastAsia" w:hAnsi="Calibri" w:cs="Calibri"/>
          <w:iCs/>
          <w:sz w:val="24"/>
        </w:rPr>
        <w:t xml:space="preserve"> vulgarisation de document de rapportage.</w:t>
      </w:r>
    </w:p>
    <w:p w14:paraId="525322BD" w14:textId="77777777" w:rsidR="00ED1AF5" w:rsidRPr="0018799A" w:rsidRDefault="00ED1AF5" w:rsidP="00F12682">
      <w:pPr>
        <w:spacing w:after="120" w:line="276" w:lineRule="auto"/>
        <w:jc w:val="both"/>
        <w:rPr>
          <w:rFonts w:ascii="Calibri" w:eastAsiaTheme="majorEastAsia" w:hAnsi="Calibri" w:cs="Calibri"/>
          <w:iCs/>
          <w:sz w:val="24"/>
        </w:rPr>
      </w:pPr>
      <w:r w:rsidRPr="0018799A">
        <w:rPr>
          <w:rFonts w:ascii="Calibri" w:eastAsiaTheme="majorEastAsia" w:hAnsi="Calibri" w:cs="Calibri"/>
          <w:iCs/>
          <w:sz w:val="24"/>
        </w:rPr>
        <w:t xml:space="preserve">En matière de </w:t>
      </w:r>
      <w:proofErr w:type="spellStart"/>
      <w:r w:rsidRPr="0018799A">
        <w:rPr>
          <w:rFonts w:ascii="Calibri" w:eastAsiaTheme="majorEastAsia" w:hAnsi="Calibri" w:cs="Calibri"/>
          <w:iCs/>
          <w:sz w:val="24"/>
        </w:rPr>
        <w:t>reporting</w:t>
      </w:r>
      <w:proofErr w:type="spellEnd"/>
      <w:r w:rsidRPr="0018799A">
        <w:rPr>
          <w:rFonts w:ascii="Calibri" w:eastAsiaTheme="majorEastAsia" w:hAnsi="Calibri" w:cs="Calibri"/>
          <w:iCs/>
          <w:sz w:val="24"/>
        </w:rPr>
        <w:t>, le MAH/GC a élaboré le rapport annuel d’activités 2016, ainsi que la contribution du Ministère dans le cadre de l’élaboration du rapport annuel sur l’action gouvernementale.</w:t>
      </w:r>
    </w:p>
    <w:p w14:paraId="0B2F614B" w14:textId="5D6E0128" w:rsidR="00ED1AF5" w:rsidRDefault="00ED1AF5"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L</w:t>
      </w:r>
      <w:r w:rsidRPr="00517003">
        <w:rPr>
          <w:rFonts w:ascii="Calibri" w:eastAsiaTheme="majorEastAsia" w:hAnsi="Calibri" w:cs="Calibri"/>
          <w:iCs/>
          <w:sz w:val="24"/>
        </w:rPr>
        <w:t xml:space="preserve">e MSP effectue chaque année, l’exercice de programmation conformément au calendrier budgétaire du PDS qui est en phase avec celui de l’Etat. Cette programmation se fait selon un canevas qui donne les informations </w:t>
      </w:r>
      <w:r>
        <w:rPr>
          <w:rFonts w:ascii="Calibri" w:eastAsiaTheme="majorEastAsia" w:hAnsi="Calibri" w:cs="Calibri"/>
          <w:iCs/>
          <w:sz w:val="24"/>
        </w:rPr>
        <w:t>(p</w:t>
      </w:r>
      <w:r w:rsidRPr="002B7743">
        <w:rPr>
          <w:rFonts w:ascii="Calibri" w:eastAsiaTheme="majorEastAsia" w:hAnsi="Calibri" w:cs="Calibri"/>
          <w:iCs/>
          <w:sz w:val="24"/>
        </w:rPr>
        <w:t>roduits attendus</w:t>
      </w:r>
      <w:r>
        <w:rPr>
          <w:rFonts w:ascii="Calibri" w:eastAsiaTheme="majorEastAsia" w:hAnsi="Calibri" w:cs="Calibri"/>
          <w:iCs/>
          <w:sz w:val="24"/>
        </w:rPr>
        <w:t>, période, c</w:t>
      </w:r>
      <w:r w:rsidRPr="002B7743">
        <w:rPr>
          <w:rFonts w:ascii="Calibri" w:eastAsiaTheme="majorEastAsia" w:hAnsi="Calibri" w:cs="Calibri"/>
          <w:iCs/>
          <w:sz w:val="24"/>
        </w:rPr>
        <w:t>oût</w:t>
      </w:r>
      <w:r>
        <w:rPr>
          <w:rFonts w:ascii="Calibri" w:eastAsiaTheme="majorEastAsia" w:hAnsi="Calibri" w:cs="Calibri"/>
          <w:iCs/>
          <w:sz w:val="24"/>
        </w:rPr>
        <w:t>, r</w:t>
      </w:r>
      <w:r w:rsidRPr="002B7743">
        <w:rPr>
          <w:rFonts w:ascii="Calibri" w:eastAsiaTheme="majorEastAsia" w:hAnsi="Calibri" w:cs="Calibri"/>
          <w:iCs/>
          <w:sz w:val="24"/>
        </w:rPr>
        <w:t>esponsable</w:t>
      </w:r>
      <w:r>
        <w:rPr>
          <w:rFonts w:ascii="Calibri" w:eastAsiaTheme="majorEastAsia" w:hAnsi="Calibri" w:cs="Calibri"/>
          <w:iCs/>
          <w:sz w:val="24"/>
        </w:rPr>
        <w:t>, s</w:t>
      </w:r>
      <w:r w:rsidRPr="002B7743">
        <w:rPr>
          <w:rFonts w:ascii="Calibri" w:eastAsiaTheme="majorEastAsia" w:hAnsi="Calibri" w:cs="Calibri"/>
          <w:iCs/>
          <w:sz w:val="24"/>
        </w:rPr>
        <w:t>ource de financement</w:t>
      </w:r>
      <w:r>
        <w:rPr>
          <w:rFonts w:ascii="Calibri" w:eastAsiaTheme="majorEastAsia" w:hAnsi="Calibri" w:cs="Calibri"/>
          <w:iCs/>
          <w:sz w:val="24"/>
        </w:rPr>
        <w:t xml:space="preserve">, </w:t>
      </w:r>
      <w:r w:rsidRPr="002B7743">
        <w:rPr>
          <w:rFonts w:ascii="Calibri" w:eastAsiaTheme="majorEastAsia" w:hAnsi="Calibri" w:cs="Calibri"/>
          <w:iCs/>
          <w:sz w:val="24"/>
        </w:rPr>
        <w:t>Indicateurs d'activités</w:t>
      </w:r>
      <w:r>
        <w:rPr>
          <w:rFonts w:ascii="Calibri" w:eastAsiaTheme="majorEastAsia" w:hAnsi="Calibri" w:cs="Calibri"/>
          <w:iCs/>
          <w:sz w:val="24"/>
        </w:rPr>
        <w:t>, …).</w:t>
      </w:r>
    </w:p>
    <w:p w14:paraId="397B1AFD" w14:textId="648F5312" w:rsidR="00C06476" w:rsidRDefault="00ED1AF5"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A</w:t>
      </w:r>
      <w:r w:rsidR="0056533E">
        <w:rPr>
          <w:rFonts w:ascii="Calibri" w:eastAsiaTheme="majorEastAsia" w:hAnsi="Calibri" w:cs="Calibri"/>
          <w:iCs/>
          <w:sz w:val="24"/>
        </w:rPr>
        <w:t xml:space="preserve">u niveau </w:t>
      </w:r>
      <w:r w:rsidR="00CA1B7F">
        <w:rPr>
          <w:rFonts w:ascii="Calibri" w:eastAsiaTheme="majorEastAsia" w:hAnsi="Calibri" w:cs="Calibri"/>
          <w:iCs/>
          <w:sz w:val="24"/>
        </w:rPr>
        <w:t>de la coordination (</w:t>
      </w:r>
      <w:r w:rsidR="0056533E">
        <w:rPr>
          <w:rFonts w:ascii="Calibri" w:eastAsiaTheme="majorEastAsia" w:hAnsi="Calibri" w:cs="Calibri"/>
          <w:iCs/>
          <w:sz w:val="24"/>
        </w:rPr>
        <w:t>le Haut-Commissariat à l’I</w:t>
      </w:r>
      <w:r w:rsidR="00B26C6C">
        <w:rPr>
          <w:rFonts w:ascii="Calibri" w:eastAsiaTheme="majorEastAsia" w:hAnsi="Calibri" w:cs="Calibri"/>
          <w:iCs/>
          <w:sz w:val="24"/>
        </w:rPr>
        <w:t xml:space="preserve">nitiative </w:t>
      </w:r>
      <w:r w:rsidR="0056533E">
        <w:rPr>
          <w:rFonts w:ascii="Calibri" w:eastAsiaTheme="majorEastAsia" w:hAnsi="Calibri" w:cs="Calibri"/>
          <w:iCs/>
          <w:sz w:val="24"/>
        </w:rPr>
        <w:t>3N</w:t>
      </w:r>
      <w:r w:rsidR="00CA1B7F">
        <w:rPr>
          <w:rFonts w:ascii="Calibri" w:eastAsiaTheme="majorEastAsia" w:hAnsi="Calibri" w:cs="Calibri"/>
          <w:iCs/>
          <w:sz w:val="24"/>
        </w:rPr>
        <w:t>)</w:t>
      </w:r>
      <w:r>
        <w:rPr>
          <w:rFonts w:ascii="Calibri" w:eastAsiaTheme="majorEastAsia" w:hAnsi="Calibri" w:cs="Calibri"/>
          <w:iCs/>
          <w:sz w:val="24"/>
        </w:rPr>
        <w:t>,</w:t>
      </w:r>
      <w:r w:rsidR="0056533E">
        <w:rPr>
          <w:rFonts w:ascii="Calibri" w:eastAsiaTheme="majorEastAsia" w:hAnsi="Calibri" w:cs="Calibri"/>
          <w:iCs/>
          <w:sz w:val="24"/>
        </w:rPr>
        <w:t xml:space="preserve"> le</w:t>
      </w:r>
      <w:r w:rsidR="00C06476">
        <w:rPr>
          <w:rFonts w:ascii="Calibri" w:eastAsiaTheme="majorEastAsia" w:hAnsi="Calibri" w:cs="Calibri"/>
          <w:iCs/>
          <w:sz w:val="24"/>
        </w:rPr>
        <w:t>s données spécif</w:t>
      </w:r>
      <w:r w:rsidR="00B26C6C">
        <w:rPr>
          <w:rFonts w:ascii="Calibri" w:eastAsiaTheme="majorEastAsia" w:hAnsi="Calibri" w:cs="Calibri"/>
          <w:iCs/>
          <w:sz w:val="24"/>
        </w:rPr>
        <w:t>iques à la gestion propre du HC</w:t>
      </w:r>
      <w:r w:rsidR="00C06476">
        <w:rPr>
          <w:rFonts w:ascii="Calibri" w:eastAsiaTheme="majorEastAsia" w:hAnsi="Calibri" w:cs="Calibri"/>
          <w:iCs/>
          <w:sz w:val="24"/>
        </w:rPr>
        <w:t>3N</w:t>
      </w:r>
      <w:r w:rsidR="0056533E">
        <w:rPr>
          <w:rFonts w:ascii="Calibri" w:eastAsiaTheme="majorEastAsia" w:hAnsi="Calibri" w:cs="Calibri"/>
          <w:iCs/>
          <w:sz w:val="24"/>
        </w:rPr>
        <w:t xml:space="preserve"> retraçant les dépenses de la loi des finances et celles hors budget</w:t>
      </w:r>
      <w:r w:rsidR="00CA1B7F">
        <w:rPr>
          <w:rFonts w:ascii="Calibri" w:eastAsiaTheme="majorEastAsia" w:hAnsi="Calibri" w:cs="Calibri"/>
          <w:iCs/>
          <w:sz w:val="24"/>
        </w:rPr>
        <w:t>,</w:t>
      </w:r>
      <w:r w:rsidR="00C06476">
        <w:rPr>
          <w:rFonts w:ascii="Calibri" w:eastAsiaTheme="majorEastAsia" w:hAnsi="Calibri" w:cs="Calibri"/>
          <w:iCs/>
          <w:sz w:val="24"/>
        </w:rPr>
        <w:t xml:space="preserve"> ne sont pas consolidées dans une base des données unifiées. La seule base accessible est celle relative au suivi du plan d’action de la SA</w:t>
      </w:r>
      <w:r w:rsidR="00B26C6C">
        <w:rPr>
          <w:rFonts w:ascii="Calibri" w:eastAsiaTheme="majorEastAsia" w:hAnsi="Calibri" w:cs="Calibri"/>
          <w:iCs/>
          <w:sz w:val="24"/>
        </w:rPr>
        <w:t>N</w:t>
      </w:r>
      <w:r w:rsidR="00C06476">
        <w:rPr>
          <w:rFonts w:ascii="Calibri" w:eastAsiaTheme="majorEastAsia" w:hAnsi="Calibri" w:cs="Calibri"/>
          <w:iCs/>
          <w:sz w:val="24"/>
        </w:rPr>
        <w:t>DAD.</w:t>
      </w:r>
    </w:p>
    <w:p w14:paraId="1D404336" w14:textId="77777777" w:rsidR="00DB747C" w:rsidRPr="00F927F3" w:rsidRDefault="00DB747C" w:rsidP="00F12682">
      <w:pPr>
        <w:spacing w:after="120" w:line="276" w:lineRule="auto"/>
        <w:jc w:val="both"/>
        <w:rPr>
          <w:rFonts w:cs="Calibri"/>
          <w:sz w:val="24"/>
        </w:rPr>
      </w:pPr>
    </w:p>
    <w:p w14:paraId="6F907B78" w14:textId="33AD6EAE" w:rsidR="0073633B" w:rsidRDefault="0073633B" w:rsidP="00F12682">
      <w:pPr>
        <w:pStyle w:val="Titre2"/>
        <w:numPr>
          <w:ilvl w:val="1"/>
          <w:numId w:val="21"/>
        </w:numPr>
        <w:rPr>
          <w:rFonts w:asciiTheme="minorHAnsi" w:hAnsiTheme="minorHAnsi" w:cstheme="minorHAnsi"/>
        </w:rPr>
      </w:pPr>
      <w:bookmarkStart w:id="45" w:name="_Toc529305015"/>
      <w:r w:rsidRPr="004A5122">
        <w:rPr>
          <w:rFonts w:asciiTheme="minorHAnsi" w:hAnsiTheme="minorHAnsi" w:cstheme="minorHAnsi"/>
        </w:rPr>
        <w:t>Performance</w:t>
      </w:r>
      <w:r w:rsidR="00893505" w:rsidRPr="004A5122">
        <w:rPr>
          <w:rFonts w:asciiTheme="minorHAnsi" w:hAnsiTheme="minorHAnsi" w:cstheme="minorHAnsi"/>
        </w:rPr>
        <w:t>/Capacité</w:t>
      </w:r>
      <w:r w:rsidRPr="004A5122">
        <w:rPr>
          <w:rFonts w:asciiTheme="minorHAnsi" w:hAnsiTheme="minorHAnsi" w:cstheme="minorHAnsi"/>
        </w:rPr>
        <w:t xml:space="preserve"> </w:t>
      </w:r>
      <w:r w:rsidR="00290DAE" w:rsidRPr="004A5122">
        <w:rPr>
          <w:rFonts w:asciiTheme="minorHAnsi" w:hAnsiTheme="minorHAnsi" w:cstheme="minorHAnsi"/>
        </w:rPr>
        <w:t xml:space="preserve">spécifique </w:t>
      </w:r>
      <w:r w:rsidRPr="004A5122">
        <w:rPr>
          <w:rFonts w:asciiTheme="minorHAnsi" w:hAnsiTheme="minorHAnsi" w:cstheme="minorHAnsi"/>
        </w:rPr>
        <w:t>des acteurs institutionnels</w:t>
      </w:r>
      <w:r w:rsidR="00290DAE" w:rsidRPr="004A5122">
        <w:rPr>
          <w:rFonts w:asciiTheme="minorHAnsi" w:hAnsiTheme="minorHAnsi" w:cstheme="minorHAnsi"/>
        </w:rPr>
        <w:t xml:space="preserve"> du s</w:t>
      </w:r>
      <w:r w:rsidRPr="004A5122">
        <w:rPr>
          <w:rFonts w:asciiTheme="minorHAnsi" w:hAnsiTheme="minorHAnsi" w:cstheme="minorHAnsi"/>
        </w:rPr>
        <w:t xml:space="preserve">ecteur </w:t>
      </w:r>
      <w:r w:rsidR="0042487A" w:rsidRPr="0042487A">
        <w:rPr>
          <w:rFonts w:asciiTheme="minorHAnsi" w:hAnsiTheme="minorHAnsi" w:cstheme="minorHAnsi"/>
        </w:rPr>
        <w:t xml:space="preserve">en matière de Gestion des Finances Publiques </w:t>
      </w:r>
      <w:r w:rsidRPr="004A5122">
        <w:rPr>
          <w:rFonts w:asciiTheme="minorHAnsi" w:hAnsiTheme="minorHAnsi" w:cstheme="minorHAnsi"/>
        </w:rPr>
        <w:t>en 2016</w:t>
      </w:r>
      <w:bookmarkEnd w:id="45"/>
    </w:p>
    <w:p w14:paraId="14DD9D29" w14:textId="398BCDDC" w:rsidR="00290DAE" w:rsidRPr="004A5122" w:rsidRDefault="00290DAE" w:rsidP="00F12682">
      <w:pPr>
        <w:pStyle w:val="Titre3"/>
        <w:numPr>
          <w:ilvl w:val="2"/>
          <w:numId w:val="21"/>
        </w:numPr>
        <w:rPr>
          <w:rFonts w:asciiTheme="minorHAnsi" w:hAnsiTheme="minorHAnsi" w:cstheme="minorHAnsi"/>
        </w:rPr>
      </w:pPr>
      <w:bookmarkStart w:id="46" w:name="_Toc529305016"/>
      <w:r w:rsidRPr="004A5122">
        <w:rPr>
          <w:rFonts w:asciiTheme="minorHAnsi" w:hAnsiTheme="minorHAnsi" w:cstheme="minorHAnsi"/>
        </w:rPr>
        <w:t>M</w:t>
      </w:r>
      <w:r w:rsidR="006951FD">
        <w:rPr>
          <w:rFonts w:asciiTheme="minorHAnsi" w:hAnsiTheme="minorHAnsi" w:cstheme="minorHAnsi"/>
        </w:rPr>
        <w:t>inistère de l’Agriculture (M</w:t>
      </w:r>
      <w:r w:rsidRPr="004A5122">
        <w:rPr>
          <w:rFonts w:asciiTheme="minorHAnsi" w:hAnsiTheme="minorHAnsi" w:cstheme="minorHAnsi"/>
        </w:rPr>
        <w:t>AG</w:t>
      </w:r>
      <w:r w:rsidR="006951FD">
        <w:rPr>
          <w:rFonts w:asciiTheme="minorHAnsi" w:hAnsiTheme="minorHAnsi" w:cstheme="minorHAnsi"/>
        </w:rPr>
        <w:t>)</w:t>
      </w:r>
      <w:bookmarkEnd w:id="46"/>
    </w:p>
    <w:p w14:paraId="14E2FD65" w14:textId="61DF441C" w:rsidR="004273D7" w:rsidRDefault="004273D7" w:rsidP="00F12682">
      <w:pPr>
        <w:pStyle w:val="Titre4"/>
        <w:rPr>
          <w:rFonts w:asciiTheme="minorHAnsi" w:hAnsiTheme="minorHAnsi" w:cstheme="minorHAnsi"/>
        </w:rPr>
      </w:pPr>
      <w:r w:rsidRPr="004A5122">
        <w:rPr>
          <w:rFonts w:asciiTheme="minorHAnsi" w:hAnsiTheme="minorHAnsi" w:cstheme="minorHAnsi"/>
        </w:rPr>
        <w:t>Analyse de la planification/programmation</w:t>
      </w:r>
      <w:r w:rsidR="002A75B4">
        <w:rPr>
          <w:rFonts w:asciiTheme="minorHAnsi" w:hAnsiTheme="minorHAnsi" w:cstheme="minorHAnsi"/>
        </w:rPr>
        <w:t>, d</w:t>
      </w:r>
      <w:r w:rsidRPr="004A5122">
        <w:rPr>
          <w:rFonts w:asciiTheme="minorHAnsi" w:hAnsiTheme="minorHAnsi" w:cstheme="minorHAnsi"/>
        </w:rPr>
        <w:t>e la budgétisation des dépenses</w:t>
      </w:r>
      <w:r w:rsidR="002A75B4">
        <w:rPr>
          <w:rFonts w:asciiTheme="minorHAnsi" w:hAnsiTheme="minorHAnsi" w:cstheme="minorHAnsi"/>
        </w:rPr>
        <w:t xml:space="preserve"> </w:t>
      </w:r>
      <w:r w:rsidR="002A75B4" w:rsidRPr="004A5122">
        <w:rPr>
          <w:rFonts w:asciiTheme="minorHAnsi" w:hAnsiTheme="minorHAnsi" w:cstheme="minorHAnsi"/>
        </w:rPr>
        <w:t>et de reddition des comptes</w:t>
      </w:r>
    </w:p>
    <w:p w14:paraId="26F2D3F7" w14:textId="77777777" w:rsidR="00910B67" w:rsidRPr="004737C1" w:rsidRDefault="00DA598D" w:rsidP="00F12682">
      <w:pPr>
        <w:spacing w:after="120" w:line="276" w:lineRule="auto"/>
        <w:jc w:val="both"/>
        <w:rPr>
          <w:rFonts w:ascii="Calibri" w:hAnsi="Calibri" w:cs="Calibri"/>
          <w:sz w:val="24"/>
          <w:szCs w:val="24"/>
        </w:rPr>
      </w:pPr>
      <w:r w:rsidRPr="004737C1">
        <w:rPr>
          <w:rFonts w:ascii="Calibri" w:hAnsi="Calibri" w:cs="Calibri"/>
          <w:sz w:val="24"/>
          <w:szCs w:val="24"/>
        </w:rPr>
        <w:t xml:space="preserve">Le </w:t>
      </w:r>
      <w:r w:rsidR="009B720F" w:rsidRPr="004737C1">
        <w:rPr>
          <w:rFonts w:ascii="Calibri" w:hAnsi="Calibri" w:cs="Calibri"/>
          <w:sz w:val="24"/>
          <w:szCs w:val="24"/>
        </w:rPr>
        <w:t>sous-secteur de l’agriculture ne possède</w:t>
      </w:r>
      <w:r w:rsidR="00132946" w:rsidRPr="004737C1">
        <w:rPr>
          <w:rFonts w:ascii="Calibri" w:hAnsi="Calibri" w:cs="Calibri"/>
          <w:sz w:val="24"/>
          <w:szCs w:val="24"/>
        </w:rPr>
        <w:t xml:space="preserve"> pas</w:t>
      </w:r>
      <w:r w:rsidR="009B720F" w:rsidRPr="004737C1">
        <w:rPr>
          <w:rFonts w:ascii="Calibri" w:hAnsi="Calibri" w:cs="Calibri"/>
          <w:sz w:val="24"/>
          <w:szCs w:val="24"/>
        </w:rPr>
        <w:t xml:space="preserve"> une politique, un plan d’actions </w:t>
      </w:r>
      <w:r w:rsidR="00132946" w:rsidRPr="004737C1">
        <w:rPr>
          <w:rFonts w:ascii="Calibri" w:hAnsi="Calibri" w:cs="Calibri"/>
          <w:sz w:val="24"/>
          <w:szCs w:val="24"/>
        </w:rPr>
        <w:t>global qui donne les grandes orientations. Il existe cependant des stratégies spécifiques,</w:t>
      </w:r>
      <w:r w:rsidR="00910B67" w:rsidRPr="004737C1">
        <w:rPr>
          <w:rFonts w:ascii="Calibri" w:hAnsi="Calibri" w:cs="Calibri"/>
          <w:sz w:val="24"/>
          <w:szCs w:val="24"/>
        </w:rPr>
        <w:t xml:space="preserve"> à savoir :</w:t>
      </w:r>
    </w:p>
    <w:p w14:paraId="4A1C5D28" w14:textId="33949093" w:rsidR="00EE2711" w:rsidRPr="004737C1" w:rsidRDefault="00AE488E"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4737C1">
        <w:rPr>
          <w:rFonts w:ascii="Calibri" w:hAnsi="Calibri" w:cs="Calibri"/>
          <w:sz w:val="24"/>
          <w:szCs w:val="24"/>
        </w:rPr>
        <w:t>la</w:t>
      </w:r>
      <w:r w:rsidR="00132946" w:rsidRPr="004737C1">
        <w:rPr>
          <w:rFonts w:ascii="Calibri" w:hAnsi="Calibri" w:cs="Calibri"/>
          <w:sz w:val="24"/>
          <w:szCs w:val="24"/>
        </w:rPr>
        <w:t xml:space="preserve"> Stratégie de la Petite Irrigation</w:t>
      </w:r>
      <w:r w:rsidR="00EE2711" w:rsidRPr="004737C1">
        <w:rPr>
          <w:rFonts w:ascii="Calibri" w:hAnsi="Calibri" w:cs="Calibri"/>
          <w:sz w:val="24"/>
          <w:szCs w:val="24"/>
        </w:rPr>
        <w:t> ;</w:t>
      </w:r>
    </w:p>
    <w:p w14:paraId="05803262" w14:textId="77777777" w:rsidR="00AE488E" w:rsidRPr="004737C1" w:rsidRDefault="00AE488E"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4737C1">
        <w:rPr>
          <w:rFonts w:ascii="Calibri" w:hAnsi="Calibri" w:cs="Calibri"/>
          <w:sz w:val="24"/>
          <w:szCs w:val="24"/>
        </w:rPr>
        <w:t xml:space="preserve">la </w:t>
      </w:r>
      <w:r w:rsidR="00EE2711" w:rsidRPr="004737C1">
        <w:rPr>
          <w:rFonts w:ascii="Calibri" w:hAnsi="Calibri" w:cs="Calibri"/>
          <w:sz w:val="24"/>
          <w:szCs w:val="24"/>
        </w:rPr>
        <w:t>Stratégie décentralisée et partenariale d'approvisionnement en Intrants pour une Agriculture Durable</w:t>
      </w:r>
      <w:r w:rsidRPr="004737C1">
        <w:rPr>
          <w:rFonts w:ascii="Calibri" w:hAnsi="Calibri" w:cs="Calibri"/>
          <w:sz w:val="24"/>
          <w:szCs w:val="24"/>
        </w:rPr>
        <w:t> ;</w:t>
      </w:r>
    </w:p>
    <w:p w14:paraId="129272E5" w14:textId="355A7A6B" w:rsidR="00AE488E" w:rsidRPr="004737C1" w:rsidRDefault="00AE488E"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4737C1">
        <w:rPr>
          <w:rFonts w:ascii="Calibri" w:hAnsi="Calibri" w:cs="Calibri"/>
          <w:sz w:val="24"/>
          <w:szCs w:val="24"/>
        </w:rPr>
        <w:t>Stratégie nationale du développement de l’irrigation.</w:t>
      </w:r>
    </w:p>
    <w:p w14:paraId="38DF283D" w14:textId="110E53D1" w:rsidR="00DA598D" w:rsidRPr="004737C1" w:rsidRDefault="00AE488E" w:rsidP="00F12682">
      <w:pPr>
        <w:spacing w:after="120" w:line="276" w:lineRule="auto"/>
        <w:jc w:val="both"/>
        <w:rPr>
          <w:rFonts w:ascii="Calibri" w:hAnsi="Calibri" w:cs="Calibri"/>
          <w:sz w:val="24"/>
          <w:szCs w:val="24"/>
        </w:rPr>
      </w:pPr>
      <w:r w:rsidRPr="004737C1">
        <w:rPr>
          <w:rFonts w:ascii="Calibri" w:hAnsi="Calibri" w:cs="Calibri"/>
          <w:sz w:val="24"/>
          <w:szCs w:val="24"/>
        </w:rPr>
        <w:t xml:space="preserve">Le </w:t>
      </w:r>
      <w:r w:rsidR="00DA598D" w:rsidRPr="004737C1">
        <w:rPr>
          <w:rFonts w:ascii="Calibri" w:hAnsi="Calibri" w:cs="Calibri"/>
          <w:sz w:val="24"/>
          <w:szCs w:val="24"/>
        </w:rPr>
        <w:t xml:space="preserve">Ministère en charge de l’agriculture </w:t>
      </w:r>
      <w:r w:rsidR="008E0F30" w:rsidRPr="004737C1">
        <w:rPr>
          <w:rFonts w:ascii="Calibri" w:hAnsi="Calibri" w:cs="Calibri"/>
          <w:sz w:val="24"/>
          <w:szCs w:val="24"/>
        </w:rPr>
        <w:t xml:space="preserve">ne possède pas une culture de programmation </w:t>
      </w:r>
      <w:r w:rsidRPr="004737C1">
        <w:rPr>
          <w:rFonts w:ascii="Calibri" w:hAnsi="Calibri" w:cs="Calibri"/>
          <w:sz w:val="24"/>
          <w:szCs w:val="24"/>
        </w:rPr>
        <w:t>annuel</w:t>
      </w:r>
      <w:r w:rsidR="00B57E4A" w:rsidRPr="004737C1">
        <w:rPr>
          <w:rFonts w:ascii="Calibri" w:hAnsi="Calibri" w:cs="Calibri"/>
          <w:sz w:val="24"/>
          <w:szCs w:val="24"/>
        </w:rPr>
        <w:t>le</w:t>
      </w:r>
      <w:r w:rsidRPr="004737C1">
        <w:rPr>
          <w:rFonts w:ascii="Calibri" w:hAnsi="Calibri" w:cs="Calibri"/>
          <w:sz w:val="24"/>
          <w:szCs w:val="24"/>
        </w:rPr>
        <w:t xml:space="preserve"> </w:t>
      </w:r>
      <w:r w:rsidR="008E0F30" w:rsidRPr="004737C1">
        <w:rPr>
          <w:rFonts w:ascii="Calibri" w:hAnsi="Calibri" w:cs="Calibri"/>
          <w:sz w:val="24"/>
          <w:szCs w:val="24"/>
        </w:rPr>
        <w:t xml:space="preserve">précisant </w:t>
      </w:r>
      <w:r w:rsidR="00527D67" w:rsidRPr="004737C1">
        <w:rPr>
          <w:rFonts w:ascii="Calibri" w:hAnsi="Calibri" w:cs="Calibri"/>
          <w:sz w:val="24"/>
          <w:szCs w:val="24"/>
        </w:rPr>
        <w:t>les activités prévues en lien avec le budget alloué par la loi des finances et les autres ressources hors budget</w:t>
      </w:r>
      <w:r w:rsidR="009932FF" w:rsidRPr="004737C1">
        <w:rPr>
          <w:rFonts w:ascii="Calibri" w:hAnsi="Calibri" w:cs="Calibri"/>
          <w:sz w:val="24"/>
          <w:szCs w:val="24"/>
        </w:rPr>
        <w:t>, il</w:t>
      </w:r>
      <w:r w:rsidR="004E5500" w:rsidRPr="004737C1">
        <w:rPr>
          <w:rFonts w:ascii="Calibri" w:hAnsi="Calibri" w:cs="Calibri"/>
          <w:sz w:val="24"/>
          <w:szCs w:val="24"/>
        </w:rPr>
        <w:t xml:space="preserve"> se réfère aux </w:t>
      </w:r>
      <w:r w:rsidR="00AC1DBE" w:rsidRPr="004737C1">
        <w:rPr>
          <w:rFonts w:ascii="Calibri" w:hAnsi="Calibri" w:cs="Calibri"/>
          <w:sz w:val="24"/>
          <w:szCs w:val="24"/>
        </w:rPr>
        <w:t xml:space="preserve">enveloppes allouées par </w:t>
      </w:r>
      <w:r w:rsidR="0042487A">
        <w:rPr>
          <w:rFonts w:ascii="Calibri" w:hAnsi="Calibri" w:cs="Calibri"/>
          <w:sz w:val="24"/>
          <w:szCs w:val="24"/>
        </w:rPr>
        <w:t>le Ministère des Finances et au</w:t>
      </w:r>
      <w:r w:rsidR="00AC1DBE" w:rsidRPr="004737C1">
        <w:rPr>
          <w:rFonts w:ascii="Calibri" w:hAnsi="Calibri" w:cs="Calibri"/>
          <w:sz w:val="24"/>
          <w:szCs w:val="24"/>
        </w:rPr>
        <w:t xml:space="preserve"> </w:t>
      </w:r>
      <w:r w:rsidR="0042487A">
        <w:rPr>
          <w:rFonts w:ascii="Calibri" w:hAnsi="Calibri" w:cs="Calibri"/>
          <w:sz w:val="24"/>
          <w:szCs w:val="24"/>
        </w:rPr>
        <w:t>Plan d’action</w:t>
      </w:r>
      <w:r w:rsidR="004E5500" w:rsidRPr="004737C1">
        <w:rPr>
          <w:rFonts w:ascii="Calibri" w:hAnsi="Calibri" w:cs="Calibri"/>
          <w:sz w:val="24"/>
          <w:szCs w:val="24"/>
        </w:rPr>
        <w:t xml:space="preserve"> </w:t>
      </w:r>
      <w:r w:rsidR="0042487A">
        <w:rPr>
          <w:rFonts w:ascii="Calibri" w:hAnsi="Calibri" w:cs="Calibri"/>
          <w:sz w:val="24"/>
          <w:szCs w:val="24"/>
        </w:rPr>
        <w:t xml:space="preserve">2016-2020 </w:t>
      </w:r>
      <w:r w:rsidR="004E5500" w:rsidRPr="004737C1">
        <w:rPr>
          <w:rFonts w:ascii="Calibri" w:hAnsi="Calibri" w:cs="Calibri"/>
          <w:sz w:val="24"/>
          <w:szCs w:val="24"/>
        </w:rPr>
        <w:t>de la SANDAD.</w:t>
      </w:r>
      <w:r w:rsidR="003D34E5">
        <w:rPr>
          <w:rFonts w:ascii="Calibri" w:hAnsi="Calibri" w:cs="Calibri"/>
          <w:sz w:val="24"/>
          <w:szCs w:val="24"/>
        </w:rPr>
        <w:t xml:space="preserve"> </w:t>
      </w:r>
    </w:p>
    <w:p w14:paraId="2C50C206" w14:textId="69E7DFDC" w:rsidR="004E5500" w:rsidRPr="004737C1" w:rsidRDefault="009932FF" w:rsidP="00F12682">
      <w:pPr>
        <w:spacing w:after="120" w:line="276" w:lineRule="auto"/>
        <w:jc w:val="both"/>
        <w:rPr>
          <w:rFonts w:ascii="Calibri" w:hAnsi="Calibri" w:cs="Calibri"/>
          <w:sz w:val="24"/>
          <w:szCs w:val="24"/>
        </w:rPr>
      </w:pPr>
      <w:r w:rsidRPr="004737C1">
        <w:rPr>
          <w:rFonts w:ascii="Calibri" w:hAnsi="Calibri" w:cs="Calibri"/>
          <w:sz w:val="24"/>
          <w:szCs w:val="24"/>
        </w:rPr>
        <w:t>Dans le cadre de ce plan d’action</w:t>
      </w:r>
      <w:r w:rsidR="0042487A">
        <w:rPr>
          <w:rFonts w:ascii="Calibri" w:hAnsi="Calibri" w:cs="Calibri"/>
          <w:sz w:val="24"/>
          <w:szCs w:val="24"/>
        </w:rPr>
        <w:t xml:space="preserve"> 2016-2020</w:t>
      </w:r>
      <w:r w:rsidRPr="004737C1">
        <w:rPr>
          <w:rFonts w:ascii="Calibri" w:hAnsi="Calibri" w:cs="Calibri"/>
          <w:sz w:val="24"/>
          <w:szCs w:val="24"/>
        </w:rPr>
        <w:t xml:space="preserve"> de la SANDAD, le Ministère en charge de l’agriculture </w:t>
      </w:r>
      <w:r w:rsidR="0042487A">
        <w:rPr>
          <w:rFonts w:ascii="Calibri" w:hAnsi="Calibri" w:cs="Calibri"/>
          <w:sz w:val="24"/>
          <w:szCs w:val="24"/>
        </w:rPr>
        <w:t>a</w:t>
      </w:r>
      <w:r w:rsidRPr="004737C1">
        <w:rPr>
          <w:rFonts w:ascii="Calibri" w:hAnsi="Calibri" w:cs="Calibri"/>
          <w:sz w:val="24"/>
          <w:szCs w:val="24"/>
        </w:rPr>
        <w:t xml:space="preserve"> pour responsabilité de mettre en œuvre les actions en lien avec les programmes stratégiques ci-après :</w:t>
      </w:r>
    </w:p>
    <w:p w14:paraId="4838A0CF" w14:textId="1D15A926" w:rsidR="008A04E1" w:rsidRPr="004737C1" w:rsidRDefault="008A04E1"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4737C1">
        <w:rPr>
          <w:rFonts w:ascii="Calibri" w:hAnsi="Calibri" w:cs="Calibri"/>
          <w:sz w:val="24"/>
          <w:szCs w:val="24"/>
        </w:rPr>
        <w:t>PS1 : Mobilisation des eaux pour les productions agro-</w:t>
      </w:r>
      <w:proofErr w:type="spellStart"/>
      <w:r w:rsidRPr="004737C1">
        <w:rPr>
          <w:rFonts w:ascii="Calibri" w:hAnsi="Calibri" w:cs="Calibri"/>
          <w:sz w:val="24"/>
          <w:szCs w:val="24"/>
        </w:rPr>
        <w:t>s</w:t>
      </w:r>
      <w:r w:rsidR="006951FD">
        <w:rPr>
          <w:rFonts w:ascii="Calibri" w:hAnsi="Calibri" w:cs="Calibri"/>
          <w:sz w:val="24"/>
          <w:szCs w:val="24"/>
        </w:rPr>
        <w:t>ylvo</w:t>
      </w:r>
      <w:proofErr w:type="spellEnd"/>
      <w:r w:rsidR="006951FD">
        <w:rPr>
          <w:rFonts w:ascii="Calibri" w:hAnsi="Calibri" w:cs="Calibri"/>
          <w:sz w:val="24"/>
          <w:szCs w:val="24"/>
        </w:rPr>
        <w:t>-pastorales et halieutiques ;</w:t>
      </w:r>
    </w:p>
    <w:p w14:paraId="164C2478" w14:textId="6306CDF3" w:rsidR="008A04E1" w:rsidRDefault="008A04E1" w:rsidP="00F12682">
      <w:pPr>
        <w:pStyle w:val="Paragraphedeliste"/>
        <w:numPr>
          <w:ilvl w:val="0"/>
          <w:numId w:val="6"/>
        </w:numPr>
        <w:spacing w:after="120" w:line="276" w:lineRule="auto"/>
        <w:ind w:left="567" w:hanging="207"/>
        <w:contextualSpacing w:val="0"/>
        <w:rPr>
          <w:rFonts w:ascii="Calibri" w:hAnsi="Calibri" w:cs="Calibri"/>
          <w:sz w:val="24"/>
          <w:szCs w:val="24"/>
        </w:rPr>
      </w:pPr>
      <w:r w:rsidRPr="004737C1">
        <w:rPr>
          <w:rFonts w:ascii="Calibri" w:hAnsi="Calibri" w:cs="Calibri"/>
          <w:sz w:val="24"/>
          <w:szCs w:val="24"/>
        </w:rPr>
        <w:t>PS3 : Développement des filières et chaînes de valeurs agricoles</w:t>
      </w:r>
      <w:r w:rsidR="00C7303C" w:rsidRPr="004737C1">
        <w:rPr>
          <w:rFonts w:ascii="Calibri" w:hAnsi="Calibri" w:cs="Calibri"/>
          <w:sz w:val="24"/>
          <w:szCs w:val="24"/>
        </w:rPr>
        <w:t>.</w:t>
      </w:r>
    </w:p>
    <w:p w14:paraId="171F7A68" w14:textId="2F603CDD" w:rsidR="00B57E4A" w:rsidRDefault="002A75B4" w:rsidP="00F12682">
      <w:pPr>
        <w:spacing w:after="120" w:line="276" w:lineRule="auto"/>
        <w:jc w:val="both"/>
        <w:rPr>
          <w:rFonts w:ascii="Calibri" w:hAnsi="Calibri" w:cs="Calibri"/>
          <w:sz w:val="24"/>
          <w:szCs w:val="24"/>
        </w:rPr>
      </w:pPr>
      <w:r>
        <w:rPr>
          <w:rFonts w:ascii="Calibri" w:hAnsi="Calibri" w:cs="Calibri"/>
          <w:sz w:val="24"/>
          <w:szCs w:val="24"/>
        </w:rPr>
        <w:t>Pour la reddition des comptes, t</w:t>
      </w:r>
      <w:r w:rsidR="000211D6" w:rsidRPr="006951FD">
        <w:rPr>
          <w:rFonts w:ascii="Calibri" w:hAnsi="Calibri" w:cs="Calibri"/>
          <w:sz w:val="24"/>
          <w:szCs w:val="24"/>
        </w:rPr>
        <w:t>out comme pour la programmation, l</w:t>
      </w:r>
      <w:r w:rsidR="00B57E4A" w:rsidRPr="006951FD">
        <w:rPr>
          <w:rFonts w:ascii="Calibri" w:hAnsi="Calibri" w:cs="Calibri"/>
          <w:sz w:val="24"/>
          <w:szCs w:val="24"/>
        </w:rPr>
        <w:t>e Ministère en charge de l’agriculture ne possède pas u</w:t>
      </w:r>
      <w:r>
        <w:rPr>
          <w:rFonts w:ascii="Calibri" w:hAnsi="Calibri" w:cs="Calibri"/>
          <w:sz w:val="24"/>
          <w:szCs w:val="24"/>
        </w:rPr>
        <w:t>ne culture de rapportage annuel</w:t>
      </w:r>
      <w:r w:rsidR="00B57E4A" w:rsidRPr="006951FD">
        <w:rPr>
          <w:rFonts w:ascii="Calibri" w:hAnsi="Calibri" w:cs="Calibri"/>
          <w:sz w:val="24"/>
          <w:szCs w:val="24"/>
        </w:rPr>
        <w:t xml:space="preserve"> précisant les activités prévues </w:t>
      </w:r>
      <w:r w:rsidR="00582648" w:rsidRPr="006951FD">
        <w:rPr>
          <w:rFonts w:ascii="Calibri" w:hAnsi="Calibri" w:cs="Calibri"/>
          <w:sz w:val="24"/>
          <w:szCs w:val="24"/>
        </w:rPr>
        <w:t xml:space="preserve">et </w:t>
      </w:r>
      <w:r w:rsidR="00582648" w:rsidRPr="006951FD">
        <w:rPr>
          <w:rFonts w:ascii="Calibri" w:hAnsi="Calibri" w:cs="Calibri"/>
          <w:sz w:val="24"/>
          <w:szCs w:val="24"/>
        </w:rPr>
        <w:lastRenderedPageBreak/>
        <w:t xml:space="preserve">celles réalisées </w:t>
      </w:r>
      <w:r w:rsidR="00B57E4A" w:rsidRPr="006951FD">
        <w:rPr>
          <w:rFonts w:ascii="Calibri" w:hAnsi="Calibri" w:cs="Calibri"/>
          <w:sz w:val="24"/>
          <w:szCs w:val="24"/>
        </w:rPr>
        <w:t xml:space="preserve">en lien avec le budget alloué par la loi des finances et les autres ressources hors budget. </w:t>
      </w:r>
      <w:r w:rsidR="00582648" w:rsidRPr="006951FD">
        <w:rPr>
          <w:rFonts w:ascii="Calibri" w:hAnsi="Calibri" w:cs="Calibri"/>
          <w:sz w:val="24"/>
          <w:szCs w:val="24"/>
        </w:rPr>
        <w:t>Les seuls rapports qui existent sont ceux produits dans le cadre des CIO</w:t>
      </w:r>
      <w:r w:rsidR="00C40B3D" w:rsidRPr="006951FD">
        <w:rPr>
          <w:rFonts w:ascii="Calibri" w:hAnsi="Calibri" w:cs="Calibri"/>
          <w:sz w:val="24"/>
          <w:szCs w:val="24"/>
        </w:rPr>
        <w:t>. Ces rapports sont sur une période allant d’avril à mai de l’année et ne fait pas le lien effectif avec les dépenses effectuées dans l</w:t>
      </w:r>
      <w:r w:rsidR="00F4105D" w:rsidRPr="006951FD">
        <w:rPr>
          <w:rFonts w:ascii="Calibri" w:hAnsi="Calibri" w:cs="Calibri"/>
          <w:sz w:val="24"/>
          <w:szCs w:val="24"/>
        </w:rPr>
        <w:t>e cadre de la loi des finances.</w:t>
      </w:r>
    </w:p>
    <w:p w14:paraId="121995B3" w14:textId="77777777" w:rsidR="003D1348" w:rsidRPr="00FA3679" w:rsidRDefault="003D1348" w:rsidP="00F12682">
      <w:pPr>
        <w:spacing w:after="0" w:line="240" w:lineRule="auto"/>
        <w:jc w:val="both"/>
        <w:rPr>
          <w:rFonts w:cs="Calibri"/>
          <w:sz w:val="24"/>
        </w:rPr>
      </w:pPr>
    </w:p>
    <w:p w14:paraId="68962A42" w14:textId="31966F54" w:rsidR="004273D7" w:rsidRDefault="004273D7" w:rsidP="00F12682">
      <w:pPr>
        <w:pStyle w:val="Titre4"/>
        <w:rPr>
          <w:rFonts w:asciiTheme="minorHAnsi" w:hAnsiTheme="minorHAnsi" w:cstheme="minorHAnsi"/>
        </w:rPr>
      </w:pPr>
      <w:r w:rsidRPr="004A5122">
        <w:rPr>
          <w:rFonts w:asciiTheme="minorHAnsi" w:hAnsiTheme="minorHAnsi" w:cstheme="minorHAnsi"/>
        </w:rPr>
        <w:t>Analyse de la Gestion des Ressources Humaines</w:t>
      </w:r>
    </w:p>
    <w:p w14:paraId="0A8CEB1C" w14:textId="6B1EE54B" w:rsidR="00DC32DA" w:rsidRPr="00797C5C" w:rsidRDefault="00DC32DA" w:rsidP="00F12682">
      <w:pPr>
        <w:spacing w:after="120" w:line="276" w:lineRule="auto"/>
        <w:jc w:val="both"/>
        <w:rPr>
          <w:rFonts w:ascii="Calibri" w:hAnsi="Calibri" w:cs="Calibri"/>
          <w:sz w:val="24"/>
          <w:szCs w:val="24"/>
        </w:rPr>
      </w:pPr>
      <w:r w:rsidRPr="00797C5C">
        <w:rPr>
          <w:rFonts w:ascii="Calibri" w:hAnsi="Calibri" w:cs="Calibri"/>
          <w:sz w:val="24"/>
          <w:szCs w:val="24"/>
        </w:rPr>
        <w:t xml:space="preserve">Bien qu’en 2016, le 72% des cadres du Ministère de l’Agriculture sont répartis au niveau des huit (8) régions, 66 départements et 266 communes, il est à relever que 60% des cadres A sont concentrés à la portion centrale basée à Niamey (Tableau 1).  C’est ainsi, seules 114 communes sur les 266 sont vacantes soit un taux de couverture de 43%. Sur les 331 districts agricoles du Niger seuls 166 sont pourvus en agents soit 50,15%. Le ratio varie de 1 agent pour 39 villages à Agadez, 62 villages à Dosso et Maradi, 64 villages à Tillabéry, 87 villages à Diffa, 125 villages à Zinder. Pour un meilleur encadrement des producteurs (appui conseil technique et organisationnel) suivant la norme FAO, un (1) agent pour dix (10) villages, la répartition actuelle donnée dans le tableau 1 est à revoir.  Il est clair donc cette insuffisance et la mal répartition des agents du Ministère de l’Agriculture constituent une des entraves au développement du secteur rural. </w:t>
      </w:r>
    </w:p>
    <w:p w14:paraId="39C284E3" w14:textId="77777777" w:rsidR="008A6C05" w:rsidRPr="00FA3679" w:rsidRDefault="008A6C05" w:rsidP="00F12682">
      <w:pPr>
        <w:spacing w:after="0" w:line="240" w:lineRule="auto"/>
        <w:jc w:val="both"/>
        <w:rPr>
          <w:rFonts w:cs="Calibri"/>
          <w:sz w:val="24"/>
        </w:rPr>
      </w:pPr>
    </w:p>
    <w:p w14:paraId="6B548A85" w14:textId="2338A371" w:rsidR="003D1348" w:rsidRPr="00855DFA" w:rsidRDefault="00855DFA" w:rsidP="00F12682">
      <w:pPr>
        <w:pStyle w:val="Lgende"/>
        <w:rPr>
          <w:rFonts w:cs="Calibri"/>
          <w:szCs w:val="24"/>
        </w:rPr>
      </w:pPr>
      <w:bookmarkStart w:id="47" w:name="_Toc529305055"/>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1</w:t>
      </w:r>
      <w:r w:rsidR="00A773EB">
        <w:rPr>
          <w:noProof/>
        </w:rPr>
        <w:fldChar w:fldCharType="end"/>
      </w:r>
      <w:r w:rsidR="003D1348" w:rsidRPr="00855DFA">
        <w:rPr>
          <w:rFonts w:cs="Calibri"/>
          <w:szCs w:val="24"/>
        </w:rPr>
        <w:t> : Situation des ressources humaines</w:t>
      </w:r>
      <w:r>
        <w:rPr>
          <w:rFonts w:cs="Calibri"/>
          <w:szCs w:val="24"/>
        </w:rPr>
        <w:t xml:space="preserve"> du</w:t>
      </w:r>
      <w:r w:rsidR="003D1348" w:rsidRPr="00855DFA">
        <w:rPr>
          <w:rFonts w:cs="Calibri"/>
          <w:szCs w:val="24"/>
        </w:rPr>
        <w:t xml:space="preserve"> MAG</w:t>
      </w:r>
      <w:r>
        <w:rPr>
          <w:rFonts w:cs="Calibri"/>
          <w:szCs w:val="24"/>
        </w:rPr>
        <w:t xml:space="preserve"> en 2016</w:t>
      </w:r>
      <w:bookmarkEnd w:id="47"/>
    </w:p>
    <w:tbl>
      <w:tblPr>
        <w:tblW w:w="5000" w:type="pct"/>
        <w:tblCellMar>
          <w:left w:w="70" w:type="dxa"/>
          <w:right w:w="70" w:type="dxa"/>
        </w:tblCellMar>
        <w:tblLook w:val="04A0" w:firstRow="1" w:lastRow="0" w:firstColumn="1" w:lastColumn="0" w:noHBand="0" w:noVBand="1"/>
      </w:tblPr>
      <w:tblGrid>
        <w:gridCol w:w="2262"/>
        <w:gridCol w:w="1741"/>
        <w:gridCol w:w="2145"/>
        <w:gridCol w:w="1741"/>
        <w:gridCol w:w="1739"/>
      </w:tblGrid>
      <w:tr w:rsidR="008674BF" w:rsidRPr="006951FD" w14:paraId="02F89F0A" w14:textId="77777777" w:rsidTr="006951FD">
        <w:tc>
          <w:tcPr>
            <w:tcW w:w="11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B952" w14:textId="77777777" w:rsidR="008674BF" w:rsidRPr="006951FD" w:rsidRDefault="008674BF" w:rsidP="00F12682">
            <w:pPr>
              <w:spacing w:after="0" w:line="240" w:lineRule="auto"/>
              <w:jc w:val="center"/>
              <w:rPr>
                <w:rFonts w:ascii="Calibri" w:eastAsia="Times New Roman" w:hAnsi="Calibri" w:cs="Calibri"/>
                <w:b/>
                <w:color w:val="000000"/>
                <w:lang w:eastAsia="fr-FR"/>
              </w:rPr>
            </w:pPr>
            <w:r w:rsidRPr="006951FD">
              <w:rPr>
                <w:rFonts w:ascii="Calibri" w:eastAsia="Times New Roman" w:hAnsi="Calibri" w:cs="Calibri"/>
                <w:b/>
                <w:color w:val="000000"/>
                <w:lang w:eastAsia="fr-FR"/>
              </w:rPr>
              <w:t>Personnel</w:t>
            </w:r>
          </w:p>
        </w:tc>
        <w:tc>
          <w:tcPr>
            <w:tcW w:w="904" w:type="pct"/>
            <w:tcBorders>
              <w:top w:val="single" w:sz="4" w:space="0" w:color="auto"/>
              <w:left w:val="nil"/>
              <w:bottom w:val="single" w:sz="4" w:space="0" w:color="auto"/>
              <w:right w:val="single" w:sz="4" w:space="0" w:color="auto"/>
            </w:tcBorders>
            <w:shd w:val="clear" w:color="auto" w:fill="auto"/>
            <w:noWrap/>
            <w:vAlign w:val="bottom"/>
            <w:hideMark/>
          </w:tcPr>
          <w:p w14:paraId="400B21C8" w14:textId="77777777" w:rsidR="008674BF" w:rsidRPr="006951FD" w:rsidRDefault="008674BF" w:rsidP="00F12682">
            <w:pPr>
              <w:spacing w:after="0" w:line="240" w:lineRule="auto"/>
              <w:jc w:val="center"/>
              <w:rPr>
                <w:rFonts w:ascii="Calibri" w:eastAsia="Times New Roman" w:hAnsi="Calibri" w:cs="Calibri"/>
                <w:b/>
                <w:color w:val="000000"/>
                <w:lang w:eastAsia="fr-FR"/>
              </w:rPr>
            </w:pPr>
            <w:r w:rsidRPr="006951FD">
              <w:rPr>
                <w:rFonts w:ascii="Calibri" w:eastAsia="Times New Roman" w:hAnsi="Calibri" w:cs="Calibri"/>
                <w:b/>
                <w:color w:val="000000"/>
                <w:lang w:eastAsia="fr-FR"/>
              </w:rPr>
              <w:t>Central</w:t>
            </w:r>
          </w:p>
        </w:tc>
        <w:tc>
          <w:tcPr>
            <w:tcW w:w="1114" w:type="pct"/>
            <w:tcBorders>
              <w:top w:val="single" w:sz="4" w:space="0" w:color="auto"/>
              <w:left w:val="nil"/>
              <w:bottom w:val="single" w:sz="4" w:space="0" w:color="auto"/>
              <w:right w:val="single" w:sz="4" w:space="0" w:color="auto"/>
            </w:tcBorders>
            <w:shd w:val="clear" w:color="auto" w:fill="auto"/>
            <w:noWrap/>
            <w:vAlign w:val="bottom"/>
            <w:hideMark/>
          </w:tcPr>
          <w:p w14:paraId="061BC8D5" w14:textId="2EEF986A" w:rsidR="008674BF" w:rsidRPr="006951FD" w:rsidRDefault="003D1348" w:rsidP="00F12682">
            <w:pPr>
              <w:spacing w:after="0" w:line="240" w:lineRule="auto"/>
              <w:jc w:val="center"/>
              <w:rPr>
                <w:rFonts w:ascii="Calibri" w:eastAsia="Times New Roman" w:hAnsi="Calibri" w:cs="Calibri"/>
                <w:b/>
                <w:color w:val="000000"/>
                <w:lang w:eastAsia="fr-FR"/>
              </w:rPr>
            </w:pPr>
            <w:r>
              <w:rPr>
                <w:rFonts w:ascii="Calibri" w:eastAsia="Times New Roman" w:hAnsi="Calibri" w:cs="Calibri"/>
                <w:b/>
                <w:color w:val="000000"/>
                <w:lang w:eastAsia="fr-FR"/>
              </w:rPr>
              <w:t>R</w:t>
            </w:r>
            <w:r w:rsidR="008674BF" w:rsidRPr="006951FD">
              <w:rPr>
                <w:rFonts w:ascii="Calibri" w:eastAsia="Times New Roman" w:hAnsi="Calibri" w:cs="Calibri"/>
                <w:b/>
                <w:color w:val="000000"/>
                <w:lang w:eastAsia="fr-FR"/>
              </w:rPr>
              <w:t>égions</w:t>
            </w:r>
          </w:p>
        </w:tc>
        <w:tc>
          <w:tcPr>
            <w:tcW w:w="904" w:type="pct"/>
            <w:tcBorders>
              <w:top w:val="single" w:sz="4" w:space="0" w:color="auto"/>
              <w:left w:val="nil"/>
              <w:bottom w:val="single" w:sz="4" w:space="0" w:color="auto"/>
              <w:right w:val="single" w:sz="4" w:space="0" w:color="auto"/>
            </w:tcBorders>
            <w:shd w:val="clear" w:color="auto" w:fill="auto"/>
            <w:noWrap/>
            <w:vAlign w:val="bottom"/>
            <w:hideMark/>
          </w:tcPr>
          <w:p w14:paraId="72F43851" w14:textId="77777777" w:rsidR="008674BF" w:rsidRPr="006951FD" w:rsidRDefault="008674BF" w:rsidP="00F12682">
            <w:pPr>
              <w:spacing w:after="0" w:line="240" w:lineRule="auto"/>
              <w:jc w:val="center"/>
              <w:rPr>
                <w:rFonts w:ascii="Calibri" w:eastAsia="Times New Roman" w:hAnsi="Calibri" w:cs="Calibri"/>
                <w:b/>
                <w:color w:val="000000"/>
                <w:lang w:eastAsia="fr-FR"/>
              </w:rPr>
            </w:pPr>
            <w:r w:rsidRPr="006951FD">
              <w:rPr>
                <w:rFonts w:ascii="Calibri" w:eastAsia="Times New Roman" w:hAnsi="Calibri" w:cs="Calibri"/>
                <w:b/>
                <w:color w:val="000000"/>
                <w:lang w:eastAsia="fr-FR"/>
              </w:rPr>
              <w:t>Total</w:t>
            </w:r>
          </w:p>
        </w:tc>
        <w:tc>
          <w:tcPr>
            <w:tcW w:w="904" w:type="pct"/>
            <w:tcBorders>
              <w:top w:val="single" w:sz="4" w:space="0" w:color="auto"/>
              <w:left w:val="nil"/>
              <w:bottom w:val="single" w:sz="4" w:space="0" w:color="auto"/>
              <w:right w:val="single" w:sz="4" w:space="0" w:color="auto"/>
            </w:tcBorders>
            <w:shd w:val="clear" w:color="auto" w:fill="auto"/>
            <w:noWrap/>
            <w:vAlign w:val="bottom"/>
            <w:hideMark/>
          </w:tcPr>
          <w:p w14:paraId="1E216A52" w14:textId="77777777" w:rsidR="008674BF" w:rsidRPr="006951FD" w:rsidRDefault="008674BF" w:rsidP="00F12682">
            <w:pPr>
              <w:spacing w:after="0" w:line="240" w:lineRule="auto"/>
              <w:jc w:val="center"/>
              <w:rPr>
                <w:rFonts w:ascii="Calibri" w:eastAsia="Times New Roman" w:hAnsi="Calibri" w:cs="Calibri"/>
                <w:b/>
                <w:color w:val="000000"/>
                <w:lang w:eastAsia="fr-FR"/>
              </w:rPr>
            </w:pPr>
            <w:r w:rsidRPr="006951FD">
              <w:rPr>
                <w:rFonts w:ascii="Calibri" w:eastAsia="Times New Roman" w:hAnsi="Calibri" w:cs="Calibri"/>
                <w:b/>
                <w:color w:val="000000"/>
                <w:lang w:eastAsia="fr-FR"/>
              </w:rPr>
              <w:t>% régional</w:t>
            </w:r>
          </w:p>
        </w:tc>
      </w:tr>
      <w:tr w:rsidR="008674BF" w:rsidRPr="006951FD" w14:paraId="7AB525B2" w14:textId="77777777" w:rsidTr="006951FD">
        <w:tc>
          <w:tcPr>
            <w:tcW w:w="1175" w:type="pct"/>
            <w:tcBorders>
              <w:top w:val="nil"/>
              <w:left w:val="single" w:sz="4" w:space="0" w:color="auto"/>
              <w:bottom w:val="single" w:sz="4" w:space="0" w:color="auto"/>
              <w:right w:val="single" w:sz="4" w:space="0" w:color="auto"/>
            </w:tcBorders>
            <w:shd w:val="clear" w:color="auto" w:fill="auto"/>
            <w:noWrap/>
            <w:vAlign w:val="bottom"/>
            <w:hideMark/>
          </w:tcPr>
          <w:p w14:paraId="16F9EE8B" w14:textId="77777777" w:rsidR="008674BF" w:rsidRPr="006951FD" w:rsidRDefault="008674BF" w:rsidP="00F12682">
            <w:pPr>
              <w:spacing w:after="0" w:line="240" w:lineRule="auto"/>
              <w:rPr>
                <w:rFonts w:ascii="Calibri" w:eastAsia="Times New Roman" w:hAnsi="Calibri" w:cs="Calibri"/>
                <w:color w:val="000000"/>
                <w:lang w:eastAsia="fr-FR"/>
              </w:rPr>
            </w:pPr>
            <w:r w:rsidRPr="006951FD">
              <w:rPr>
                <w:rFonts w:ascii="Calibri" w:eastAsia="Times New Roman" w:hAnsi="Calibri" w:cs="Calibri"/>
                <w:color w:val="000000"/>
                <w:lang w:eastAsia="fr-FR"/>
              </w:rPr>
              <w:t>A</w:t>
            </w:r>
          </w:p>
        </w:tc>
        <w:tc>
          <w:tcPr>
            <w:tcW w:w="904" w:type="pct"/>
            <w:tcBorders>
              <w:top w:val="nil"/>
              <w:left w:val="nil"/>
              <w:bottom w:val="single" w:sz="4" w:space="0" w:color="auto"/>
              <w:right w:val="single" w:sz="4" w:space="0" w:color="auto"/>
            </w:tcBorders>
            <w:shd w:val="clear" w:color="auto" w:fill="auto"/>
            <w:noWrap/>
            <w:vAlign w:val="bottom"/>
            <w:hideMark/>
          </w:tcPr>
          <w:p w14:paraId="0D410EE9"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149</w:t>
            </w:r>
          </w:p>
        </w:tc>
        <w:tc>
          <w:tcPr>
            <w:tcW w:w="1114" w:type="pct"/>
            <w:tcBorders>
              <w:top w:val="nil"/>
              <w:left w:val="nil"/>
              <w:bottom w:val="single" w:sz="4" w:space="0" w:color="auto"/>
              <w:right w:val="single" w:sz="4" w:space="0" w:color="auto"/>
            </w:tcBorders>
            <w:shd w:val="clear" w:color="auto" w:fill="auto"/>
            <w:noWrap/>
            <w:vAlign w:val="bottom"/>
            <w:hideMark/>
          </w:tcPr>
          <w:p w14:paraId="13E5C4E8"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222</w:t>
            </w:r>
          </w:p>
        </w:tc>
        <w:tc>
          <w:tcPr>
            <w:tcW w:w="904" w:type="pct"/>
            <w:tcBorders>
              <w:top w:val="nil"/>
              <w:left w:val="nil"/>
              <w:bottom w:val="single" w:sz="4" w:space="0" w:color="auto"/>
              <w:right w:val="single" w:sz="4" w:space="0" w:color="auto"/>
            </w:tcBorders>
            <w:shd w:val="clear" w:color="auto" w:fill="auto"/>
            <w:noWrap/>
            <w:vAlign w:val="bottom"/>
            <w:hideMark/>
          </w:tcPr>
          <w:p w14:paraId="70BFBDF6"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371</w:t>
            </w:r>
          </w:p>
        </w:tc>
        <w:tc>
          <w:tcPr>
            <w:tcW w:w="904" w:type="pct"/>
            <w:tcBorders>
              <w:top w:val="nil"/>
              <w:left w:val="nil"/>
              <w:bottom w:val="single" w:sz="4" w:space="0" w:color="auto"/>
              <w:right w:val="single" w:sz="4" w:space="0" w:color="auto"/>
            </w:tcBorders>
            <w:shd w:val="clear" w:color="auto" w:fill="auto"/>
            <w:noWrap/>
            <w:vAlign w:val="bottom"/>
            <w:hideMark/>
          </w:tcPr>
          <w:p w14:paraId="06E783BA"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60%</w:t>
            </w:r>
          </w:p>
        </w:tc>
      </w:tr>
      <w:tr w:rsidR="008674BF" w:rsidRPr="006951FD" w14:paraId="5F365A75" w14:textId="77777777" w:rsidTr="006951FD">
        <w:tc>
          <w:tcPr>
            <w:tcW w:w="1175" w:type="pct"/>
            <w:tcBorders>
              <w:top w:val="nil"/>
              <w:left w:val="single" w:sz="4" w:space="0" w:color="auto"/>
              <w:bottom w:val="single" w:sz="4" w:space="0" w:color="auto"/>
              <w:right w:val="single" w:sz="4" w:space="0" w:color="auto"/>
            </w:tcBorders>
            <w:shd w:val="clear" w:color="auto" w:fill="auto"/>
            <w:noWrap/>
            <w:vAlign w:val="bottom"/>
            <w:hideMark/>
          </w:tcPr>
          <w:p w14:paraId="12742789" w14:textId="77777777" w:rsidR="008674BF" w:rsidRPr="006951FD" w:rsidRDefault="008674BF" w:rsidP="00F12682">
            <w:pPr>
              <w:spacing w:after="0" w:line="240" w:lineRule="auto"/>
              <w:rPr>
                <w:rFonts w:ascii="Calibri" w:eastAsia="Times New Roman" w:hAnsi="Calibri" w:cs="Calibri"/>
                <w:color w:val="000000"/>
                <w:lang w:eastAsia="fr-FR"/>
              </w:rPr>
            </w:pPr>
            <w:r w:rsidRPr="006951FD">
              <w:rPr>
                <w:rFonts w:ascii="Calibri" w:eastAsia="Times New Roman" w:hAnsi="Calibri" w:cs="Calibri"/>
                <w:color w:val="000000"/>
                <w:lang w:eastAsia="fr-FR"/>
              </w:rPr>
              <w:t>B</w:t>
            </w:r>
          </w:p>
        </w:tc>
        <w:tc>
          <w:tcPr>
            <w:tcW w:w="904" w:type="pct"/>
            <w:tcBorders>
              <w:top w:val="nil"/>
              <w:left w:val="nil"/>
              <w:bottom w:val="single" w:sz="4" w:space="0" w:color="auto"/>
              <w:right w:val="single" w:sz="4" w:space="0" w:color="auto"/>
            </w:tcBorders>
            <w:shd w:val="clear" w:color="auto" w:fill="auto"/>
            <w:noWrap/>
            <w:vAlign w:val="bottom"/>
            <w:hideMark/>
          </w:tcPr>
          <w:p w14:paraId="0D1D6EA4"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68</w:t>
            </w:r>
          </w:p>
        </w:tc>
        <w:tc>
          <w:tcPr>
            <w:tcW w:w="1114" w:type="pct"/>
            <w:tcBorders>
              <w:top w:val="nil"/>
              <w:left w:val="nil"/>
              <w:bottom w:val="single" w:sz="4" w:space="0" w:color="auto"/>
              <w:right w:val="single" w:sz="4" w:space="0" w:color="auto"/>
            </w:tcBorders>
            <w:shd w:val="clear" w:color="auto" w:fill="auto"/>
            <w:noWrap/>
            <w:vAlign w:val="bottom"/>
            <w:hideMark/>
          </w:tcPr>
          <w:p w14:paraId="3D2A4213"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347</w:t>
            </w:r>
          </w:p>
        </w:tc>
        <w:tc>
          <w:tcPr>
            <w:tcW w:w="904" w:type="pct"/>
            <w:tcBorders>
              <w:top w:val="nil"/>
              <w:left w:val="nil"/>
              <w:bottom w:val="single" w:sz="4" w:space="0" w:color="auto"/>
              <w:right w:val="single" w:sz="4" w:space="0" w:color="auto"/>
            </w:tcBorders>
            <w:shd w:val="clear" w:color="auto" w:fill="auto"/>
            <w:noWrap/>
            <w:vAlign w:val="bottom"/>
            <w:hideMark/>
          </w:tcPr>
          <w:p w14:paraId="1935AB18"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415</w:t>
            </w:r>
          </w:p>
        </w:tc>
        <w:tc>
          <w:tcPr>
            <w:tcW w:w="904" w:type="pct"/>
            <w:tcBorders>
              <w:top w:val="nil"/>
              <w:left w:val="nil"/>
              <w:bottom w:val="single" w:sz="4" w:space="0" w:color="auto"/>
              <w:right w:val="single" w:sz="4" w:space="0" w:color="auto"/>
            </w:tcBorders>
            <w:shd w:val="clear" w:color="auto" w:fill="auto"/>
            <w:noWrap/>
            <w:vAlign w:val="bottom"/>
            <w:hideMark/>
          </w:tcPr>
          <w:p w14:paraId="3AF1898B"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84%</w:t>
            </w:r>
          </w:p>
        </w:tc>
      </w:tr>
      <w:tr w:rsidR="008674BF" w:rsidRPr="006951FD" w14:paraId="0E1114A7" w14:textId="77777777" w:rsidTr="006951FD">
        <w:tc>
          <w:tcPr>
            <w:tcW w:w="1175" w:type="pct"/>
            <w:tcBorders>
              <w:top w:val="nil"/>
              <w:left w:val="single" w:sz="4" w:space="0" w:color="auto"/>
              <w:bottom w:val="single" w:sz="4" w:space="0" w:color="auto"/>
              <w:right w:val="single" w:sz="4" w:space="0" w:color="auto"/>
            </w:tcBorders>
            <w:shd w:val="clear" w:color="auto" w:fill="auto"/>
            <w:noWrap/>
            <w:vAlign w:val="bottom"/>
            <w:hideMark/>
          </w:tcPr>
          <w:p w14:paraId="433926DA" w14:textId="77777777" w:rsidR="008674BF" w:rsidRPr="006951FD" w:rsidRDefault="008674BF" w:rsidP="00F12682">
            <w:pPr>
              <w:spacing w:after="0" w:line="240" w:lineRule="auto"/>
              <w:rPr>
                <w:rFonts w:ascii="Calibri" w:eastAsia="Times New Roman" w:hAnsi="Calibri" w:cs="Calibri"/>
                <w:color w:val="000000"/>
                <w:lang w:eastAsia="fr-FR"/>
              </w:rPr>
            </w:pPr>
            <w:r w:rsidRPr="006951FD">
              <w:rPr>
                <w:rFonts w:ascii="Calibri" w:eastAsia="Times New Roman" w:hAnsi="Calibri" w:cs="Calibri"/>
                <w:color w:val="000000"/>
                <w:lang w:eastAsia="fr-FR"/>
              </w:rPr>
              <w:t>C</w:t>
            </w:r>
          </w:p>
        </w:tc>
        <w:tc>
          <w:tcPr>
            <w:tcW w:w="904" w:type="pct"/>
            <w:tcBorders>
              <w:top w:val="nil"/>
              <w:left w:val="nil"/>
              <w:bottom w:val="single" w:sz="4" w:space="0" w:color="auto"/>
              <w:right w:val="single" w:sz="4" w:space="0" w:color="auto"/>
            </w:tcBorders>
            <w:shd w:val="clear" w:color="auto" w:fill="auto"/>
            <w:noWrap/>
            <w:vAlign w:val="bottom"/>
            <w:hideMark/>
          </w:tcPr>
          <w:p w14:paraId="029445B4"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58</w:t>
            </w:r>
          </w:p>
        </w:tc>
        <w:tc>
          <w:tcPr>
            <w:tcW w:w="1114" w:type="pct"/>
            <w:tcBorders>
              <w:top w:val="nil"/>
              <w:left w:val="nil"/>
              <w:bottom w:val="single" w:sz="4" w:space="0" w:color="auto"/>
              <w:right w:val="single" w:sz="4" w:space="0" w:color="auto"/>
            </w:tcBorders>
            <w:shd w:val="clear" w:color="auto" w:fill="auto"/>
            <w:noWrap/>
            <w:vAlign w:val="bottom"/>
            <w:hideMark/>
          </w:tcPr>
          <w:p w14:paraId="0D42A8F7"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141</w:t>
            </w:r>
          </w:p>
        </w:tc>
        <w:tc>
          <w:tcPr>
            <w:tcW w:w="904" w:type="pct"/>
            <w:tcBorders>
              <w:top w:val="nil"/>
              <w:left w:val="nil"/>
              <w:bottom w:val="single" w:sz="4" w:space="0" w:color="auto"/>
              <w:right w:val="single" w:sz="4" w:space="0" w:color="auto"/>
            </w:tcBorders>
            <w:shd w:val="clear" w:color="auto" w:fill="auto"/>
            <w:noWrap/>
            <w:vAlign w:val="bottom"/>
            <w:hideMark/>
          </w:tcPr>
          <w:p w14:paraId="5158C367"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199</w:t>
            </w:r>
          </w:p>
        </w:tc>
        <w:tc>
          <w:tcPr>
            <w:tcW w:w="904" w:type="pct"/>
            <w:tcBorders>
              <w:top w:val="nil"/>
              <w:left w:val="nil"/>
              <w:bottom w:val="single" w:sz="4" w:space="0" w:color="auto"/>
              <w:right w:val="single" w:sz="4" w:space="0" w:color="auto"/>
            </w:tcBorders>
            <w:shd w:val="clear" w:color="auto" w:fill="auto"/>
            <w:noWrap/>
            <w:vAlign w:val="bottom"/>
            <w:hideMark/>
          </w:tcPr>
          <w:p w14:paraId="554D35AD"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71%</w:t>
            </w:r>
          </w:p>
        </w:tc>
      </w:tr>
      <w:tr w:rsidR="008674BF" w:rsidRPr="006951FD" w14:paraId="4D31A327" w14:textId="77777777" w:rsidTr="006951FD">
        <w:tc>
          <w:tcPr>
            <w:tcW w:w="1175" w:type="pct"/>
            <w:tcBorders>
              <w:top w:val="nil"/>
              <w:left w:val="single" w:sz="4" w:space="0" w:color="auto"/>
              <w:bottom w:val="single" w:sz="4" w:space="0" w:color="auto"/>
              <w:right w:val="single" w:sz="4" w:space="0" w:color="auto"/>
            </w:tcBorders>
            <w:shd w:val="clear" w:color="auto" w:fill="auto"/>
            <w:noWrap/>
            <w:vAlign w:val="bottom"/>
            <w:hideMark/>
          </w:tcPr>
          <w:p w14:paraId="4052063C" w14:textId="77777777" w:rsidR="008674BF" w:rsidRPr="006951FD" w:rsidRDefault="008674BF" w:rsidP="00F12682">
            <w:pPr>
              <w:spacing w:after="0" w:line="240" w:lineRule="auto"/>
              <w:rPr>
                <w:rFonts w:ascii="Calibri" w:eastAsia="Times New Roman" w:hAnsi="Calibri" w:cs="Calibri"/>
                <w:color w:val="000000"/>
                <w:lang w:eastAsia="fr-FR"/>
              </w:rPr>
            </w:pPr>
            <w:r w:rsidRPr="006951FD">
              <w:rPr>
                <w:rFonts w:ascii="Calibri" w:eastAsia="Times New Roman" w:hAnsi="Calibri" w:cs="Calibri"/>
                <w:color w:val="000000"/>
                <w:lang w:eastAsia="fr-FR"/>
              </w:rPr>
              <w:t>D</w:t>
            </w:r>
          </w:p>
        </w:tc>
        <w:tc>
          <w:tcPr>
            <w:tcW w:w="904" w:type="pct"/>
            <w:tcBorders>
              <w:top w:val="nil"/>
              <w:left w:val="nil"/>
              <w:bottom w:val="single" w:sz="4" w:space="0" w:color="auto"/>
              <w:right w:val="single" w:sz="4" w:space="0" w:color="auto"/>
            </w:tcBorders>
            <w:shd w:val="clear" w:color="auto" w:fill="auto"/>
            <w:noWrap/>
            <w:vAlign w:val="bottom"/>
            <w:hideMark/>
          </w:tcPr>
          <w:p w14:paraId="25C61526"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3</w:t>
            </w:r>
          </w:p>
        </w:tc>
        <w:tc>
          <w:tcPr>
            <w:tcW w:w="1114" w:type="pct"/>
            <w:tcBorders>
              <w:top w:val="nil"/>
              <w:left w:val="nil"/>
              <w:bottom w:val="single" w:sz="4" w:space="0" w:color="auto"/>
              <w:right w:val="single" w:sz="4" w:space="0" w:color="auto"/>
            </w:tcBorders>
            <w:shd w:val="clear" w:color="auto" w:fill="auto"/>
            <w:noWrap/>
            <w:vAlign w:val="bottom"/>
            <w:hideMark/>
          </w:tcPr>
          <w:p w14:paraId="3B26151E"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15</w:t>
            </w:r>
          </w:p>
        </w:tc>
        <w:tc>
          <w:tcPr>
            <w:tcW w:w="904" w:type="pct"/>
            <w:tcBorders>
              <w:top w:val="nil"/>
              <w:left w:val="nil"/>
              <w:bottom w:val="single" w:sz="4" w:space="0" w:color="auto"/>
              <w:right w:val="single" w:sz="4" w:space="0" w:color="auto"/>
            </w:tcBorders>
            <w:shd w:val="clear" w:color="auto" w:fill="auto"/>
            <w:noWrap/>
            <w:vAlign w:val="bottom"/>
            <w:hideMark/>
          </w:tcPr>
          <w:p w14:paraId="3F04F039"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18</w:t>
            </w:r>
          </w:p>
        </w:tc>
        <w:tc>
          <w:tcPr>
            <w:tcW w:w="904" w:type="pct"/>
            <w:tcBorders>
              <w:top w:val="nil"/>
              <w:left w:val="nil"/>
              <w:bottom w:val="single" w:sz="4" w:space="0" w:color="auto"/>
              <w:right w:val="single" w:sz="4" w:space="0" w:color="auto"/>
            </w:tcBorders>
            <w:shd w:val="clear" w:color="auto" w:fill="auto"/>
            <w:noWrap/>
            <w:vAlign w:val="bottom"/>
            <w:hideMark/>
          </w:tcPr>
          <w:p w14:paraId="3B8089C2"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83%</w:t>
            </w:r>
          </w:p>
        </w:tc>
      </w:tr>
      <w:tr w:rsidR="008674BF" w:rsidRPr="006951FD" w14:paraId="62824BF6" w14:textId="77777777" w:rsidTr="006951FD">
        <w:tc>
          <w:tcPr>
            <w:tcW w:w="1175" w:type="pct"/>
            <w:tcBorders>
              <w:top w:val="nil"/>
              <w:left w:val="single" w:sz="4" w:space="0" w:color="auto"/>
              <w:bottom w:val="single" w:sz="4" w:space="0" w:color="auto"/>
              <w:right w:val="single" w:sz="4" w:space="0" w:color="auto"/>
            </w:tcBorders>
            <w:shd w:val="clear" w:color="auto" w:fill="auto"/>
            <w:noWrap/>
            <w:vAlign w:val="bottom"/>
            <w:hideMark/>
          </w:tcPr>
          <w:p w14:paraId="044CFA8B" w14:textId="77777777" w:rsidR="008674BF" w:rsidRPr="006951FD" w:rsidRDefault="008674BF" w:rsidP="00F12682">
            <w:pPr>
              <w:spacing w:after="0" w:line="240" w:lineRule="auto"/>
              <w:rPr>
                <w:rFonts w:ascii="Calibri" w:eastAsia="Times New Roman" w:hAnsi="Calibri" w:cs="Calibri"/>
                <w:color w:val="000000"/>
                <w:lang w:eastAsia="fr-FR"/>
              </w:rPr>
            </w:pPr>
            <w:r w:rsidRPr="006951FD">
              <w:rPr>
                <w:rFonts w:ascii="Calibri" w:eastAsia="Times New Roman" w:hAnsi="Calibri" w:cs="Calibri"/>
                <w:color w:val="000000"/>
                <w:lang w:eastAsia="fr-FR"/>
              </w:rPr>
              <w:t>Contractuel</w:t>
            </w:r>
          </w:p>
        </w:tc>
        <w:tc>
          <w:tcPr>
            <w:tcW w:w="904" w:type="pct"/>
            <w:tcBorders>
              <w:top w:val="nil"/>
              <w:left w:val="nil"/>
              <w:bottom w:val="single" w:sz="4" w:space="0" w:color="auto"/>
              <w:right w:val="single" w:sz="4" w:space="0" w:color="auto"/>
            </w:tcBorders>
            <w:shd w:val="clear" w:color="auto" w:fill="auto"/>
            <w:noWrap/>
            <w:vAlign w:val="bottom"/>
            <w:hideMark/>
          </w:tcPr>
          <w:p w14:paraId="18346524"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6</w:t>
            </w:r>
          </w:p>
        </w:tc>
        <w:tc>
          <w:tcPr>
            <w:tcW w:w="1114" w:type="pct"/>
            <w:tcBorders>
              <w:top w:val="nil"/>
              <w:left w:val="nil"/>
              <w:bottom w:val="single" w:sz="4" w:space="0" w:color="auto"/>
              <w:right w:val="single" w:sz="4" w:space="0" w:color="auto"/>
            </w:tcBorders>
            <w:shd w:val="clear" w:color="auto" w:fill="auto"/>
            <w:noWrap/>
            <w:vAlign w:val="bottom"/>
            <w:hideMark/>
          </w:tcPr>
          <w:p w14:paraId="2D18C3DC"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6</w:t>
            </w:r>
          </w:p>
        </w:tc>
        <w:tc>
          <w:tcPr>
            <w:tcW w:w="904" w:type="pct"/>
            <w:tcBorders>
              <w:top w:val="nil"/>
              <w:left w:val="nil"/>
              <w:bottom w:val="single" w:sz="4" w:space="0" w:color="auto"/>
              <w:right w:val="single" w:sz="4" w:space="0" w:color="auto"/>
            </w:tcBorders>
            <w:shd w:val="clear" w:color="auto" w:fill="auto"/>
            <w:noWrap/>
            <w:vAlign w:val="bottom"/>
            <w:hideMark/>
          </w:tcPr>
          <w:p w14:paraId="2A1EA817"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12</w:t>
            </w:r>
          </w:p>
        </w:tc>
        <w:tc>
          <w:tcPr>
            <w:tcW w:w="904" w:type="pct"/>
            <w:tcBorders>
              <w:top w:val="nil"/>
              <w:left w:val="nil"/>
              <w:bottom w:val="single" w:sz="4" w:space="0" w:color="auto"/>
              <w:right w:val="single" w:sz="4" w:space="0" w:color="auto"/>
            </w:tcBorders>
            <w:shd w:val="clear" w:color="auto" w:fill="auto"/>
            <w:noWrap/>
            <w:vAlign w:val="bottom"/>
            <w:hideMark/>
          </w:tcPr>
          <w:p w14:paraId="752333AC"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50%</w:t>
            </w:r>
          </w:p>
        </w:tc>
      </w:tr>
      <w:tr w:rsidR="008674BF" w:rsidRPr="006951FD" w14:paraId="373E5AF5" w14:textId="77777777" w:rsidTr="006951FD">
        <w:tc>
          <w:tcPr>
            <w:tcW w:w="1175" w:type="pct"/>
            <w:tcBorders>
              <w:top w:val="nil"/>
              <w:left w:val="single" w:sz="4" w:space="0" w:color="auto"/>
              <w:bottom w:val="single" w:sz="4" w:space="0" w:color="auto"/>
              <w:right w:val="single" w:sz="4" w:space="0" w:color="auto"/>
            </w:tcBorders>
            <w:shd w:val="clear" w:color="auto" w:fill="auto"/>
            <w:noWrap/>
            <w:vAlign w:val="bottom"/>
            <w:hideMark/>
          </w:tcPr>
          <w:p w14:paraId="3BA90D96" w14:textId="77777777" w:rsidR="008674BF" w:rsidRPr="006951FD" w:rsidRDefault="008674BF" w:rsidP="00F12682">
            <w:pPr>
              <w:spacing w:after="0" w:line="240" w:lineRule="auto"/>
              <w:rPr>
                <w:rFonts w:ascii="Calibri" w:eastAsia="Times New Roman" w:hAnsi="Calibri" w:cs="Calibri"/>
                <w:color w:val="000000"/>
                <w:lang w:eastAsia="fr-FR"/>
              </w:rPr>
            </w:pPr>
            <w:r w:rsidRPr="006951FD">
              <w:rPr>
                <w:rFonts w:ascii="Calibri" w:eastAsia="Times New Roman" w:hAnsi="Calibri" w:cs="Calibri"/>
                <w:color w:val="000000"/>
                <w:lang w:eastAsia="fr-FR"/>
              </w:rPr>
              <w:t>Total Cadres</w:t>
            </w:r>
          </w:p>
        </w:tc>
        <w:tc>
          <w:tcPr>
            <w:tcW w:w="904" w:type="pct"/>
            <w:tcBorders>
              <w:top w:val="nil"/>
              <w:left w:val="nil"/>
              <w:bottom w:val="single" w:sz="4" w:space="0" w:color="auto"/>
              <w:right w:val="single" w:sz="4" w:space="0" w:color="auto"/>
            </w:tcBorders>
            <w:shd w:val="clear" w:color="auto" w:fill="auto"/>
            <w:noWrap/>
            <w:vAlign w:val="bottom"/>
            <w:hideMark/>
          </w:tcPr>
          <w:p w14:paraId="5F7AF893"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284</w:t>
            </w:r>
          </w:p>
        </w:tc>
        <w:tc>
          <w:tcPr>
            <w:tcW w:w="1114" w:type="pct"/>
            <w:tcBorders>
              <w:top w:val="nil"/>
              <w:left w:val="nil"/>
              <w:bottom w:val="single" w:sz="4" w:space="0" w:color="auto"/>
              <w:right w:val="single" w:sz="4" w:space="0" w:color="auto"/>
            </w:tcBorders>
            <w:shd w:val="clear" w:color="auto" w:fill="auto"/>
            <w:noWrap/>
            <w:vAlign w:val="bottom"/>
            <w:hideMark/>
          </w:tcPr>
          <w:p w14:paraId="0B9F0B61"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731</w:t>
            </w:r>
          </w:p>
        </w:tc>
        <w:tc>
          <w:tcPr>
            <w:tcW w:w="904" w:type="pct"/>
            <w:tcBorders>
              <w:top w:val="nil"/>
              <w:left w:val="nil"/>
              <w:bottom w:val="single" w:sz="4" w:space="0" w:color="auto"/>
              <w:right w:val="single" w:sz="4" w:space="0" w:color="auto"/>
            </w:tcBorders>
            <w:shd w:val="clear" w:color="auto" w:fill="auto"/>
            <w:noWrap/>
            <w:vAlign w:val="bottom"/>
            <w:hideMark/>
          </w:tcPr>
          <w:p w14:paraId="6F8431E5" w14:textId="38B6EB82"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1</w:t>
            </w:r>
            <w:r w:rsidR="003D1348">
              <w:rPr>
                <w:rFonts w:ascii="Calibri" w:eastAsia="Times New Roman" w:hAnsi="Calibri" w:cs="Calibri"/>
                <w:color w:val="000000"/>
                <w:lang w:eastAsia="fr-FR"/>
              </w:rPr>
              <w:t xml:space="preserve"> </w:t>
            </w:r>
            <w:r w:rsidRPr="006951FD">
              <w:rPr>
                <w:rFonts w:ascii="Calibri" w:eastAsia="Times New Roman" w:hAnsi="Calibri" w:cs="Calibri"/>
                <w:color w:val="000000"/>
                <w:lang w:eastAsia="fr-FR"/>
              </w:rPr>
              <w:t>015</w:t>
            </w:r>
          </w:p>
        </w:tc>
        <w:tc>
          <w:tcPr>
            <w:tcW w:w="904" w:type="pct"/>
            <w:tcBorders>
              <w:top w:val="nil"/>
              <w:left w:val="nil"/>
              <w:bottom w:val="single" w:sz="4" w:space="0" w:color="auto"/>
              <w:right w:val="single" w:sz="4" w:space="0" w:color="auto"/>
            </w:tcBorders>
            <w:shd w:val="clear" w:color="auto" w:fill="auto"/>
            <w:noWrap/>
            <w:vAlign w:val="bottom"/>
            <w:hideMark/>
          </w:tcPr>
          <w:p w14:paraId="3D7B1E18"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72%</w:t>
            </w:r>
          </w:p>
        </w:tc>
      </w:tr>
      <w:tr w:rsidR="008674BF" w:rsidRPr="006951FD" w14:paraId="150D335C" w14:textId="77777777" w:rsidTr="006951FD">
        <w:tc>
          <w:tcPr>
            <w:tcW w:w="1175" w:type="pct"/>
            <w:tcBorders>
              <w:top w:val="nil"/>
              <w:left w:val="single" w:sz="4" w:space="0" w:color="auto"/>
              <w:bottom w:val="single" w:sz="4" w:space="0" w:color="auto"/>
              <w:right w:val="single" w:sz="4" w:space="0" w:color="auto"/>
            </w:tcBorders>
            <w:shd w:val="clear" w:color="auto" w:fill="auto"/>
            <w:noWrap/>
            <w:vAlign w:val="bottom"/>
            <w:hideMark/>
          </w:tcPr>
          <w:p w14:paraId="6E34337B" w14:textId="387A6390" w:rsidR="008674BF" w:rsidRPr="006951FD" w:rsidRDefault="009B748D" w:rsidP="00F12682">
            <w:pPr>
              <w:spacing w:after="0" w:line="240" w:lineRule="auto"/>
              <w:rPr>
                <w:rFonts w:ascii="Calibri" w:eastAsia="Times New Roman" w:hAnsi="Calibri" w:cs="Calibri"/>
                <w:color w:val="000000"/>
                <w:lang w:eastAsia="fr-FR"/>
              </w:rPr>
            </w:pPr>
            <w:r w:rsidRPr="006951FD">
              <w:rPr>
                <w:rFonts w:ascii="Calibri" w:eastAsia="Times New Roman" w:hAnsi="Calibri" w:cs="Calibri"/>
                <w:color w:val="000000"/>
                <w:lang w:eastAsia="fr-FR"/>
              </w:rPr>
              <w:t>Auxiliaire</w:t>
            </w:r>
          </w:p>
        </w:tc>
        <w:tc>
          <w:tcPr>
            <w:tcW w:w="904" w:type="pct"/>
            <w:tcBorders>
              <w:top w:val="nil"/>
              <w:left w:val="nil"/>
              <w:bottom w:val="single" w:sz="4" w:space="0" w:color="auto"/>
              <w:right w:val="single" w:sz="4" w:space="0" w:color="auto"/>
            </w:tcBorders>
            <w:shd w:val="clear" w:color="auto" w:fill="auto"/>
            <w:noWrap/>
            <w:vAlign w:val="bottom"/>
            <w:hideMark/>
          </w:tcPr>
          <w:p w14:paraId="63A7E4A7"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127</w:t>
            </w:r>
          </w:p>
        </w:tc>
        <w:tc>
          <w:tcPr>
            <w:tcW w:w="1114" w:type="pct"/>
            <w:tcBorders>
              <w:top w:val="nil"/>
              <w:left w:val="nil"/>
              <w:bottom w:val="single" w:sz="4" w:space="0" w:color="auto"/>
              <w:right w:val="single" w:sz="4" w:space="0" w:color="auto"/>
            </w:tcBorders>
            <w:shd w:val="clear" w:color="auto" w:fill="auto"/>
            <w:noWrap/>
            <w:vAlign w:val="bottom"/>
            <w:hideMark/>
          </w:tcPr>
          <w:p w14:paraId="3AFBB4F5"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256</w:t>
            </w:r>
          </w:p>
        </w:tc>
        <w:tc>
          <w:tcPr>
            <w:tcW w:w="904" w:type="pct"/>
            <w:tcBorders>
              <w:top w:val="nil"/>
              <w:left w:val="nil"/>
              <w:bottom w:val="single" w:sz="4" w:space="0" w:color="auto"/>
              <w:right w:val="single" w:sz="4" w:space="0" w:color="auto"/>
            </w:tcBorders>
            <w:shd w:val="clear" w:color="auto" w:fill="auto"/>
            <w:noWrap/>
            <w:vAlign w:val="bottom"/>
            <w:hideMark/>
          </w:tcPr>
          <w:p w14:paraId="6559F01F"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383</w:t>
            </w:r>
          </w:p>
        </w:tc>
        <w:tc>
          <w:tcPr>
            <w:tcW w:w="904" w:type="pct"/>
            <w:tcBorders>
              <w:top w:val="nil"/>
              <w:left w:val="nil"/>
              <w:bottom w:val="single" w:sz="4" w:space="0" w:color="auto"/>
              <w:right w:val="single" w:sz="4" w:space="0" w:color="auto"/>
            </w:tcBorders>
            <w:shd w:val="clear" w:color="auto" w:fill="auto"/>
            <w:noWrap/>
            <w:vAlign w:val="bottom"/>
            <w:hideMark/>
          </w:tcPr>
          <w:p w14:paraId="465DBC4A" w14:textId="77777777" w:rsidR="008674BF" w:rsidRPr="006951FD" w:rsidRDefault="008674BF" w:rsidP="00F12682">
            <w:pPr>
              <w:spacing w:after="0" w:line="240" w:lineRule="auto"/>
              <w:jc w:val="center"/>
              <w:rPr>
                <w:rFonts w:ascii="Calibri" w:eastAsia="Times New Roman" w:hAnsi="Calibri" w:cs="Calibri"/>
                <w:color w:val="000000"/>
                <w:lang w:eastAsia="fr-FR"/>
              </w:rPr>
            </w:pPr>
            <w:r w:rsidRPr="006951FD">
              <w:rPr>
                <w:rFonts w:ascii="Calibri" w:eastAsia="Times New Roman" w:hAnsi="Calibri" w:cs="Calibri"/>
                <w:color w:val="000000"/>
                <w:lang w:eastAsia="fr-FR"/>
              </w:rPr>
              <w:t>67%</w:t>
            </w:r>
          </w:p>
        </w:tc>
      </w:tr>
      <w:tr w:rsidR="008674BF" w:rsidRPr="006951FD" w14:paraId="5A6F7301" w14:textId="77777777" w:rsidTr="006951FD">
        <w:tc>
          <w:tcPr>
            <w:tcW w:w="1175" w:type="pct"/>
            <w:tcBorders>
              <w:top w:val="nil"/>
              <w:left w:val="single" w:sz="4" w:space="0" w:color="auto"/>
              <w:bottom w:val="single" w:sz="4" w:space="0" w:color="auto"/>
              <w:right w:val="single" w:sz="4" w:space="0" w:color="auto"/>
            </w:tcBorders>
            <w:shd w:val="clear" w:color="auto" w:fill="auto"/>
            <w:noWrap/>
            <w:vAlign w:val="bottom"/>
            <w:hideMark/>
          </w:tcPr>
          <w:p w14:paraId="3678070C" w14:textId="77777777" w:rsidR="008674BF" w:rsidRPr="006951FD" w:rsidRDefault="008674BF" w:rsidP="00F12682">
            <w:pPr>
              <w:spacing w:after="0" w:line="240" w:lineRule="auto"/>
              <w:rPr>
                <w:rFonts w:ascii="Calibri" w:eastAsia="Times New Roman" w:hAnsi="Calibri" w:cs="Calibri"/>
                <w:b/>
                <w:color w:val="000000"/>
                <w:lang w:eastAsia="fr-FR"/>
              </w:rPr>
            </w:pPr>
            <w:r w:rsidRPr="006951FD">
              <w:rPr>
                <w:rFonts w:ascii="Calibri" w:eastAsia="Times New Roman" w:hAnsi="Calibri" w:cs="Calibri"/>
                <w:b/>
                <w:color w:val="000000"/>
                <w:lang w:eastAsia="fr-FR"/>
              </w:rPr>
              <w:t>Total personnel</w:t>
            </w:r>
          </w:p>
        </w:tc>
        <w:tc>
          <w:tcPr>
            <w:tcW w:w="904" w:type="pct"/>
            <w:tcBorders>
              <w:top w:val="nil"/>
              <w:left w:val="nil"/>
              <w:bottom w:val="single" w:sz="4" w:space="0" w:color="auto"/>
              <w:right w:val="single" w:sz="4" w:space="0" w:color="auto"/>
            </w:tcBorders>
            <w:shd w:val="clear" w:color="auto" w:fill="auto"/>
            <w:noWrap/>
            <w:vAlign w:val="bottom"/>
            <w:hideMark/>
          </w:tcPr>
          <w:p w14:paraId="35B31ACC" w14:textId="77777777" w:rsidR="008674BF" w:rsidRPr="006951FD" w:rsidRDefault="008674BF" w:rsidP="00F12682">
            <w:pPr>
              <w:spacing w:after="0" w:line="240" w:lineRule="auto"/>
              <w:jc w:val="center"/>
              <w:rPr>
                <w:rFonts w:ascii="Calibri" w:eastAsia="Times New Roman" w:hAnsi="Calibri" w:cs="Calibri"/>
                <w:b/>
                <w:color w:val="000000"/>
                <w:lang w:eastAsia="fr-FR"/>
              </w:rPr>
            </w:pPr>
            <w:r w:rsidRPr="006951FD">
              <w:rPr>
                <w:rFonts w:ascii="Calibri" w:eastAsia="Times New Roman" w:hAnsi="Calibri" w:cs="Calibri"/>
                <w:b/>
                <w:color w:val="000000"/>
                <w:lang w:eastAsia="fr-FR"/>
              </w:rPr>
              <w:t>411</w:t>
            </w:r>
          </w:p>
        </w:tc>
        <w:tc>
          <w:tcPr>
            <w:tcW w:w="1114" w:type="pct"/>
            <w:tcBorders>
              <w:top w:val="nil"/>
              <w:left w:val="nil"/>
              <w:bottom w:val="single" w:sz="4" w:space="0" w:color="auto"/>
              <w:right w:val="single" w:sz="4" w:space="0" w:color="auto"/>
            </w:tcBorders>
            <w:shd w:val="clear" w:color="auto" w:fill="auto"/>
            <w:noWrap/>
            <w:vAlign w:val="bottom"/>
            <w:hideMark/>
          </w:tcPr>
          <w:p w14:paraId="3317C9DE" w14:textId="77777777" w:rsidR="008674BF" w:rsidRPr="006951FD" w:rsidRDefault="008674BF" w:rsidP="00F12682">
            <w:pPr>
              <w:spacing w:after="0" w:line="240" w:lineRule="auto"/>
              <w:jc w:val="center"/>
              <w:rPr>
                <w:rFonts w:ascii="Calibri" w:eastAsia="Times New Roman" w:hAnsi="Calibri" w:cs="Calibri"/>
                <w:b/>
                <w:color w:val="000000"/>
                <w:lang w:eastAsia="fr-FR"/>
              </w:rPr>
            </w:pPr>
            <w:r w:rsidRPr="006951FD">
              <w:rPr>
                <w:rFonts w:ascii="Calibri" w:eastAsia="Times New Roman" w:hAnsi="Calibri" w:cs="Calibri"/>
                <w:b/>
                <w:color w:val="000000"/>
                <w:lang w:eastAsia="fr-FR"/>
              </w:rPr>
              <w:t>987</w:t>
            </w:r>
          </w:p>
        </w:tc>
        <w:tc>
          <w:tcPr>
            <w:tcW w:w="904" w:type="pct"/>
            <w:tcBorders>
              <w:top w:val="nil"/>
              <w:left w:val="nil"/>
              <w:bottom w:val="single" w:sz="4" w:space="0" w:color="auto"/>
              <w:right w:val="single" w:sz="4" w:space="0" w:color="auto"/>
            </w:tcBorders>
            <w:shd w:val="clear" w:color="auto" w:fill="auto"/>
            <w:noWrap/>
            <w:vAlign w:val="bottom"/>
            <w:hideMark/>
          </w:tcPr>
          <w:p w14:paraId="32A8279C" w14:textId="5C759B43" w:rsidR="008674BF" w:rsidRPr="006951FD" w:rsidRDefault="008674BF" w:rsidP="00F12682">
            <w:pPr>
              <w:spacing w:after="0" w:line="240" w:lineRule="auto"/>
              <w:jc w:val="center"/>
              <w:rPr>
                <w:rFonts w:ascii="Calibri" w:eastAsia="Times New Roman" w:hAnsi="Calibri" w:cs="Calibri"/>
                <w:b/>
                <w:color w:val="000000"/>
                <w:lang w:eastAsia="fr-FR"/>
              </w:rPr>
            </w:pPr>
            <w:r w:rsidRPr="006951FD">
              <w:rPr>
                <w:rFonts w:ascii="Calibri" w:eastAsia="Times New Roman" w:hAnsi="Calibri" w:cs="Calibri"/>
                <w:b/>
                <w:color w:val="000000"/>
                <w:lang w:eastAsia="fr-FR"/>
              </w:rPr>
              <w:t>1</w:t>
            </w:r>
            <w:r w:rsidR="003D1348">
              <w:rPr>
                <w:rFonts w:ascii="Calibri" w:eastAsia="Times New Roman" w:hAnsi="Calibri" w:cs="Calibri"/>
                <w:b/>
                <w:color w:val="000000"/>
                <w:lang w:eastAsia="fr-FR"/>
              </w:rPr>
              <w:t xml:space="preserve"> </w:t>
            </w:r>
            <w:r w:rsidRPr="006951FD">
              <w:rPr>
                <w:rFonts w:ascii="Calibri" w:eastAsia="Times New Roman" w:hAnsi="Calibri" w:cs="Calibri"/>
                <w:b/>
                <w:color w:val="000000"/>
                <w:lang w:eastAsia="fr-FR"/>
              </w:rPr>
              <w:t>398</w:t>
            </w:r>
          </w:p>
        </w:tc>
        <w:tc>
          <w:tcPr>
            <w:tcW w:w="904" w:type="pct"/>
            <w:tcBorders>
              <w:top w:val="nil"/>
              <w:left w:val="nil"/>
              <w:bottom w:val="single" w:sz="4" w:space="0" w:color="auto"/>
              <w:right w:val="single" w:sz="4" w:space="0" w:color="auto"/>
            </w:tcBorders>
            <w:shd w:val="clear" w:color="auto" w:fill="auto"/>
            <w:noWrap/>
            <w:vAlign w:val="bottom"/>
            <w:hideMark/>
          </w:tcPr>
          <w:p w14:paraId="78045CF7" w14:textId="77777777" w:rsidR="008674BF" w:rsidRPr="006951FD" w:rsidRDefault="008674BF" w:rsidP="00F12682">
            <w:pPr>
              <w:spacing w:after="0" w:line="240" w:lineRule="auto"/>
              <w:jc w:val="center"/>
              <w:rPr>
                <w:rFonts w:ascii="Calibri" w:eastAsia="Times New Roman" w:hAnsi="Calibri" w:cs="Calibri"/>
                <w:b/>
                <w:color w:val="000000"/>
                <w:lang w:eastAsia="fr-FR"/>
              </w:rPr>
            </w:pPr>
            <w:r w:rsidRPr="006951FD">
              <w:rPr>
                <w:rFonts w:ascii="Calibri" w:eastAsia="Times New Roman" w:hAnsi="Calibri" w:cs="Calibri"/>
                <w:b/>
                <w:color w:val="000000"/>
                <w:lang w:eastAsia="fr-FR"/>
              </w:rPr>
              <w:t>71%</w:t>
            </w:r>
          </w:p>
        </w:tc>
      </w:tr>
    </w:tbl>
    <w:p w14:paraId="539CD8C0" w14:textId="1B3DEFDB" w:rsidR="00223855" w:rsidRPr="00907EC7" w:rsidRDefault="00907EC7" w:rsidP="00F12682">
      <w:pPr>
        <w:spacing w:after="0" w:line="240" w:lineRule="auto"/>
        <w:jc w:val="both"/>
        <w:rPr>
          <w:rFonts w:cstheme="minorHAnsi"/>
          <w:sz w:val="20"/>
          <w:szCs w:val="20"/>
        </w:rPr>
      </w:pPr>
      <w:r w:rsidRPr="00907EC7">
        <w:rPr>
          <w:rFonts w:cstheme="minorHAnsi"/>
          <w:sz w:val="20"/>
          <w:szCs w:val="20"/>
          <w:u w:val="single"/>
        </w:rPr>
        <w:t>Source</w:t>
      </w:r>
      <w:r w:rsidRPr="00907EC7">
        <w:rPr>
          <w:rFonts w:cstheme="minorHAnsi"/>
          <w:sz w:val="20"/>
          <w:szCs w:val="20"/>
        </w:rPr>
        <w:t> : DRH/M</w:t>
      </w:r>
      <w:r w:rsidR="00132BA9">
        <w:rPr>
          <w:rFonts w:cstheme="minorHAnsi"/>
          <w:sz w:val="20"/>
          <w:szCs w:val="20"/>
        </w:rPr>
        <w:t>AG</w:t>
      </w:r>
      <w:r w:rsidRPr="00907EC7">
        <w:rPr>
          <w:rFonts w:cstheme="minorHAnsi"/>
          <w:sz w:val="20"/>
          <w:szCs w:val="20"/>
        </w:rPr>
        <w:t>, 2016</w:t>
      </w:r>
    </w:p>
    <w:p w14:paraId="1B4F6682" w14:textId="77777777" w:rsidR="00797C5C" w:rsidRDefault="00797C5C" w:rsidP="00F12682">
      <w:pPr>
        <w:spacing w:after="120" w:line="276" w:lineRule="auto"/>
        <w:jc w:val="both"/>
        <w:rPr>
          <w:rFonts w:cstheme="minorHAnsi"/>
          <w:sz w:val="24"/>
          <w:szCs w:val="24"/>
        </w:rPr>
      </w:pPr>
    </w:p>
    <w:p w14:paraId="7C77AEEE" w14:textId="23547E0F" w:rsidR="000673B1" w:rsidRDefault="000673B1" w:rsidP="00F12682">
      <w:pPr>
        <w:pStyle w:val="Titre4"/>
        <w:rPr>
          <w:rFonts w:asciiTheme="minorHAnsi" w:hAnsiTheme="minorHAnsi" w:cstheme="minorHAnsi"/>
        </w:rPr>
      </w:pPr>
      <w:r w:rsidRPr="004A5122">
        <w:rPr>
          <w:rFonts w:asciiTheme="minorHAnsi" w:hAnsiTheme="minorHAnsi" w:cstheme="minorHAnsi"/>
        </w:rPr>
        <w:t xml:space="preserve">Synthèse et perspective en matière </w:t>
      </w:r>
      <w:r w:rsidR="00132BA9" w:rsidRPr="00132BA9">
        <w:rPr>
          <w:rFonts w:asciiTheme="minorHAnsi" w:hAnsiTheme="minorHAnsi" w:cstheme="minorHAnsi"/>
        </w:rPr>
        <w:t>de Gestion des Finances Publiques</w:t>
      </w:r>
    </w:p>
    <w:p w14:paraId="2AEB7A93" w14:textId="77777777" w:rsidR="00B70B9C" w:rsidRDefault="00B70B9C" w:rsidP="00F12682">
      <w:pPr>
        <w:spacing w:after="120" w:line="276" w:lineRule="auto"/>
        <w:jc w:val="both"/>
        <w:rPr>
          <w:rFonts w:ascii="Calibri" w:hAnsi="Calibri" w:cs="Calibri"/>
          <w:sz w:val="24"/>
          <w:szCs w:val="24"/>
        </w:rPr>
      </w:pPr>
      <w:r>
        <w:rPr>
          <w:rFonts w:ascii="Calibri" w:hAnsi="Calibri" w:cs="Calibri"/>
          <w:sz w:val="24"/>
          <w:szCs w:val="24"/>
        </w:rPr>
        <w:t>Pour la reddition des comptes, t</w:t>
      </w:r>
      <w:r w:rsidRPr="006951FD">
        <w:rPr>
          <w:rFonts w:ascii="Calibri" w:hAnsi="Calibri" w:cs="Calibri"/>
          <w:sz w:val="24"/>
          <w:szCs w:val="24"/>
        </w:rPr>
        <w:t>out comme pour la programmation, le Ministère en charge de l’agriculture ne possède pas u</w:t>
      </w:r>
      <w:r>
        <w:rPr>
          <w:rFonts w:ascii="Calibri" w:hAnsi="Calibri" w:cs="Calibri"/>
          <w:sz w:val="24"/>
          <w:szCs w:val="24"/>
        </w:rPr>
        <w:t>ne culture de rapportage annuel</w:t>
      </w:r>
      <w:r w:rsidRPr="006951FD">
        <w:rPr>
          <w:rFonts w:ascii="Calibri" w:hAnsi="Calibri" w:cs="Calibri"/>
          <w:sz w:val="24"/>
          <w:szCs w:val="24"/>
        </w:rPr>
        <w:t xml:space="preserve"> précisant les activités prévues et celles réalisées en lien avec le budget alloué par la loi des finances et les autres ressources hors budget. Les seuls rapports qui existent sont ceux produits dans le cadre des CIO. Ces rapports sont sur une période allant d’avril à mai de l’année et ne fait pas le lien effectif avec les dépenses effectuées dans le cadre de la loi des finances.</w:t>
      </w:r>
    </w:p>
    <w:p w14:paraId="33897462" w14:textId="5C780E75" w:rsidR="000673B1" w:rsidRPr="000673B1" w:rsidRDefault="00B70B9C" w:rsidP="00F12682">
      <w:pPr>
        <w:spacing w:after="120" w:line="276" w:lineRule="auto"/>
        <w:jc w:val="both"/>
        <w:rPr>
          <w:rFonts w:cs="Calibri"/>
          <w:sz w:val="24"/>
        </w:rPr>
      </w:pPr>
      <w:r>
        <w:rPr>
          <w:rFonts w:ascii="Calibri" w:hAnsi="Calibri" w:cs="Calibri"/>
          <w:sz w:val="24"/>
          <w:szCs w:val="24"/>
        </w:rPr>
        <w:t xml:space="preserve">Le personnel est </w:t>
      </w:r>
      <w:r w:rsidRPr="00406E83">
        <w:rPr>
          <w:rFonts w:ascii="Calibri" w:hAnsi="Calibri" w:cs="Calibri"/>
          <w:sz w:val="24"/>
          <w:szCs w:val="24"/>
        </w:rPr>
        <w:t>Pour un meilleur encadrement des producteurs (appui conseil technique et organisationnel) suivant la norme FAO</w:t>
      </w:r>
      <w:r>
        <w:rPr>
          <w:rFonts w:ascii="Calibri" w:hAnsi="Calibri" w:cs="Calibri"/>
          <w:sz w:val="24"/>
          <w:szCs w:val="24"/>
        </w:rPr>
        <w:t>,</w:t>
      </w:r>
      <w:r w:rsidRPr="00406E83">
        <w:rPr>
          <w:rFonts w:ascii="Calibri" w:hAnsi="Calibri" w:cs="Calibri"/>
          <w:sz w:val="24"/>
          <w:szCs w:val="24"/>
        </w:rPr>
        <w:t xml:space="preserve"> </w:t>
      </w:r>
      <w:r>
        <w:rPr>
          <w:rFonts w:ascii="Calibri" w:hAnsi="Calibri" w:cs="Calibri"/>
          <w:sz w:val="24"/>
          <w:szCs w:val="24"/>
        </w:rPr>
        <w:t xml:space="preserve">un </w:t>
      </w:r>
      <w:r w:rsidRPr="00406E83">
        <w:rPr>
          <w:rFonts w:ascii="Calibri" w:hAnsi="Calibri" w:cs="Calibri"/>
          <w:sz w:val="24"/>
          <w:szCs w:val="24"/>
        </w:rPr>
        <w:t xml:space="preserve">(1) agent pour dix (10) villages, la répartition actuelle donnée dans le tableau </w:t>
      </w:r>
      <w:r>
        <w:rPr>
          <w:rFonts w:ascii="Calibri" w:hAnsi="Calibri" w:cs="Calibri"/>
          <w:sz w:val="24"/>
          <w:szCs w:val="24"/>
        </w:rPr>
        <w:t>1</w:t>
      </w:r>
      <w:r w:rsidRPr="00406E83">
        <w:rPr>
          <w:rFonts w:ascii="Calibri" w:hAnsi="Calibri" w:cs="Calibri"/>
          <w:sz w:val="24"/>
          <w:szCs w:val="24"/>
        </w:rPr>
        <w:t xml:space="preserve"> est à revoir</w:t>
      </w:r>
      <w:r>
        <w:rPr>
          <w:rFonts w:ascii="Calibri" w:hAnsi="Calibri" w:cs="Calibri"/>
          <w:sz w:val="24"/>
          <w:szCs w:val="24"/>
        </w:rPr>
        <w:t xml:space="preserve">. </w:t>
      </w:r>
      <w:r w:rsidRPr="00431B9D">
        <w:rPr>
          <w:rFonts w:ascii="Calibri" w:hAnsi="Calibri" w:cs="Calibri"/>
          <w:sz w:val="24"/>
          <w:szCs w:val="24"/>
        </w:rPr>
        <w:t xml:space="preserve"> Il est clair donc cette insuffisance et </w:t>
      </w:r>
      <w:r>
        <w:rPr>
          <w:rFonts w:ascii="Calibri" w:hAnsi="Calibri" w:cs="Calibri"/>
          <w:sz w:val="24"/>
          <w:szCs w:val="24"/>
        </w:rPr>
        <w:t xml:space="preserve">la </w:t>
      </w:r>
      <w:r w:rsidRPr="00431B9D">
        <w:rPr>
          <w:rFonts w:ascii="Calibri" w:hAnsi="Calibri" w:cs="Calibri"/>
          <w:sz w:val="24"/>
          <w:szCs w:val="24"/>
        </w:rPr>
        <w:t xml:space="preserve">mal répartition des agents du Ministère de l’Agriculture constituent une des entraves au </w:t>
      </w:r>
      <w:r w:rsidR="00335816">
        <w:rPr>
          <w:rFonts w:ascii="Calibri" w:hAnsi="Calibri" w:cs="Calibri"/>
          <w:sz w:val="24"/>
          <w:szCs w:val="24"/>
        </w:rPr>
        <w:t>développement du secteur rural.</w:t>
      </w:r>
    </w:p>
    <w:p w14:paraId="23C2C459" w14:textId="0E982CBE" w:rsidR="00245984" w:rsidRDefault="008A3454" w:rsidP="00F12682">
      <w:pPr>
        <w:pStyle w:val="Titre3"/>
        <w:numPr>
          <w:ilvl w:val="2"/>
          <w:numId w:val="21"/>
        </w:numPr>
        <w:rPr>
          <w:rFonts w:asciiTheme="minorHAnsi" w:hAnsiTheme="minorHAnsi" w:cstheme="minorHAnsi"/>
        </w:rPr>
      </w:pPr>
      <w:bookmarkStart w:id="48" w:name="_Toc529305017"/>
      <w:r w:rsidRPr="00671F2F">
        <w:rPr>
          <w:rFonts w:asciiTheme="minorHAnsi" w:hAnsiTheme="minorHAnsi" w:cstheme="minorHAnsi"/>
        </w:rPr>
        <w:lastRenderedPageBreak/>
        <w:t>M</w:t>
      </w:r>
      <w:r w:rsidR="00603F08">
        <w:rPr>
          <w:rFonts w:asciiTheme="minorHAnsi" w:hAnsiTheme="minorHAnsi" w:cstheme="minorHAnsi"/>
        </w:rPr>
        <w:t>inistère de l’Elevage</w:t>
      </w:r>
      <w:r w:rsidR="003D1348">
        <w:rPr>
          <w:rFonts w:asciiTheme="minorHAnsi" w:hAnsiTheme="minorHAnsi" w:cstheme="minorHAnsi"/>
        </w:rPr>
        <w:t xml:space="preserve"> (MEL)</w:t>
      </w:r>
      <w:bookmarkEnd w:id="48"/>
    </w:p>
    <w:p w14:paraId="01F35557" w14:textId="51A6BB21" w:rsidR="00245984" w:rsidRDefault="00245984" w:rsidP="00F12682">
      <w:pPr>
        <w:pStyle w:val="Titre4"/>
        <w:rPr>
          <w:rFonts w:asciiTheme="minorHAnsi" w:hAnsiTheme="minorHAnsi" w:cstheme="minorHAnsi"/>
        </w:rPr>
      </w:pPr>
      <w:r w:rsidRPr="00671F2F">
        <w:rPr>
          <w:rFonts w:asciiTheme="minorHAnsi" w:hAnsiTheme="minorHAnsi" w:cstheme="minorHAnsi"/>
        </w:rPr>
        <w:t>Analyse de la planification/programmation</w:t>
      </w:r>
      <w:r w:rsidR="00223BCE">
        <w:rPr>
          <w:rFonts w:asciiTheme="minorHAnsi" w:hAnsiTheme="minorHAnsi" w:cstheme="minorHAnsi"/>
        </w:rPr>
        <w:t>,</w:t>
      </w:r>
      <w:r w:rsidRPr="00671F2F">
        <w:rPr>
          <w:rFonts w:asciiTheme="minorHAnsi" w:hAnsiTheme="minorHAnsi" w:cstheme="minorHAnsi"/>
        </w:rPr>
        <w:t xml:space="preserve"> de la budgétisation des dépenses</w:t>
      </w:r>
      <w:r w:rsidR="00223BCE">
        <w:rPr>
          <w:rFonts w:asciiTheme="minorHAnsi" w:hAnsiTheme="minorHAnsi" w:cstheme="minorHAnsi"/>
        </w:rPr>
        <w:t xml:space="preserve"> et </w:t>
      </w:r>
      <w:r w:rsidR="00223BCE" w:rsidRPr="00671F2F">
        <w:rPr>
          <w:rFonts w:asciiTheme="minorHAnsi" w:hAnsiTheme="minorHAnsi" w:cstheme="minorHAnsi"/>
        </w:rPr>
        <w:t>de reddition des comptes</w:t>
      </w:r>
    </w:p>
    <w:p w14:paraId="3500D7C1" w14:textId="7BD51A28" w:rsidR="00920DEE" w:rsidRPr="00C2745C" w:rsidRDefault="00C2745C" w:rsidP="00F12682">
      <w:pPr>
        <w:jc w:val="both"/>
        <w:rPr>
          <w:rFonts w:cs="Calibri"/>
          <w:sz w:val="24"/>
        </w:rPr>
      </w:pPr>
      <w:r w:rsidRPr="00C2745C">
        <w:rPr>
          <w:rFonts w:cs="Calibri"/>
          <w:sz w:val="24"/>
        </w:rPr>
        <w:t xml:space="preserve">En 2011, la politique nationale a placé comme axe central la sécurité alimentaire à travers l’Initiative 3N </w:t>
      </w:r>
      <w:r w:rsidR="00B26C6C">
        <w:rPr>
          <w:rFonts w:cs="Calibri"/>
          <w:sz w:val="24"/>
        </w:rPr>
        <w:t>« </w:t>
      </w:r>
      <w:r w:rsidRPr="00C2745C">
        <w:rPr>
          <w:rFonts w:cs="Calibri"/>
          <w:sz w:val="24"/>
        </w:rPr>
        <w:t>Les Nigériens Nourrissent les Nigériens</w:t>
      </w:r>
      <w:r w:rsidR="00B26C6C">
        <w:rPr>
          <w:rFonts w:cs="Calibri"/>
          <w:sz w:val="24"/>
        </w:rPr>
        <w:t> »</w:t>
      </w:r>
      <w:r w:rsidRPr="00C2745C">
        <w:rPr>
          <w:rFonts w:cs="Calibri"/>
          <w:sz w:val="24"/>
        </w:rPr>
        <w:t xml:space="preserve">. C’est ainsi qu’il a été confié au Gouvernement la mise en </w:t>
      </w:r>
      <w:r w:rsidR="00920DEE" w:rsidRPr="00C2745C">
        <w:rPr>
          <w:rFonts w:cs="Calibri"/>
          <w:sz w:val="24"/>
        </w:rPr>
        <w:t>œuvre</w:t>
      </w:r>
      <w:r w:rsidRPr="00C2745C">
        <w:rPr>
          <w:rFonts w:cs="Calibri"/>
          <w:sz w:val="24"/>
        </w:rPr>
        <w:t xml:space="preserve"> de cette initiative. Ce faisant, il est attendu du sous-secteur de l’élevage l’augmentation de la disponibilité des produits animaux (lait, viande, </w:t>
      </w:r>
      <w:r w:rsidR="00B26C6C" w:rsidRPr="00C2745C">
        <w:rPr>
          <w:rFonts w:cs="Calibri"/>
          <w:sz w:val="24"/>
        </w:rPr>
        <w:t>œuf</w:t>
      </w:r>
      <w:r w:rsidR="00B26C6C">
        <w:rPr>
          <w:rFonts w:cs="Calibri"/>
          <w:sz w:val="24"/>
        </w:rPr>
        <w:t xml:space="preserve">, </w:t>
      </w:r>
      <w:r w:rsidRPr="00C2745C">
        <w:rPr>
          <w:rFonts w:cs="Calibri"/>
          <w:sz w:val="24"/>
        </w:rPr>
        <w:t>…) et des revenus des producteurs. Cet engagement politique a été traduit par le Ministère de l’Élevage en</w:t>
      </w:r>
      <w:r w:rsidR="00983CBF">
        <w:rPr>
          <w:rFonts w:cs="Calibri"/>
          <w:sz w:val="24"/>
        </w:rPr>
        <w:t xml:space="preserve"> un premier</w:t>
      </w:r>
      <w:r w:rsidRPr="00C2745C">
        <w:rPr>
          <w:rFonts w:cs="Calibri"/>
          <w:sz w:val="24"/>
        </w:rPr>
        <w:t xml:space="preserve"> plan d’action</w:t>
      </w:r>
      <w:r w:rsidR="00983CBF">
        <w:rPr>
          <w:rFonts w:cs="Calibri"/>
          <w:sz w:val="24"/>
        </w:rPr>
        <w:t>s pour la période</w:t>
      </w:r>
      <w:r w:rsidRPr="00C2745C">
        <w:rPr>
          <w:rFonts w:cs="Calibri"/>
          <w:sz w:val="24"/>
        </w:rPr>
        <w:t xml:space="preserve"> 2012-2016. </w:t>
      </w:r>
      <w:r w:rsidR="00920DEE" w:rsidRPr="00C2745C">
        <w:rPr>
          <w:rFonts w:cs="Calibri"/>
          <w:sz w:val="24"/>
        </w:rPr>
        <w:t>Le sous-secteur dispose d'une stratégie dite "Stratégie de Développement Durable de l</w:t>
      </w:r>
      <w:r w:rsidR="00B26C6C">
        <w:rPr>
          <w:rFonts w:cs="Calibri"/>
          <w:sz w:val="24"/>
        </w:rPr>
        <w:t>’</w:t>
      </w:r>
      <w:r w:rsidR="00920DEE" w:rsidRPr="00C2745C">
        <w:rPr>
          <w:rFonts w:cs="Calibri"/>
          <w:sz w:val="24"/>
        </w:rPr>
        <w:t xml:space="preserve">Elevage 2035" avec </w:t>
      </w:r>
      <w:r w:rsidR="00983CBF">
        <w:rPr>
          <w:rFonts w:cs="Calibri"/>
          <w:sz w:val="24"/>
        </w:rPr>
        <w:t>des</w:t>
      </w:r>
      <w:r w:rsidR="00920DEE" w:rsidRPr="00C2745C">
        <w:rPr>
          <w:rFonts w:cs="Calibri"/>
          <w:sz w:val="24"/>
        </w:rPr>
        <w:t xml:space="preserve"> plan</w:t>
      </w:r>
      <w:r w:rsidR="00983CBF">
        <w:rPr>
          <w:rFonts w:cs="Calibri"/>
          <w:sz w:val="24"/>
        </w:rPr>
        <w:t>s</w:t>
      </w:r>
      <w:r w:rsidR="00920DEE" w:rsidRPr="00C2745C">
        <w:rPr>
          <w:rFonts w:cs="Calibri"/>
          <w:sz w:val="24"/>
        </w:rPr>
        <w:t xml:space="preserve"> d'actions prévisionnel</w:t>
      </w:r>
      <w:r w:rsidR="00983CBF">
        <w:rPr>
          <w:rFonts w:cs="Calibri"/>
          <w:sz w:val="24"/>
        </w:rPr>
        <w:t>s</w:t>
      </w:r>
      <w:r w:rsidR="00920DEE" w:rsidRPr="00C2745C">
        <w:rPr>
          <w:rFonts w:cs="Calibri"/>
          <w:sz w:val="24"/>
        </w:rPr>
        <w:t xml:space="preserve"> </w:t>
      </w:r>
      <w:r w:rsidR="00983CBF" w:rsidRPr="00983CBF">
        <w:rPr>
          <w:rFonts w:cs="Calibri"/>
          <w:sz w:val="24"/>
        </w:rPr>
        <w:t>sur cinq ans</w:t>
      </w:r>
      <w:r w:rsidR="00920DEE" w:rsidRPr="00983CBF">
        <w:rPr>
          <w:rFonts w:cs="Calibri"/>
          <w:sz w:val="24"/>
        </w:rPr>
        <w:t>.</w:t>
      </w:r>
      <w:r w:rsidR="00920DEE" w:rsidRPr="00C2745C">
        <w:rPr>
          <w:rFonts w:cs="Calibri"/>
          <w:sz w:val="24"/>
        </w:rPr>
        <w:t xml:space="preserve"> </w:t>
      </w:r>
    </w:p>
    <w:p w14:paraId="2081D7B0" w14:textId="097EDC1D" w:rsidR="009024D0" w:rsidRPr="009024D0" w:rsidRDefault="009024D0" w:rsidP="00F12682">
      <w:pPr>
        <w:jc w:val="both"/>
        <w:rPr>
          <w:rFonts w:cs="Calibri"/>
          <w:sz w:val="24"/>
        </w:rPr>
      </w:pPr>
      <w:r w:rsidRPr="009024D0">
        <w:rPr>
          <w:rFonts w:cs="Calibri"/>
          <w:sz w:val="24"/>
        </w:rPr>
        <w:t xml:space="preserve">L’objectif global de la stratégie est de </w:t>
      </w:r>
      <w:r w:rsidR="00B26C6C">
        <w:rPr>
          <w:rFonts w:cs="Calibri"/>
          <w:sz w:val="24"/>
        </w:rPr>
        <w:t>« </w:t>
      </w:r>
      <w:r w:rsidRPr="009024D0">
        <w:rPr>
          <w:rFonts w:cs="Calibri"/>
          <w:sz w:val="24"/>
        </w:rPr>
        <w:t>développer durablement l’élevage pour contribuer à l’amélioration de la sécurité alimentaire et des revenus des populations</w:t>
      </w:r>
      <w:r w:rsidR="00B26C6C">
        <w:rPr>
          <w:rFonts w:cs="Calibri"/>
          <w:sz w:val="24"/>
        </w:rPr>
        <w:t> »</w:t>
      </w:r>
      <w:r w:rsidRPr="009024D0">
        <w:rPr>
          <w:rFonts w:cs="Calibri"/>
          <w:sz w:val="24"/>
        </w:rPr>
        <w:t xml:space="preserve">. L’objectif spécifique est de </w:t>
      </w:r>
      <w:r w:rsidR="00B26C6C">
        <w:rPr>
          <w:rFonts w:cs="Calibri"/>
          <w:sz w:val="24"/>
        </w:rPr>
        <w:t>« </w:t>
      </w:r>
      <w:r w:rsidR="000673B1">
        <w:rPr>
          <w:rFonts w:cs="Calibri"/>
          <w:sz w:val="24"/>
        </w:rPr>
        <w:t>a</w:t>
      </w:r>
      <w:r w:rsidRPr="009024D0">
        <w:rPr>
          <w:rFonts w:cs="Calibri"/>
          <w:sz w:val="24"/>
        </w:rPr>
        <w:t>ssurer l'émergence de systèmes de productions animales porteurs, à même de favoriser une gestion économique et écologique durable des ressources pastorales</w:t>
      </w:r>
      <w:r w:rsidR="00B26C6C">
        <w:rPr>
          <w:rFonts w:cs="Calibri"/>
          <w:sz w:val="24"/>
        </w:rPr>
        <w:t> »</w:t>
      </w:r>
      <w:r w:rsidRPr="009024D0">
        <w:rPr>
          <w:rFonts w:cs="Calibri"/>
          <w:sz w:val="24"/>
        </w:rPr>
        <w:t xml:space="preserve">. </w:t>
      </w:r>
    </w:p>
    <w:p w14:paraId="2BF04A3D" w14:textId="66855D1B" w:rsidR="009024D0" w:rsidRPr="009024D0" w:rsidRDefault="009024D0" w:rsidP="00F12682">
      <w:pPr>
        <w:jc w:val="both"/>
        <w:rPr>
          <w:rFonts w:cs="Calibri"/>
          <w:sz w:val="24"/>
        </w:rPr>
      </w:pPr>
      <w:r w:rsidRPr="009024D0">
        <w:rPr>
          <w:rFonts w:cs="Calibri"/>
          <w:sz w:val="24"/>
        </w:rPr>
        <w:t>Globalement</w:t>
      </w:r>
      <w:r w:rsidR="00AF324D">
        <w:rPr>
          <w:rFonts w:cs="Calibri"/>
          <w:sz w:val="24"/>
        </w:rPr>
        <w:t>,</w:t>
      </w:r>
      <w:r w:rsidRPr="009024D0">
        <w:rPr>
          <w:rFonts w:cs="Calibri"/>
          <w:sz w:val="24"/>
        </w:rPr>
        <w:t xml:space="preserve"> elle se décline sous forme d’axes prioritaires de la manière suivante : </w:t>
      </w:r>
    </w:p>
    <w:p w14:paraId="3C5CD356" w14:textId="0CC68746" w:rsidR="009024D0" w:rsidRPr="000C5478" w:rsidRDefault="009024D0" w:rsidP="00F12682">
      <w:pPr>
        <w:pStyle w:val="Paragraphedeliste"/>
        <w:numPr>
          <w:ilvl w:val="0"/>
          <w:numId w:val="35"/>
        </w:numPr>
        <w:spacing w:after="120" w:line="276" w:lineRule="auto"/>
        <w:ind w:left="567" w:hanging="210"/>
        <w:contextualSpacing w:val="0"/>
        <w:rPr>
          <w:rFonts w:cs="Calibri"/>
          <w:sz w:val="24"/>
        </w:rPr>
      </w:pPr>
      <w:r w:rsidRPr="000C5478">
        <w:rPr>
          <w:rFonts w:cs="Calibri"/>
          <w:sz w:val="24"/>
        </w:rPr>
        <w:t>Axe 1 : Développement durable de la santé animale</w:t>
      </w:r>
      <w:r w:rsidR="000C5478">
        <w:rPr>
          <w:rFonts w:cs="Calibri"/>
          <w:sz w:val="24"/>
        </w:rPr>
        <w:t> ;</w:t>
      </w:r>
    </w:p>
    <w:p w14:paraId="50246787" w14:textId="6794C6C6" w:rsidR="009024D0" w:rsidRPr="000C5478" w:rsidRDefault="009024D0" w:rsidP="00F12682">
      <w:pPr>
        <w:pStyle w:val="Paragraphedeliste"/>
        <w:numPr>
          <w:ilvl w:val="0"/>
          <w:numId w:val="35"/>
        </w:numPr>
        <w:spacing w:after="120" w:line="276" w:lineRule="auto"/>
        <w:ind w:left="567" w:hanging="210"/>
        <w:contextualSpacing w:val="0"/>
        <w:rPr>
          <w:rFonts w:cs="Calibri"/>
          <w:sz w:val="24"/>
        </w:rPr>
      </w:pPr>
      <w:r w:rsidRPr="000C5478">
        <w:rPr>
          <w:rFonts w:cs="Calibri"/>
          <w:sz w:val="24"/>
        </w:rPr>
        <w:t>Axe 2 : Accroissement, diversification et valorisation des productions animales</w:t>
      </w:r>
      <w:r w:rsidR="000C5478">
        <w:rPr>
          <w:rFonts w:cs="Calibri"/>
          <w:sz w:val="24"/>
        </w:rPr>
        <w:t> ;</w:t>
      </w:r>
    </w:p>
    <w:p w14:paraId="1FA4855B" w14:textId="06078AB9" w:rsidR="009024D0" w:rsidRPr="000C5478" w:rsidRDefault="009024D0" w:rsidP="00F12682">
      <w:pPr>
        <w:pStyle w:val="Paragraphedeliste"/>
        <w:numPr>
          <w:ilvl w:val="0"/>
          <w:numId w:val="35"/>
        </w:numPr>
        <w:spacing w:after="120" w:line="276" w:lineRule="auto"/>
        <w:ind w:left="567" w:hanging="210"/>
        <w:contextualSpacing w:val="0"/>
        <w:rPr>
          <w:rFonts w:cs="Calibri"/>
          <w:sz w:val="24"/>
        </w:rPr>
      </w:pPr>
      <w:r w:rsidRPr="000C5478">
        <w:rPr>
          <w:rFonts w:cs="Calibri"/>
          <w:sz w:val="24"/>
        </w:rPr>
        <w:t xml:space="preserve">Axe 3 : Création d’un environnement juridique et institutionnel favorable au développement durable de l’élevage. </w:t>
      </w:r>
    </w:p>
    <w:p w14:paraId="059CA956" w14:textId="38BCE062" w:rsidR="009024D0" w:rsidRPr="009024D0" w:rsidRDefault="000C5478" w:rsidP="00F12682">
      <w:pPr>
        <w:jc w:val="both"/>
        <w:rPr>
          <w:rFonts w:cs="Calibri"/>
          <w:sz w:val="24"/>
        </w:rPr>
      </w:pPr>
      <w:r>
        <w:rPr>
          <w:rFonts w:cs="Calibri"/>
          <w:sz w:val="24"/>
        </w:rPr>
        <w:t>Cependant, le sous-secteur de l’élevage n’élabore pas des plans d’actions annuels, il s’aligne sur le plan d’action</w:t>
      </w:r>
      <w:r w:rsidR="000673B1">
        <w:rPr>
          <w:rFonts w:cs="Calibri"/>
          <w:sz w:val="24"/>
        </w:rPr>
        <w:t xml:space="preserve"> 2016-2020</w:t>
      </w:r>
      <w:r>
        <w:rPr>
          <w:rFonts w:cs="Calibri"/>
          <w:sz w:val="24"/>
        </w:rPr>
        <w:t xml:space="preserve"> de l’I</w:t>
      </w:r>
      <w:r w:rsidR="00406E83">
        <w:rPr>
          <w:rFonts w:cs="Calibri"/>
          <w:sz w:val="24"/>
        </w:rPr>
        <w:t xml:space="preserve">nitiative </w:t>
      </w:r>
      <w:r>
        <w:rPr>
          <w:rFonts w:cs="Calibri"/>
          <w:sz w:val="24"/>
        </w:rPr>
        <w:t>3N.</w:t>
      </w:r>
    </w:p>
    <w:p w14:paraId="6F46B481" w14:textId="622FE5EA" w:rsidR="004B35CA" w:rsidRDefault="006A3273" w:rsidP="00F12682">
      <w:pPr>
        <w:jc w:val="both"/>
        <w:rPr>
          <w:rFonts w:cs="Calibri"/>
          <w:sz w:val="24"/>
        </w:rPr>
      </w:pPr>
      <w:r>
        <w:rPr>
          <w:rFonts w:cs="Calibri"/>
          <w:sz w:val="24"/>
        </w:rPr>
        <w:t xml:space="preserve">Tout comme pour le </w:t>
      </w:r>
      <w:r w:rsidR="00C85B76">
        <w:rPr>
          <w:rFonts w:cs="Calibri"/>
          <w:sz w:val="24"/>
        </w:rPr>
        <w:t>sous-secteur</w:t>
      </w:r>
      <w:r>
        <w:rPr>
          <w:rFonts w:cs="Calibri"/>
          <w:sz w:val="24"/>
        </w:rPr>
        <w:t xml:space="preserve"> de l’agriculture, le </w:t>
      </w:r>
      <w:r w:rsidR="00C85B76">
        <w:rPr>
          <w:rFonts w:cs="Calibri"/>
          <w:sz w:val="24"/>
        </w:rPr>
        <w:t>sous-secteur</w:t>
      </w:r>
      <w:r>
        <w:rPr>
          <w:rFonts w:cs="Calibri"/>
          <w:sz w:val="24"/>
        </w:rPr>
        <w:t xml:space="preserve"> de l’élevage ne dispose pas des rapports d’activités en lien avec </w:t>
      </w:r>
      <w:r w:rsidR="00C85B76">
        <w:rPr>
          <w:rFonts w:cs="Calibri"/>
          <w:sz w:val="24"/>
        </w:rPr>
        <w:t xml:space="preserve">les dépenses publiques. Le seul rapport disponible qui donne les activités et les coûts </w:t>
      </w:r>
      <w:r w:rsidR="004B35CA">
        <w:rPr>
          <w:rFonts w:cs="Calibri"/>
          <w:sz w:val="24"/>
        </w:rPr>
        <w:t>est celui qui est produit dans le cadre du CIO</w:t>
      </w:r>
      <w:r w:rsidR="00406E83">
        <w:rPr>
          <w:rFonts w:cs="Calibri"/>
          <w:sz w:val="24"/>
        </w:rPr>
        <w:t>.</w:t>
      </w:r>
    </w:p>
    <w:p w14:paraId="212D4EAC" w14:textId="77777777" w:rsidR="00406E83" w:rsidRDefault="00406E83" w:rsidP="00F12682">
      <w:pPr>
        <w:jc w:val="both"/>
        <w:rPr>
          <w:rFonts w:cs="Calibri"/>
          <w:sz w:val="24"/>
        </w:rPr>
      </w:pPr>
    </w:p>
    <w:p w14:paraId="5D40C912" w14:textId="77777777" w:rsidR="00245984" w:rsidRDefault="00245984" w:rsidP="00F12682">
      <w:pPr>
        <w:pStyle w:val="Titre4"/>
        <w:rPr>
          <w:rFonts w:asciiTheme="minorHAnsi" w:hAnsiTheme="minorHAnsi" w:cstheme="minorHAnsi"/>
        </w:rPr>
      </w:pPr>
      <w:r w:rsidRPr="00671F2F">
        <w:rPr>
          <w:rFonts w:asciiTheme="minorHAnsi" w:hAnsiTheme="minorHAnsi" w:cstheme="minorHAnsi"/>
        </w:rPr>
        <w:t>Analyse de la Gestion des Ressources Humaines</w:t>
      </w:r>
    </w:p>
    <w:p w14:paraId="76BA240C" w14:textId="77777777" w:rsidR="00DC32DA" w:rsidRDefault="00DC32DA" w:rsidP="00F12682">
      <w:pPr>
        <w:jc w:val="both"/>
        <w:rPr>
          <w:rFonts w:cs="Calibri"/>
          <w:sz w:val="24"/>
        </w:rPr>
      </w:pPr>
      <w:r w:rsidRPr="00797C5C">
        <w:rPr>
          <w:rFonts w:cs="Calibri"/>
          <w:sz w:val="24"/>
        </w:rPr>
        <w:t>En 2016, Au niveau du Ministère de l’Elevage, 71% des 1 078 cadres, sont au niveau déconcentré et 53% des cadres A sont au niveau central.  Le personnel de l’administration générale autre que ceux de l’élevage représente 15% des cadres.</w:t>
      </w:r>
    </w:p>
    <w:p w14:paraId="160A32FF" w14:textId="77777777" w:rsidR="00797C5C" w:rsidRPr="00797C5C" w:rsidRDefault="00797C5C" w:rsidP="00F12682">
      <w:pPr>
        <w:jc w:val="both"/>
        <w:rPr>
          <w:rFonts w:cs="Calibri"/>
          <w:sz w:val="24"/>
        </w:rPr>
      </w:pPr>
    </w:p>
    <w:p w14:paraId="2849B285" w14:textId="77777777" w:rsidR="00335816" w:rsidRDefault="00335816" w:rsidP="00F12682">
      <w:pPr>
        <w:rPr>
          <w:rFonts w:ascii="Calibri" w:hAnsi="Calibri" w:cstheme="minorHAnsi"/>
          <w:iCs/>
          <w:color w:val="000000" w:themeColor="text1"/>
          <w:szCs w:val="18"/>
        </w:rPr>
      </w:pPr>
      <w:r>
        <w:rPr>
          <w:rFonts w:cstheme="minorHAnsi"/>
        </w:rPr>
        <w:br w:type="page"/>
      </w:r>
    </w:p>
    <w:p w14:paraId="6A813EB2" w14:textId="04CF85B9" w:rsidR="00245984" w:rsidRPr="00855DFA" w:rsidRDefault="00245984" w:rsidP="00F12682">
      <w:pPr>
        <w:pStyle w:val="Lgende"/>
        <w:rPr>
          <w:rFonts w:cstheme="minorHAnsi"/>
        </w:rPr>
      </w:pPr>
      <w:bookmarkStart w:id="49" w:name="_Toc529305056"/>
      <w:r w:rsidRPr="00855DFA">
        <w:rPr>
          <w:rFonts w:cstheme="minorHAnsi"/>
        </w:rPr>
        <w:lastRenderedPageBreak/>
        <w:t xml:space="preserve">Tableau </w:t>
      </w:r>
      <w:r w:rsidRPr="00855DFA">
        <w:rPr>
          <w:rFonts w:cstheme="minorHAnsi"/>
        </w:rPr>
        <w:fldChar w:fldCharType="begin"/>
      </w:r>
      <w:r w:rsidRPr="00855DFA">
        <w:rPr>
          <w:rFonts w:cstheme="minorHAnsi"/>
        </w:rPr>
        <w:instrText xml:space="preserve"> SEQ Tableau \* ARABIC </w:instrText>
      </w:r>
      <w:r w:rsidRPr="00855DFA">
        <w:rPr>
          <w:rFonts w:cstheme="minorHAnsi"/>
        </w:rPr>
        <w:fldChar w:fldCharType="separate"/>
      </w:r>
      <w:r w:rsidR="001C37F0">
        <w:rPr>
          <w:rFonts w:cstheme="minorHAnsi"/>
          <w:noProof/>
        </w:rPr>
        <w:t>2</w:t>
      </w:r>
      <w:r w:rsidRPr="00855DFA">
        <w:rPr>
          <w:rFonts w:cstheme="minorHAnsi"/>
        </w:rPr>
        <w:fldChar w:fldCharType="end"/>
      </w:r>
      <w:r w:rsidR="00855DFA" w:rsidRPr="00855DFA">
        <w:rPr>
          <w:rFonts w:cstheme="minorHAnsi"/>
        </w:rPr>
        <w:t xml:space="preserve"> : </w:t>
      </w:r>
      <w:r w:rsidR="00907EC7">
        <w:rPr>
          <w:rFonts w:cstheme="minorHAnsi"/>
        </w:rPr>
        <w:t xml:space="preserve">Répartition </w:t>
      </w:r>
      <w:r w:rsidR="00D74FC9" w:rsidRPr="00855DFA">
        <w:rPr>
          <w:rFonts w:cstheme="minorHAnsi"/>
        </w:rPr>
        <w:t>des agents par catégorie et par corps a</w:t>
      </w:r>
      <w:r w:rsidR="008A3454" w:rsidRPr="00855DFA">
        <w:rPr>
          <w:rFonts w:cstheme="minorHAnsi"/>
        </w:rPr>
        <w:t>u MEL</w:t>
      </w:r>
      <w:r w:rsidR="00855DFA" w:rsidRPr="00855DFA">
        <w:rPr>
          <w:rFonts w:cstheme="minorHAnsi"/>
        </w:rPr>
        <w:t xml:space="preserve"> en 2016</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3"/>
        <w:gridCol w:w="1612"/>
        <w:gridCol w:w="1433"/>
      </w:tblGrid>
      <w:tr w:rsidR="00364937" w:rsidRPr="00671F2F" w14:paraId="79A05953" w14:textId="77777777" w:rsidTr="004A5122">
        <w:trPr>
          <w:trHeight w:val="227"/>
        </w:trPr>
        <w:tc>
          <w:tcPr>
            <w:tcW w:w="3419" w:type="pct"/>
            <w:shd w:val="clear" w:color="auto" w:fill="auto"/>
          </w:tcPr>
          <w:p w14:paraId="08708403" w14:textId="77777777" w:rsidR="00364937" w:rsidRPr="004A5122" w:rsidRDefault="00364937" w:rsidP="00F12682">
            <w:pPr>
              <w:spacing w:after="0" w:line="240" w:lineRule="auto"/>
              <w:jc w:val="center"/>
              <w:rPr>
                <w:rFonts w:cstheme="minorHAnsi"/>
                <w:b/>
              </w:rPr>
            </w:pPr>
            <w:r w:rsidRPr="004A5122">
              <w:rPr>
                <w:rFonts w:cstheme="minorHAnsi"/>
                <w:b/>
              </w:rPr>
              <w:t>Corps</w:t>
            </w:r>
          </w:p>
        </w:tc>
        <w:tc>
          <w:tcPr>
            <w:tcW w:w="837" w:type="pct"/>
            <w:shd w:val="clear" w:color="auto" w:fill="auto"/>
          </w:tcPr>
          <w:p w14:paraId="5F850AFB" w14:textId="77777777" w:rsidR="00364937" w:rsidRPr="004A5122" w:rsidRDefault="00364937" w:rsidP="00F12682">
            <w:pPr>
              <w:spacing w:after="0" w:line="240" w:lineRule="auto"/>
              <w:jc w:val="center"/>
              <w:rPr>
                <w:rFonts w:cstheme="minorHAnsi"/>
                <w:b/>
              </w:rPr>
            </w:pPr>
            <w:r w:rsidRPr="004A5122">
              <w:rPr>
                <w:rFonts w:cstheme="minorHAnsi"/>
                <w:b/>
              </w:rPr>
              <w:t>Catégorie</w:t>
            </w:r>
          </w:p>
        </w:tc>
        <w:tc>
          <w:tcPr>
            <w:tcW w:w="744" w:type="pct"/>
            <w:shd w:val="clear" w:color="auto" w:fill="auto"/>
          </w:tcPr>
          <w:p w14:paraId="3409DE42" w14:textId="6255C0D7" w:rsidR="00364937" w:rsidRPr="004A5122" w:rsidRDefault="00364937" w:rsidP="00F12682">
            <w:pPr>
              <w:spacing w:after="0" w:line="240" w:lineRule="auto"/>
              <w:jc w:val="center"/>
              <w:rPr>
                <w:rFonts w:cstheme="minorHAnsi"/>
                <w:b/>
              </w:rPr>
            </w:pPr>
            <w:r w:rsidRPr="004A5122">
              <w:rPr>
                <w:rFonts w:cstheme="minorHAnsi"/>
                <w:b/>
              </w:rPr>
              <w:t>Nombre</w:t>
            </w:r>
          </w:p>
        </w:tc>
      </w:tr>
      <w:tr w:rsidR="00364937" w:rsidRPr="00671F2F" w14:paraId="5FA1048D" w14:textId="77777777" w:rsidTr="004A5122">
        <w:trPr>
          <w:trHeight w:val="227"/>
        </w:trPr>
        <w:tc>
          <w:tcPr>
            <w:tcW w:w="3419" w:type="pct"/>
            <w:shd w:val="clear" w:color="auto" w:fill="auto"/>
          </w:tcPr>
          <w:p w14:paraId="178FACB5" w14:textId="77777777" w:rsidR="00364937" w:rsidRPr="004A5122" w:rsidRDefault="00364937" w:rsidP="00F12682">
            <w:pPr>
              <w:spacing w:after="0" w:line="240" w:lineRule="auto"/>
              <w:rPr>
                <w:rFonts w:cstheme="minorHAnsi"/>
                <w:b/>
              </w:rPr>
            </w:pPr>
            <w:r w:rsidRPr="004A5122">
              <w:rPr>
                <w:rFonts w:cstheme="minorHAnsi"/>
                <w:b/>
              </w:rPr>
              <w:t>Cadres de l’Elevage</w:t>
            </w:r>
          </w:p>
        </w:tc>
        <w:tc>
          <w:tcPr>
            <w:tcW w:w="837" w:type="pct"/>
            <w:shd w:val="clear" w:color="auto" w:fill="auto"/>
          </w:tcPr>
          <w:p w14:paraId="7DE1506D" w14:textId="77777777" w:rsidR="00364937" w:rsidRPr="004A5122" w:rsidRDefault="00364937" w:rsidP="00F12682">
            <w:pPr>
              <w:spacing w:after="0" w:line="240" w:lineRule="auto"/>
              <w:jc w:val="center"/>
              <w:rPr>
                <w:rFonts w:cstheme="minorHAnsi"/>
                <w:b/>
                <w:u w:val="single"/>
              </w:rPr>
            </w:pPr>
          </w:p>
        </w:tc>
        <w:tc>
          <w:tcPr>
            <w:tcW w:w="744" w:type="pct"/>
            <w:shd w:val="clear" w:color="auto" w:fill="auto"/>
          </w:tcPr>
          <w:p w14:paraId="17E5A2BE" w14:textId="77777777" w:rsidR="00364937" w:rsidRPr="004A5122" w:rsidRDefault="00364937" w:rsidP="00F12682">
            <w:pPr>
              <w:spacing w:after="0" w:line="240" w:lineRule="auto"/>
              <w:jc w:val="center"/>
              <w:rPr>
                <w:rFonts w:cstheme="minorHAnsi"/>
                <w:b/>
                <w:u w:val="single"/>
              </w:rPr>
            </w:pPr>
          </w:p>
        </w:tc>
      </w:tr>
      <w:tr w:rsidR="00364937" w:rsidRPr="00671F2F" w14:paraId="14C5FA84" w14:textId="77777777" w:rsidTr="004A5122">
        <w:trPr>
          <w:trHeight w:val="227"/>
        </w:trPr>
        <w:tc>
          <w:tcPr>
            <w:tcW w:w="3419" w:type="pct"/>
            <w:shd w:val="clear" w:color="auto" w:fill="auto"/>
          </w:tcPr>
          <w:p w14:paraId="3F387189" w14:textId="77777777" w:rsidR="00364937" w:rsidRPr="00073CD1" w:rsidRDefault="00364937" w:rsidP="00F12682">
            <w:pPr>
              <w:spacing w:after="0" w:line="240" w:lineRule="auto"/>
              <w:ind w:left="313"/>
              <w:rPr>
                <w:rFonts w:cstheme="minorHAnsi"/>
              </w:rPr>
            </w:pPr>
            <w:r w:rsidRPr="00685320">
              <w:rPr>
                <w:rFonts w:cstheme="minorHAnsi"/>
              </w:rPr>
              <w:t>Vétér</w:t>
            </w:r>
            <w:r w:rsidRPr="00073CD1">
              <w:rPr>
                <w:rFonts w:cstheme="minorHAnsi"/>
              </w:rPr>
              <w:t>inaires</w:t>
            </w:r>
          </w:p>
        </w:tc>
        <w:tc>
          <w:tcPr>
            <w:tcW w:w="837" w:type="pct"/>
            <w:shd w:val="clear" w:color="auto" w:fill="auto"/>
          </w:tcPr>
          <w:p w14:paraId="73686637" w14:textId="77777777" w:rsidR="00364937" w:rsidRPr="00603F08" w:rsidRDefault="00364937" w:rsidP="00F12682">
            <w:pPr>
              <w:spacing w:after="0" w:line="240" w:lineRule="auto"/>
              <w:jc w:val="center"/>
              <w:rPr>
                <w:rFonts w:cstheme="minorHAnsi"/>
              </w:rPr>
            </w:pPr>
            <w:r w:rsidRPr="00603F08">
              <w:rPr>
                <w:rFonts w:cstheme="minorHAnsi"/>
              </w:rPr>
              <w:t>A1</w:t>
            </w:r>
          </w:p>
        </w:tc>
        <w:tc>
          <w:tcPr>
            <w:tcW w:w="744" w:type="pct"/>
            <w:shd w:val="clear" w:color="auto" w:fill="auto"/>
          </w:tcPr>
          <w:p w14:paraId="36D7EDAE" w14:textId="77777777" w:rsidR="00364937" w:rsidRPr="004A5122" w:rsidRDefault="00364937" w:rsidP="00F12682">
            <w:pPr>
              <w:spacing w:after="0" w:line="240" w:lineRule="auto"/>
              <w:jc w:val="center"/>
              <w:rPr>
                <w:rFonts w:cstheme="minorHAnsi"/>
                <w:b/>
              </w:rPr>
            </w:pPr>
            <w:r w:rsidRPr="004A5122">
              <w:rPr>
                <w:rFonts w:cstheme="minorHAnsi"/>
                <w:b/>
              </w:rPr>
              <w:t>101</w:t>
            </w:r>
          </w:p>
        </w:tc>
      </w:tr>
      <w:tr w:rsidR="00364937" w:rsidRPr="00671F2F" w14:paraId="0E5997BB" w14:textId="77777777" w:rsidTr="004A5122">
        <w:trPr>
          <w:trHeight w:val="227"/>
        </w:trPr>
        <w:tc>
          <w:tcPr>
            <w:tcW w:w="3419" w:type="pct"/>
            <w:shd w:val="clear" w:color="auto" w:fill="auto"/>
          </w:tcPr>
          <w:p w14:paraId="0A284650" w14:textId="77777777" w:rsidR="00364937" w:rsidRPr="00685320" w:rsidRDefault="00364937" w:rsidP="00F12682">
            <w:pPr>
              <w:spacing w:after="0" w:line="240" w:lineRule="auto"/>
              <w:ind w:left="313"/>
              <w:rPr>
                <w:rFonts w:cstheme="minorHAnsi"/>
              </w:rPr>
            </w:pPr>
            <w:r w:rsidRPr="00685320">
              <w:rPr>
                <w:rFonts w:cstheme="minorHAnsi"/>
              </w:rPr>
              <w:t>Cadres Supérieurs</w:t>
            </w:r>
          </w:p>
        </w:tc>
        <w:tc>
          <w:tcPr>
            <w:tcW w:w="837" w:type="pct"/>
            <w:shd w:val="clear" w:color="auto" w:fill="auto"/>
          </w:tcPr>
          <w:p w14:paraId="461E32EB" w14:textId="77777777" w:rsidR="00364937" w:rsidRPr="00073CD1" w:rsidRDefault="00364937" w:rsidP="00F12682">
            <w:pPr>
              <w:spacing w:after="0" w:line="240" w:lineRule="auto"/>
              <w:jc w:val="center"/>
              <w:rPr>
                <w:rFonts w:cstheme="minorHAnsi"/>
              </w:rPr>
            </w:pPr>
            <w:r w:rsidRPr="00073CD1">
              <w:rPr>
                <w:rFonts w:cstheme="minorHAnsi"/>
              </w:rPr>
              <w:t>A1</w:t>
            </w:r>
          </w:p>
        </w:tc>
        <w:tc>
          <w:tcPr>
            <w:tcW w:w="744" w:type="pct"/>
            <w:shd w:val="clear" w:color="auto" w:fill="auto"/>
          </w:tcPr>
          <w:p w14:paraId="6172DB72" w14:textId="77777777" w:rsidR="00364937" w:rsidRPr="00603F08" w:rsidRDefault="00364937" w:rsidP="00F12682">
            <w:pPr>
              <w:spacing w:after="0" w:line="240" w:lineRule="auto"/>
              <w:jc w:val="center"/>
              <w:rPr>
                <w:rFonts w:cstheme="minorHAnsi"/>
                <w:b/>
              </w:rPr>
            </w:pPr>
            <w:r w:rsidRPr="00603F08">
              <w:rPr>
                <w:rFonts w:cstheme="minorHAnsi"/>
                <w:b/>
              </w:rPr>
              <w:t>147</w:t>
            </w:r>
          </w:p>
        </w:tc>
      </w:tr>
      <w:tr w:rsidR="00364937" w:rsidRPr="00671F2F" w14:paraId="2479611C" w14:textId="77777777" w:rsidTr="004A5122">
        <w:trPr>
          <w:trHeight w:val="227"/>
        </w:trPr>
        <w:tc>
          <w:tcPr>
            <w:tcW w:w="3419" w:type="pct"/>
            <w:shd w:val="clear" w:color="auto" w:fill="auto"/>
          </w:tcPr>
          <w:p w14:paraId="1E1EA951" w14:textId="77777777" w:rsidR="00364937" w:rsidRPr="00685320" w:rsidRDefault="00364937" w:rsidP="00F12682">
            <w:pPr>
              <w:spacing w:after="0" w:line="240" w:lineRule="auto"/>
              <w:ind w:left="313"/>
              <w:rPr>
                <w:rFonts w:cstheme="minorHAnsi"/>
              </w:rPr>
            </w:pPr>
            <w:r w:rsidRPr="00685320">
              <w:rPr>
                <w:rFonts w:cstheme="minorHAnsi"/>
              </w:rPr>
              <w:t>Ingénieurs des Techniques d’Elevage</w:t>
            </w:r>
          </w:p>
        </w:tc>
        <w:tc>
          <w:tcPr>
            <w:tcW w:w="837" w:type="pct"/>
            <w:shd w:val="clear" w:color="auto" w:fill="auto"/>
          </w:tcPr>
          <w:p w14:paraId="19524DBD" w14:textId="77777777" w:rsidR="00364937" w:rsidRPr="00073CD1" w:rsidRDefault="00364937" w:rsidP="00F12682">
            <w:pPr>
              <w:spacing w:after="0" w:line="240" w:lineRule="auto"/>
              <w:jc w:val="center"/>
              <w:rPr>
                <w:rFonts w:cstheme="minorHAnsi"/>
              </w:rPr>
            </w:pPr>
            <w:r w:rsidRPr="00073CD1">
              <w:rPr>
                <w:rFonts w:cstheme="minorHAnsi"/>
              </w:rPr>
              <w:t>A2</w:t>
            </w:r>
          </w:p>
        </w:tc>
        <w:tc>
          <w:tcPr>
            <w:tcW w:w="744" w:type="pct"/>
            <w:shd w:val="clear" w:color="auto" w:fill="auto"/>
          </w:tcPr>
          <w:p w14:paraId="57EC6F5E" w14:textId="77777777" w:rsidR="00364937" w:rsidRPr="00603F08" w:rsidRDefault="00364937" w:rsidP="00F12682">
            <w:pPr>
              <w:spacing w:after="0" w:line="240" w:lineRule="auto"/>
              <w:jc w:val="center"/>
              <w:rPr>
                <w:rFonts w:cstheme="minorHAnsi"/>
                <w:b/>
              </w:rPr>
            </w:pPr>
            <w:r w:rsidRPr="00603F08">
              <w:rPr>
                <w:rFonts w:cstheme="minorHAnsi"/>
                <w:b/>
              </w:rPr>
              <w:t>107</w:t>
            </w:r>
          </w:p>
        </w:tc>
      </w:tr>
      <w:tr w:rsidR="00364937" w:rsidRPr="00671F2F" w14:paraId="721EE10B" w14:textId="77777777" w:rsidTr="004A5122">
        <w:trPr>
          <w:trHeight w:val="227"/>
        </w:trPr>
        <w:tc>
          <w:tcPr>
            <w:tcW w:w="3419" w:type="pct"/>
            <w:shd w:val="clear" w:color="auto" w:fill="auto"/>
          </w:tcPr>
          <w:p w14:paraId="5F8F4197" w14:textId="77777777" w:rsidR="00364937" w:rsidRPr="00685320" w:rsidRDefault="00364937" w:rsidP="00F12682">
            <w:pPr>
              <w:spacing w:after="0" w:line="240" w:lineRule="auto"/>
              <w:ind w:left="313"/>
              <w:rPr>
                <w:rFonts w:cstheme="minorHAnsi"/>
              </w:rPr>
            </w:pPr>
            <w:r w:rsidRPr="00685320">
              <w:rPr>
                <w:rFonts w:cstheme="minorHAnsi"/>
              </w:rPr>
              <w:t>Techniciens de santé</w:t>
            </w:r>
          </w:p>
        </w:tc>
        <w:tc>
          <w:tcPr>
            <w:tcW w:w="837" w:type="pct"/>
            <w:shd w:val="clear" w:color="auto" w:fill="auto"/>
          </w:tcPr>
          <w:p w14:paraId="15D43691" w14:textId="77777777" w:rsidR="00364937" w:rsidRPr="00073CD1" w:rsidRDefault="00364937" w:rsidP="00F12682">
            <w:pPr>
              <w:spacing w:after="0" w:line="240" w:lineRule="auto"/>
              <w:jc w:val="center"/>
              <w:rPr>
                <w:rFonts w:cstheme="minorHAnsi"/>
              </w:rPr>
            </w:pPr>
            <w:r w:rsidRPr="00073CD1">
              <w:rPr>
                <w:rFonts w:cstheme="minorHAnsi"/>
              </w:rPr>
              <w:t>A3</w:t>
            </w:r>
          </w:p>
        </w:tc>
        <w:tc>
          <w:tcPr>
            <w:tcW w:w="744" w:type="pct"/>
            <w:shd w:val="clear" w:color="auto" w:fill="auto"/>
          </w:tcPr>
          <w:p w14:paraId="245BD59E" w14:textId="77777777" w:rsidR="00364937" w:rsidRPr="00603F08" w:rsidRDefault="00364937" w:rsidP="00F12682">
            <w:pPr>
              <w:spacing w:after="0" w:line="240" w:lineRule="auto"/>
              <w:jc w:val="center"/>
              <w:rPr>
                <w:rFonts w:cstheme="minorHAnsi"/>
                <w:b/>
              </w:rPr>
            </w:pPr>
            <w:r w:rsidRPr="00603F08">
              <w:rPr>
                <w:rFonts w:cstheme="minorHAnsi"/>
                <w:b/>
              </w:rPr>
              <w:t>02</w:t>
            </w:r>
          </w:p>
        </w:tc>
      </w:tr>
      <w:tr w:rsidR="00364937" w:rsidRPr="00671F2F" w14:paraId="16B3E61E" w14:textId="77777777" w:rsidTr="004A5122">
        <w:trPr>
          <w:trHeight w:val="227"/>
        </w:trPr>
        <w:tc>
          <w:tcPr>
            <w:tcW w:w="3419" w:type="pct"/>
            <w:shd w:val="clear" w:color="auto" w:fill="auto"/>
          </w:tcPr>
          <w:p w14:paraId="25AC4A40" w14:textId="77777777" w:rsidR="00364937" w:rsidRPr="00685320" w:rsidRDefault="00364937" w:rsidP="00F12682">
            <w:pPr>
              <w:spacing w:after="0" w:line="240" w:lineRule="auto"/>
              <w:ind w:left="313"/>
              <w:rPr>
                <w:rFonts w:cstheme="minorHAnsi"/>
              </w:rPr>
            </w:pPr>
            <w:r w:rsidRPr="00685320">
              <w:rPr>
                <w:rFonts w:cstheme="minorHAnsi"/>
              </w:rPr>
              <w:t>Adjoints Techniques d’Elevage</w:t>
            </w:r>
          </w:p>
        </w:tc>
        <w:tc>
          <w:tcPr>
            <w:tcW w:w="837" w:type="pct"/>
            <w:shd w:val="clear" w:color="auto" w:fill="auto"/>
          </w:tcPr>
          <w:p w14:paraId="5DA9386A" w14:textId="77777777" w:rsidR="00364937" w:rsidRPr="00073CD1" w:rsidRDefault="00364937" w:rsidP="00F12682">
            <w:pPr>
              <w:spacing w:after="0" w:line="240" w:lineRule="auto"/>
              <w:jc w:val="center"/>
              <w:rPr>
                <w:rFonts w:cstheme="minorHAnsi"/>
              </w:rPr>
            </w:pPr>
            <w:r w:rsidRPr="00073CD1">
              <w:rPr>
                <w:rFonts w:cstheme="minorHAnsi"/>
              </w:rPr>
              <w:t>B1</w:t>
            </w:r>
          </w:p>
        </w:tc>
        <w:tc>
          <w:tcPr>
            <w:tcW w:w="744" w:type="pct"/>
            <w:shd w:val="clear" w:color="auto" w:fill="auto"/>
          </w:tcPr>
          <w:p w14:paraId="6D3B4ADD" w14:textId="77777777" w:rsidR="00364937" w:rsidRPr="00603F08" w:rsidRDefault="00364937" w:rsidP="00F12682">
            <w:pPr>
              <w:spacing w:after="0" w:line="240" w:lineRule="auto"/>
              <w:jc w:val="center"/>
              <w:rPr>
                <w:rFonts w:cstheme="minorHAnsi"/>
                <w:b/>
              </w:rPr>
            </w:pPr>
            <w:r w:rsidRPr="00603F08">
              <w:rPr>
                <w:rFonts w:cstheme="minorHAnsi"/>
                <w:b/>
              </w:rPr>
              <w:t>357</w:t>
            </w:r>
          </w:p>
        </w:tc>
      </w:tr>
      <w:tr w:rsidR="00364937" w:rsidRPr="00671F2F" w14:paraId="0C9BB0FF" w14:textId="77777777" w:rsidTr="004A5122">
        <w:trPr>
          <w:trHeight w:val="227"/>
        </w:trPr>
        <w:tc>
          <w:tcPr>
            <w:tcW w:w="3419" w:type="pct"/>
            <w:shd w:val="clear" w:color="auto" w:fill="auto"/>
          </w:tcPr>
          <w:p w14:paraId="0E8FBAAF" w14:textId="77777777" w:rsidR="00364937" w:rsidRPr="00685320" w:rsidRDefault="00364937" w:rsidP="00F12682">
            <w:pPr>
              <w:spacing w:after="0" w:line="240" w:lineRule="auto"/>
              <w:ind w:left="313"/>
              <w:rPr>
                <w:rFonts w:cstheme="minorHAnsi"/>
              </w:rPr>
            </w:pPr>
            <w:r w:rsidRPr="00685320">
              <w:rPr>
                <w:rFonts w:cstheme="minorHAnsi"/>
              </w:rPr>
              <w:t>Assistants d’Elevage</w:t>
            </w:r>
          </w:p>
        </w:tc>
        <w:tc>
          <w:tcPr>
            <w:tcW w:w="837" w:type="pct"/>
            <w:shd w:val="clear" w:color="auto" w:fill="auto"/>
          </w:tcPr>
          <w:p w14:paraId="3AF97E60" w14:textId="77777777" w:rsidR="00364937" w:rsidRPr="00073CD1" w:rsidRDefault="00364937" w:rsidP="00F12682">
            <w:pPr>
              <w:spacing w:after="0" w:line="240" w:lineRule="auto"/>
              <w:jc w:val="center"/>
              <w:rPr>
                <w:rFonts w:cstheme="minorHAnsi"/>
              </w:rPr>
            </w:pPr>
            <w:r w:rsidRPr="00073CD1">
              <w:rPr>
                <w:rFonts w:cstheme="minorHAnsi"/>
              </w:rPr>
              <w:t>B2</w:t>
            </w:r>
          </w:p>
        </w:tc>
        <w:tc>
          <w:tcPr>
            <w:tcW w:w="744" w:type="pct"/>
            <w:shd w:val="clear" w:color="auto" w:fill="auto"/>
          </w:tcPr>
          <w:p w14:paraId="1E570D08" w14:textId="77777777" w:rsidR="00364937" w:rsidRPr="00603F08" w:rsidRDefault="00364937" w:rsidP="00F12682">
            <w:pPr>
              <w:spacing w:after="0" w:line="240" w:lineRule="auto"/>
              <w:jc w:val="center"/>
              <w:rPr>
                <w:rFonts w:cstheme="minorHAnsi"/>
                <w:b/>
              </w:rPr>
            </w:pPr>
            <w:r w:rsidRPr="00603F08">
              <w:rPr>
                <w:rFonts w:cstheme="minorHAnsi"/>
                <w:b/>
              </w:rPr>
              <w:t>07</w:t>
            </w:r>
          </w:p>
        </w:tc>
      </w:tr>
      <w:tr w:rsidR="00364937" w:rsidRPr="00671F2F" w14:paraId="0D1DD965" w14:textId="77777777" w:rsidTr="004A5122">
        <w:trPr>
          <w:trHeight w:val="227"/>
        </w:trPr>
        <w:tc>
          <w:tcPr>
            <w:tcW w:w="3419" w:type="pct"/>
            <w:shd w:val="clear" w:color="auto" w:fill="auto"/>
          </w:tcPr>
          <w:p w14:paraId="4BE1DCE2" w14:textId="77777777" w:rsidR="00364937" w:rsidRPr="00685320" w:rsidRDefault="00364937" w:rsidP="00F12682">
            <w:pPr>
              <w:spacing w:after="0" w:line="240" w:lineRule="auto"/>
              <w:ind w:left="313"/>
              <w:rPr>
                <w:rFonts w:cstheme="minorHAnsi"/>
              </w:rPr>
            </w:pPr>
            <w:r w:rsidRPr="00685320">
              <w:rPr>
                <w:rFonts w:cstheme="minorHAnsi"/>
              </w:rPr>
              <w:t>Agents Techniques d’Elevage</w:t>
            </w:r>
          </w:p>
        </w:tc>
        <w:tc>
          <w:tcPr>
            <w:tcW w:w="837" w:type="pct"/>
            <w:shd w:val="clear" w:color="auto" w:fill="auto"/>
          </w:tcPr>
          <w:p w14:paraId="32E3B76C" w14:textId="77777777" w:rsidR="00364937" w:rsidRPr="00073CD1" w:rsidRDefault="00364937" w:rsidP="00F12682">
            <w:pPr>
              <w:spacing w:after="0" w:line="240" w:lineRule="auto"/>
              <w:jc w:val="center"/>
              <w:rPr>
                <w:rFonts w:cstheme="minorHAnsi"/>
              </w:rPr>
            </w:pPr>
            <w:r w:rsidRPr="00073CD1">
              <w:rPr>
                <w:rFonts w:cstheme="minorHAnsi"/>
              </w:rPr>
              <w:t>C1</w:t>
            </w:r>
          </w:p>
        </w:tc>
        <w:tc>
          <w:tcPr>
            <w:tcW w:w="744" w:type="pct"/>
            <w:shd w:val="clear" w:color="auto" w:fill="auto"/>
          </w:tcPr>
          <w:p w14:paraId="71D82C06" w14:textId="77777777" w:rsidR="00364937" w:rsidRPr="00603F08" w:rsidRDefault="00364937" w:rsidP="00F12682">
            <w:pPr>
              <w:spacing w:after="0" w:line="240" w:lineRule="auto"/>
              <w:jc w:val="center"/>
              <w:rPr>
                <w:rFonts w:cstheme="minorHAnsi"/>
                <w:b/>
              </w:rPr>
            </w:pPr>
            <w:r w:rsidRPr="00603F08">
              <w:rPr>
                <w:rFonts w:cstheme="minorHAnsi"/>
                <w:b/>
              </w:rPr>
              <w:t>172</w:t>
            </w:r>
          </w:p>
        </w:tc>
      </w:tr>
      <w:tr w:rsidR="00364937" w:rsidRPr="00671F2F" w14:paraId="07440B32" w14:textId="77777777" w:rsidTr="004A5122">
        <w:trPr>
          <w:trHeight w:val="227"/>
        </w:trPr>
        <w:tc>
          <w:tcPr>
            <w:tcW w:w="3419" w:type="pct"/>
            <w:shd w:val="clear" w:color="auto" w:fill="auto"/>
          </w:tcPr>
          <w:p w14:paraId="4D29AADE" w14:textId="77777777" w:rsidR="00364937" w:rsidRPr="00685320" w:rsidRDefault="00364937" w:rsidP="00F12682">
            <w:pPr>
              <w:spacing w:after="0" w:line="240" w:lineRule="auto"/>
              <w:ind w:left="313"/>
              <w:rPr>
                <w:rFonts w:cstheme="minorHAnsi"/>
              </w:rPr>
            </w:pPr>
            <w:r w:rsidRPr="00685320">
              <w:rPr>
                <w:rFonts w:cstheme="minorHAnsi"/>
              </w:rPr>
              <w:t>Surveillants ou moniteurs d’Elevage</w:t>
            </w:r>
          </w:p>
        </w:tc>
        <w:tc>
          <w:tcPr>
            <w:tcW w:w="837" w:type="pct"/>
            <w:shd w:val="clear" w:color="auto" w:fill="auto"/>
          </w:tcPr>
          <w:p w14:paraId="528CE2CF" w14:textId="77777777" w:rsidR="00364937" w:rsidRPr="00073CD1" w:rsidRDefault="00364937" w:rsidP="00F12682">
            <w:pPr>
              <w:spacing w:after="0" w:line="240" w:lineRule="auto"/>
              <w:jc w:val="center"/>
              <w:rPr>
                <w:rFonts w:cstheme="minorHAnsi"/>
              </w:rPr>
            </w:pPr>
            <w:r w:rsidRPr="00073CD1">
              <w:rPr>
                <w:rFonts w:cstheme="minorHAnsi"/>
              </w:rPr>
              <w:t>D2</w:t>
            </w:r>
          </w:p>
        </w:tc>
        <w:tc>
          <w:tcPr>
            <w:tcW w:w="744" w:type="pct"/>
            <w:shd w:val="clear" w:color="auto" w:fill="auto"/>
          </w:tcPr>
          <w:p w14:paraId="4B93FC54" w14:textId="77777777" w:rsidR="00364937" w:rsidRPr="00603F08" w:rsidRDefault="00364937" w:rsidP="00F12682">
            <w:pPr>
              <w:spacing w:after="0" w:line="240" w:lineRule="auto"/>
              <w:jc w:val="center"/>
              <w:rPr>
                <w:rFonts w:cstheme="minorHAnsi"/>
                <w:b/>
              </w:rPr>
            </w:pPr>
            <w:r w:rsidRPr="00603F08">
              <w:rPr>
                <w:rFonts w:cstheme="minorHAnsi"/>
                <w:b/>
              </w:rPr>
              <w:t>23</w:t>
            </w:r>
          </w:p>
        </w:tc>
      </w:tr>
      <w:tr w:rsidR="00364937" w:rsidRPr="00671F2F" w14:paraId="6FD43BB6" w14:textId="77777777" w:rsidTr="004A5122">
        <w:trPr>
          <w:trHeight w:val="227"/>
        </w:trPr>
        <w:tc>
          <w:tcPr>
            <w:tcW w:w="3419" w:type="pct"/>
            <w:shd w:val="clear" w:color="auto" w:fill="auto"/>
          </w:tcPr>
          <w:p w14:paraId="586E271F" w14:textId="53629D5B" w:rsidR="00364937" w:rsidRPr="00D73A12" w:rsidRDefault="00364937" w:rsidP="00F12682">
            <w:pPr>
              <w:spacing w:after="0" w:line="240" w:lineRule="auto"/>
              <w:rPr>
                <w:rFonts w:cstheme="minorHAnsi"/>
                <w:b/>
              </w:rPr>
            </w:pPr>
            <w:r w:rsidRPr="00685320">
              <w:rPr>
                <w:rFonts w:cstheme="minorHAnsi"/>
                <w:b/>
              </w:rPr>
              <w:t>Sous-total</w:t>
            </w:r>
            <w:r w:rsidR="003D34E5">
              <w:rPr>
                <w:rFonts w:cstheme="minorHAnsi"/>
                <w:b/>
              </w:rPr>
              <w:t xml:space="preserve"> </w:t>
            </w:r>
            <w:r w:rsidR="003C6B88">
              <w:rPr>
                <w:rFonts w:cstheme="minorHAnsi"/>
                <w:b/>
              </w:rPr>
              <w:t>c</w:t>
            </w:r>
            <w:r w:rsidR="003C6B88" w:rsidRPr="0084770A">
              <w:rPr>
                <w:rFonts w:cstheme="minorHAnsi"/>
                <w:b/>
              </w:rPr>
              <w:t>adres de l’Elevage</w:t>
            </w:r>
          </w:p>
        </w:tc>
        <w:tc>
          <w:tcPr>
            <w:tcW w:w="837" w:type="pct"/>
            <w:shd w:val="clear" w:color="auto" w:fill="auto"/>
          </w:tcPr>
          <w:p w14:paraId="14DFC5AD" w14:textId="77777777" w:rsidR="00364937" w:rsidRPr="00685320" w:rsidRDefault="00364937" w:rsidP="00F12682">
            <w:pPr>
              <w:spacing w:after="0" w:line="240" w:lineRule="auto"/>
              <w:jc w:val="center"/>
              <w:rPr>
                <w:rFonts w:cstheme="minorHAnsi"/>
                <w:b/>
              </w:rPr>
            </w:pPr>
          </w:p>
        </w:tc>
        <w:tc>
          <w:tcPr>
            <w:tcW w:w="744" w:type="pct"/>
            <w:shd w:val="clear" w:color="auto" w:fill="auto"/>
          </w:tcPr>
          <w:p w14:paraId="249128BA" w14:textId="77777777" w:rsidR="00364937" w:rsidRPr="00073CD1" w:rsidRDefault="00364937" w:rsidP="00F12682">
            <w:pPr>
              <w:spacing w:after="0" w:line="240" w:lineRule="auto"/>
              <w:jc w:val="center"/>
              <w:rPr>
                <w:rFonts w:cstheme="minorHAnsi"/>
                <w:b/>
              </w:rPr>
            </w:pPr>
            <w:r w:rsidRPr="00073CD1">
              <w:rPr>
                <w:rFonts w:cstheme="minorHAnsi"/>
                <w:b/>
              </w:rPr>
              <w:t>916</w:t>
            </w:r>
          </w:p>
        </w:tc>
      </w:tr>
      <w:tr w:rsidR="00364937" w:rsidRPr="00671F2F" w14:paraId="2A82B14A" w14:textId="77777777" w:rsidTr="004A5122">
        <w:trPr>
          <w:trHeight w:val="227"/>
        </w:trPr>
        <w:tc>
          <w:tcPr>
            <w:tcW w:w="3419" w:type="pct"/>
            <w:shd w:val="clear" w:color="auto" w:fill="auto"/>
          </w:tcPr>
          <w:p w14:paraId="1CF4156D" w14:textId="7980C399" w:rsidR="00364937" w:rsidRPr="00073CD1" w:rsidRDefault="003C6B88" w:rsidP="00F12682">
            <w:pPr>
              <w:spacing w:after="0" w:line="240" w:lineRule="auto"/>
              <w:rPr>
                <w:rFonts w:cstheme="minorHAnsi"/>
                <w:b/>
              </w:rPr>
            </w:pPr>
            <w:r>
              <w:rPr>
                <w:rFonts w:cstheme="minorHAnsi"/>
                <w:b/>
              </w:rPr>
              <w:t>Autres c</w:t>
            </w:r>
            <w:r w:rsidR="00364937" w:rsidRPr="00685320">
              <w:rPr>
                <w:rFonts w:cstheme="minorHAnsi"/>
                <w:b/>
              </w:rPr>
              <w:t xml:space="preserve">adres de l’administration </w:t>
            </w:r>
          </w:p>
        </w:tc>
        <w:tc>
          <w:tcPr>
            <w:tcW w:w="837" w:type="pct"/>
            <w:shd w:val="clear" w:color="auto" w:fill="auto"/>
          </w:tcPr>
          <w:p w14:paraId="5AE6B40A" w14:textId="77777777" w:rsidR="00364937" w:rsidRPr="00603F08" w:rsidRDefault="00364937" w:rsidP="00F12682">
            <w:pPr>
              <w:spacing w:after="0" w:line="240" w:lineRule="auto"/>
              <w:jc w:val="center"/>
              <w:rPr>
                <w:rFonts w:cstheme="minorHAnsi"/>
                <w:b/>
              </w:rPr>
            </w:pPr>
          </w:p>
        </w:tc>
        <w:tc>
          <w:tcPr>
            <w:tcW w:w="744" w:type="pct"/>
            <w:shd w:val="clear" w:color="auto" w:fill="auto"/>
          </w:tcPr>
          <w:p w14:paraId="19DC10F1" w14:textId="77777777" w:rsidR="00364937" w:rsidRPr="004A5122" w:rsidRDefault="00364937" w:rsidP="00F12682">
            <w:pPr>
              <w:spacing w:after="0" w:line="240" w:lineRule="auto"/>
              <w:jc w:val="center"/>
              <w:rPr>
                <w:rFonts w:cstheme="minorHAnsi"/>
                <w:b/>
              </w:rPr>
            </w:pPr>
            <w:r w:rsidRPr="004A5122">
              <w:rPr>
                <w:rFonts w:cstheme="minorHAnsi"/>
                <w:b/>
              </w:rPr>
              <w:t>162</w:t>
            </w:r>
          </w:p>
        </w:tc>
      </w:tr>
      <w:tr w:rsidR="00364937" w:rsidRPr="00671F2F" w14:paraId="0D3CF3DB" w14:textId="77777777" w:rsidTr="004A5122">
        <w:trPr>
          <w:trHeight w:val="227"/>
        </w:trPr>
        <w:tc>
          <w:tcPr>
            <w:tcW w:w="3419" w:type="pct"/>
            <w:shd w:val="clear" w:color="auto" w:fill="auto"/>
          </w:tcPr>
          <w:p w14:paraId="72D81F26" w14:textId="5BDCC1F0" w:rsidR="00364937" w:rsidRPr="00D73A12" w:rsidRDefault="003C6B88" w:rsidP="00F12682">
            <w:pPr>
              <w:spacing w:after="0" w:line="240" w:lineRule="auto"/>
              <w:rPr>
                <w:rFonts w:cstheme="minorHAnsi"/>
                <w:b/>
              </w:rPr>
            </w:pPr>
            <w:r>
              <w:rPr>
                <w:rFonts w:cstheme="minorHAnsi"/>
                <w:b/>
              </w:rPr>
              <w:t xml:space="preserve">Total </w:t>
            </w:r>
            <w:r w:rsidR="00364937" w:rsidRPr="00D73A12">
              <w:rPr>
                <w:rFonts w:cstheme="minorHAnsi"/>
                <w:b/>
              </w:rPr>
              <w:t>auxiliaires</w:t>
            </w:r>
          </w:p>
        </w:tc>
        <w:tc>
          <w:tcPr>
            <w:tcW w:w="837" w:type="pct"/>
            <w:shd w:val="clear" w:color="auto" w:fill="auto"/>
          </w:tcPr>
          <w:p w14:paraId="682FE8A4" w14:textId="77777777" w:rsidR="00364937" w:rsidRPr="00685320" w:rsidRDefault="00364937" w:rsidP="00F12682">
            <w:pPr>
              <w:spacing w:after="0" w:line="240" w:lineRule="auto"/>
              <w:jc w:val="center"/>
              <w:rPr>
                <w:rFonts w:cstheme="minorHAnsi"/>
                <w:b/>
              </w:rPr>
            </w:pPr>
          </w:p>
        </w:tc>
        <w:tc>
          <w:tcPr>
            <w:tcW w:w="744" w:type="pct"/>
            <w:shd w:val="clear" w:color="auto" w:fill="auto"/>
          </w:tcPr>
          <w:p w14:paraId="1B89B6F7" w14:textId="77777777" w:rsidR="00364937" w:rsidRPr="00073CD1" w:rsidRDefault="00364937" w:rsidP="00F12682">
            <w:pPr>
              <w:spacing w:after="0" w:line="240" w:lineRule="auto"/>
              <w:jc w:val="center"/>
              <w:rPr>
                <w:rFonts w:cstheme="minorHAnsi"/>
                <w:b/>
              </w:rPr>
            </w:pPr>
            <w:r w:rsidRPr="00073CD1">
              <w:rPr>
                <w:rFonts w:cstheme="minorHAnsi"/>
                <w:b/>
              </w:rPr>
              <w:t>486</w:t>
            </w:r>
          </w:p>
        </w:tc>
      </w:tr>
      <w:tr w:rsidR="00364937" w:rsidRPr="00671F2F" w14:paraId="5665E64B" w14:textId="77777777" w:rsidTr="004A5122">
        <w:trPr>
          <w:trHeight w:val="227"/>
        </w:trPr>
        <w:tc>
          <w:tcPr>
            <w:tcW w:w="3419" w:type="pct"/>
            <w:shd w:val="clear" w:color="auto" w:fill="auto"/>
          </w:tcPr>
          <w:p w14:paraId="1A89F0B8" w14:textId="799B139B" w:rsidR="00364937" w:rsidRPr="00685320" w:rsidRDefault="003C6B88" w:rsidP="00F12682">
            <w:pPr>
              <w:spacing w:after="0" w:line="240" w:lineRule="auto"/>
              <w:rPr>
                <w:rFonts w:cstheme="minorHAnsi"/>
                <w:b/>
              </w:rPr>
            </w:pPr>
            <w:r>
              <w:rPr>
                <w:rFonts w:cstheme="minorHAnsi"/>
                <w:b/>
              </w:rPr>
              <w:t>Total</w:t>
            </w:r>
          </w:p>
        </w:tc>
        <w:tc>
          <w:tcPr>
            <w:tcW w:w="837" w:type="pct"/>
            <w:shd w:val="clear" w:color="auto" w:fill="auto"/>
          </w:tcPr>
          <w:p w14:paraId="38E487B4" w14:textId="77777777" w:rsidR="00364937" w:rsidRPr="00073CD1" w:rsidRDefault="00364937" w:rsidP="00F12682">
            <w:pPr>
              <w:spacing w:after="0" w:line="240" w:lineRule="auto"/>
              <w:jc w:val="center"/>
              <w:rPr>
                <w:rFonts w:cstheme="minorHAnsi"/>
                <w:b/>
              </w:rPr>
            </w:pPr>
          </w:p>
        </w:tc>
        <w:tc>
          <w:tcPr>
            <w:tcW w:w="744" w:type="pct"/>
            <w:shd w:val="clear" w:color="auto" w:fill="auto"/>
          </w:tcPr>
          <w:p w14:paraId="35AD5A17" w14:textId="77777777" w:rsidR="00364937" w:rsidRPr="00603F08" w:rsidRDefault="00364937" w:rsidP="00F12682">
            <w:pPr>
              <w:spacing w:after="0" w:line="240" w:lineRule="auto"/>
              <w:jc w:val="center"/>
              <w:rPr>
                <w:rFonts w:cstheme="minorHAnsi"/>
                <w:b/>
              </w:rPr>
            </w:pPr>
            <w:r w:rsidRPr="00603F08">
              <w:rPr>
                <w:rFonts w:cstheme="minorHAnsi"/>
                <w:b/>
              </w:rPr>
              <w:t>1 564</w:t>
            </w:r>
          </w:p>
        </w:tc>
      </w:tr>
    </w:tbl>
    <w:p w14:paraId="2CE4665D" w14:textId="62053896" w:rsidR="00132BA9" w:rsidRPr="00907EC7" w:rsidRDefault="00132BA9" w:rsidP="00F12682">
      <w:pPr>
        <w:spacing w:after="0" w:line="240" w:lineRule="auto"/>
        <w:jc w:val="both"/>
        <w:rPr>
          <w:rFonts w:cstheme="minorHAnsi"/>
          <w:sz w:val="20"/>
          <w:szCs w:val="20"/>
        </w:rPr>
      </w:pPr>
      <w:r w:rsidRPr="00907EC7">
        <w:rPr>
          <w:rFonts w:cstheme="minorHAnsi"/>
          <w:sz w:val="20"/>
          <w:szCs w:val="20"/>
          <w:u w:val="single"/>
        </w:rPr>
        <w:t>Source</w:t>
      </w:r>
      <w:r w:rsidRPr="00907EC7">
        <w:rPr>
          <w:rFonts w:cstheme="minorHAnsi"/>
          <w:sz w:val="20"/>
          <w:szCs w:val="20"/>
        </w:rPr>
        <w:t> : DRH/M</w:t>
      </w:r>
      <w:r>
        <w:rPr>
          <w:rFonts w:cstheme="minorHAnsi"/>
          <w:sz w:val="20"/>
          <w:szCs w:val="20"/>
        </w:rPr>
        <w:t>EL</w:t>
      </w:r>
      <w:r w:rsidRPr="00907EC7">
        <w:rPr>
          <w:rFonts w:cstheme="minorHAnsi"/>
          <w:sz w:val="20"/>
          <w:szCs w:val="20"/>
        </w:rPr>
        <w:t>, 2016</w:t>
      </w:r>
    </w:p>
    <w:p w14:paraId="1F36EA6F" w14:textId="77777777" w:rsidR="00EF7D85" w:rsidRPr="00D73A12" w:rsidRDefault="00EF7D85" w:rsidP="00F12682">
      <w:pPr>
        <w:rPr>
          <w:rFonts w:cstheme="minorHAnsi"/>
        </w:rPr>
      </w:pPr>
    </w:p>
    <w:p w14:paraId="503854B7" w14:textId="7A129340" w:rsidR="00F8711D" w:rsidRDefault="00F8711D" w:rsidP="00F12682">
      <w:pPr>
        <w:jc w:val="both"/>
        <w:rPr>
          <w:rFonts w:cs="Calibri"/>
          <w:sz w:val="24"/>
        </w:rPr>
      </w:pPr>
      <w:r w:rsidRPr="00797C5C">
        <w:rPr>
          <w:rFonts w:cs="Calibri"/>
          <w:sz w:val="24"/>
        </w:rPr>
        <w:t>L’analyse de la répartition du personnel en fonction du niveau révèle qu’au sur les 1 078 cadres du Ministère de l’Elevage, 71% sont au niveau déconcentré et 53% des ca</w:t>
      </w:r>
      <w:r w:rsidR="00797C5C">
        <w:rPr>
          <w:rFonts w:cs="Calibri"/>
          <w:sz w:val="24"/>
        </w:rPr>
        <w:t>dres A sont au niveau central.</w:t>
      </w:r>
    </w:p>
    <w:p w14:paraId="2E908A33" w14:textId="77777777" w:rsidR="00797C5C" w:rsidRPr="00797C5C" w:rsidRDefault="00797C5C" w:rsidP="00F12682">
      <w:pPr>
        <w:jc w:val="both"/>
        <w:rPr>
          <w:rFonts w:cstheme="minorHAnsi"/>
        </w:rPr>
      </w:pPr>
    </w:p>
    <w:p w14:paraId="62FB1220" w14:textId="4558B72E" w:rsidR="000654F9" w:rsidRPr="00855DFA" w:rsidRDefault="000654F9" w:rsidP="00F12682">
      <w:pPr>
        <w:pStyle w:val="Lgende"/>
        <w:rPr>
          <w:rFonts w:cstheme="minorHAnsi"/>
        </w:rPr>
      </w:pPr>
      <w:bookmarkStart w:id="50" w:name="_Toc529305057"/>
      <w:r w:rsidRPr="00855DFA">
        <w:rPr>
          <w:rFonts w:cstheme="minorHAnsi"/>
        </w:rPr>
        <w:t xml:space="preserve">Tableau </w:t>
      </w:r>
      <w:r w:rsidRPr="00855DFA">
        <w:rPr>
          <w:rFonts w:cstheme="minorHAnsi"/>
        </w:rPr>
        <w:fldChar w:fldCharType="begin"/>
      </w:r>
      <w:r w:rsidRPr="00855DFA">
        <w:rPr>
          <w:rFonts w:cstheme="minorHAnsi"/>
        </w:rPr>
        <w:instrText xml:space="preserve"> SEQ Tableau \* ARABIC </w:instrText>
      </w:r>
      <w:r w:rsidRPr="00855DFA">
        <w:rPr>
          <w:rFonts w:cstheme="minorHAnsi"/>
        </w:rPr>
        <w:fldChar w:fldCharType="separate"/>
      </w:r>
      <w:r w:rsidR="001C37F0">
        <w:rPr>
          <w:rFonts w:cstheme="minorHAnsi"/>
          <w:noProof/>
        </w:rPr>
        <w:t>3</w:t>
      </w:r>
      <w:r w:rsidRPr="00855DFA">
        <w:rPr>
          <w:rFonts w:cstheme="minorHAnsi"/>
        </w:rPr>
        <w:fldChar w:fldCharType="end"/>
      </w:r>
      <w:r w:rsidR="00855DFA" w:rsidRPr="00855DFA">
        <w:rPr>
          <w:rFonts w:cstheme="minorHAnsi"/>
        </w:rPr>
        <w:t xml:space="preserve"> : </w:t>
      </w:r>
      <w:r w:rsidRPr="00855DFA">
        <w:rPr>
          <w:rFonts w:cstheme="minorHAnsi"/>
        </w:rPr>
        <w:t>Proportion des ressources humaines par niveau administratif au MEL</w:t>
      </w:r>
      <w:r w:rsidR="005978CD" w:rsidRPr="00855DFA">
        <w:rPr>
          <w:rFonts w:cstheme="minorHAnsi"/>
        </w:rPr>
        <w:t xml:space="preserve"> en 2016</w:t>
      </w:r>
      <w:bookmarkEnd w:id="50"/>
    </w:p>
    <w:tbl>
      <w:tblPr>
        <w:tblW w:w="5000" w:type="pct"/>
        <w:tblCellMar>
          <w:left w:w="70" w:type="dxa"/>
          <w:right w:w="70" w:type="dxa"/>
        </w:tblCellMar>
        <w:tblLook w:val="04A0" w:firstRow="1" w:lastRow="0" w:firstColumn="1" w:lastColumn="0" w:noHBand="0" w:noVBand="1"/>
      </w:tblPr>
      <w:tblGrid>
        <w:gridCol w:w="2695"/>
        <w:gridCol w:w="1229"/>
        <w:gridCol w:w="868"/>
        <w:gridCol w:w="723"/>
        <w:gridCol w:w="723"/>
        <w:gridCol w:w="871"/>
        <w:gridCol w:w="993"/>
        <w:gridCol w:w="1516"/>
      </w:tblGrid>
      <w:tr w:rsidR="00245984" w:rsidRPr="00671F2F" w14:paraId="37C25107" w14:textId="77777777" w:rsidTr="00F12682">
        <w:tc>
          <w:tcPr>
            <w:tcW w:w="140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B4F2035" w14:textId="77777777" w:rsidR="00245984" w:rsidRPr="004A5122" w:rsidRDefault="00245984" w:rsidP="00F12682">
            <w:pPr>
              <w:spacing w:after="0" w:line="240" w:lineRule="auto"/>
              <w:jc w:val="center"/>
              <w:rPr>
                <w:rFonts w:eastAsia="Times New Roman" w:cstheme="minorHAnsi"/>
                <w:b/>
                <w:bCs/>
                <w:color w:val="000000"/>
                <w:lang w:eastAsia="fr-FR"/>
              </w:rPr>
            </w:pPr>
            <w:r w:rsidRPr="004A5122">
              <w:rPr>
                <w:rFonts w:eastAsia="Times New Roman" w:cstheme="minorHAnsi"/>
                <w:b/>
                <w:bCs/>
                <w:color w:val="000000"/>
                <w:szCs w:val="24"/>
                <w:lang w:eastAsia="fr-FR"/>
              </w:rPr>
              <w:t>Structures</w:t>
            </w:r>
          </w:p>
        </w:tc>
        <w:tc>
          <w:tcPr>
            <w:tcW w:w="63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5938086" w14:textId="77777777" w:rsidR="00245984" w:rsidRPr="004A5122" w:rsidRDefault="00245984" w:rsidP="00F12682">
            <w:pPr>
              <w:spacing w:after="0" w:line="240" w:lineRule="auto"/>
              <w:jc w:val="center"/>
              <w:rPr>
                <w:rFonts w:eastAsia="Times New Roman" w:cstheme="minorHAnsi"/>
                <w:b/>
                <w:bCs/>
                <w:color w:val="000000"/>
                <w:lang w:eastAsia="fr-FR"/>
              </w:rPr>
            </w:pPr>
            <w:r w:rsidRPr="004A5122">
              <w:rPr>
                <w:rFonts w:eastAsia="Times New Roman" w:cstheme="minorHAnsi"/>
                <w:b/>
                <w:bCs/>
                <w:color w:val="000000"/>
                <w:szCs w:val="24"/>
                <w:lang w:eastAsia="fr-FR"/>
              </w:rPr>
              <w:t>Niveau</w:t>
            </w:r>
          </w:p>
        </w:tc>
        <w:tc>
          <w:tcPr>
            <w:tcW w:w="1656"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26B6647B" w14:textId="77777777" w:rsidR="00245984" w:rsidRPr="004A5122" w:rsidRDefault="00245984" w:rsidP="00F12682">
            <w:pPr>
              <w:spacing w:after="0" w:line="240" w:lineRule="auto"/>
              <w:jc w:val="center"/>
              <w:rPr>
                <w:rFonts w:eastAsia="Times New Roman" w:cstheme="minorHAnsi"/>
                <w:b/>
                <w:bCs/>
                <w:color w:val="000000"/>
                <w:lang w:eastAsia="fr-FR"/>
              </w:rPr>
            </w:pPr>
            <w:r w:rsidRPr="004A5122">
              <w:rPr>
                <w:rFonts w:eastAsia="Times New Roman" w:cstheme="minorHAnsi"/>
                <w:b/>
                <w:bCs/>
                <w:color w:val="000000"/>
                <w:szCs w:val="24"/>
                <w:lang w:eastAsia="fr-FR"/>
              </w:rPr>
              <w:t>Catégories</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398751" w14:textId="77777777" w:rsidR="00245984" w:rsidRPr="004A5122" w:rsidRDefault="00245984" w:rsidP="00F12682">
            <w:pPr>
              <w:spacing w:after="0" w:line="240" w:lineRule="auto"/>
              <w:jc w:val="center"/>
              <w:rPr>
                <w:rFonts w:eastAsia="Times New Roman" w:cstheme="minorHAnsi"/>
                <w:b/>
                <w:bCs/>
                <w:color w:val="000000"/>
                <w:lang w:eastAsia="fr-FR"/>
              </w:rPr>
            </w:pPr>
            <w:r w:rsidRPr="004A5122">
              <w:rPr>
                <w:rFonts w:eastAsia="Times New Roman" w:cstheme="minorHAnsi"/>
                <w:b/>
                <w:bCs/>
                <w:color w:val="000000"/>
                <w:lang w:eastAsia="fr-FR"/>
              </w:rPr>
              <w:t>Total cadre</w:t>
            </w:r>
          </w:p>
        </w:tc>
        <w:tc>
          <w:tcPr>
            <w:tcW w:w="7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0916F3" w14:textId="77777777" w:rsidR="00245984" w:rsidRPr="004A5122" w:rsidRDefault="00245984" w:rsidP="00F12682">
            <w:pPr>
              <w:spacing w:after="0" w:line="240" w:lineRule="auto"/>
              <w:jc w:val="center"/>
              <w:rPr>
                <w:rFonts w:eastAsia="Times New Roman" w:cstheme="minorHAnsi"/>
                <w:b/>
                <w:bCs/>
                <w:color w:val="000000"/>
                <w:lang w:eastAsia="fr-FR"/>
              </w:rPr>
            </w:pPr>
            <w:r w:rsidRPr="004A5122">
              <w:rPr>
                <w:rFonts w:eastAsia="Times New Roman" w:cstheme="minorHAnsi"/>
                <w:b/>
                <w:bCs/>
                <w:color w:val="000000"/>
                <w:szCs w:val="24"/>
                <w:lang w:eastAsia="fr-FR"/>
              </w:rPr>
              <w:t>Auxiliaires</w:t>
            </w:r>
          </w:p>
        </w:tc>
      </w:tr>
      <w:tr w:rsidR="00245984" w:rsidRPr="00671F2F" w14:paraId="3AE05FEE" w14:textId="77777777" w:rsidTr="00F12682">
        <w:tc>
          <w:tcPr>
            <w:tcW w:w="140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AB50D6" w14:textId="77777777" w:rsidR="00245984" w:rsidRPr="004A5122" w:rsidRDefault="00245984" w:rsidP="00F12682">
            <w:pPr>
              <w:spacing w:after="0" w:line="240" w:lineRule="auto"/>
              <w:rPr>
                <w:rFonts w:eastAsia="Times New Roman" w:cstheme="minorHAnsi"/>
                <w:b/>
                <w:bCs/>
                <w:color w:val="000000"/>
                <w:lang w:eastAsia="fr-FR"/>
              </w:rPr>
            </w:pPr>
          </w:p>
        </w:tc>
        <w:tc>
          <w:tcPr>
            <w:tcW w:w="63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B48ECAC" w14:textId="77777777" w:rsidR="00245984" w:rsidRPr="004A5122" w:rsidRDefault="00245984" w:rsidP="00F12682">
            <w:pPr>
              <w:spacing w:after="0" w:line="240" w:lineRule="auto"/>
              <w:rPr>
                <w:rFonts w:eastAsia="Times New Roman" w:cstheme="minorHAnsi"/>
                <w:b/>
                <w:bCs/>
                <w:color w:val="000000"/>
                <w:lang w:eastAsia="fr-FR"/>
              </w:rPr>
            </w:pPr>
          </w:p>
        </w:tc>
        <w:tc>
          <w:tcPr>
            <w:tcW w:w="451" w:type="pct"/>
            <w:tcBorders>
              <w:top w:val="nil"/>
              <w:left w:val="nil"/>
              <w:bottom w:val="single" w:sz="8" w:space="0" w:color="auto"/>
              <w:right w:val="single" w:sz="8" w:space="0" w:color="auto"/>
            </w:tcBorders>
            <w:shd w:val="clear" w:color="auto" w:fill="auto"/>
            <w:noWrap/>
            <w:vAlign w:val="center"/>
            <w:hideMark/>
          </w:tcPr>
          <w:p w14:paraId="27AC4E8A" w14:textId="77777777" w:rsidR="00245984" w:rsidRPr="004A5122" w:rsidRDefault="00245984" w:rsidP="00F12682">
            <w:pPr>
              <w:spacing w:after="0" w:line="240" w:lineRule="auto"/>
              <w:jc w:val="center"/>
              <w:rPr>
                <w:rFonts w:eastAsia="Times New Roman" w:cstheme="minorHAnsi"/>
                <w:b/>
                <w:bCs/>
                <w:color w:val="000000"/>
                <w:lang w:eastAsia="fr-FR"/>
              </w:rPr>
            </w:pPr>
            <w:r w:rsidRPr="004A5122">
              <w:rPr>
                <w:rFonts w:eastAsia="Times New Roman" w:cstheme="minorHAnsi"/>
                <w:b/>
                <w:bCs/>
                <w:color w:val="000000"/>
                <w:szCs w:val="24"/>
                <w:lang w:eastAsia="fr-FR"/>
              </w:rPr>
              <w:t>A</w:t>
            </w:r>
          </w:p>
        </w:tc>
        <w:tc>
          <w:tcPr>
            <w:tcW w:w="376" w:type="pct"/>
            <w:tcBorders>
              <w:top w:val="nil"/>
              <w:left w:val="nil"/>
              <w:bottom w:val="single" w:sz="8" w:space="0" w:color="auto"/>
              <w:right w:val="single" w:sz="8" w:space="0" w:color="auto"/>
            </w:tcBorders>
            <w:shd w:val="clear" w:color="auto" w:fill="auto"/>
            <w:noWrap/>
            <w:vAlign w:val="center"/>
            <w:hideMark/>
          </w:tcPr>
          <w:p w14:paraId="184DC59F" w14:textId="77777777" w:rsidR="00245984" w:rsidRPr="004A5122" w:rsidRDefault="00245984" w:rsidP="00F12682">
            <w:pPr>
              <w:spacing w:after="0" w:line="240" w:lineRule="auto"/>
              <w:jc w:val="center"/>
              <w:rPr>
                <w:rFonts w:eastAsia="Times New Roman" w:cstheme="minorHAnsi"/>
                <w:b/>
                <w:bCs/>
                <w:color w:val="000000"/>
                <w:lang w:eastAsia="fr-FR"/>
              </w:rPr>
            </w:pPr>
            <w:r w:rsidRPr="004A5122">
              <w:rPr>
                <w:rFonts w:eastAsia="Times New Roman" w:cstheme="minorHAnsi"/>
                <w:b/>
                <w:bCs/>
                <w:color w:val="000000"/>
                <w:szCs w:val="24"/>
                <w:lang w:eastAsia="fr-FR"/>
              </w:rPr>
              <w:t>B</w:t>
            </w:r>
          </w:p>
        </w:tc>
        <w:tc>
          <w:tcPr>
            <w:tcW w:w="376" w:type="pct"/>
            <w:tcBorders>
              <w:top w:val="nil"/>
              <w:left w:val="nil"/>
              <w:bottom w:val="single" w:sz="8" w:space="0" w:color="auto"/>
              <w:right w:val="single" w:sz="8" w:space="0" w:color="auto"/>
            </w:tcBorders>
            <w:shd w:val="clear" w:color="auto" w:fill="auto"/>
            <w:noWrap/>
            <w:vAlign w:val="center"/>
            <w:hideMark/>
          </w:tcPr>
          <w:p w14:paraId="7AA33528" w14:textId="77777777" w:rsidR="00245984" w:rsidRPr="004A5122" w:rsidRDefault="00245984" w:rsidP="00F12682">
            <w:pPr>
              <w:spacing w:after="0" w:line="240" w:lineRule="auto"/>
              <w:jc w:val="center"/>
              <w:rPr>
                <w:rFonts w:eastAsia="Times New Roman" w:cstheme="minorHAnsi"/>
                <w:b/>
                <w:bCs/>
                <w:color w:val="000000"/>
                <w:lang w:eastAsia="fr-FR"/>
              </w:rPr>
            </w:pPr>
            <w:r w:rsidRPr="004A5122">
              <w:rPr>
                <w:rFonts w:eastAsia="Times New Roman" w:cstheme="minorHAnsi"/>
                <w:b/>
                <w:bCs/>
                <w:color w:val="000000"/>
                <w:szCs w:val="24"/>
                <w:lang w:eastAsia="fr-FR"/>
              </w:rPr>
              <w:t>C</w:t>
            </w:r>
          </w:p>
        </w:tc>
        <w:tc>
          <w:tcPr>
            <w:tcW w:w="453" w:type="pct"/>
            <w:tcBorders>
              <w:top w:val="nil"/>
              <w:left w:val="nil"/>
              <w:bottom w:val="single" w:sz="8" w:space="0" w:color="auto"/>
              <w:right w:val="single" w:sz="8" w:space="0" w:color="auto"/>
            </w:tcBorders>
            <w:shd w:val="clear" w:color="auto" w:fill="auto"/>
            <w:noWrap/>
            <w:vAlign w:val="center"/>
            <w:hideMark/>
          </w:tcPr>
          <w:p w14:paraId="623B3BE9" w14:textId="77777777" w:rsidR="00245984" w:rsidRPr="004A5122" w:rsidRDefault="00245984" w:rsidP="00F12682">
            <w:pPr>
              <w:spacing w:after="0" w:line="240" w:lineRule="auto"/>
              <w:jc w:val="center"/>
              <w:rPr>
                <w:rFonts w:eastAsia="Times New Roman" w:cstheme="minorHAnsi"/>
                <w:b/>
                <w:bCs/>
                <w:color w:val="000000"/>
                <w:lang w:eastAsia="fr-FR"/>
              </w:rPr>
            </w:pPr>
            <w:r w:rsidRPr="004A5122">
              <w:rPr>
                <w:rFonts w:eastAsia="Times New Roman" w:cstheme="minorHAnsi"/>
                <w:b/>
                <w:bCs/>
                <w:color w:val="000000"/>
                <w:szCs w:val="24"/>
                <w:lang w:eastAsia="fr-FR"/>
              </w:rPr>
              <w:t>D</w:t>
            </w:r>
          </w:p>
        </w:tc>
        <w:tc>
          <w:tcPr>
            <w:tcW w:w="51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5764791" w14:textId="77777777" w:rsidR="00245984" w:rsidRPr="004A5122" w:rsidRDefault="00245984" w:rsidP="00F12682">
            <w:pPr>
              <w:spacing w:after="0" w:line="240" w:lineRule="auto"/>
              <w:rPr>
                <w:rFonts w:eastAsia="Times New Roman" w:cstheme="minorHAnsi"/>
                <w:b/>
                <w:bCs/>
                <w:color w:val="000000"/>
                <w:lang w:eastAsia="fr-FR"/>
              </w:rPr>
            </w:pPr>
          </w:p>
        </w:tc>
        <w:tc>
          <w:tcPr>
            <w:tcW w:w="78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5A44B0E" w14:textId="77777777" w:rsidR="00245984" w:rsidRPr="004A5122" w:rsidRDefault="00245984" w:rsidP="00F12682">
            <w:pPr>
              <w:spacing w:after="0" w:line="240" w:lineRule="auto"/>
              <w:rPr>
                <w:rFonts w:eastAsia="Times New Roman" w:cstheme="minorHAnsi"/>
                <w:b/>
                <w:bCs/>
                <w:color w:val="000000"/>
                <w:lang w:eastAsia="fr-FR"/>
              </w:rPr>
            </w:pPr>
          </w:p>
        </w:tc>
      </w:tr>
      <w:tr w:rsidR="00245984" w:rsidRPr="00671F2F" w14:paraId="21350C0C" w14:textId="77777777" w:rsidTr="00F12682">
        <w:tc>
          <w:tcPr>
            <w:tcW w:w="140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40C958E" w14:textId="77777777" w:rsidR="00245984" w:rsidRPr="004A5122" w:rsidRDefault="00245984" w:rsidP="00F12682">
            <w:pPr>
              <w:spacing w:after="0" w:line="240" w:lineRule="auto"/>
              <w:rPr>
                <w:rFonts w:eastAsia="Times New Roman" w:cstheme="minorHAnsi"/>
                <w:color w:val="000000"/>
                <w:lang w:eastAsia="fr-FR"/>
              </w:rPr>
            </w:pPr>
            <w:r w:rsidRPr="004A5122">
              <w:rPr>
                <w:rFonts w:eastAsia="Times New Roman" w:cstheme="minorHAnsi"/>
                <w:color w:val="000000"/>
                <w:szCs w:val="24"/>
                <w:lang w:eastAsia="fr-FR"/>
              </w:rPr>
              <w:t>Elevage</w:t>
            </w:r>
          </w:p>
        </w:tc>
        <w:tc>
          <w:tcPr>
            <w:tcW w:w="639" w:type="pct"/>
            <w:tcBorders>
              <w:top w:val="nil"/>
              <w:left w:val="nil"/>
              <w:bottom w:val="single" w:sz="8" w:space="0" w:color="auto"/>
              <w:right w:val="single" w:sz="8" w:space="0" w:color="auto"/>
            </w:tcBorders>
            <w:shd w:val="clear" w:color="auto" w:fill="auto"/>
            <w:noWrap/>
            <w:vAlign w:val="center"/>
            <w:hideMark/>
          </w:tcPr>
          <w:p w14:paraId="51D25741" w14:textId="77777777" w:rsidR="00245984" w:rsidRPr="004A5122" w:rsidRDefault="00245984" w:rsidP="00F12682">
            <w:pPr>
              <w:spacing w:after="0" w:line="240" w:lineRule="auto"/>
              <w:rPr>
                <w:rFonts w:eastAsia="Times New Roman" w:cstheme="minorHAnsi"/>
                <w:color w:val="000000"/>
                <w:lang w:eastAsia="fr-FR"/>
              </w:rPr>
            </w:pPr>
            <w:r w:rsidRPr="004A5122">
              <w:rPr>
                <w:rFonts w:eastAsia="Times New Roman" w:cstheme="minorHAnsi"/>
                <w:color w:val="000000"/>
                <w:szCs w:val="24"/>
                <w:lang w:eastAsia="fr-FR"/>
              </w:rPr>
              <w:t>Central</w:t>
            </w:r>
          </w:p>
        </w:tc>
        <w:tc>
          <w:tcPr>
            <w:tcW w:w="451" w:type="pct"/>
            <w:tcBorders>
              <w:top w:val="nil"/>
              <w:left w:val="nil"/>
              <w:bottom w:val="single" w:sz="8" w:space="0" w:color="auto"/>
              <w:right w:val="single" w:sz="8" w:space="0" w:color="auto"/>
            </w:tcBorders>
            <w:shd w:val="clear" w:color="auto" w:fill="auto"/>
            <w:noWrap/>
            <w:vAlign w:val="center"/>
            <w:hideMark/>
          </w:tcPr>
          <w:p w14:paraId="0D6A3D52"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53%</w:t>
            </w:r>
          </w:p>
        </w:tc>
        <w:tc>
          <w:tcPr>
            <w:tcW w:w="376" w:type="pct"/>
            <w:tcBorders>
              <w:top w:val="nil"/>
              <w:left w:val="nil"/>
              <w:bottom w:val="single" w:sz="8" w:space="0" w:color="auto"/>
              <w:right w:val="single" w:sz="8" w:space="0" w:color="auto"/>
            </w:tcBorders>
            <w:shd w:val="clear" w:color="auto" w:fill="auto"/>
            <w:noWrap/>
            <w:vAlign w:val="center"/>
            <w:hideMark/>
          </w:tcPr>
          <w:p w14:paraId="3FBF2B10"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17%</w:t>
            </w:r>
          </w:p>
        </w:tc>
        <w:tc>
          <w:tcPr>
            <w:tcW w:w="376" w:type="pct"/>
            <w:tcBorders>
              <w:top w:val="nil"/>
              <w:left w:val="nil"/>
              <w:bottom w:val="single" w:sz="8" w:space="0" w:color="auto"/>
              <w:right w:val="single" w:sz="8" w:space="0" w:color="auto"/>
            </w:tcBorders>
            <w:shd w:val="clear" w:color="auto" w:fill="auto"/>
            <w:noWrap/>
            <w:vAlign w:val="center"/>
            <w:hideMark/>
          </w:tcPr>
          <w:p w14:paraId="23E3C81A"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5%</w:t>
            </w:r>
          </w:p>
        </w:tc>
        <w:tc>
          <w:tcPr>
            <w:tcW w:w="453" w:type="pct"/>
            <w:tcBorders>
              <w:top w:val="nil"/>
              <w:left w:val="nil"/>
              <w:bottom w:val="single" w:sz="8" w:space="0" w:color="auto"/>
              <w:right w:val="single" w:sz="8" w:space="0" w:color="auto"/>
            </w:tcBorders>
            <w:shd w:val="clear" w:color="auto" w:fill="auto"/>
            <w:noWrap/>
            <w:vAlign w:val="center"/>
            <w:hideMark/>
          </w:tcPr>
          <w:p w14:paraId="74804544"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0%</w:t>
            </w:r>
          </w:p>
        </w:tc>
        <w:tc>
          <w:tcPr>
            <w:tcW w:w="516" w:type="pct"/>
            <w:tcBorders>
              <w:top w:val="nil"/>
              <w:left w:val="nil"/>
              <w:bottom w:val="single" w:sz="8" w:space="0" w:color="auto"/>
              <w:right w:val="single" w:sz="8" w:space="0" w:color="auto"/>
            </w:tcBorders>
            <w:shd w:val="clear" w:color="auto" w:fill="auto"/>
            <w:noWrap/>
            <w:vAlign w:val="center"/>
            <w:hideMark/>
          </w:tcPr>
          <w:p w14:paraId="77EE27E7"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29%</w:t>
            </w:r>
          </w:p>
        </w:tc>
        <w:tc>
          <w:tcPr>
            <w:tcW w:w="788" w:type="pct"/>
            <w:tcBorders>
              <w:top w:val="nil"/>
              <w:left w:val="nil"/>
              <w:bottom w:val="single" w:sz="8" w:space="0" w:color="auto"/>
              <w:right w:val="single" w:sz="8" w:space="0" w:color="auto"/>
            </w:tcBorders>
            <w:shd w:val="clear" w:color="auto" w:fill="auto"/>
            <w:noWrap/>
            <w:vAlign w:val="center"/>
            <w:hideMark/>
          </w:tcPr>
          <w:p w14:paraId="067DBFD5" w14:textId="6969CF87" w:rsidR="00245984" w:rsidRPr="004A5122" w:rsidRDefault="00245984" w:rsidP="00F12682">
            <w:pPr>
              <w:spacing w:after="0" w:line="240" w:lineRule="auto"/>
              <w:jc w:val="right"/>
              <w:rPr>
                <w:rFonts w:eastAsia="Times New Roman" w:cstheme="minorHAnsi"/>
                <w:color w:val="000000"/>
                <w:lang w:eastAsia="fr-FR"/>
              </w:rPr>
            </w:pPr>
          </w:p>
        </w:tc>
      </w:tr>
      <w:tr w:rsidR="00245984" w:rsidRPr="00671F2F" w14:paraId="2D28BCA3" w14:textId="77777777" w:rsidTr="00F12682">
        <w:tc>
          <w:tcPr>
            <w:tcW w:w="1401" w:type="pct"/>
            <w:vMerge/>
            <w:tcBorders>
              <w:top w:val="nil"/>
              <w:left w:val="single" w:sz="8" w:space="0" w:color="auto"/>
              <w:bottom w:val="single" w:sz="8" w:space="0" w:color="000000"/>
              <w:right w:val="single" w:sz="8" w:space="0" w:color="auto"/>
            </w:tcBorders>
            <w:shd w:val="clear" w:color="auto" w:fill="auto"/>
            <w:vAlign w:val="center"/>
            <w:hideMark/>
          </w:tcPr>
          <w:p w14:paraId="0B1BEEA5" w14:textId="77777777" w:rsidR="00245984" w:rsidRPr="004A5122" w:rsidRDefault="00245984" w:rsidP="00F12682">
            <w:pPr>
              <w:spacing w:after="0" w:line="240" w:lineRule="auto"/>
              <w:rPr>
                <w:rFonts w:eastAsia="Times New Roman" w:cstheme="minorHAnsi"/>
                <w:color w:val="000000"/>
                <w:lang w:eastAsia="fr-FR"/>
              </w:rPr>
            </w:pPr>
          </w:p>
        </w:tc>
        <w:tc>
          <w:tcPr>
            <w:tcW w:w="639" w:type="pct"/>
            <w:tcBorders>
              <w:top w:val="nil"/>
              <w:left w:val="nil"/>
              <w:bottom w:val="single" w:sz="8" w:space="0" w:color="auto"/>
              <w:right w:val="single" w:sz="8" w:space="0" w:color="auto"/>
            </w:tcBorders>
            <w:shd w:val="clear" w:color="auto" w:fill="auto"/>
            <w:noWrap/>
            <w:vAlign w:val="center"/>
            <w:hideMark/>
          </w:tcPr>
          <w:p w14:paraId="499EF1F4" w14:textId="77777777" w:rsidR="00245984" w:rsidRPr="004A5122" w:rsidRDefault="00245984" w:rsidP="00F12682">
            <w:pPr>
              <w:spacing w:after="0" w:line="240" w:lineRule="auto"/>
              <w:rPr>
                <w:rFonts w:eastAsia="Times New Roman" w:cstheme="minorHAnsi"/>
                <w:color w:val="000000"/>
                <w:lang w:eastAsia="fr-FR"/>
              </w:rPr>
            </w:pPr>
            <w:r w:rsidRPr="004A5122">
              <w:rPr>
                <w:rFonts w:eastAsia="Times New Roman" w:cstheme="minorHAnsi"/>
                <w:color w:val="000000"/>
                <w:szCs w:val="24"/>
                <w:lang w:eastAsia="fr-FR"/>
              </w:rPr>
              <w:t>Régional</w:t>
            </w:r>
          </w:p>
        </w:tc>
        <w:tc>
          <w:tcPr>
            <w:tcW w:w="451" w:type="pct"/>
            <w:tcBorders>
              <w:top w:val="nil"/>
              <w:left w:val="nil"/>
              <w:bottom w:val="single" w:sz="8" w:space="0" w:color="auto"/>
              <w:right w:val="single" w:sz="8" w:space="0" w:color="auto"/>
            </w:tcBorders>
            <w:shd w:val="clear" w:color="auto" w:fill="auto"/>
            <w:noWrap/>
            <w:vAlign w:val="center"/>
            <w:hideMark/>
          </w:tcPr>
          <w:p w14:paraId="71B4F873"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47%</w:t>
            </w:r>
          </w:p>
        </w:tc>
        <w:tc>
          <w:tcPr>
            <w:tcW w:w="376" w:type="pct"/>
            <w:tcBorders>
              <w:top w:val="nil"/>
              <w:left w:val="nil"/>
              <w:bottom w:val="single" w:sz="8" w:space="0" w:color="auto"/>
              <w:right w:val="single" w:sz="8" w:space="0" w:color="auto"/>
            </w:tcBorders>
            <w:shd w:val="clear" w:color="auto" w:fill="auto"/>
            <w:noWrap/>
            <w:vAlign w:val="center"/>
            <w:hideMark/>
          </w:tcPr>
          <w:p w14:paraId="46AC59AD"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83%</w:t>
            </w:r>
          </w:p>
        </w:tc>
        <w:tc>
          <w:tcPr>
            <w:tcW w:w="376" w:type="pct"/>
            <w:tcBorders>
              <w:top w:val="nil"/>
              <w:left w:val="nil"/>
              <w:bottom w:val="single" w:sz="8" w:space="0" w:color="auto"/>
              <w:right w:val="single" w:sz="8" w:space="0" w:color="auto"/>
            </w:tcBorders>
            <w:shd w:val="clear" w:color="auto" w:fill="auto"/>
            <w:noWrap/>
            <w:vAlign w:val="center"/>
            <w:hideMark/>
          </w:tcPr>
          <w:p w14:paraId="5CF90C1A"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95%</w:t>
            </w:r>
          </w:p>
        </w:tc>
        <w:tc>
          <w:tcPr>
            <w:tcW w:w="453" w:type="pct"/>
            <w:tcBorders>
              <w:top w:val="nil"/>
              <w:left w:val="nil"/>
              <w:bottom w:val="single" w:sz="8" w:space="0" w:color="auto"/>
              <w:right w:val="single" w:sz="8" w:space="0" w:color="auto"/>
            </w:tcBorders>
            <w:shd w:val="clear" w:color="auto" w:fill="auto"/>
            <w:noWrap/>
            <w:vAlign w:val="center"/>
            <w:hideMark/>
          </w:tcPr>
          <w:p w14:paraId="59521B82"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100%</w:t>
            </w:r>
          </w:p>
        </w:tc>
        <w:tc>
          <w:tcPr>
            <w:tcW w:w="516" w:type="pct"/>
            <w:tcBorders>
              <w:top w:val="nil"/>
              <w:left w:val="nil"/>
              <w:bottom w:val="single" w:sz="8" w:space="0" w:color="auto"/>
              <w:right w:val="single" w:sz="8" w:space="0" w:color="auto"/>
            </w:tcBorders>
            <w:shd w:val="clear" w:color="auto" w:fill="auto"/>
            <w:noWrap/>
            <w:vAlign w:val="center"/>
            <w:hideMark/>
          </w:tcPr>
          <w:p w14:paraId="3DF630CE" w14:textId="77777777" w:rsidR="00245984" w:rsidRPr="004A5122" w:rsidRDefault="00245984" w:rsidP="00F12682">
            <w:pPr>
              <w:spacing w:after="0" w:line="240" w:lineRule="auto"/>
              <w:jc w:val="right"/>
              <w:rPr>
                <w:rFonts w:eastAsia="Times New Roman" w:cstheme="minorHAnsi"/>
                <w:b/>
                <w:bCs/>
                <w:color w:val="000000"/>
                <w:lang w:eastAsia="fr-FR"/>
              </w:rPr>
            </w:pPr>
            <w:r w:rsidRPr="004A5122">
              <w:rPr>
                <w:rFonts w:eastAsia="Times New Roman" w:cstheme="minorHAnsi"/>
                <w:b/>
                <w:bCs/>
                <w:color w:val="000000"/>
                <w:lang w:eastAsia="fr-FR"/>
              </w:rPr>
              <w:t>71%</w:t>
            </w:r>
          </w:p>
        </w:tc>
        <w:tc>
          <w:tcPr>
            <w:tcW w:w="788" w:type="pct"/>
            <w:tcBorders>
              <w:top w:val="nil"/>
              <w:left w:val="nil"/>
              <w:bottom w:val="single" w:sz="8" w:space="0" w:color="auto"/>
              <w:right w:val="single" w:sz="8" w:space="0" w:color="auto"/>
            </w:tcBorders>
            <w:shd w:val="clear" w:color="auto" w:fill="auto"/>
            <w:noWrap/>
            <w:vAlign w:val="center"/>
            <w:hideMark/>
          </w:tcPr>
          <w:p w14:paraId="28BB1BDD" w14:textId="77777777" w:rsidR="00245984" w:rsidRPr="004A5122" w:rsidRDefault="00245984" w:rsidP="00F12682">
            <w:pPr>
              <w:spacing w:after="0" w:line="240" w:lineRule="auto"/>
              <w:jc w:val="right"/>
              <w:rPr>
                <w:rFonts w:eastAsia="Times New Roman" w:cstheme="minorHAnsi"/>
                <w:color w:val="000000"/>
                <w:lang w:eastAsia="fr-FR"/>
              </w:rPr>
            </w:pPr>
            <w:r w:rsidRPr="004A5122">
              <w:rPr>
                <w:rFonts w:eastAsia="Times New Roman" w:cstheme="minorHAnsi"/>
                <w:color w:val="000000"/>
                <w:lang w:eastAsia="fr-FR"/>
              </w:rPr>
              <w:t>100%</w:t>
            </w:r>
          </w:p>
        </w:tc>
      </w:tr>
    </w:tbl>
    <w:p w14:paraId="4FD4D3A9" w14:textId="77777777" w:rsidR="00132BA9" w:rsidRPr="00907EC7" w:rsidRDefault="00132BA9" w:rsidP="00F12682">
      <w:pPr>
        <w:spacing w:after="0" w:line="240" w:lineRule="auto"/>
        <w:jc w:val="both"/>
        <w:rPr>
          <w:rFonts w:cstheme="minorHAnsi"/>
          <w:sz w:val="20"/>
          <w:szCs w:val="20"/>
        </w:rPr>
      </w:pPr>
      <w:r w:rsidRPr="00907EC7">
        <w:rPr>
          <w:rFonts w:cstheme="minorHAnsi"/>
          <w:sz w:val="20"/>
          <w:szCs w:val="20"/>
          <w:u w:val="single"/>
        </w:rPr>
        <w:t>Source</w:t>
      </w:r>
      <w:r w:rsidRPr="00907EC7">
        <w:rPr>
          <w:rFonts w:cstheme="minorHAnsi"/>
          <w:sz w:val="20"/>
          <w:szCs w:val="20"/>
        </w:rPr>
        <w:t> : DRH/M</w:t>
      </w:r>
      <w:r>
        <w:rPr>
          <w:rFonts w:cstheme="minorHAnsi"/>
          <w:sz w:val="20"/>
          <w:szCs w:val="20"/>
        </w:rPr>
        <w:t>EL</w:t>
      </w:r>
      <w:r w:rsidRPr="00907EC7">
        <w:rPr>
          <w:rFonts w:cstheme="minorHAnsi"/>
          <w:sz w:val="20"/>
          <w:szCs w:val="20"/>
        </w:rPr>
        <w:t>, 2016</w:t>
      </w:r>
    </w:p>
    <w:p w14:paraId="2ADBC7C2" w14:textId="77777777" w:rsidR="005978CD" w:rsidRDefault="005978CD" w:rsidP="00F12682">
      <w:pPr>
        <w:jc w:val="both"/>
        <w:rPr>
          <w:rFonts w:cs="Calibri"/>
          <w:sz w:val="24"/>
        </w:rPr>
      </w:pPr>
    </w:p>
    <w:p w14:paraId="59A39F41" w14:textId="74B3DBD0" w:rsidR="00132BA9" w:rsidRDefault="00132BA9" w:rsidP="00F12682">
      <w:pPr>
        <w:pStyle w:val="Titre4"/>
        <w:rPr>
          <w:rFonts w:asciiTheme="minorHAnsi" w:hAnsiTheme="minorHAnsi" w:cstheme="minorHAnsi"/>
        </w:rPr>
      </w:pPr>
      <w:r w:rsidRPr="00671F2F">
        <w:rPr>
          <w:rFonts w:asciiTheme="minorHAnsi" w:hAnsiTheme="minorHAnsi" w:cstheme="minorHAnsi"/>
        </w:rPr>
        <w:t xml:space="preserve">Synthèse et perspective en matière de </w:t>
      </w:r>
      <w:r w:rsidRPr="00132BA9">
        <w:rPr>
          <w:rFonts w:asciiTheme="minorHAnsi" w:hAnsiTheme="minorHAnsi" w:cstheme="minorHAnsi"/>
        </w:rPr>
        <w:t>Gestion des Finances Publiques</w:t>
      </w:r>
    </w:p>
    <w:p w14:paraId="510F1BB4" w14:textId="77777777" w:rsidR="00B70B9C" w:rsidRPr="009024D0" w:rsidRDefault="00B70B9C" w:rsidP="00F12682">
      <w:pPr>
        <w:jc w:val="both"/>
        <w:rPr>
          <w:rFonts w:cs="Calibri"/>
          <w:sz w:val="24"/>
        </w:rPr>
      </w:pPr>
      <w:r>
        <w:rPr>
          <w:rFonts w:cs="Calibri"/>
          <w:sz w:val="24"/>
        </w:rPr>
        <w:t>Jusqu’en 2016, le Ministère de l’Elevage n’élabore pas des plans d’actions annuels, il s’aligne sur le plan d’action 2016-2020 de l’Initiative 3N.</w:t>
      </w:r>
    </w:p>
    <w:p w14:paraId="4BA69DE2" w14:textId="77777777" w:rsidR="00B70B9C" w:rsidRDefault="00B70B9C" w:rsidP="00F12682">
      <w:pPr>
        <w:jc w:val="both"/>
        <w:rPr>
          <w:rFonts w:cs="Calibri"/>
          <w:sz w:val="24"/>
        </w:rPr>
      </w:pPr>
      <w:r>
        <w:rPr>
          <w:rFonts w:cs="Calibri"/>
          <w:sz w:val="24"/>
        </w:rPr>
        <w:t>Tout comme pour le sous-secteur de l’agriculture, en 2016 le sous-secteur de l’élevage ne dispose pas des rapports d’activités en lien avec les dépenses publiques. Le seul rapport disponible qui donne les activités et les coûts est celui qui est produit dans le cadre du CIO.</w:t>
      </w:r>
    </w:p>
    <w:p w14:paraId="5203CA9B" w14:textId="77777777" w:rsidR="00B70B9C" w:rsidRDefault="00B70B9C" w:rsidP="00F12682">
      <w:pPr>
        <w:jc w:val="both"/>
        <w:rPr>
          <w:rFonts w:cs="Calibri"/>
          <w:sz w:val="24"/>
        </w:rPr>
      </w:pPr>
      <w:r>
        <w:rPr>
          <w:rFonts w:cs="Calibri"/>
          <w:sz w:val="24"/>
        </w:rPr>
        <w:t>La structuration du personnel du sous-secteur de l’élevage est dominé par les cadres A, contrairement aux directives de la Loi 26-2007. Aussi, plus de la moitié des cadres A sont concentrés au niveau central.</w:t>
      </w:r>
    </w:p>
    <w:p w14:paraId="6F2916F5" w14:textId="77777777" w:rsidR="00757CF6" w:rsidRDefault="00757CF6" w:rsidP="00F12682">
      <w:pPr>
        <w:jc w:val="both"/>
        <w:rPr>
          <w:rFonts w:cs="Calibri"/>
          <w:sz w:val="24"/>
        </w:rPr>
      </w:pPr>
    </w:p>
    <w:p w14:paraId="2E526784" w14:textId="77777777" w:rsidR="00335816" w:rsidRDefault="00335816" w:rsidP="00F12682">
      <w:pPr>
        <w:jc w:val="both"/>
        <w:rPr>
          <w:rFonts w:cs="Calibri"/>
          <w:sz w:val="24"/>
        </w:rPr>
      </w:pPr>
    </w:p>
    <w:p w14:paraId="2A5A0C92" w14:textId="77777777" w:rsidR="00335816" w:rsidRPr="005978CD" w:rsidRDefault="00335816" w:rsidP="00F12682">
      <w:pPr>
        <w:jc w:val="both"/>
        <w:rPr>
          <w:rFonts w:cs="Calibri"/>
          <w:sz w:val="24"/>
        </w:rPr>
      </w:pPr>
    </w:p>
    <w:p w14:paraId="237F9C71" w14:textId="1A17EC2E" w:rsidR="004273D7" w:rsidRDefault="00AB54C6" w:rsidP="00F12682">
      <w:pPr>
        <w:pStyle w:val="Titre3"/>
        <w:numPr>
          <w:ilvl w:val="2"/>
          <w:numId w:val="21"/>
        </w:numPr>
        <w:rPr>
          <w:rFonts w:asciiTheme="minorHAnsi" w:hAnsiTheme="minorHAnsi" w:cstheme="minorHAnsi"/>
        </w:rPr>
      </w:pPr>
      <w:bookmarkStart w:id="51" w:name="_Toc529305018"/>
      <w:r w:rsidRPr="004A5122">
        <w:rPr>
          <w:rFonts w:asciiTheme="minorHAnsi" w:hAnsiTheme="minorHAnsi" w:cstheme="minorHAnsi"/>
        </w:rPr>
        <w:lastRenderedPageBreak/>
        <w:t>Ministère de l’Environnement et de Développement Durable</w:t>
      </w:r>
      <w:r w:rsidR="003D1348">
        <w:rPr>
          <w:rFonts w:asciiTheme="minorHAnsi" w:hAnsiTheme="minorHAnsi" w:cstheme="minorHAnsi"/>
        </w:rPr>
        <w:t xml:space="preserve"> (MEDD)</w:t>
      </w:r>
      <w:bookmarkEnd w:id="51"/>
    </w:p>
    <w:p w14:paraId="7214F567" w14:textId="4263C4EC" w:rsidR="00B46B70" w:rsidRDefault="00B46B70" w:rsidP="00F12682">
      <w:pPr>
        <w:pStyle w:val="Titre4"/>
        <w:rPr>
          <w:rFonts w:asciiTheme="minorHAnsi" w:hAnsiTheme="minorHAnsi" w:cstheme="minorHAnsi"/>
        </w:rPr>
      </w:pPr>
      <w:r w:rsidRPr="00A97060">
        <w:rPr>
          <w:rFonts w:asciiTheme="minorHAnsi" w:hAnsiTheme="minorHAnsi" w:cstheme="minorHAnsi"/>
        </w:rPr>
        <w:t>Analyse de la planification/programmation</w:t>
      </w:r>
      <w:r w:rsidR="0055070A">
        <w:rPr>
          <w:rFonts w:asciiTheme="minorHAnsi" w:hAnsiTheme="minorHAnsi" w:cstheme="minorHAnsi"/>
        </w:rPr>
        <w:t>,</w:t>
      </w:r>
      <w:r w:rsidRPr="00A97060">
        <w:rPr>
          <w:rFonts w:asciiTheme="minorHAnsi" w:hAnsiTheme="minorHAnsi" w:cstheme="minorHAnsi"/>
        </w:rPr>
        <w:t xml:space="preserve"> de la budgétisation des dépenses</w:t>
      </w:r>
      <w:r w:rsidR="00223BCE">
        <w:rPr>
          <w:rFonts w:asciiTheme="minorHAnsi" w:hAnsiTheme="minorHAnsi" w:cstheme="minorHAnsi"/>
        </w:rPr>
        <w:t xml:space="preserve"> </w:t>
      </w:r>
      <w:r w:rsidR="00223BCE" w:rsidRPr="00A97060">
        <w:rPr>
          <w:rFonts w:asciiTheme="minorHAnsi" w:hAnsiTheme="minorHAnsi" w:cstheme="minorHAnsi"/>
        </w:rPr>
        <w:t>et de reddition des comptes</w:t>
      </w:r>
    </w:p>
    <w:p w14:paraId="7141E40E" w14:textId="3A9F84D4" w:rsidR="00DA16F0" w:rsidRPr="00406E83" w:rsidRDefault="00DA16F0" w:rsidP="00F12682">
      <w:pPr>
        <w:spacing w:after="120" w:line="276" w:lineRule="auto"/>
        <w:ind w:right="-285"/>
        <w:jc w:val="both"/>
        <w:rPr>
          <w:rFonts w:ascii="Calibri" w:hAnsi="Calibri" w:cs="Calibri"/>
          <w:sz w:val="24"/>
        </w:rPr>
      </w:pPr>
      <w:r w:rsidRPr="00406E83">
        <w:rPr>
          <w:rFonts w:ascii="Calibri" w:hAnsi="Calibri" w:cs="Calibri"/>
          <w:sz w:val="24"/>
        </w:rPr>
        <w:t xml:space="preserve">Dans le domaine de l’environnement, </w:t>
      </w:r>
      <w:r w:rsidR="00C96B04" w:rsidRPr="00406E83">
        <w:rPr>
          <w:rFonts w:ascii="Calibri" w:hAnsi="Calibri" w:cs="Calibri"/>
          <w:sz w:val="24"/>
        </w:rPr>
        <w:t>l’élaboration des documents des</w:t>
      </w:r>
      <w:r w:rsidRPr="00406E83">
        <w:rPr>
          <w:rFonts w:ascii="Calibri" w:hAnsi="Calibri" w:cs="Calibri"/>
          <w:sz w:val="24"/>
        </w:rPr>
        <w:t xml:space="preserve"> stratégies spécifiques </w:t>
      </w:r>
      <w:r w:rsidR="001D095C" w:rsidRPr="00406E83">
        <w:rPr>
          <w:rFonts w:ascii="Calibri" w:hAnsi="Calibri" w:cs="Calibri"/>
          <w:sz w:val="24"/>
        </w:rPr>
        <w:t>tels que</w:t>
      </w:r>
      <w:r w:rsidRPr="00406E83">
        <w:rPr>
          <w:rFonts w:ascii="Calibri" w:hAnsi="Calibri" w:cs="Calibri"/>
          <w:sz w:val="24"/>
        </w:rPr>
        <w:t> :</w:t>
      </w:r>
    </w:p>
    <w:p w14:paraId="26710CC4" w14:textId="74132863" w:rsidR="00F67006" w:rsidRPr="00406E83" w:rsidRDefault="001D095C" w:rsidP="00F12682">
      <w:pPr>
        <w:pStyle w:val="Paragraphedeliste"/>
        <w:numPr>
          <w:ilvl w:val="0"/>
          <w:numId w:val="36"/>
        </w:numPr>
        <w:spacing w:after="120" w:line="276" w:lineRule="auto"/>
        <w:ind w:left="567" w:hanging="207"/>
        <w:contextualSpacing w:val="0"/>
        <w:jc w:val="both"/>
        <w:rPr>
          <w:rFonts w:ascii="Calibri" w:hAnsi="Calibri" w:cs="Calibri"/>
          <w:sz w:val="24"/>
        </w:rPr>
      </w:pPr>
      <w:r w:rsidRPr="00406E83">
        <w:rPr>
          <w:rFonts w:ascii="Calibri" w:hAnsi="Calibri" w:cs="Calibri"/>
          <w:sz w:val="24"/>
        </w:rPr>
        <w:t>l</w:t>
      </w:r>
      <w:r w:rsidR="00847C1A" w:rsidRPr="00406E83">
        <w:rPr>
          <w:rFonts w:ascii="Calibri" w:hAnsi="Calibri" w:cs="Calibri"/>
          <w:sz w:val="24"/>
        </w:rPr>
        <w:t xml:space="preserve">e </w:t>
      </w:r>
      <w:r w:rsidR="008B4058" w:rsidRPr="00406E83">
        <w:rPr>
          <w:rFonts w:ascii="Calibri" w:hAnsi="Calibri" w:cs="Calibri"/>
          <w:sz w:val="24"/>
        </w:rPr>
        <w:t>C</w:t>
      </w:r>
      <w:r w:rsidR="00F67006" w:rsidRPr="00406E83">
        <w:rPr>
          <w:rFonts w:ascii="Calibri" w:hAnsi="Calibri" w:cs="Calibri"/>
          <w:sz w:val="24"/>
        </w:rPr>
        <w:t>adre Stratégique du Niger en matière de Gestion Durable des Terres (CS-GDT) ;</w:t>
      </w:r>
    </w:p>
    <w:p w14:paraId="5A038070" w14:textId="3184379D" w:rsidR="00F67006" w:rsidRPr="00406E83" w:rsidRDefault="001D095C" w:rsidP="00F12682">
      <w:pPr>
        <w:pStyle w:val="Paragraphedeliste"/>
        <w:numPr>
          <w:ilvl w:val="0"/>
          <w:numId w:val="36"/>
        </w:numPr>
        <w:spacing w:after="120" w:line="276" w:lineRule="auto"/>
        <w:ind w:left="567" w:hanging="207"/>
        <w:contextualSpacing w:val="0"/>
        <w:jc w:val="both"/>
        <w:rPr>
          <w:rFonts w:ascii="Calibri" w:hAnsi="Calibri" w:cs="Calibri"/>
          <w:sz w:val="24"/>
        </w:rPr>
      </w:pPr>
      <w:r w:rsidRPr="00406E83">
        <w:rPr>
          <w:rFonts w:ascii="Calibri" w:hAnsi="Calibri" w:cs="Calibri"/>
          <w:sz w:val="24"/>
        </w:rPr>
        <w:t>l</w:t>
      </w:r>
      <w:r w:rsidR="00847C1A" w:rsidRPr="00406E83">
        <w:rPr>
          <w:rFonts w:ascii="Calibri" w:hAnsi="Calibri" w:cs="Calibri"/>
          <w:sz w:val="24"/>
        </w:rPr>
        <w:t xml:space="preserve">a </w:t>
      </w:r>
      <w:r w:rsidR="008B4058" w:rsidRPr="00406E83">
        <w:rPr>
          <w:rFonts w:ascii="Calibri" w:hAnsi="Calibri" w:cs="Calibri"/>
          <w:sz w:val="24"/>
        </w:rPr>
        <w:t>S</w:t>
      </w:r>
      <w:r w:rsidR="00F67006" w:rsidRPr="00406E83">
        <w:rPr>
          <w:rFonts w:ascii="Calibri" w:hAnsi="Calibri" w:cs="Calibri"/>
          <w:sz w:val="24"/>
        </w:rPr>
        <w:t>tratégie Nationale Opérationnelle de gestion des Déchets Plastiques et d’une stratégie nationale de gestion de l’environnement urbain ;</w:t>
      </w:r>
    </w:p>
    <w:p w14:paraId="53631C3B" w14:textId="6257A5D5" w:rsidR="00F67006" w:rsidRPr="00406E83" w:rsidRDefault="001D095C" w:rsidP="00F12682">
      <w:pPr>
        <w:pStyle w:val="Paragraphedeliste"/>
        <w:numPr>
          <w:ilvl w:val="0"/>
          <w:numId w:val="36"/>
        </w:numPr>
        <w:spacing w:after="120" w:line="276" w:lineRule="auto"/>
        <w:ind w:left="567" w:hanging="207"/>
        <w:contextualSpacing w:val="0"/>
        <w:jc w:val="both"/>
        <w:rPr>
          <w:rFonts w:ascii="Calibri" w:hAnsi="Calibri" w:cs="Calibri"/>
          <w:sz w:val="24"/>
        </w:rPr>
      </w:pPr>
      <w:r w:rsidRPr="00406E83">
        <w:rPr>
          <w:rFonts w:ascii="Calibri" w:hAnsi="Calibri" w:cs="Calibri"/>
          <w:sz w:val="24"/>
        </w:rPr>
        <w:t>l</w:t>
      </w:r>
      <w:r w:rsidR="00847C1A" w:rsidRPr="00406E83">
        <w:rPr>
          <w:rFonts w:ascii="Calibri" w:hAnsi="Calibri" w:cs="Calibri"/>
          <w:sz w:val="24"/>
        </w:rPr>
        <w:t xml:space="preserve">a </w:t>
      </w:r>
      <w:r w:rsidR="008B4058" w:rsidRPr="00406E83">
        <w:rPr>
          <w:rFonts w:ascii="Calibri" w:hAnsi="Calibri" w:cs="Calibri"/>
          <w:sz w:val="24"/>
        </w:rPr>
        <w:t>S</w:t>
      </w:r>
      <w:r w:rsidR="00F67006" w:rsidRPr="00406E83">
        <w:rPr>
          <w:rFonts w:ascii="Calibri" w:hAnsi="Calibri" w:cs="Calibri"/>
          <w:sz w:val="24"/>
        </w:rPr>
        <w:t>tratégie nationale et de son plan d’action sur la diversité biologique.</w:t>
      </w:r>
    </w:p>
    <w:p w14:paraId="3C63A7A8" w14:textId="2551BF95" w:rsidR="006B72F9" w:rsidRPr="00406E83" w:rsidRDefault="001C49DF" w:rsidP="00F12682">
      <w:pPr>
        <w:spacing w:after="120" w:line="276" w:lineRule="auto"/>
        <w:jc w:val="both"/>
        <w:rPr>
          <w:rFonts w:ascii="Calibri" w:hAnsi="Calibri" w:cs="Calibri"/>
          <w:sz w:val="24"/>
        </w:rPr>
      </w:pPr>
      <w:r w:rsidRPr="00406E83">
        <w:rPr>
          <w:rFonts w:ascii="Calibri" w:hAnsi="Calibri" w:cs="Calibri"/>
          <w:sz w:val="24"/>
        </w:rPr>
        <w:t xml:space="preserve">Sur le plan planification, le MEDD se </w:t>
      </w:r>
      <w:r w:rsidR="00686F82" w:rsidRPr="00406E83">
        <w:rPr>
          <w:rFonts w:ascii="Calibri" w:hAnsi="Calibri" w:cs="Calibri"/>
          <w:sz w:val="24"/>
        </w:rPr>
        <w:t>réfère</w:t>
      </w:r>
      <w:r w:rsidRPr="00406E83">
        <w:rPr>
          <w:rFonts w:ascii="Calibri" w:hAnsi="Calibri" w:cs="Calibri"/>
          <w:sz w:val="24"/>
        </w:rPr>
        <w:t xml:space="preserve"> à la SANDA</w:t>
      </w:r>
      <w:r w:rsidR="00686F82" w:rsidRPr="00406E83">
        <w:rPr>
          <w:rFonts w:ascii="Calibri" w:hAnsi="Calibri" w:cs="Calibri"/>
          <w:sz w:val="24"/>
        </w:rPr>
        <w:t>D et son Plan d’Action</w:t>
      </w:r>
      <w:r w:rsidR="005978CD" w:rsidRPr="00406E83">
        <w:rPr>
          <w:rFonts w:ascii="Calibri" w:hAnsi="Calibri" w:cs="Calibri"/>
          <w:sz w:val="24"/>
        </w:rPr>
        <w:t xml:space="preserve"> 2016-2020</w:t>
      </w:r>
      <w:r w:rsidRPr="00406E83">
        <w:rPr>
          <w:rFonts w:ascii="Calibri" w:hAnsi="Calibri" w:cs="Calibri"/>
          <w:sz w:val="24"/>
        </w:rPr>
        <w:t xml:space="preserve">, </w:t>
      </w:r>
      <w:r w:rsidR="0024205A" w:rsidRPr="00406E83">
        <w:rPr>
          <w:rFonts w:ascii="Calibri" w:hAnsi="Calibri" w:cs="Calibri"/>
          <w:sz w:val="24"/>
        </w:rPr>
        <w:t xml:space="preserve">il n’existe pas une </w:t>
      </w:r>
      <w:r w:rsidR="00DA16F0" w:rsidRPr="00406E83">
        <w:rPr>
          <w:rFonts w:ascii="Calibri" w:hAnsi="Calibri" w:cs="Calibri"/>
          <w:sz w:val="24"/>
        </w:rPr>
        <w:t>politique globale au MEDD</w:t>
      </w:r>
      <w:r w:rsidR="00C96B04" w:rsidRPr="00406E83">
        <w:rPr>
          <w:rFonts w:ascii="Calibri" w:hAnsi="Calibri" w:cs="Calibri"/>
          <w:sz w:val="24"/>
        </w:rPr>
        <w:t xml:space="preserve">. Cependant en 2016, </w:t>
      </w:r>
      <w:r w:rsidR="003A775F" w:rsidRPr="00406E83">
        <w:rPr>
          <w:rFonts w:ascii="Calibri" w:hAnsi="Calibri" w:cs="Calibri"/>
          <w:sz w:val="24"/>
        </w:rPr>
        <w:t>le Ministère de l’Environnement de Développement Durable</w:t>
      </w:r>
      <w:r w:rsidR="003729D6" w:rsidRPr="00406E83">
        <w:rPr>
          <w:rFonts w:ascii="Calibri" w:hAnsi="Calibri" w:cs="Calibri"/>
          <w:sz w:val="24"/>
        </w:rPr>
        <w:t xml:space="preserve"> a élaboré un document </w:t>
      </w:r>
      <w:r w:rsidR="0024205A" w:rsidRPr="00406E83">
        <w:rPr>
          <w:rFonts w:ascii="Calibri" w:hAnsi="Calibri" w:cs="Calibri"/>
          <w:sz w:val="24"/>
        </w:rPr>
        <w:t>programmatique</w:t>
      </w:r>
      <w:r w:rsidR="003729D6" w:rsidRPr="00406E83">
        <w:rPr>
          <w:rFonts w:ascii="Calibri" w:hAnsi="Calibri" w:cs="Calibri"/>
          <w:sz w:val="24"/>
        </w:rPr>
        <w:t xml:space="preserve"> pour l’opérationnalisation de l</w:t>
      </w:r>
      <w:r w:rsidR="006B72F9" w:rsidRPr="00406E83">
        <w:rPr>
          <w:rFonts w:ascii="Calibri" w:hAnsi="Calibri" w:cs="Calibri"/>
          <w:sz w:val="24"/>
        </w:rPr>
        <w:t>’axe stratégique 3</w:t>
      </w:r>
      <w:r w:rsidR="003729D6" w:rsidRPr="00406E83">
        <w:rPr>
          <w:rFonts w:ascii="Calibri" w:hAnsi="Calibri" w:cs="Calibri"/>
          <w:sz w:val="24"/>
        </w:rPr>
        <w:t xml:space="preserve"> du Plan d’action</w:t>
      </w:r>
      <w:r w:rsidR="00AF324D">
        <w:rPr>
          <w:rFonts w:ascii="Calibri" w:hAnsi="Calibri" w:cs="Calibri"/>
          <w:sz w:val="24"/>
        </w:rPr>
        <w:t xml:space="preserve"> 2016-2020</w:t>
      </w:r>
      <w:r w:rsidR="003729D6" w:rsidRPr="00406E83">
        <w:rPr>
          <w:rFonts w:ascii="Calibri" w:hAnsi="Calibri" w:cs="Calibri"/>
          <w:sz w:val="24"/>
        </w:rPr>
        <w:t xml:space="preserve"> de la SANDAD.</w:t>
      </w:r>
      <w:r w:rsidR="006B72F9" w:rsidRPr="00406E83">
        <w:rPr>
          <w:rFonts w:ascii="Calibri" w:hAnsi="Calibri" w:cs="Calibri"/>
          <w:sz w:val="24"/>
        </w:rPr>
        <w:t xml:space="preserve"> </w:t>
      </w:r>
      <w:r w:rsidR="00102ACC" w:rsidRPr="00406E83">
        <w:rPr>
          <w:rFonts w:ascii="Calibri" w:hAnsi="Calibri" w:cs="Calibri"/>
          <w:sz w:val="24"/>
        </w:rPr>
        <w:t>Ainsi, q</w:t>
      </w:r>
      <w:r w:rsidR="006B72F9" w:rsidRPr="00406E83">
        <w:rPr>
          <w:rFonts w:ascii="Calibri" w:hAnsi="Calibri" w:cs="Calibri"/>
          <w:sz w:val="24"/>
        </w:rPr>
        <w:t>uatre programmes spécifiques sous tendant la mise en œuvre de l’axe 3 : i) Gestion durable des terres et des eaux ; ii) Gestion durable de l’Environnement et amélioration du cadre de vie ; iii) Gestion de la diversité biologique ; iv) Promotion de la gouvernance environnementale.</w:t>
      </w:r>
    </w:p>
    <w:p w14:paraId="42BDCD76" w14:textId="251B0F04" w:rsidR="007833B8" w:rsidRDefault="007833B8" w:rsidP="00F12682">
      <w:pPr>
        <w:spacing w:after="120" w:line="276" w:lineRule="auto"/>
        <w:jc w:val="both"/>
        <w:rPr>
          <w:sz w:val="24"/>
        </w:rPr>
      </w:pPr>
    </w:p>
    <w:p w14:paraId="3A664AFF" w14:textId="77777777" w:rsidR="00B46B70" w:rsidRPr="00D73A12" w:rsidRDefault="00B46B70" w:rsidP="00F12682">
      <w:pPr>
        <w:pStyle w:val="Titre4"/>
        <w:rPr>
          <w:rFonts w:asciiTheme="minorHAnsi" w:hAnsiTheme="minorHAnsi" w:cstheme="minorHAnsi"/>
        </w:rPr>
      </w:pPr>
      <w:r w:rsidRPr="00A97060">
        <w:rPr>
          <w:rFonts w:asciiTheme="minorHAnsi" w:hAnsiTheme="minorHAnsi" w:cstheme="minorHAnsi"/>
        </w:rPr>
        <w:t>Analyse de la Gestion des Ressources Humaines</w:t>
      </w:r>
    </w:p>
    <w:p w14:paraId="017DD399" w14:textId="77777777" w:rsidR="0084231C" w:rsidRPr="00797C5C" w:rsidRDefault="0084231C" w:rsidP="00F12682">
      <w:pPr>
        <w:spacing w:after="120" w:line="276" w:lineRule="auto"/>
        <w:jc w:val="both"/>
        <w:rPr>
          <w:rFonts w:ascii="Calibri" w:hAnsi="Calibri" w:cs="Calibri"/>
          <w:sz w:val="24"/>
        </w:rPr>
      </w:pPr>
      <w:r w:rsidRPr="00797C5C">
        <w:rPr>
          <w:rFonts w:ascii="Calibri" w:hAnsi="Calibri" w:cs="Calibri"/>
          <w:sz w:val="24"/>
        </w:rPr>
        <w:t>La répartition par catégorie du personnel de MEDD en 2016 est présentée dans le tableau 4 ci-après. Il y a une répartition relativement équilibrée entre les catégories.</w:t>
      </w:r>
    </w:p>
    <w:p w14:paraId="4A936DA3" w14:textId="77777777" w:rsidR="00D61FFA" w:rsidRPr="00855DFA" w:rsidRDefault="00D61FFA" w:rsidP="00F12682">
      <w:pPr>
        <w:pStyle w:val="Lgende"/>
        <w:rPr>
          <w:rFonts w:cstheme="minorHAnsi"/>
        </w:rPr>
      </w:pPr>
      <w:bookmarkStart w:id="52" w:name="_Toc529305058"/>
      <w:r w:rsidRPr="00855DFA">
        <w:rPr>
          <w:rFonts w:cstheme="minorHAnsi"/>
        </w:rPr>
        <w:t xml:space="preserve">Tableau </w:t>
      </w:r>
      <w:r w:rsidRPr="00855DFA">
        <w:rPr>
          <w:rFonts w:cstheme="minorHAnsi"/>
        </w:rPr>
        <w:fldChar w:fldCharType="begin"/>
      </w:r>
      <w:r w:rsidRPr="00855DFA">
        <w:rPr>
          <w:rFonts w:cstheme="minorHAnsi"/>
        </w:rPr>
        <w:instrText xml:space="preserve"> SEQ Tableau \* ARABIC </w:instrText>
      </w:r>
      <w:r w:rsidRPr="00855DFA">
        <w:rPr>
          <w:rFonts w:cstheme="minorHAnsi"/>
        </w:rPr>
        <w:fldChar w:fldCharType="separate"/>
      </w:r>
      <w:r w:rsidR="001C37F0">
        <w:rPr>
          <w:rFonts w:cstheme="minorHAnsi"/>
          <w:noProof/>
        </w:rPr>
        <w:t>4</w:t>
      </w:r>
      <w:r w:rsidRPr="00855DFA">
        <w:rPr>
          <w:rFonts w:cstheme="minorHAnsi"/>
        </w:rPr>
        <w:fldChar w:fldCharType="end"/>
      </w:r>
      <w:r w:rsidRPr="00855DFA">
        <w:rPr>
          <w:rFonts w:cstheme="minorHAnsi"/>
        </w:rPr>
        <w:t xml:space="preserve"> : </w:t>
      </w:r>
      <w:r>
        <w:rPr>
          <w:rFonts w:cstheme="minorHAnsi"/>
        </w:rPr>
        <w:t xml:space="preserve">Situation du personnel du </w:t>
      </w:r>
      <w:r w:rsidRPr="00855DFA">
        <w:rPr>
          <w:rFonts w:cstheme="minorHAnsi"/>
        </w:rPr>
        <w:t>MEDD en 2016</w:t>
      </w:r>
      <w:bookmarkEnd w:id="52"/>
    </w:p>
    <w:tbl>
      <w:tblPr>
        <w:tblW w:w="7180" w:type="dxa"/>
        <w:tblInd w:w="-5" w:type="dxa"/>
        <w:tblCellMar>
          <w:left w:w="70" w:type="dxa"/>
          <w:right w:w="70" w:type="dxa"/>
        </w:tblCellMar>
        <w:tblLook w:val="04A0" w:firstRow="1" w:lastRow="0" w:firstColumn="1" w:lastColumn="0" w:noHBand="0" w:noVBand="1"/>
      </w:tblPr>
      <w:tblGrid>
        <w:gridCol w:w="4687"/>
        <w:gridCol w:w="1200"/>
        <w:gridCol w:w="1293"/>
      </w:tblGrid>
      <w:tr w:rsidR="00D61FFA" w:rsidRPr="001C0306" w14:paraId="6443E1BC" w14:textId="77777777" w:rsidTr="00D61FFA">
        <w:trPr>
          <w:trHeight w:val="300"/>
        </w:trPr>
        <w:tc>
          <w:tcPr>
            <w:tcW w:w="4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1DC4F" w14:textId="77777777" w:rsidR="00D61FFA" w:rsidRPr="001C0306" w:rsidRDefault="00D61FFA" w:rsidP="00F12682">
            <w:pPr>
              <w:spacing w:after="0" w:line="240" w:lineRule="auto"/>
              <w:jc w:val="center"/>
              <w:rPr>
                <w:rFonts w:ascii="Calibri" w:eastAsia="Times New Roman" w:hAnsi="Calibri" w:cs="Calibri"/>
                <w:b/>
                <w:bCs/>
                <w:lang w:eastAsia="fr-FR"/>
              </w:rPr>
            </w:pPr>
            <w:r w:rsidRPr="001C0306">
              <w:rPr>
                <w:rFonts w:ascii="Calibri" w:eastAsia="Times New Roman" w:hAnsi="Calibri" w:cs="Calibri"/>
                <w:b/>
                <w:bCs/>
                <w:lang w:eastAsia="fr-FR"/>
              </w:rPr>
              <w:t>Catégorie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7CD913A" w14:textId="77777777" w:rsidR="00D61FFA" w:rsidRPr="001C0306" w:rsidRDefault="00D61FFA" w:rsidP="00F12682">
            <w:pPr>
              <w:spacing w:after="0" w:line="240" w:lineRule="auto"/>
              <w:jc w:val="center"/>
              <w:rPr>
                <w:rFonts w:ascii="Calibri" w:eastAsia="Times New Roman" w:hAnsi="Calibri" w:cs="Calibri"/>
                <w:b/>
                <w:lang w:eastAsia="fr-FR"/>
              </w:rPr>
            </w:pPr>
            <w:r w:rsidRPr="001C0306">
              <w:rPr>
                <w:rFonts w:ascii="Calibri" w:eastAsia="Times New Roman" w:hAnsi="Calibri" w:cs="Calibri"/>
                <w:b/>
                <w:lang w:eastAsia="fr-FR"/>
              </w:rPr>
              <w:t>Effectifs</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64491F55" w14:textId="77777777" w:rsidR="00D61FFA" w:rsidRPr="001C0306" w:rsidRDefault="00D61FFA" w:rsidP="00F12682">
            <w:pPr>
              <w:spacing w:after="0" w:line="240" w:lineRule="auto"/>
              <w:rPr>
                <w:rFonts w:ascii="Calibri" w:eastAsia="Times New Roman" w:hAnsi="Calibri" w:cs="Calibri"/>
                <w:b/>
                <w:lang w:eastAsia="fr-FR"/>
              </w:rPr>
            </w:pPr>
            <w:r w:rsidRPr="001C0306">
              <w:rPr>
                <w:rFonts w:ascii="Calibri" w:eastAsia="Times New Roman" w:hAnsi="Calibri" w:cs="Calibri"/>
                <w:b/>
                <w:lang w:eastAsia="fr-FR"/>
              </w:rPr>
              <w:t>Pourcentage</w:t>
            </w:r>
          </w:p>
        </w:tc>
      </w:tr>
      <w:tr w:rsidR="00D61FFA" w:rsidRPr="001C0306" w14:paraId="608C1A66" w14:textId="77777777" w:rsidTr="00D61FFA">
        <w:trPr>
          <w:trHeight w:val="300"/>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1B37CBAE" w14:textId="77777777" w:rsidR="00D61FFA" w:rsidRPr="001C0306" w:rsidRDefault="00D61FFA" w:rsidP="00F12682">
            <w:pPr>
              <w:spacing w:after="0" w:line="240" w:lineRule="auto"/>
              <w:jc w:val="both"/>
              <w:rPr>
                <w:rFonts w:ascii="Calibri" w:eastAsia="Times New Roman" w:hAnsi="Calibri" w:cs="Calibri"/>
                <w:lang w:eastAsia="fr-FR"/>
              </w:rPr>
            </w:pPr>
            <w:r w:rsidRPr="001C0306">
              <w:rPr>
                <w:rFonts w:ascii="Calibri" w:eastAsia="Times New Roman" w:hAnsi="Calibri" w:cs="Calibri"/>
                <w:lang w:eastAsia="fr-FR"/>
              </w:rPr>
              <w:t>Catégorie A</w:t>
            </w:r>
          </w:p>
        </w:tc>
        <w:tc>
          <w:tcPr>
            <w:tcW w:w="1200" w:type="dxa"/>
            <w:tcBorders>
              <w:top w:val="nil"/>
              <w:left w:val="nil"/>
              <w:bottom w:val="single" w:sz="4" w:space="0" w:color="auto"/>
              <w:right w:val="single" w:sz="4" w:space="0" w:color="auto"/>
            </w:tcBorders>
            <w:shd w:val="clear" w:color="auto" w:fill="auto"/>
            <w:vAlign w:val="center"/>
            <w:hideMark/>
          </w:tcPr>
          <w:p w14:paraId="468D98A5" w14:textId="77777777" w:rsidR="00D61FFA" w:rsidRPr="001C0306" w:rsidRDefault="00D61FFA" w:rsidP="00F12682">
            <w:pPr>
              <w:spacing w:after="0" w:line="240" w:lineRule="auto"/>
              <w:jc w:val="center"/>
              <w:rPr>
                <w:rFonts w:ascii="Calibri" w:eastAsia="Times New Roman" w:hAnsi="Calibri" w:cs="Calibri"/>
                <w:lang w:eastAsia="fr-FR"/>
              </w:rPr>
            </w:pPr>
            <w:r w:rsidRPr="001C0306">
              <w:rPr>
                <w:rFonts w:ascii="Calibri" w:eastAsia="Times New Roman" w:hAnsi="Calibri" w:cs="Calibri"/>
                <w:lang w:eastAsia="fr-FR"/>
              </w:rPr>
              <w:t>414</w:t>
            </w:r>
          </w:p>
        </w:tc>
        <w:tc>
          <w:tcPr>
            <w:tcW w:w="1293" w:type="dxa"/>
            <w:tcBorders>
              <w:top w:val="nil"/>
              <w:left w:val="nil"/>
              <w:bottom w:val="single" w:sz="4" w:space="0" w:color="auto"/>
              <w:right w:val="single" w:sz="4" w:space="0" w:color="auto"/>
            </w:tcBorders>
            <w:shd w:val="clear" w:color="auto" w:fill="auto"/>
            <w:noWrap/>
            <w:vAlign w:val="bottom"/>
            <w:hideMark/>
          </w:tcPr>
          <w:p w14:paraId="4125C1E4" w14:textId="77777777" w:rsidR="00D61FFA" w:rsidRPr="001C0306" w:rsidRDefault="00D61FFA" w:rsidP="00F12682">
            <w:pPr>
              <w:spacing w:after="0" w:line="240" w:lineRule="auto"/>
              <w:jc w:val="right"/>
              <w:rPr>
                <w:rFonts w:ascii="Calibri" w:eastAsia="Times New Roman" w:hAnsi="Calibri" w:cs="Calibri"/>
                <w:lang w:eastAsia="fr-FR"/>
              </w:rPr>
            </w:pPr>
            <w:r w:rsidRPr="001C0306">
              <w:rPr>
                <w:rFonts w:ascii="Calibri" w:eastAsia="Times New Roman" w:hAnsi="Calibri" w:cs="Calibri"/>
                <w:lang w:eastAsia="fr-FR"/>
              </w:rPr>
              <w:t>26%</w:t>
            </w:r>
          </w:p>
        </w:tc>
      </w:tr>
      <w:tr w:rsidR="00D61FFA" w:rsidRPr="001C0306" w14:paraId="6435FD82" w14:textId="77777777" w:rsidTr="00D61FFA">
        <w:trPr>
          <w:trHeight w:val="300"/>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79DD9B56" w14:textId="77777777" w:rsidR="00D61FFA" w:rsidRPr="001C0306" w:rsidRDefault="00D61FFA" w:rsidP="00F12682">
            <w:pPr>
              <w:spacing w:after="0" w:line="240" w:lineRule="auto"/>
              <w:jc w:val="both"/>
              <w:rPr>
                <w:rFonts w:ascii="Calibri" w:eastAsia="Times New Roman" w:hAnsi="Calibri" w:cs="Calibri"/>
                <w:lang w:eastAsia="fr-FR"/>
              </w:rPr>
            </w:pPr>
            <w:r w:rsidRPr="001C0306">
              <w:rPr>
                <w:rFonts w:ascii="Calibri" w:eastAsia="Times New Roman" w:hAnsi="Calibri" w:cs="Calibri"/>
                <w:lang w:eastAsia="fr-FR"/>
              </w:rPr>
              <w:t>Catégorie B</w:t>
            </w:r>
          </w:p>
        </w:tc>
        <w:tc>
          <w:tcPr>
            <w:tcW w:w="1200" w:type="dxa"/>
            <w:tcBorders>
              <w:top w:val="nil"/>
              <w:left w:val="nil"/>
              <w:bottom w:val="single" w:sz="4" w:space="0" w:color="auto"/>
              <w:right w:val="single" w:sz="4" w:space="0" w:color="auto"/>
            </w:tcBorders>
            <w:shd w:val="clear" w:color="auto" w:fill="auto"/>
            <w:vAlign w:val="center"/>
            <w:hideMark/>
          </w:tcPr>
          <w:p w14:paraId="459D1BBE" w14:textId="77777777" w:rsidR="00D61FFA" w:rsidRPr="001C0306" w:rsidRDefault="00D61FFA" w:rsidP="00F12682">
            <w:pPr>
              <w:spacing w:after="0" w:line="240" w:lineRule="auto"/>
              <w:jc w:val="center"/>
              <w:rPr>
                <w:rFonts w:ascii="Calibri" w:eastAsia="Times New Roman" w:hAnsi="Calibri" w:cs="Calibri"/>
                <w:lang w:eastAsia="fr-FR"/>
              </w:rPr>
            </w:pPr>
            <w:r w:rsidRPr="001C0306">
              <w:rPr>
                <w:rFonts w:ascii="Calibri" w:eastAsia="Times New Roman" w:hAnsi="Calibri" w:cs="Calibri"/>
                <w:lang w:eastAsia="fr-FR"/>
              </w:rPr>
              <w:t>320</w:t>
            </w:r>
          </w:p>
        </w:tc>
        <w:tc>
          <w:tcPr>
            <w:tcW w:w="1293" w:type="dxa"/>
            <w:tcBorders>
              <w:top w:val="nil"/>
              <w:left w:val="nil"/>
              <w:bottom w:val="single" w:sz="4" w:space="0" w:color="auto"/>
              <w:right w:val="single" w:sz="4" w:space="0" w:color="auto"/>
            </w:tcBorders>
            <w:shd w:val="clear" w:color="auto" w:fill="auto"/>
            <w:noWrap/>
            <w:vAlign w:val="bottom"/>
            <w:hideMark/>
          </w:tcPr>
          <w:p w14:paraId="373E1846" w14:textId="77777777" w:rsidR="00D61FFA" w:rsidRPr="001C0306" w:rsidRDefault="00D61FFA" w:rsidP="00F12682">
            <w:pPr>
              <w:spacing w:after="0" w:line="240" w:lineRule="auto"/>
              <w:jc w:val="right"/>
              <w:rPr>
                <w:rFonts w:ascii="Calibri" w:eastAsia="Times New Roman" w:hAnsi="Calibri" w:cs="Calibri"/>
                <w:lang w:eastAsia="fr-FR"/>
              </w:rPr>
            </w:pPr>
            <w:r w:rsidRPr="001C0306">
              <w:rPr>
                <w:rFonts w:ascii="Calibri" w:eastAsia="Times New Roman" w:hAnsi="Calibri" w:cs="Calibri"/>
                <w:lang w:eastAsia="fr-FR"/>
              </w:rPr>
              <w:t>20%</w:t>
            </w:r>
          </w:p>
        </w:tc>
      </w:tr>
      <w:tr w:rsidR="00D61FFA" w:rsidRPr="001C0306" w14:paraId="10D42695" w14:textId="77777777" w:rsidTr="00D61FFA">
        <w:trPr>
          <w:trHeight w:val="300"/>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064B5A64" w14:textId="77777777" w:rsidR="00D61FFA" w:rsidRPr="001C0306" w:rsidRDefault="00D61FFA" w:rsidP="00F12682">
            <w:pPr>
              <w:spacing w:after="0" w:line="240" w:lineRule="auto"/>
              <w:jc w:val="both"/>
              <w:rPr>
                <w:rFonts w:ascii="Calibri" w:eastAsia="Times New Roman" w:hAnsi="Calibri" w:cs="Calibri"/>
                <w:lang w:eastAsia="fr-FR"/>
              </w:rPr>
            </w:pPr>
            <w:r w:rsidRPr="001C0306">
              <w:rPr>
                <w:rFonts w:ascii="Calibri" w:eastAsia="Times New Roman" w:hAnsi="Calibri" w:cs="Calibri"/>
                <w:lang w:eastAsia="fr-FR"/>
              </w:rPr>
              <w:t>Catégorie C</w:t>
            </w:r>
          </w:p>
        </w:tc>
        <w:tc>
          <w:tcPr>
            <w:tcW w:w="1200" w:type="dxa"/>
            <w:tcBorders>
              <w:top w:val="nil"/>
              <w:left w:val="nil"/>
              <w:bottom w:val="single" w:sz="4" w:space="0" w:color="auto"/>
              <w:right w:val="single" w:sz="4" w:space="0" w:color="auto"/>
            </w:tcBorders>
            <w:shd w:val="clear" w:color="auto" w:fill="auto"/>
            <w:vAlign w:val="center"/>
            <w:hideMark/>
          </w:tcPr>
          <w:p w14:paraId="13D772F7" w14:textId="77777777" w:rsidR="00D61FFA" w:rsidRPr="001C0306" w:rsidRDefault="00D61FFA" w:rsidP="00F12682">
            <w:pPr>
              <w:spacing w:after="0" w:line="240" w:lineRule="auto"/>
              <w:jc w:val="center"/>
              <w:rPr>
                <w:rFonts w:ascii="Calibri" w:eastAsia="Times New Roman" w:hAnsi="Calibri" w:cs="Calibri"/>
                <w:lang w:eastAsia="fr-FR"/>
              </w:rPr>
            </w:pPr>
            <w:r w:rsidRPr="001C0306">
              <w:rPr>
                <w:rFonts w:ascii="Calibri" w:eastAsia="Times New Roman" w:hAnsi="Calibri" w:cs="Calibri"/>
                <w:lang w:eastAsia="fr-FR"/>
              </w:rPr>
              <w:t>235</w:t>
            </w:r>
          </w:p>
        </w:tc>
        <w:tc>
          <w:tcPr>
            <w:tcW w:w="1293" w:type="dxa"/>
            <w:tcBorders>
              <w:top w:val="nil"/>
              <w:left w:val="nil"/>
              <w:bottom w:val="single" w:sz="4" w:space="0" w:color="auto"/>
              <w:right w:val="single" w:sz="4" w:space="0" w:color="auto"/>
            </w:tcBorders>
            <w:shd w:val="clear" w:color="auto" w:fill="auto"/>
            <w:noWrap/>
            <w:vAlign w:val="bottom"/>
            <w:hideMark/>
          </w:tcPr>
          <w:p w14:paraId="4B622FE4" w14:textId="77777777" w:rsidR="00D61FFA" w:rsidRPr="001C0306" w:rsidRDefault="00D61FFA" w:rsidP="00F12682">
            <w:pPr>
              <w:spacing w:after="0" w:line="240" w:lineRule="auto"/>
              <w:jc w:val="right"/>
              <w:rPr>
                <w:rFonts w:ascii="Calibri" w:eastAsia="Times New Roman" w:hAnsi="Calibri" w:cs="Calibri"/>
                <w:lang w:eastAsia="fr-FR"/>
              </w:rPr>
            </w:pPr>
            <w:r w:rsidRPr="001C0306">
              <w:rPr>
                <w:rFonts w:ascii="Calibri" w:eastAsia="Times New Roman" w:hAnsi="Calibri" w:cs="Calibri"/>
                <w:lang w:eastAsia="fr-FR"/>
              </w:rPr>
              <w:t>15%</w:t>
            </w:r>
          </w:p>
        </w:tc>
      </w:tr>
      <w:tr w:rsidR="00D61FFA" w:rsidRPr="001C0306" w14:paraId="2CE8D8BC" w14:textId="77777777" w:rsidTr="00D61FFA">
        <w:trPr>
          <w:trHeight w:val="300"/>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35D8D30F" w14:textId="77777777" w:rsidR="00D61FFA" w:rsidRPr="001C0306" w:rsidRDefault="00D61FFA" w:rsidP="00F12682">
            <w:pPr>
              <w:spacing w:after="0" w:line="240" w:lineRule="auto"/>
              <w:jc w:val="both"/>
              <w:rPr>
                <w:rFonts w:ascii="Calibri" w:eastAsia="Times New Roman" w:hAnsi="Calibri" w:cs="Calibri"/>
                <w:lang w:eastAsia="fr-FR"/>
              </w:rPr>
            </w:pPr>
            <w:r w:rsidRPr="001C0306">
              <w:rPr>
                <w:rFonts w:ascii="Calibri" w:eastAsia="Times New Roman" w:hAnsi="Calibri" w:cs="Calibri"/>
                <w:lang w:eastAsia="fr-FR"/>
              </w:rPr>
              <w:t>Catégorie D</w:t>
            </w:r>
          </w:p>
        </w:tc>
        <w:tc>
          <w:tcPr>
            <w:tcW w:w="1200" w:type="dxa"/>
            <w:tcBorders>
              <w:top w:val="nil"/>
              <w:left w:val="nil"/>
              <w:bottom w:val="single" w:sz="4" w:space="0" w:color="auto"/>
              <w:right w:val="single" w:sz="4" w:space="0" w:color="auto"/>
            </w:tcBorders>
            <w:shd w:val="clear" w:color="auto" w:fill="auto"/>
            <w:vAlign w:val="center"/>
            <w:hideMark/>
          </w:tcPr>
          <w:p w14:paraId="5A25B160" w14:textId="77777777" w:rsidR="00D61FFA" w:rsidRPr="001C0306" w:rsidRDefault="00D61FFA" w:rsidP="00F12682">
            <w:pPr>
              <w:spacing w:after="0" w:line="240" w:lineRule="auto"/>
              <w:jc w:val="center"/>
              <w:rPr>
                <w:rFonts w:ascii="Calibri" w:eastAsia="Times New Roman" w:hAnsi="Calibri" w:cs="Calibri"/>
                <w:lang w:eastAsia="fr-FR"/>
              </w:rPr>
            </w:pPr>
            <w:r w:rsidRPr="001C0306">
              <w:rPr>
                <w:rFonts w:ascii="Calibri" w:eastAsia="Times New Roman" w:hAnsi="Calibri" w:cs="Calibri"/>
                <w:lang w:eastAsia="fr-FR"/>
              </w:rPr>
              <w:t>532</w:t>
            </w:r>
          </w:p>
        </w:tc>
        <w:tc>
          <w:tcPr>
            <w:tcW w:w="1293" w:type="dxa"/>
            <w:tcBorders>
              <w:top w:val="nil"/>
              <w:left w:val="nil"/>
              <w:bottom w:val="single" w:sz="4" w:space="0" w:color="auto"/>
              <w:right w:val="single" w:sz="4" w:space="0" w:color="auto"/>
            </w:tcBorders>
            <w:shd w:val="clear" w:color="auto" w:fill="auto"/>
            <w:noWrap/>
            <w:vAlign w:val="bottom"/>
            <w:hideMark/>
          </w:tcPr>
          <w:p w14:paraId="7312A24A" w14:textId="77777777" w:rsidR="00D61FFA" w:rsidRPr="001C0306" w:rsidRDefault="00D61FFA" w:rsidP="00F12682">
            <w:pPr>
              <w:spacing w:after="0" w:line="240" w:lineRule="auto"/>
              <w:jc w:val="right"/>
              <w:rPr>
                <w:rFonts w:ascii="Calibri" w:eastAsia="Times New Roman" w:hAnsi="Calibri" w:cs="Calibri"/>
                <w:lang w:eastAsia="fr-FR"/>
              </w:rPr>
            </w:pPr>
            <w:r w:rsidRPr="001C0306">
              <w:rPr>
                <w:rFonts w:ascii="Calibri" w:eastAsia="Times New Roman" w:hAnsi="Calibri" w:cs="Calibri"/>
                <w:lang w:eastAsia="fr-FR"/>
              </w:rPr>
              <w:t>33%</w:t>
            </w:r>
          </w:p>
        </w:tc>
      </w:tr>
      <w:tr w:rsidR="00D61FFA" w:rsidRPr="001C0306" w14:paraId="5DADF0E1" w14:textId="77777777" w:rsidTr="00D61FFA">
        <w:trPr>
          <w:trHeight w:val="300"/>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7BCF74D7" w14:textId="77777777" w:rsidR="00D61FFA" w:rsidRPr="001C0306" w:rsidRDefault="00D61FFA" w:rsidP="00F12682">
            <w:pPr>
              <w:spacing w:after="0" w:line="240" w:lineRule="auto"/>
              <w:jc w:val="both"/>
              <w:rPr>
                <w:rFonts w:ascii="Calibri" w:eastAsia="Times New Roman" w:hAnsi="Calibri" w:cs="Calibri"/>
                <w:lang w:eastAsia="fr-FR"/>
              </w:rPr>
            </w:pPr>
            <w:r w:rsidRPr="001C0306">
              <w:rPr>
                <w:rFonts w:ascii="Calibri" w:eastAsia="Times New Roman" w:hAnsi="Calibri" w:cs="Calibri"/>
                <w:lang w:eastAsia="fr-FR"/>
              </w:rPr>
              <w:t>Auxiliaire</w:t>
            </w:r>
          </w:p>
        </w:tc>
        <w:tc>
          <w:tcPr>
            <w:tcW w:w="1200" w:type="dxa"/>
            <w:tcBorders>
              <w:top w:val="nil"/>
              <w:left w:val="nil"/>
              <w:bottom w:val="single" w:sz="4" w:space="0" w:color="auto"/>
              <w:right w:val="single" w:sz="4" w:space="0" w:color="auto"/>
            </w:tcBorders>
            <w:shd w:val="clear" w:color="auto" w:fill="auto"/>
            <w:vAlign w:val="center"/>
            <w:hideMark/>
          </w:tcPr>
          <w:p w14:paraId="60C2666C" w14:textId="77777777" w:rsidR="00D61FFA" w:rsidRPr="001C0306" w:rsidRDefault="00D61FFA" w:rsidP="00F12682">
            <w:pPr>
              <w:spacing w:after="0" w:line="240" w:lineRule="auto"/>
              <w:jc w:val="center"/>
              <w:rPr>
                <w:rFonts w:ascii="Calibri" w:eastAsia="Times New Roman" w:hAnsi="Calibri" w:cs="Calibri"/>
                <w:lang w:eastAsia="fr-FR"/>
              </w:rPr>
            </w:pPr>
            <w:r w:rsidRPr="001C0306">
              <w:rPr>
                <w:rFonts w:ascii="Calibri" w:eastAsia="Times New Roman" w:hAnsi="Calibri" w:cs="Calibri"/>
                <w:lang w:eastAsia="fr-FR"/>
              </w:rPr>
              <w:t>101</w:t>
            </w:r>
          </w:p>
        </w:tc>
        <w:tc>
          <w:tcPr>
            <w:tcW w:w="1293" w:type="dxa"/>
            <w:tcBorders>
              <w:top w:val="nil"/>
              <w:left w:val="nil"/>
              <w:bottom w:val="single" w:sz="4" w:space="0" w:color="auto"/>
              <w:right w:val="single" w:sz="4" w:space="0" w:color="auto"/>
            </w:tcBorders>
            <w:shd w:val="clear" w:color="auto" w:fill="auto"/>
            <w:noWrap/>
            <w:vAlign w:val="bottom"/>
            <w:hideMark/>
          </w:tcPr>
          <w:p w14:paraId="1CE02310" w14:textId="77777777" w:rsidR="00D61FFA" w:rsidRPr="001C0306" w:rsidRDefault="00D61FFA" w:rsidP="00F12682">
            <w:pPr>
              <w:spacing w:after="0" w:line="240" w:lineRule="auto"/>
              <w:jc w:val="right"/>
              <w:rPr>
                <w:rFonts w:ascii="Calibri" w:eastAsia="Times New Roman" w:hAnsi="Calibri" w:cs="Calibri"/>
                <w:lang w:eastAsia="fr-FR"/>
              </w:rPr>
            </w:pPr>
            <w:r w:rsidRPr="001C0306">
              <w:rPr>
                <w:rFonts w:ascii="Calibri" w:eastAsia="Times New Roman" w:hAnsi="Calibri" w:cs="Calibri"/>
                <w:lang w:eastAsia="fr-FR"/>
              </w:rPr>
              <w:t>6%</w:t>
            </w:r>
          </w:p>
        </w:tc>
      </w:tr>
      <w:tr w:rsidR="00D61FFA" w:rsidRPr="001C0306" w14:paraId="6B9716B3" w14:textId="77777777" w:rsidTr="00D61FFA">
        <w:trPr>
          <w:trHeight w:val="300"/>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74FEE04C" w14:textId="77777777" w:rsidR="00D61FFA" w:rsidRPr="001C0306" w:rsidRDefault="00D61FFA" w:rsidP="00F12682">
            <w:pPr>
              <w:spacing w:after="0" w:line="240" w:lineRule="auto"/>
              <w:jc w:val="both"/>
              <w:rPr>
                <w:rFonts w:ascii="Calibri" w:eastAsia="Times New Roman" w:hAnsi="Calibri" w:cs="Calibri"/>
                <w:lang w:eastAsia="fr-FR"/>
              </w:rPr>
            </w:pPr>
            <w:r w:rsidRPr="001C0306">
              <w:rPr>
                <w:rFonts w:ascii="Calibri" w:eastAsia="Times New Roman" w:hAnsi="Calibri" w:cs="Calibri"/>
                <w:lang w:eastAsia="fr-FR"/>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70EFA769" w14:textId="77777777" w:rsidR="00D61FFA" w:rsidRPr="001C0306" w:rsidRDefault="00D61FFA" w:rsidP="00F12682">
            <w:pPr>
              <w:spacing w:after="0" w:line="240" w:lineRule="auto"/>
              <w:jc w:val="center"/>
              <w:rPr>
                <w:rFonts w:ascii="Calibri" w:eastAsia="Times New Roman" w:hAnsi="Calibri" w:cs="Calibri"/>
                <w:lang w:eastAsia="fr-FR"/>
              </w:rPr>
            </w:pPr>
            <w:r w:rsidRPr="001C0306">
              <w:rPr>
                <w:rFonts w:ascii="Calibri" w:eastAsia="Times New Roman" w:hAnsi="Calibri" w:cs="Calibri"/>
                <w:lang w:eastAsia="fr-FR"/>
              </w:rPr>
              <w:t>1 602</w:t>
            </w:r>
          </w:p>
        </w:tc>
        <w:tc>
          <w:tcPr>
            <w:tcW w:w="1293" w:type="dxa"/>
            <w:tcBorders>
              <w:top w:val="nil"/>
              <w:left w:val="nil"/>
              <w:bottom w:val="single" w:sz="4" w:space="0" w:color="auto"/>
              <w:right w:val="single" w:sz="4" w:space="0" w:color="auto"/>
            </w:tcBorders>
            <w:shd w:val="clear" w:color="auto" w:fill="auto"/>
            <w:noWrap/>
            <w:vAlign w:val="bottom"/>
            <w:hideMark/>
          </w:tcPr>
          <w:p w14:paraId="34F66540" w14:textId="77777777" w:rsidR="00D61FFA" w:rsidRPr="001C0306" w:rsidRDefault="00D61FFA" w:rsidP="00F12682">
            <w:pPr>
              <w:spacing w:after="0" w:line="240" w:lineRule="auto"/>
              <w:jc w:val="right"/>
              <w:rPr>
                <w:rFonts w:ascii="Calibri" w:eastAsia="Times New Roman" w:hAnsi="Calibri" w:cs="Calibri"/>
                <w:lang w:eastAsia="fr-FR"/>
              </w:rPr>
            </w:pPr>
            <w:r w:rsidRPr="001C0306">
              <w:rPr>
                <w:rFonts w:ascii="Calibri" w:eastAsia="Times New Roman" w:hAnsi="Calibri" w:cs="Calibri"/>
                <w:lang w:eastAsia="fr-FR"/>
              </w:rPr>
              <w:t>100%</w:t>
            </w:r>
          </w:p>
        </w:tc>
      </w:tr>
    </w:tbl>
    <w:p w14:paraId="705854E7" w14:textId="193CE134" w:rsidR="00D61FFA" w:rsidRPr="00907EC7" w:rsidRDefault="00D61FFA" w:rsidP="00F12682">
      <w:pPr>
        <w:spacing w:after="0" w:line="240" w:lineRule="auto"/>
        <w:jc w:val="both"/>
        <w:rPr>
          <w:rFonts w:cstheme="minorHAnsi"/>
          <w:sz w:val="20"/>
          <w:szCs w:val="20"/>
        </w:rPr>
      </w:pPr>
      <w:r w:rsidRPr="00907EC7">
        <w:rPr>
          <w:rFonts w:cstheme="minorHAnsi"/>
          <w:sz w:val="20"/>
          <w:szCs w:val="20"/>
          <w:u w:val="single"/>
        </w:rPr>
        <w:t>Source</w:t>
      </w:r>
      <w:r w:rsidRPr="00907EC7">
        <w:rPr>
          <w:rFonts w:cstheme="minorHAnsi"/>
          <w:sz w:val="20"/>
          <w:szCs w:val="20"/>
        </w:rPr>
        <w:t> : DRH/M</w:t>
      </w:r>
      <w:r>
        <w:rPr>
          <w:rFonts w:cstheme="minorHAnsi"/>
          <w:sz w:val="20"/>
          <w:szCs w:val="20"/>
        </w:rPr>
        <w:t>EDD</w:t>
      </w:r>
      <w:r w:rsidRPr="00907EC7">
        <w:rPr>
          <w:rFonts w:cstheme="minorHAnsi"/>
          <w:sz w:val="20"/>
          <w:szCs w:val="20"/>
        </w:rPr>
        <w:t>, 2016</w:t>
      </w:r>
    </w:p>
    <w:p w14:paraId="3330B608" w14:textId="77777777" w:rsidR="00B70B9C" w:rsidRDefault="00B70B9C" w:rsidP="00F12682">
      <w:pPr>
        <w:spacing w:after="0" w:line="276" w:lineRule="auto"/>
        <w:jc w:val="both"/>
        <w:rPr>
          <w:sz w:val="24"/>
        </w:rPr>
      </w:pPr>
    </w:p>
    <w:p w14:paraId="55C424C8" w14:textId="77777777" w:rsidR="00B70B9C" w:rsidRPr="00797C5C" w:rsidRDefault="00B70B9C" w:rsidP="00F12682">
      <w:pPr>
        <w:jc w:val="both"/>
        <w:rPr>
          <w:rFonts w:cstheme="minorHAnsi"/>
          <w:sz w:val="24"/>
        </w:rPr>
      </w:pPr>
      <w:r w:rsidRPr="00797C5C">
        <w:rPr>
          <w:rFonts w:cstheme="minorHAnsi"/>
          <w:sz w:val="24"/>
        </w:rPr>
        <w:t>Le personnel du MEDD est en majorité (66%) au niveau déconcentré, mais seule la moitié (50%) des cadres A sont au niveau central.</w:t>
      </w:r>
    </w:p>
    <w:p w14:paraId="76F92F6F" w14:textId="77777777" w:rsidR="00B70B9C" w:rsidRDefault="00B70B9C" w:rsidP="00F12682">
      <w:pPr>
        <w:spacing w:after="0" w:line="276" w:lineRule="auto"/>
        <w:jc w:val="both"/>
        <w:rPr>
          <w:sz w:val="24"/>
        </w:rPr>
      </w:pPr>
    </w:p>
    <w:p w14:paraId="791CFD92" w14:textId="77777777" w:rsidR="00B70B9C" w:rsidRPr="00797C5C" w:rsidRDefault="00B70B9C" w:rsidP="00F12682">
      <w:pPr>
        <w:pStyle w:val="Lgende"/>
        <w:rPr>
          <w:rFonts w:cstheme="minorHAnsi"/>
          <w:color w:val="auto"/>
        </w:rPr>
      </w:pPr>
      <w:bookmarkStart w:id="53" w:name="_Toc529305059"/>
      <w:r w:rsidRPr="00797C5C">
        <w:rPr>
          <w:rFonts w:cstheme="minorHAnsi"/>
          <w:color w:val="auto"/>
        </w:rPr>
        <w:t xml:space="preserve">Tableau </w:t>
      </w:r>
      <w:r w:rsidRPr="00797C5C">
        <w:rPr>
          <w:rFonts w:cstheme="minorHAnsi"/>
          <w:color w:val="auto"/>
        </w:rPr>
        <w:fldChar w:fldCharType="begin"/>
      </w:r>
      <w:r w:rsidRPr="00797C5C">
        <w:rPr>
          <w:rFonts w:cstheme="minorHAnsi"/>
          <w:color w:val="auto"/>
        </w:rPr>
        <w:instrText xml:space="preserve"> SEQ Tableau \* ARABIC </w:instrText>
      </w:r>
      <w:r w:rsidRPr="00797C5C">
        <w:rPr>
          <w:rFonts w:cstheme="minorHAnsi"/>
          <w:color w:val="auto"/>
        </w:rPr>
        <w:fldChar w:fldCharType="separate"/>
      </w:r>
      <w:r w:rsidR="001C37F0">
        <w:rPr>
          <w:rFonts w:cstheme="minorHAnsi"/>
          <w:noProof/>
          <w:color w:val="auto"/>
        </w:rPr>
        <w:t>5</w:t>
      </w:r>
      <w:r w:rsidRPr="00797C5C">
        <w:rPr>
          <w:rFonts w:cstheme="minorHAnsi"/>
          <w:color w:val="auto"/>
        </w:rPr>
        <w:fldChar w:fldCharType="end"/>
      </w:r>
      <w:r w:rsidRPr="00797C5C">
        <w:rPr>
          <w:rFonts w:cstheme="minorHAnsi"/>
          <w:color w:val="auto"/>
        </w:rPr>
        <w:t> : Proportion des ressources humaines par niveau administratif au MEDD en 2016</w:t>
      </w:r>
      <w:bookmarkEnd w:id="53"/>
    </w:p>
    <w:tbl>
      <w:tblPr>
        <w:tblW w:w="5000" w:type="pct"/>
        <w:tblCellMar>
          <w:left w:w="70" w:type="dxa"/>
          <w:right w:w="70" w:type="dxa"/>
        </w:tblCellMar>
        <w:tblLook w:val="04A0" w:firstRow="1" w:lastRow="0" w:firstColumn="1" w:lastColumn="0" w:noHBand="0" w:noVBand="1"/>
      </w:tblPr>
      <w:tblGrid>
        <w:gridCol w:w="2695"/>
        <w:gridCol w:w="1229"/>
        <w:gridCol w:w="868"/>
        <w:gridCol w:w="723"/>
        <w:gridCol w:w="723"/>
        <w:gridCol w:w="871"/>
        <w:gridCol w:w="1245"/>
        <w:gridCol w:w="1264"/>
      </w:tblGrid>
      <w:tr w:rsidR="00B70B9C" w:rsidRPr="00797C5C" w14:paraId="44714ADE" w14:textId="77777777" w:rsidTr="009E3565">
        <w:tc>
          <w:tcPr>
            <w:tcW w:w="140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838B196" w14:textId="77777777" w:rsidR="00B70B9C" w:rsidRPr="00797C5C" w:rsidRDefault="00B70B9C" w:rsidP="00F12682">
            <w:pPr>
              <w:spacing w:after="0" w:line="240" w:lineRule="auto"/>
              <w:jc w:val="center"/>
              <w:rPr>
                <w:rFonts w:eastAsia="Times New Roman" w:cstheme="minorHAnsi"/>
                <w:b/>
                <w:bCs/>
                <w:lang w:eastAsia="fr-FR"/>
              </w:rPr>
            </w:pPr>
            <w:r w:rsidRPr="00797C5C">
              <w:rPr>
                <w:rFonts w:eastAsia="Times New Roman" w:cstheme="minorHAnsi"/>
                <w:b/>
                <w:bCs/>
                <w:szCs w:val="24"/>
                <w:lang w:eastAsia="fr-FR"/>
              </w:rPr>
              <w:t>Structures</w:t>
            </w:r>
          </w:p>
        </w:tc>
        <w:tc>
          <w:tcPr>
            <w:tcW w:w="63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201C8E4" w14:textId="77777777" w:rsidR="00B70B9C" w:rsidRPr="00797C5C" w:rsidRDefault="00B70B9C" w:rsidP="00F12682">
            <w:pPr>
              <w:spacing w:after="0" w:line="240" w:lineRule="auto"/>
              <w:jc w:val="center"/>
              <w:rPr>
                <w:rFonts w:eastAsia="Times New Roman" w:cstheme="minorHAnsi"/>
                <w:b/>
                <w:bCs/>
                <w:lang w:eastAsia="fr-FR"/>
              </w:rPr>
            </w:pPr>
            <w:r w:rsidRPr="00797C5C">
              <w:rPr>
                <w:rFonts w:eastAsia="Times New Roman" w:cstheme="minorHAnsi"/>
                <w:b/>
                <w:bCs/>
                <w:szCs w:val="24"/>
                <w:lang w:eastAsia="fr-FR"/>
              </w:rPr>
              <w:t>Niveau</w:t>
            </w:r>
          </w:p>
        </w:tc>
        <w:tc>
          <w:tcPr>
            <w:tcW w:w="1656"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7984C743" w14:textId="77777777" w:rsidR="00B70B9C" w:rsidRPr="00797C5C" w:rsidRDefault="00B70B9C" w:rsidP="00F12682">
            <w:pPr>
              <w:spacing w:after="0" w:line="240" w:lineRule="auto"/>
              <w:jc w:val="center"/>
              <w:rPr>
                <w:rFonts w:eastAsia="Times New Roman" w:cstheme="minorHAnsi"/>
                <w:b/>
                <w:bCs/>
                <w:lang w:eastAsia="fr-FR"/>
              </w:rPr>
            </w:pPr>
            <w:r w:rsidRPr="00797C5C">
              <w:rPr>
                <w:rFonts w:eastAsia="Times New Roman" w:cstheme="minorHAnsi"/>
                <w:b/>
                <w:bCs/>
                <w:szCs w:val="24"/>
                <w:lang w:eastAsia="fr-FR"/>
              </w:rPr>
              <w:t>Catégories</w:t>
            </w:r>
          </w:p>
        </w:tc>
        <w:tc>
          <w:tcPr>
            <w:tcW w:w="6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DD5FE1" w14:textId="77777777" w:rsidR="00B70B9C" w:rsidRPr="00797C5C" w:rsidRDefault="00B70B9C" w:rsidP="00F12682">
            <w:pPr>
              <w:spacing w:after="0" w:line="240" w:lineRule="auto"/>
              <w:jc w:val="center"/>
              <w:rPr>
                <w:rFonts w:eastAsia="Times New Roman" w:cstheme="minorHAnsi"/>
                <w:b/>
                <w:bCs/>
                <w:lang w:eastAsia="fr-FR"/>
              </w:rPr>
            </w:pPr>
            <w:r w:rsidRPr="00797C5C">
              <w:rPr>
                <w:rFonts w:eastAsia="Times New Roman" w:cstheme="minorHAnsi"/>
                <w:b/>
                <w:bCs/>
                <w:lang w:eastAsia="fr-FR"/>
              </w:rPr>
              <w:t>Total cadre</w:t>
            </w:r>
          </w:p>
        </w:tc>
        <w:tc>
          <w:tcPr>
            <w:tcW w:w="6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B43565" w14:textId="77777777" w:rsidR="00B70B9C" w:rsidRPr="00797C5C" w:rsidRDefault="00B70B9C" w:rsidP="00F12682">
            <w:pPr>
              <w:spacing w:after="0" w:line="240" w:lineRule="auto"/>
              <w:jc w:val="center"/>
              <w:rPr>
                <w:rFonts w:eastAsia="Times New Roman" w:cstheme="minorHAnsi"/>
                <w:b/>
                <w:bCs/>
                <w:lang w:eastAsia="fr-FR"/>
              </w:rPr>
            </w:pPr>
            <w:r w:rsidRPr="00797C5C">
              <w:rPr>
                <w:rFonts w:eastAsia="Times New Roman" w:cstheme="minorHAnsi"/>
                <w:b/>
                <w:bCs/>
                <w:szCs w:val="24"/>
                <w:lang w:eastAsia="fr-FR"/>
              </w:rPr>
              <w:t>Auxiliaires</w:t>
            </w:r>
          </w:p>
        </w:tc>
      </w:tr>
      <w:tr w:rsidR="00B70B9C" w:rsidRPr="00797C5C" w14:paraId="579E4CB4" w14:textId="77777777" w:rsidTr="009E3565">
        <w:tc>
          <w:tcPr>
            <w:tcW w:w="140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952050F" w14:textId="77777777" w:rsidR="00B70B9C" w:rsidRPr="00797C5C" w:rsidRDefault="00B70B9C" w:rsidP="00F12682">
            <w:pPr>
              <w:spacing w:after="0" w:line="240" w:lineRule="auto"/>
              <w:rPr>
                <w:rFonts w:eastAsia="Times New Roman" w:cstheme="minorHAnsi"/>
                <w:b/>
                <w:bCs/>
                <w:lang w:eastAsia="fr-FR"/>
              </w:rPr>
            </w:pPr>
          </w:p>
        </w:tc>
        <w:tc>
          <w:tcPr>
            <w:tcW w:w="63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A98E531" w14:textId="77777777" w:rsidR="00B70B9C" w:rsidRPr="00797C5C" w:rsidRDefault="00B70B9C" w:rsidP="00F12682">
            <w:pPr>
              <w:spacing w:after="0" w:line="240" w:lineRule="auto"/>
              <w:rPr>
                <w:rFonts w:eastAsia="Times New Roman" w:cstheme="minorHAnsi"/>
                <w:b/>
                <w:bCs/>
                <w:lang w:eastAsia="fr-FR"/>
              </w:rPr>
            </w:pPr>
          </w:p>
        </w:tc>
        <w:tc>
          <w:tcPr>
            <w:tcW w:w="451" w:type="pct"/>
            <w:tcBorders>
              <w:top w:val="nil"/>
              <w:left w:val="nil"/>
              <w:bottom w:val="single" w:sz="8" w:space="0" w:color="auto"/>
              <w:right w:val="single" w:sz="8" w:space="0" w:color="auto"/>
            </w:tcBorders>
            <w:shd w:val="clear" w:color="auto" w:fill="auto"/>
            <w:noWrap/>
            <w:vAlign w:val="center"/>
            <w:hideMark/>
          </w:tcPr>
          <w:p w14:paraId="069D735A" w14:textId="77777777" w:rsidR="00B70B9C" w:rsidRPr="00797C5C" w:rsidRDefault="00B70B9C" w:rsidP="00F12682">
            <w:pPr>
              <w:spacing w:after="0" w:line="240" w:lineRule="auto"/>
              <w:jc w:val="center"/>
              <w:rPr>
                <w:rFonts w:eastAsia="Times New Roman" w:cstheme="minorHAnsi"/>
                <w:b/>
                <w:bCs/>
                <w:lang w:eastAsia="fr-FR"/>
              </w:rPr>
            </w:pPr>
            <w:r w:rsidRPr="00797C5C">
              <w:rPr>
                <w:rFonts w:eastAsia="Times New Roman" w:cstheme="minorHAnsi"/>
                <w:b/>
                <w:bCs/>
                <w:szCs w:val="24"/>
                <w:lang w:eastAsia="fr-FR"/>
              </w:rPr>
              <w:t>A</w:t>
            </w:r>
          </w:p>
        </w:tc>
        <w:tc>
          <w:tcPr>
            <w:tcW w:w="376" w:type="pct"/>
            <w:tcBorders>
              <w:top w:val="nil"/>
              <w:left w:val="nil"/>
              <w:bottom w:val="single" w:sz="8" w:space="0" w:color="auto"/>
              <w:right w:val="single" w:sz="8" w:space="0" w:color="auto"/>
            </w:tcBorders>
            <w:shd w:val="clear" w:color="auto" w:fill="auto"/>
            <w:noWrap/>
            <w:vAlign w:val="center"/>
            <w:hideMark/>
          </w:tcPr>
          <w:p w14:paraId="615F0269" w14:textId="77777777" w:rsidR="00B70B9C" w:rsidRPr="00797C5C" w:rsidRDefault="00B70B9C" w:rsidP="00F12682">
            <w:pPr>
              <w:spacing w:after="0" w:line="240" w:lineRule="auto"/>
              <w:jc w:val="center"/>
              <w:rPr>
                <w:rFonts w:eastAsia="Times New Roman" w:cstheme="minorHAnsi"/>
                <w:b/>
                <w:bCs/>
                <w:lang w:eastAsia="fr-FR"/>
              </w:rPr>
            </w:pPr>
            <w:r w:rsidRPr="00797C5C">
              <w:rPr>
                <w:rFonts w:eastAsia="Times New Roman" w:cstheme="minorHAnsi"/>
                <w:b/>
                <w:bCs/>
                <w:szCs w:val="24"/>
                <w:lang w:eastAsia="fr-FR"/>
              </w:rPr>
              <w:t>B</w:t>
            </w:r>
          </w:p>
        </w:tc>
        <w:tc>
          <w:tcPr>
            <w:tcW w:w="376" w:type="pct"/>
            <w:tcBorders>
              <w:top w:val="nil"/>
              <w:left w:val="nil"/>
              <w:bottom w:val="single" w:sz="8" w:space="0" w:color="auto"/>
              <w:right w:val="single" w:sz="8" w:space="0" w:color="auto"/>
            </w:tcBorders>
            <w:shd w:val="clear" w:color="auto" w:fill="auto"/>
            <w:noWrap/>
            <w:vAlign w:val="center"/>
            <w:hideMark/>
          </w:tcPr>
          <w:p w14:paraId="14EC5143" w14:textId="77777777" w:rsidR="00B70B9C" w:rsidRPr="00797C5C" w:rsidRDefault="00B70B9C" w:rsidP="00F12682">
            <w:pPr>
              <w:spacing w:after="0" w:line="240" w:lineRule="auto"/>
              <w:jc w:val="center"/>
              <w:rPr>
                <w:rFonts w:eastAsia="Times New Roman" w:cstheme="minorHAnsi"/>
                <w:b/>
                <w:bCs/>
                <w:lang w:eastAsia="fr-FR"/>
              </w:rPr>
            </w:pPr>
            <w:r w:rsidRPr="00797C5C">
              <w:rPr>
                <w:rFonts w:eastAsia="Times New Roman" w:cstheme="minorHAnsi"/>
                <w:b/>
                <w:bCs/>
                <w:szCs w:val="24"/>
                <w:lang w:eastAsia="fr-FR"/>
              </w:rPr>
              <w:t>C</w:t>
            </w:r>
          </w:p>
        </w:tc>
        <w:tc>
          <w:tcPr>
            <w:tcW w:w="453" w:type="pct"/>
            <w:tcBorders>
              <w:top w:val="nil"/>
              <w:left w:val="nil"/>
              <w:bottom w:val="single" w:sz="8" w:space="0" w:color="auto"/>
              <w:right w:val="single" w:sz="8" w:space="0" w:color="auto"/>
            </w:tcBorders>
            <w:shd w:val="clear" w:color="auto" w:fill="auto"/>
            <w:noWrap/>
            <w:vAlign w:val="center"/>
            <w:hideMark/>
          </w:tcPr>
          <w:p w14:paraId="48F62605" w14:textId="77777777" w:rsidR="00B70B9C" w:rsidRPr="00797C5C" w:rsidRDefault="00B70B9C" w:rsidP="00F12682">
            <w:pPr>
              <w:spacing w:after="0" w:line="240" w:lineRule="auto"/>
              <w:jc w:val="center"/>
              <w:rPr>
                <w:rFonts w:eastAsia="Times New Roman" w:cstheme="minorHAnsi"/>
                <w:b/>
                <w:bCs/>
                <w:lang w:eastAsia="fr-FR"/>
              </w:rPr>
            </w:pPr>
            <w:r w:rsidRPr="00797C5C">
              <w:rPr>
                <w:rFonts w:eastAsia="Times New Roman" w:cstheme="minorHAnsi"/>
                <w:b/>
                <w:bCs/>
                <w:szCs w:val="24"/>
                <w:lang w:eastAsia="fr-FR"/>
              </w:rPr>
              <w:t>D</w:t>
            </w:r>
          </w:p>
        </w:tc>
        <w:tc>
          <w:tcPr>
            <w:tcW w:w="64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61D6DE0" w14:textId="77777777" w:rsidR="00B70B9C" w:rsidRPr="00797C5C" w:rsidRDefault="00B70B9C" w:rsidP="00F12682">
            <w:pPr>
              <w:spacing w:after="0" w:line="240" w:lineRule="auto"/>
              <w:rPr>
                <w:rFonts w:eastAsia="Times New Roman" w:cstheme="minorHAnsi"/>
                <w:b/>
                <w:bCs/>
                <w:lang w:eastAsia="fr-FR"/>
              </w:rPr>
            </w:pPr>
          </w:p>
        </w:tc>
        <w:tc>
          <w:tcPr>
            <w:tcW w:w="65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20CFEF8" w14:textId="77777777" w:rsidR="00B70B9C" w:rsidRPr="00797C5C" w:rsidRDefault="00B70B9C" w:rsidP="00F12682">
            <w:pPr>
              <w:spacing w:after="0" w:line="240" w:lineRule="auto"/>
              <w:rPr>
                <w:rFonts w:eastAsia="Times New Roman" w:cstheme="minorHAnsi"/>
                <w:b/>
                <w:bCs/>
                <w:lang w:eastAsia="fr-FR"/>
              </w:rPr>
            </w:pPr>
          </w:p>
        </w:tc>
      </w:tr>
      <w:tr w:rsidR="00B70B9C" w:rsidRPr="00797C5C" w14:paraId="60541E5E" w14:textId="77777777" w:rsidTr="009E3565">
        <w:tc>
          <w:tcPr>
            <w:tcW w:w="140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EF182B5" w14:textId="77777777" w:rsidR="00B70B9C" w:rsidRPr="00797C5C" w:rsidRDefault="00B70B9C" w:rsidP="00F12682">
            <w:pPr>
              <w:spacing w:after="0" w:line="240" w:lineRule="auto"/>
              <w:rPr>
                <w:rFonts w:eastAsia="Times New Roman" w:cstheme="minorHAnsi"/>
                <w:lang w:eastAsia="fr-FR"/>
              </w:rPr>
            </w:pPr>
            <w:r w:rsidRPr="00797C5C">
              <w:rPr>
                <w:rFonts w:eastAsia="Times New Roman" w:cstheme="minorHAnsi"/>
                <w:szCs w:val="24"/>
                <w:lang w:eastAsia="fr-FR"/>
              </w:rPr>
              <w:t>Environnement</w:t>
            </w:r>
          </w:p>
        </w:tc>
        <w:tc>
          <w:tcPr>
            <w:tcW w:w="639" w:type="pct"/>
            <w:tcBorders>
              <w:top w:val="nil"/>
              <w:left w:val="nil"/>
              <w:bottom w:val="single" w:sz="8" w:space="0" w:color="auto"/>
              <w:right w:val="single" w:sz="8" w:space="0" w:color="auto"/>
            </w:tcBorders>
            <w:shd w:val="clear" w:color="auto" w:fill="auto"/>
            <w:noWrap/>
            <w:vAlign w:val="center"/>
            <w:hideMark/>
          </w:tcPr>
          <w:p w14:paraId="42305A7B" w14:textId="77777777" w:rsidR="00B70B9C" w:rsidRPr="00797C5C" w:rsidRDefault="00B70B9C" w:rsidP="00F12682">
            <w:pPr>
              <w:spacing w:after="0" w:line="240" w:lineRule="auto"/>
              <w:rPr>
                <w:rFonts w:eastAsia="Times New Roman" w:cstheme="minorHAnsi"/>
                <w:lang w:eastAsia="fr-FR"/>
              </w:rPr>
            </w:pPr>
            <w:r w:rsidRPr="00797C5C">
              <w:rPr>
                <w:rFonts w:eastAsia="Times New Roman" w:cstheme="minorHAnsi"/>
                <w:szCs w:val="24"/>
                <w:lang w:eastAsia="fr-FR"/>
              </w:rPr>
              <w:t>Central</w:t>
            </w:r>
          </w:p>
        </w:tc>
        <w:tc>
          <w:tcPr>
            <w:tcW w:w="451" w:type="pct"/>
            <w:tcBorders>
              <w:top w:val="nil"/>
              <w:left w:val="nil"/>
              <w:bottom w:val="single" w:sz="8" w:space="0" w:color="auto"/>
              <w:right w:val="single" w:sz="8" w:space="0" w:color="auto"/>
            </w:tcBorders>
            <w:shd w:val="clear" w:color="auto" w:fill="auto"/>
            <w:noWrap/>
            <w:vAlign w:val="center"/>
            <w:hideMark/>
          </w:tcPr>
          <w:p w14:paraId="540BFCEB"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50%</w:t>
            </w:r>
          </w:p>
        </w:tc>
        <w:tc>
          <w:tcPr>
            <w:tcW w:w="376" w:type="pct"/>
            <w:tcBorders>
              <w:top w:val="nil"/>
              <w:left w:val="nil"/>
              <w:bottom w:val="single" w:sz="8" w:space="0" w:color="auto"/>
              <w:right w:val="single" w:sz="8" w:space="0" w:color="auto"/>
            </w:tcBorders>
            <w:shd w:val="clear" w:color="auto" w:fill="auto"/>
            <w:noWrap/>
            <w:vAlign w:val="center"/>
            <w:hideMark/>
          </w:tcPr>
          <w:p w14:paraId="6AF2B436"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14%</w:t>
            </w:r>
          </w:p>
        </w:tc>
        <w:tc>
          <w:tcPr>
            <w:tcW w:w="376" w:type="pct"/>
            <w:tcBorders>
              <w:top w:val="nil"/>
              <w:left w:val="nil"/>
              <w:bottom w:val="single" w:sz="8" w:space="0" w:color="auto"/>
              <w:right w:val="single" w:sz="8" w:space="0" w:color="auto"/>
            </w:tcBorders>
            <w:shd w:val="clear" w:color="auto" w:fill="auto"/>
            <w:noWrap/>
            <w:vAlign w:val="center"/>
            <w:hideMark/>
          </w:tcPr>
          <w:p w14:paraId="7BF86A95"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12%</w:t>
            </w:r>
          </w:p>
        </w:tc>
        <w:tc>
          <w:tcPr>
            <w:tcW w:w="453" w:type="pct"/>
            <w:tcBorders>
              <w:top w:val="nil"/>
              <w:left w:val="nil"/>
              <w:bottom w:val="single" w:sz="8" w:space="0" w:color="auto"/>
              <w:right w:val="single" w:sz="8" w:space="0" w:color="auto"/>
            </w:tcBorders>
            <w:shd w:val="clear" w:color="auto" w:fill="auto"/>
            <w:noWrap/>
            <w:vAlign w:val="center"/>
            <w:hideMark/>
          </w:tcPr>
          <w:p w14:paraId="041DD6C9"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42%</w:t>
            </w:r>
          </w:p>
        </w:tc>
        <w:tc>
          <w:tcPr>
            <w:tcW w:w="647" w:type="pct"/>
            <w:tcBorders>
              <w:top w:val="nil"/>
              <w:left w:val="nil"/>
              <w:bottom w:val="single" w:sz="8" w:space="0" w:color="auto"/>
              <w:right w:val="single" w:sz="8" w:space="0" w:color="auto"/>
            </w:tcBorders>
            <w:shd w:val="clear" w:color="auto" w:fill="auto"/>
            <w:noWrap/>
            <w:vAlign w:val="center"/>
            <w:hideMark/>
          </w:tcPr>
          <w:p w14:paraId="07C58BDA"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34%</w:t>
            </w:r>
          </w:p>
        </w:tc>
        <w:tc>
          <w:tcPr>
            <w:tcW w:w="657" w:type="pct"/>
            <w:tcBorders>
              <w:top w:val="nil"/>
              <w:left w:val="nil"/>
              <w:bottom w:val="single" w:sz="8" w:space="0" w:color="auto"/>
              <w:right w:val="single" w:sz="8" w:space="0" w:color="auto"/>
            </w:tcBorders>
            <w:shd w:val="clear" w:color="auto" w:fill="auto"/>
            <w:noWrap/>
            <w:vAlign w:val="center"/>
            <w:hideMark/>
          </w:tcPr>
          <w:p w14:paraId="4092F1D4"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32%</w:t>
            </w:r>
          </w:p>
        </w:tc>
      </w:tr>
      <w:tr w:rsidR="00B70B9C" w:rsidRPr="00797C5C" w14:paraId="045F011D" w14:textId="77777777" w:rsidTr="009E3565">
        <w:tc>
          <w:tcPr>
            <w:tcW w:w="1401" w:type="pct"/>
            <w:vMerge/>
            <w:tcBorders>
              <w:top w:val="nil"/>
              <w:left w:val="single" w:sz="8" w:space="0" w:color="auto"/>
              <w:bottom w:val="single" w:sz="8" w:space="0" w:color="000000"/>
              <w:right w:val="single" w:sz="8" w:space="0" w:color="auto"/>
            </w:tcBorders>
            <w:shd w:val="clear" w:color="auto" w:fill="auto"/>
            <w:vAlign w:val="center"/>
            <w:hideMark/>
          </w:tcPr>
          <w:p w14:paraId="161DD983" w14:textId="77777777" w:rsidR="00B70B9C" w:rsidRPr="00797C5C" w:rsidRDefault="00B70B9C" w:rsidP="00F12682">
            <w:pPr>
              <w:spacing w:after="0" w:line="240" w:lineRule="auto"/>
              <w:rPr>
                <w:rFonts w:eastAsia="Times New Roman" w:cstheme="minorHAnsi"/>
                <w:lang w:eastAsia="fr-FR"/>
              </w:rPr>
            </w:pPr>
          </w:p>
        </w:tc>
        <w:tc>
          <w:tcPr>
            <w:tcW w:w="639" w:type="pct"/>
            <w:tcBorders>
              <w:top w:val="nil"/>
              <w:left w:val="nil"/>
              <w:bottom w:val="single" w:sz="8" w:space="0" w:color="auto"/>
              <w:right w:val="single" w:sz="8" w:space="0" w:color="auto"/>
            </w:tcBorders>
            <w:shd w:val="clear" w:color="auto" w:fill="auto"/>
            <w:noWrap/>
            <w:vAlign w:val="center"/>
            <w:hideMark/>
          </w:tcPr>
          <w:p w14:paraId="122E3682" w14:textId="77777777" w:rsidR="00B70B9C" w:rsidRPr="00797C5C" w:rsidRDefault="00B70B9C" w:rsidP="00F12682">
            <w:pPr>
              <w:spacing w:after="0" w:line="240" w:lineRule="auto"/>
              <w:rPr>
                <w:rFonts w:eastAsia="Times New Roman" w:cstheme="minorHAnsi"/>
                <w:lang w:eastAsia="fr-FR"/>
              </w:rPr>
            </w:pPr>
            <w:r w:rsidRPr="00797C5C">
              <w:rPr>
                <w:rFonts w:eastAsia="Times New Roman" w:cstheme="minorHAnsi"/>
                <w:szCs w:val="24"/>
                <w:lang w:eastAsia="fr-FR"/>
              </w:rPr>
              <w:t>Régional</w:t>
            </w:r>
          </w:p>
        </w:tc>
        <w:tc>
          <w:tcPr>
            <w:tcW w:w="451" w:type="pct"/>
            <w:tcBorders>
              <w:top w:val="nil"/>
              <w:left w:val="nil"/>
              <w:bottom w:val="single" w:sz="8" w:space="0" w:color="auto"/>
              <w:right w:val="single" w:sz="8" w:space="0" w:color="auto"/>
            </w:tcBorders>
            <w:shd w:val="clear" w:color="auto" w:fill="auto"/>
            <w:noWrap/>
            <w:vAlign w:val="center"/>
            <w:hideMark/>
          </w:tcPr>
          <w:p w14:paraId="11EDCA62"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50%</w:t>
            </w:r>
          </w:p>
        </w:tc>
        <w:tc>
          <w:tcPr>
            <w:tcW w:w="376" w:type="pct"/>
            <w:tcBorders>
              <w:top w:val="nil"/>
              <w:left w:val="nil"/>
              <w:bottom w:val="single" w:sz="8" w:space="0" w:color="auto"/>
              <w:right w:val="single" w:sz="8" w:space="0" w:color="auto"/>
            </w:tcBorders>
            <w:shd w:val="clear" w:color="auto" w:fill="auto"/>
            <w:noWrap/>
            <w:vAlign w:val="center"/>
            <w:hideMark/>
          </w:tcPr>
          <w:p w14:paraId="6A79CB12"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86%</w:t>
            </w:r>
          </w:p>
        </w:tc>
        <w:tc>
          <w:tcPr>
            <w:tcW w:w="376" w:type="pct"/>
            <w:tcBorders>
              <w:top w:val="nil"/>
              <w:left w:val="nil"/>
              <w:bottom w:val="single" w:sz="8" w:space="0" w:color="auto"/>
              <w:right w:val="single" w:sz="8" w:space="0" w:color="auto"/>
            </w:tcBorders>
            <w:shd w:val="clear" w:color="auto" w:fill="auto"/>
            <w:noWrap/>
            <w:vAlign w:val="center"/>
            <w:hideMark/>
          </w:tcPr>
          <w:p w14:paraId="5D705797"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88%</w:t>
            </w:r>
          </w:p>
        </w:tc>
        <w:tc>
          <w:tcPr>
            <w:tcW w:w="453" w:type="pct"/>
            <w:tcBorders>
              <w:top w:val="nil"/>
              <w:left w:val="nil"/>
              <w:bottom w:val="single" w:sz="8" w:space="0" w:color="auto"/>
              <w:right w:val="single" w:sz="8" w:space="0" w:color="auto"/>
            </w:tcBorders>
            <w:shd w:val="clear" w:color="auto" w:fill="auto"/>
            <w:noWrap/>
            <w:vAlign w:val="center"/>
            <w:hideMark/>
          </w:tcPr>
          <w:p w14:paraId="39DD24D5"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58%</w:t>
            </w:r>
          </w:p>
        </w:tc>
        <w:tc>
          <w:tcPr>
            <w:tcW w:w="647" w:type="pct"/>
            <w:tcBorders>
              <w:top w:val="nil"/>
              <w:left w:val="nil"/>
              <w:bottom w:val="single" w:sz="8" w:space="0" w:color="auto"/>
              <w:right w:val="single" w:sz="8" w:space="0" w:color="auto"/>
            </w:tcBorders>
            <w:shd w:val="clear" w:color="auto" w:fill="auto"/>
            <w:noWrap/>
            <w:vAlign w:val="center"/>
            <w:hideMark/>
          </w:tcPr>
          <w:p w14:paraId="73DAC536" w14:textId="77777777" w:rsidR="00B70B9C" w:rsidRPr="00797C5C" w:rsidRDefault="00B70B9C" w:rsidP="00F12682">
            <w:pPr>
              <w:spacing w:after="0" w:line="240" w:lineRule="auto"/>
              <w:jc w:val="right"/>
              <w:rPr>
                <w:rFonts w:eastAsia="Times New Roman" w:cstheme="minorHAnsi"/>
                <w:b/>
                <w:bCs/>
                <w:lang w:eastAsia="fr-FR"/>
              </w:rPr>
            </w:pPr>
            <w:r w:rsidRPr="00797C5C">
              <w:rPr>
                <w:rFonts w:eastAsia="Times New Roman" w:cstheme="minorHAnsi"/>
                <w:b/>
                <w:bCs/>
                <w:lang w:eastAsia="fr-FR"/>
              </w:rPr>
              <w:t>66%</w:t>
            </w:r>
          </w:p>
        </w:tc>
        <w:tc>
          <w:tcPr>
            <w:tcW w:w="657" w:type="pct"/>
            <w:tcBorders>
              <w:top w:val="nil"/>
              <w:left w:val="nil"/>
              <w:bottom w:val="single" w:sz="8" w:space="0" w:color="auto"/>
              <w:right w:val="single" w:sz="8" w:space="0" w:color="auto"/>
            </w:tcBorders>
            <w:shd w:val="clear" w:color="auto" w:fill="auto"/>
            <w:noWrap/>
            <w:vAlign w:val="center"/>
            <w:hideMark/>
          </w:tcPr>
          <w:p w14:paraId="2ACC8D8C" w14:textId="77777777" w:rsidR="00B70B9C" w:rsidRPr="00797C5C" w:rsidRDefault="00B70B9C" w:rsidP="00F12682">
            <w:pPr>
              <w:spacing w:after="0" w:line="240" w:lineRule="auto"/>
              <w:jc w:val="right"/>
              <w:rPr>
                <w:rFonts w:eastAsia="Times New Roman" w:cstheme="minorHAnsi"/>
                <w:lang w:eastAsia="fr-FR"/>
              </w:rPr>
            </w:pPr>
            <w:r w:rsidRPr="00797C5C">
              <w:rPr>
                <w:rFonts w:eastAsia="Times New Roman" w:cstheme="minorHAnsi"/>
                <w:lang w:eastAsia="fr-FR"/>
              </w:rPr>
              <w:t>68%</w:t>
            </w:r>
          </w:p>
        </w:tc>
      </w:tr>
    </w:tbl>
    <w:p w14:paraId="4BBA736D" w14:textId="77777777" w:rsidR="00B70B9C" w:rsidRPr="00797C5C" w:rsidRDefault="00B70B9C" w:rsidP="00F12682">
      <w:pPr>
        <w:spacing w:after="0" w:line="240" w:lineRule="auto"/>
        <w:jc w:val="both"/>
        <w:rPr>
          <w:rFonts w:cstheme="minorHAnsi"/>
          <w:sz w:val="20"/>
          <w:szCs w:val="20"/>
        </w:rPr>
      </w:pPr>
      <w:r w:rsidRPr="00797C5C">
        <w:rPr>
          <w:rFonts w:cstheme="minorHAnsi"/>
          <w:sz w:val="20"/>
          <w:szCs w:val="20"/>
          <w:u w:val="single"/>
        </w:rPr>
        <w:t>Source</w:t>
      </w:r>
      <w:r w:rsidRPr="00797C5C">
        <w:rPr>
          <w:rFonts w:cstheme="minorHAnsi"/>
          <w:sz w:val="20"/>
          <w:szCs w:val="20"/>
        </w:rPr>
        <w:t> : DRH/MEDD, 2016</w:t>
      </w:r>
    </w:p>
    <w:p w14:paraId="4C036CB3" w14:textId="77777777" w:rsidR="00D61FFA" w:rsidRDefault="00D61FFA" w:rsidP="00F12682">
      <w:pPr>
        <w:spacing w:after="0" w:line="276" w:lineRule="auto"/>
        <w:jc w:val="both"/>
        <w:rPr>
          <w:sz w:val="24"/>
        </w:rPr>
      </w:pPr>
    </w:p>
    <w:p w14:paraId="30F6D1BD" w14:textId="77777777" w:rsidR="00837F75" w:rsidRPr="00A97060" w:rsidRDefault="00837F75" w:rsidP="00F12682">
      <w:pPr>
        <w:pStyle w:val="Titre4"/>
        <w:rPr>
          <w:rFonts w:asciiTheme="minorHAnsi" w:hAnsiTheme="minorHAnsi" w:cstheme="minorHAnsi"/>
        </w:rPr>
      </w:pPr>
      <w:r w:rsidRPr="00A97060">
        <w:rPr>
          <w:rFonts w:asciiTheme="minorHAnsi" w:hAnsiTheme="minorHAnsi" w:cstheme="minorHAnsi"/>
        </w:rPr>
        <w:lastRenderedPageBreak/>
        <w:t>Synthèse et perspective en matière de GFP</w:t>
      </w:r>
    </w:p>
    <w:p w14:paraId="7B5E49EE" w14:textId="77777777" w:rsidR="00B70B9C" w:rsidRPr="00406E83" w:rsidRDefault="00B70B9C" w:rsidP="00F12682">
      <w:pPr>
        <w:spacing w:after="120" w:line="276" w:lineRule="auto"/>
        <w:jc w:val="both"/>
        <w:rPr>
          <w:rFonts w:ascii="Calibri" w:hAnsi="Calibri" w:cs="Calibri"/>
          <w:sz w:val="24"/>
        </w:rPr>
      </w:pPr>
      <w:r>
        <w:rPr>
          <w:rFonts w:ascii="Calibri" w:hAnsi="Calibri" w:cs="Calibri"/>
          <w:sz w:val="24"/>
        </w:rPr>
        <w:t xml:space="preserve">Malgré que </w:t>
      </w:r>
      <w:r w:rsidRPr="00406E83">
        <w:rPr>
          <w:rFonts w:ascii="Calibri" w:hAnsi="Calibri" w:cs="Calibri"/>
          <w:sz w:val="24"/>
        </w:rPr>
        <w:t xml:space="preserve">le Ministère de l’Environnement de Développement Durable </w:t>
      </w:r>
      <w:r>
        <w:rPr>
          <w:rFonts w:ascii="Calibri" w:hAnsi="Calibri" w:cs="Calibri"/>
          <w:sz w:val="24"/>
        </w:rPr>
        <w:t xml:space="preserve">n’ait pas la culture de programmation annuelle, en 2016 il a élaboré </w:t>
      </w:r>
      <w:r w:rsidRPr="00406E83">
        <w:rPr>
          <w:rFonts w:ascii="Calibri" w:hAnsi="Calibri" w:cs="Calibri"/>
          <w:sz w:val="24"/>
        </w:rPr>
        <w:t>un document programmatique pour l’opérationnalisation de l’axe stratégique 3 du Plan d’action</w:t>
      </w:r>
      <w:r>
        <w:rPr>
          <w:rFonts w:ascii="Calibri" w:hAnsi="Calibri" w:cs="Calibri"/>
          <w:sz w:val="24"/>
        </w:rPr>
        <w:t xml:space="preserve"> 2016-2020</w:t>
      </w:r>
      <w:r w:rsidRPr="00406E83">
        <w:rPr>
          <w:rFonts w:ascii="Calibri" w:hAnsi="Calibri" w:cs="Calibri"/>
          <w:sz w:val="24"/>
        </w:rPr>
        <w:t xml:space="preserve"> de la SANDAD. </w:t>
      </w:r>
    </w:p>
    <w:p w14:paraId="6B471A9B" w14:textId="77777777" w:rsidR="00B70B9C" w:rsidRPr="00F12E15" w:rsidRDefault="00B70B9C" w:rsidP="00F12682">
      <w:pPr>
        <w:jc w:val="both"/>
        <w:rPr>
          <w:rFonts w:cs="Calibri"/>
          <w:sz w:val="24"/>
        </w:rPr>
      </w:pPr>
      <w:r>
        <w:rPr>
          <w:rFonts w:cs="Calibri"/>
          <w:sz w:val="24"/>
        </w:rPr>
        <w:t>La structuration du personnel du sous-secteur de l’environnement est relativement mieux structuré que les autres sous-secteurs de la SANDAD.</w:t>
      </w:r>
    </w:p>
    <w:p w14:paraId="0B48862F" w14:textId="77777777" w:rsidR="00837F75" w:rsidRPr="005978CD" w:rsidRDefault="00837F75" w:rsidP="00F12682">
      <w:pPr>
        <w:spacing w:after="120" w:line="276" w:lineRule="auto"/>
        <w:jc w:val="both"/>
        <w:rPr>
          <w:sz w:val="24"/>
        </w:rPr>
      </w:pPr>
    </w:p>
    <w:p w14:paraId="4A080DC6" w14:textId="228E4442" w:rsidR="00840BF9" w:rsidRDefault="00840BF9" w:rsidP="00F12682">
      <w:pPr>
        <w:pStyle w:val="Titre3"/>
        <w:numPr>
          <w:ilvl w:val="2"/>
          <w:numId w:val="21"/>
        </w:numPr>
        <w:rPr>
          <w:rFonts w:asciiTheme="minorHAnsi" w:hAnsiTheme="minorHAnsi" w:cstheme="minorHAnsi"/>
        </w:rPr>
      </w:pPr>
      <w:bookmarkStart w:id="54" w:name="_Toc529305019"/>
      <w:r w:rsidRPr="004A5122">
        <w:rPr>
          <w:rFonts w:asciiTheme="minorHAnsi" w:hAnsiTheme="minorHAnsi" w:cstheme="minorHAnsi"/>
        </w:rPr>
        <w:t>Ministère de l’Hydraul</w:t>
      </w:r>
      <w:r w:rsidR="00D61FFA">
        <w:rPr>
          <w:rFonts w:asciiTheme="minorHAnsi" w:hAnsiTheme="minorHAnsi" w:cstheme="minorHAnsi"/>
        </w:rPr>
        <w:t>ique et de l’Assainissement (MH</w:t>
      </w:r>
      <w:r w:rsidRPr="004A5122">
        <w:rPr>
          <w:rFonts w:asciiTheme="minorHAnsi" w:hAnsiTheme="minorHAnsi" w:cstheme="minorHAnsi"/>
        </w:rPr>
        <w:t>A)</w:t>
      </w:r>
      <w:bookmarkEnd w:id="54"/>
    </w:p>
    <w:p w14:paraId="4891EBF7" w14:textId="4AC4C512" w:rsidR="0055070A" w:rsidRPr="005978CD" w:rsidRDefault="007C7773" w:rsidP="00F12682">
      <w:pPr>
        <w:pStyle w:val="Titre4"/>
        <w:rPr>
          <w:rFonts w:asciiTheme="minorHAnsi" w:hAnsiTheme="minorHAnsi" w:cstheme="minorHAnsi"/>
        </w:rPr>
      </w:pPr>
      <w:r w:rsidRPr="005978CD">
        <w:rPr>
          <w:rFonts w:asciiTheme="minorHAnsi" w:hAnsiTheme="minorHAnsi" w:cstheme="minorHAnsi"/>
        </w:rPr>
        <w:t>Analyse de la planification/programmation</w:t>
      </w:r>
      <w:r w:rsidR="0055070A">
        <w:rPr>
          <w:rFonts w:asciiTheme="minorHAnsi" w:hAnsiTheme="minorHAnsi" w:cstheme="minorHAnsi"/>
        </w:rPr>
        <w:t>,</w:t>
      </w:r>
      <w:r w:rsidRPr="005978CD">
        <w:rPr>
          <w:rFonts w:asciiTheme="minorHAnsi" w:hAnsiTheme="minorHAnsi" w:cstheme="minorHAnsi"/>
        </w:rPr>
        <w:t xml:space="preserve"> de la budgétisation des dépenses</w:t>
      </w:r>
      <w:r w:rsidR="0055070A">
        <w:rPr>
          <w:rFonts w:asciiTheme="minorHAnsi" w:hAnsiTheme="minorHAnsi" w:cstheme="minorHAnsi"/>
        </w:rPr>
        <w:t xml:space="preserve"> </w:t>
      </w:r>
      <w:r w:rsidR="0055070A" w:rsidRPr="005978CD">
        <w:rPr>
          <w:rFonts w:asciiTheme="minorHAnsi" w:hAnsiTheme="minorHAnsi" w:cstheme="minorHAnsi"/>
        </w:rPr>
        <w:t>et de reddition des comptes</w:t>
      </w:r>
    </w:p>
    <w:p w14:paraId="549D8757" w14:textId="390B5E99" w:rsidR="007C7773" w:rsidRPr="002A3AAC" w:rsidRDefault="007C7773" w:rsidP="00F12682">
      <w:pPr>
        <w:spacing w:after="120" w:line="276" w:lineRule="auto"/>
        <w:jc w:val="both"/>
        <w:rPr>
          <w:rFonts w:ascii="Calibri" w:hAnsi="Calibri" w:cs="Calibri"/>
          <w:sz w:val="24"/>
          <w:szCs w:val="24"/>
        </w:rPr>
      </w:pPr>
      <w:r w:rsidRPr="002A3AAC">
        <w:rPr>
          <w:rFonts w:ascii="Calibri" w:hAnsi="Calibri" w:cs="Calibri"/>
          <w:sz w:val="24"/>
          <w:szCs w:val="24"/>
        </w:rPr>
        <w:t xml:space="preserve">Avec une longue tradition dans le domaine d’élaboration de budget Programme, le </w:t>
      </w:r>
      <w:r w:rsidR="00757CF6">
        <w:rPr>
          <w:rFonts w:ascii="Calibri" w:hAnsi="Calibri" w:cs="Calibri"/>
          <w:sz w:val="24"/>
          <w:szCs w:val="24"/>
        </w:rPr>
        <w:t xml:space="preserve">MHA </w:t>
      </w:r>
      <w:r w:rsidRPr="002A3AAC">
        <w:rPr>
          <w:rFonts w:ascii="Calibri" w:hAnsi="Calibri" w:cs="Calibri"/>
          <w:sz w:val="24"/>
          <w:szCs w:val="24"/>
        </w:rPr>
        <w:t>disposait</w:t>
      </w:r>
      <w:r w:rsidR="002A3AAC" w:rsidRPr="002A3AAC">
        <w:rPr>
          <w:rFonts w:ascii="Calibri" w:hAnsi="Calibri" w:cs="Calibri"/>
          <w:sz w:val="24"/>
          <w:szCs w:val="24"/>
        </w:rPr>
        <w:t xml:space="preserve"> d’un </w:t>
      </w:r>
      <w:r w:rsidRPr="002A3AAC">
        <w:rPr>
          <w:rFonts w:ascii="Calibri" w:hAnsi="Calibri" w:cs="Calibri"/>
          <w:sz w:val="24"/>
          <w:szCs w:val="24"/>
        </w:rPr>
        <w:t>Programme National d’Alimentation en E</w:t>
      </w:r>
      <w:r w:rsidR="002A3AAC" w:rsidRPr="002A3AAC">
        <w:rPr>
          <w:rFonts w:ascii="Calibri" w:hAnsi="Calibri" w:cs="Calibri"/>
          <w:sz w:val="24"/>
          <w:szCs w:val="24"/>
        </w:rPr>
        <w:t xml:space="preserve">au Potable et d’Assainissement </w:t>
      </w:r>
      <w:r w:rsidRPr="002A3AAC">
        <w:rPr>
          <w:rFonts w:ascii="Calibri" w:hAnsi="Calibri" w:cs="Calibri"/>
          <w:sz w:val="24"/>
          <w:szCs w:val="24"/>
        </w:rPr>
        <w:t>(PNAEPA) qui couvrait la période 2011-2015.</w:t>
      </w:r>
      <w:r w:rsidR="003D34E5">
        <w:rPr>
          <w:rFonts w:ascii="Calibri" w:hAnsi="Calibri" w:cs="Calibri"/>
          <w:sz w:val="24"/>
          <w:szCs w:val="24"/>
        </w:rPr>
        <w:t xml:space="preserve"> </w:t>
      </w:r>
      <w:r w:rsidRPr="002A3AAC">
        <w:rPr>
          <w:rFonts w:ascii="Calibri" w:hAnsi="Calibri" w:cs="Calibri"/>
          <w:sz w:val="24"/>
          <w:szCs w:val="24"/>
        </w:rPr>
        <w:t xml:space="preserve">Ce programme est complété par le Plan d’Action National de Gestion Intégrée des Ressources en Eau (PANGIRE) qui fixe les orientations en matière de connaissance et de gestion de la ressource en eau. </w:t>
      </w:r>
    </w:p>
    <w:p w14:paraId="3A5E03A6" w14:textId="77777777" w:rsidR="007C7773" w:rsidRPr="002A3AAC" w:rsidRDefault="007C7773" w:rsidP="00F12682">
      <w:pPr>
        <w:spacing w:after="120" w:line="276" w:lineRule="auto"/>
        <w:jc w:val="both"/>
        <w:rPr>
          <w:rFonts w:ascii="Calibri" w:hAnsi="Calibri" w:cs="Calibri"/>
          <w:sz w:val="24"/>
          <w:szCs w:val="24"/>
        </w:rPr>
      </w:pPr>
      <w:r w:rsidRPr="002A3AAC">
        <w:rPr>
          <w:rFonts w:ascii="Calibri" w:hAnsi="Calibri" w:cs="Calibri"/>
          <w:sz w:val="24"/>
          <w:szCs w:val="24"/>
        </w:rPr>
        <w:t>Le PNAEPA est subdivisé en trois (3) composantes :</w:t>
      </w:r>
    </w:p>
    <w:p w14:paraId="43BED87D" w14:textId="24EA98F0"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Assainissement : les objectifs du PN-AEPA pour l’assainissement sont : (i) l’amélioration des pratiques d’hygiène et d’assainissement à travers le changement de comportement, (ii) l’incitation à la construction de latrines familiales par la conduite d’action de démonstration en accordant la priorité aux populations les plus vulnérables</w:t>
      </w:r>
      <w:r w:rsidR="002E08F2">
        <w:rPr>
          <w:rFonts w:ascii="Calibri" w:hAnsi="Calibri" w:cs="Calibri"/>
          <w:sz w:val="24"/>
          <w:szCs w:val="24"/>
        </w:rPr>
        <w:t xml:space="preserve"> </w:t>
      </w:r>
      <w:r w:rsidRPr="002A3AAC">
        <w:rPr>
          <w:rFonts w:ascii="Calibri" w:hAnsi="Calibri" w:cs="Calibri"/>
          <w:sz w:val="24"/>
          <w:szCs w:val="24"/>
        </w:rPr>
        <w:t>et (iii) le développement des capacités des communes et du secteur privé.</w:t>
      </w:r>
    </w:p>
    <w:p w14:paraId="0B83FD71" w14:textId="4E594452"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Hydraulique rurale</w:t>
      </w:r>
      <w:r w:rsidR="002E08F2">
        <w:rPr>
          <w:rFonts w:ascii="Calibri" w:hAnsi="Calibri" w:cs="Calibri"/>
          <w:sz w:val="24"/>
          <w:szCs w:val="24"/>
        </w:rPr>
        <w:t xml:space="preserve"> </w:t>
      </w:r>
      <w:r w:rsidRPr="002A3AAC">
        <w:rPr>
          <w:rFonts w:ascii="Calibri" w:hAnsi="Calibri" w:cs="Calibri"/>
          <w:sz w:val="24"/>
          <w:szCs w:val="24"/>
        </w:rPr>
        <w:t>(zone non concédée) : les objectifs du PN-AEPA pour l’alimentation en eau potable en milieu rural sont : (i) l’améliorat</w:t>
      </w:r>
      <w:r w:rsidR="002E08F2">
        <w:rPr>
          <w:rFonts w:ascii="Calibri" w:hAnsi="Calibri" w:cs="Calibri"/>
          <w:sz w:val="24"/>
          <w:szCs w:val="24"/>
        </w:rPr>
        <w:t xml:space="preserve">ion de l’accès à l’eau potable, </w:t>
      </w:r>
      <w:r w:rsidRPr="002A3AAC">
        <w:rPr>
          <w:rFonts w:ascii="Calibri" w:hAnsi="Calibri" w:cs="Calibri"/>
          <w:sz w:val="24"/>
          <w:szCs w:val="24"/>
        </w:rPr>
        <w:t>(ii) la réduction d</w:t>
      </w:r>
      <w:r w:rsidR="002E08F2">
        <w:rPr>
          <w:rFonts w:ascii="Calibri" w:hAnsi="Calibri" w:cs="Calibri"/>
          <w:sz w:val="24"/>
          <w:szCs w:val="24"/>
        </w:rPr>
        <w:t xml:space="preserve">es disparités géographiques, et </w:t>
      </w:r>
      <w:r w:rsidRPr="002A3AAC">
        <w:rPr>
          <w:rFonts w:ascii="Calibri" w:hAnsi="Calibri" w:cs="Calibri"/>
          <w:sz w:val="24"/>
          <w:szCs w:val="24"/>
        </w:rPr>
        <w:t>(iii) la pérennisation du service public de l’eau.</w:t>
      </w:r>
    </w:p>
    <w:p w14:paraId="619E9D35" w14:textId="77777777"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Hydraulique urbaine (zone concédée regroupant les 52 centres urbains de la SPEN en 2009, ainsi que 40 nouveaux centres à intégrer à l’horizon 2015). les objectifs du PN-AEPA pour l’alimentation en eau potable en milieu urbain sont : (i) l’amélioration de l’accès à l’eau potable, (ii) l’intégration de 40 nouveaux centres urbains dans le périmètre concédé et (iii) la pérennisation et l’amélioration de la qualité du service</w:t>
      </w:r>
    </w:p>
    <w:p w14:paraId="127EF091" w14:textId="32935904" w:rsidR="00855DFA" w:rsidRDefault="007C7773" w:rsidP="00F12682">
      <w:pPr>
        <w:spacing w:after="120" w:line="276" w:lineRule="auto"/>
        <w:jc w:val="both"/>
        <w:rPr>
          <w:rFonts w:ascii="Calibri" w:hAnsi="Calibri" w:cs="Calibri"/>
          <w:sz w:val="24"/>
          <w:szCs w:val="24"/>
        </w:rPr>
      </w:pPr>
      <w:r w:rsidRPr="002A3AAC">
        <w:rPr>
          <w:rFonts w:ascii="Calibri" w:hAnsi="Calibri" w:cs="Calibri"/>
          <w:sz w:val="24"/>
          <w:szCs w:val="24"/>
        </w:rPr>
        <w:t xml:space="preserve">Pour s’arrimer aux Objectifs pour un Développement Durable (ODD), le </w:t>
      </w:r>
      <w:r w:rsidR="00757CF6">
        <w:rPr>
          <w:rFonts w:ascii="Calibri" w:hAnsi="Calibri" w:cs="Calibri"/>
          <w:sz w:val="24"/>
          <w:szCs w:val="24"/>
        </w:rPr>
        <w:t xml:space="preserve">MHA </w:t>
      </w:r>
      <w:r w:rsidRPr="002A3AAC">
        <w:rPr>
          <w:rFonts w:ascii="Calibri" w:hAnsi="Calibri" w:cs="Calibri"/>
          <w:sz w:val="24"/>
          <w:szCs w:val="24"/>
        </w:rPr>
        <w:t>a élaboré et fait adopter le ‘Programme Sectoriel Eau Hygiène et Assainissement’ (PROSEHA) pour la période 2016-2030.</w:t>
      </w:r>
    </w:p>
    <w:p w14:paraId="79E65D16" w14:textId="2ADFAB31" w:rsidR="007C7773" w:rsidRPr="002A3AAC" w:rsidRDefault="007C7773" w:rsidP="00F12682">
      <w:pPr>
        <w:spacing w:after="120" w:line="276" w:lineRule="auto"/>
        <w:jc w:val="both"/>
        <w:rPr>
          <w:rFonts w:ascii="Calibri" w:hAnsi="Calibri" w:cs="Calibri"/>
          <w:sz w:val="24"/>
          <w:szCs w:val="24"/>
        </w:rPr>
      </w:pPr>
      <w:r w:rsidRPr="002A3AAC">
        <w:rPr>
          <w:rFonts w:ascii="Calibri" w:hAnsi="Calibri" w:cs="Calibri"/>
          <w:sz w:val="24"/>
          <w:szCs w:val="24"/>
        </w:rPr>
        <w:t xml:space="preserve">Le PROSEHA vise globalement deux (2) objectifs généraux : </w:t>
      </w:r>
    </w:p>
    <w:p w14:paraId="158E1400" w14:textId="7B62135E"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Objectif général n°1</w:t>
      </w:r>
      <w:r w:rsidR="00797C5C">
        <w:rPr>
          <w:rFonts w:ascii="Calibri" w:hAnsi="Calibri" w:cs="Calibri"/>
          <w:sz w:val="24"/>
          <w:szCs w:val="24"/>
        </w:rPr>
        <w:t> :</w:t>
      </w:r>
      <w:r w:rsidRPr="002A3AAC">
        <w:rPr>
          <w:rFonts w:ascii="Calibri" w:hAnsi="Calibri" w:cs="Calibri"/>
          <w:sz w:val="24"/>
          <w:szCs w:val="24"/>
        </w:rPr>
        <w:t xml:space="preserve"> Assurer la disponibilité et la gestion durable de l’eau et de l’assainissement pour tous. Cet objectif répond à l’engagement du Niger à mettre en œuvre l’ODD 6 « assurer la disponibilité</w:t>
      </w:r>
    </w:p>
    <w:p w14:paraId="06A1F2FC" w14:textId="77777777"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et la gestion durable de l’eau et de l’assainissement pour tous ».</w:t>
      </w:r>
    </w:p>
    <w:p w14:paraId="0DF35CC1" w14:textId="79804D0F"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lastRenderedPageBreak/>
        <w:t>Objectif général n°2</w:t>
      </w:r>
      <w:r w:rsidR="00797C5C">
        <w:rPr>
          <w:rFonts w:ascii="Calibri" w:hAnsi="Calibri" w:cs="Calibri"/>
          <w:sz w:val="24"/>
          <w:szCs w:val="24"/>
        </w:rPr>
        <w:t> :</w:t>
      </w:r>
      <w:r w:rsidRPr="002A3AAC">
        <w:rPr>
          <w:rFonts w:ascii="Calibri" w:hAnsi="Calibri" w:cs="Calibri"/>
          <w:sz w:val="24"/>
          <w:szCs w:val="24"/>
        </w:rPr>
        <w:t xml:space="preserve"> Contribuer à la mise en œuvre de la stratégie nationale d’hydraulique pastorale ;</w:t>
      </w:r>
    </w:p>
    <w:p w14:paraId="4C3A1C39" w14:textId="3BA826B7" w:rsidR="007C7773" w:rsidRPr="002A3AAC" w:rsidRDefault="007C7773" w:rsidP="00F12682">
      <w:pPr>
        <w:spacing w:after="120" w:line="276" w:lineRule="auto"/>
        <w:jc w:val="both"/>
        <w:rPr>
          <w:rFonts w:ascii="Calibri" w:hAnsi="Calibri" w:cs="Calibri"/>
          <w:sz w:val="24"/>
          <w:szCs w:val="24"/>
        </w:rPr>
      </w:pPr>
      <w:r w:rsidRPr="002A3AAC">
        <w:rPr>
          <w:rFonts w:ascii="Calibri" w:hAnsi="Calibri" w:cs="Calibri"/>
          <w:sz w:val="24"/>
          <w:szCs w:val="24"/>
        </w:rPr>
        <w:t xml:space="preserve">Le PROSEHA est structuré en </w:t>
      </w:r>
      <w:r w:rsidR="006C65EE">
        <w:rPr>
          <w:rFonts w:ascii="Calibri" w:hAnsi="Calibri" w:cs="Calibri"/>
          <w:sz w:val="24"/>
          <w:szCs w:val="24"/>
        </w:rPr>
        <w:t>cinq (</w:t>
      </w:r>
      <w:r w:rsidRPr="002A3AAC">
        <w:rPr>
          <w:rFonts w:ascii="Calibri" w:hAnsi="Calibri" w:cs="Calibri"/>
          <w:sz w:val="24"/>
          <w:szCs w:val="24"/>
        </w:rPr>
        <w:t>5</w:t>
      </w:r>
      <w:r w:rsidR="006C65EE">
        <w:rPr>
          <w:rFonts w:ascii="Calibri" w:hAnsi="Calibri" w:cs="Calibri"/>
          <w:sz w:val="24"/>
          <w:szCs w:val="24"/>
        </w:rPr>
        <w:t>)</w:t>
      </w:r>
      <w:r w:rsidRPr="002A3AAC">
        <w:rPr>
          <w:rFonts w:ascii="Calibri" w:hAnsi="Calibri" w:cs="Calibri"/>
          <w:sz w:val="24"/>
          <w:szCs w:val="24"/>
        </w:rPr>
        <w:t xml:space="preserve"> sous-programmes correspondant à chacun des objectifs spécifiques :</w:t>
      </w:r>
    </w:p>
    <w:p w14:paraId="6C5994D1" w14:textId="154EDA59"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Le sous-programme Alimentation en Eau Potable</w:t>
      </w:r>
      <w:r w:rsidR="00406E83">
        <w:rPr>
          <w:rFonts w:ascii="Calibri" w:hAnsi="Calibri" w:cs="Calibri"/>
          <w:sz w:val="24"/>
          <w:szCs w:val="24"/>
        </w:rPr>
        <w:t> ;</w:t>
      </w:r>
    </w:p>
    <w:p w14:paraId="43AEF529" w14:textId="3BECCE5A"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Le sous-programme Hygiène et Assainissement</w:t>
      </w:r>
      <w:r w:rsidR="00406E83">
        <w:rPr>
          <w:rFonts w:ascii="Calibri" w:hAnsi="Calibri" w:cs="Calibri"/>
          <w:sz w:val="24"/>
          <w:szCs w:val="24"/>
        </w:rPr>
        <w:t> ;</w:t>
      </w:r>
    </w:p>
    <w:p w14:paraId="29FFFAA4" w14:textId="38DF49D8"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Le sous-programme Connaissance, Suivi et Protection des Ressources en Eau</w:t>
      </w:r>
      <w:r w:rsidR="009B1D5C">
        <w:rPr>
          <w:rFonts w:ascii="Calibri" w:hAnsi="Calibri" w:cs="Calibri"/>
          <w:sz w:val="24"/>
          <w:szCs w:val="24"/>
        </w:rPr>
        <w:t> ;</w:t>
      </w:r>
    </w:p>
    <w:p w14:paraId="5C3F29C3" w14:textId="405784DC"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Le sous-programme Gouvernance</w:t>
      </w:r>
      <w:r w:rsidR="00406E83">
        <w:rPr>
          <w:rFonts w:ascii="Calibri" w:hAnsi="Calibri" w:cs="Calibri"/>
          <w:sz w:val="24"/>
          <w:szCs w:val="24"/>
        </w:rPr>
        <w:t> ;</w:t>
      </w:r>
    </w:p>
    <w:p w14:paraId="7E3202EA" w14:textId="77777777" w:rsidR="007C7773" w:rsidRPr="002A3AAC" w:rsidRDefault="007C7773" w:rsidP="00F12682">
      <w:pPr>
        <w:pStyle w:val="Paragraphedeliste"/>
        <w:numPr>
          <w:ilvl w:val="0"/>
          <w:numId w:val="6"/>
        </w:numPr>
        <w:spacing w:after="120" w:line="276" w:lineRule="auto"/>
        <w:ind w:left="567" w:hanging="207"/>
        <w:contextualSpacing w:val="0"/>
        <w:jc w:val="both"/>
        <w:rPr>
          <w:rFonts w:ascii="Calibri" w:hAnsi="Calibri" w:cs="Calibri"/>
          <w:sz w:val="24"/>
          <w:szCs w:val="24"/>
        </w:rPr>
      </w:pPr>
      <w:r w:rsidRPr="002A3AAC">
        <w:rPr>
          <w:rFonts w:ascii="Calibri" w:hAnsi="Calibri" w:cs="Calibri"/>
          <w:sz w:val="24"/>
          <w:szCs w:val="24"/>
        </w:rPr>
        <w:t xml:space="preserve">Le sous-programme </w:t>
      </w:r>
      <w:r w:rsidRPr="00115E93">
        <w:rPr>
          <w:rFonts w:ascii="Calibri" w:hAnsi="Calibri" w:cs="Calibri"/>
          <w:b/>
          <w:i/>
          <w:sz w:val="24"/>
          <w:szCs w:val="24"/>
        </w:rPr>
        <w:t>Hydraulique Pastorale</w:t>
      </w:r>
      <w:r w:rsidRPr="002A3AAC">
        <w:rPr>
          <w:rFonts w:ascii="Calibri" w:hAnsi="Calibri" w:cs="Calibri"/>
          <w:sz w:val="24"/>
          <w:szCs w:val="24"/>
        </w:rPr>
        <w:t>.</w:t>
      </w:r>
    </w:p>
    <w:p w14:paraId="5FA6CC7B" w14:textId="4EE94267" w:rsidR="007C7773" w:rsidRPr="002A3AAC" w:rsidRDefault="007C7773" w:rsidP="00F12682">
      <w:pPr>
        <w:spacing w:after="120" w:line="276" w:lineRule="auto"/>
        <w:jc w:val="both"/>
        <w:rPr>
          <w:rFonts w:ascii="Calibri" w:hAnsi="Calibri" w:cs="Calibri"/>
          <w:sz w:val="24"/>
          <w:szCs w:val="24"/>
        </w:rPr>
      </w:pPr>
      <w:r w:rsidRPr="002A3AAC">
        <w:rPr>
          <w:rFonts w:ascii="Calibri" w:hAnsi="Calibri" w:cs="Calibri"/>
          <w:sz w:val="24"/>
          <w:szCs w:val="24"/>
        </w:rPr>
        <w:t>Par ailleurs, il faut souligner que, depuis plusieurs années, grâce à l’appui de certains Partenaire Techniques e</w:t>
      </w:r>
      <w:r w:rsidR="002A3AAC">
        <w:rPr>
          <w:rFonts w:ascii="Calibri" w:hAnsi="Calibri" w:cs="Calibri"/>
          <w:sz w:val="24"/>
          <w:szCs w:val="24"/>
        </w:rPr>
        <w:t>t Financiers</w:t>
      </w:r>
      <w:r w:rsidR="00757CF6">
        <w:rPr>
          <w:rFonts w:ascii="Calibri" w:hAnsi="Calibri" w:cs="Calibri"/>
          <w:sz w:val="24"/>
          <w:szCs w:val="24"/>
        </w:rPr>
        <w:t xml:space="preserve"> (PTF), le MH</w:t>
      </w:r>
      <w:r w:rsidRPr="002A3AAC">
        <w:rPr>
          <w:rFonts w:ascii="Calibri" w:hAnsi="Calibri" w:cs="Calibri"/>
          <w:sz w:val="24"/>
          <w:szCs w:val="24"/>
        </w:rPr>
        <w:t>A</w:t>
      </w:r>
      <w:r w:rsidR="002A3AAC">
        <w:rPr>
          <w:rFonts w:ascii="Calibri" w:hAnsi="Calibri" w:cs="Calibri"/>
          <w:sz w:val="24"/>
          <w:szCs w:val="24"/>
        </w:rPr>
        <w:t xml:space="preserve"> élabore</w:t>
      </w:r>
      <w:r w:rsidRPr="002A3AAC">
        <w:rPr>
          <w:rFonts w:ascii="Calibri" w:hAnsi="Calibri" w:cs="Calibri"/>
          <w:sz w:val="24"/>
          <w:szCs w:val="24"/>
        </w:rPr>
        <w:t xml:space="preserve"> et met en œuvre régulièrement un Budget Programme par Objectif (BPO). Le processus de préparation du BPO s’inscrit dans une approche participative avec la collaboration des différents acteurs concernés par les questions de l’eau, l’hygiène et l’assainissement.</w:t>
      </w:r>
    </w:p>
    <w:p w14:paraId="1CFF8618" w14:textId="5119F1F2" w:rsidR="007C7773" w:rsidRPr="002A3AAC" w:rsidRDefault="007C7773" w:rsidP="00F12682">
      <w:pPr>
        <w:spacing w:after="120" w:line="276" w:lineRule="auto"/>
        <w:jc w:val="both"/>
        <w:rPr>
          <w:rFonts w:ascii="Calibri" w:hAnsi="Calibri" w:cs="Calibri"/>
          <w:sz w:val="24"/>
          <w:szCs w:val="24"/>
        </w:rPr>
      </w:pPr>
      <w:r w:rsidRPr="002A3AAC">
        <w:rPr>
          <w:rFonts w:ascii="Calibri" w:hAnsi="Calibri" w:cs="Calibri"/>
          <w:sz w:val="24"/>
          <w:szCs w:val="24"/>
        </w:rPr>
        <w:t>Fort de cette longue et riche expérience en BPO, le MHA n’a eu aucune difficulté à s’insérer dans l’optique d’élaboration de Cadre de Dépenses à Moyen Terme (CDMT) et de Document de Programmation Pluriannuelle de Dépenses (DPPD). Faut-</w:t>
      </w:r>
      <w:r w:rsidR="00757CF6">
        <w:rPr>
          <w:rFonts w:ascii="Calibri" w:hAnsi="Calibri" w:cs="Calibri"/>
          <w:sz w:val="24"/>
          <w:szCs w:val="24"/>
        </w:rPr>
        <w:t>il noter que depuis 2014, le MH</w:t>
      </w:r>
      <w:r w:rsidRPr="002A3AAC">
        <w:rPr>
          <w:rFonts w:ascii="Calibri" w:hAnsi="Calibri" w:cs="Calibri"/>
          <w:sz w:val="24"/>
          <w:szCs w:val="24"/>
        </w:rPr>
        <w:t xml:space="preserve">A élabore régulièrement le DPPD. Ainsi, le </w:t>
      </w:r>
      <w:r w:rsidR="00757CF6">
        <w:rPr>
          <w:rFonts w:ascii="Calibri" w:hAnsi="Calibri" w:cs="Calibri"/>
          <w:sz w:val="24"/>
          <w:szCs w:val="24"/>
        </w:rPr>
        <w:t xml:space="preserve">MHA </w:t>
      </w:r>
      <w:r w:rsidRPr="002A3AAC">
        <w:rPr>
          <w:rFonts w:ascii="Calibri" w:hAnsi="Calibri" w:cs="Calibri"/>
          <w:sz w:val="24"/>
          <w:szCs w:val="24"/>
        </w:rPr>
        <w:t>avait produit, avec satisfaction, les DPPD des périodes suivantes : 2015-2017 et 2016-2018.</w:t>
      </w:r>
    </w:p>
    <w:p w14:paraId="11C8006B" w14:textId="18BFE666" w:rsidR="007C7773" w:rsidRDefault="007C7773" w:rsidP="00F12682">
      <w:pPr>
        <w:spacing w:after="120" w:line="276" w:lineRule="auto"/>
        <w:jc w:val="both"/>
        <w:rPr>
          <w:rFonts w:ascii="Calibri" w:hAnsi="Calibri" w:cs="Calibri"/>
          <w:sz w:val="24"/>
          <w:szCs w:val="24"/>
        </w:rPr>
      </w:pPr>
      <w:r w:rsidRPr="002A3AAC">
        <w:rPr>
          <w:rFonts w:ascii="Calibri" w:hAnsi="Calibri" w:cs="Calibri"/>
          <w:sz w:val="24"/>
          <w:szCs w:val="24"/>
        </w:rPr>
        <w:t>C’est d</w:t>
      </w:r>
      <w:r w:rsidR="00757CF6">
        <w:rPr>
          <w:rFonts w:ascii="Calibri" w:hAnsi="Calibri" w:cs="Calibri"/>
          <w:sz w:val="24"/>
          <w:szCs w:val="24"/>
        </w:rPr>
        <w:t>ire que la vision du MH</w:t>
      </w:r>
      <w:r w:rsidRPr="002A3AAC">
        <w:rPr>
          <w:rFonts w:ascii="Calibri" w:hAnsi="Calibri" w:cs="Calibri"/>
          <w:sz w:val="24"/>
          <w:szCs w:val="24"/>
        </w:rPr>
        <w:t>A a toujours été soutenue par des stratégies et actions concrètes permettant l’atteinte des objectifs q</w:t>
      </w:r>
      <w:r w:rsidR="006C65EE">
        <w:rPr>
          <w:rFonts w:ascii="Calibri" w:hAnsi="Calibri" w:cs="Calibri"/>
          <w:sz w:val="24"/>
          <w:szCs w:val="24"/>
        </w:rPr>
        <w:t>ui lui sont assignés.</w:t>
      </w:r>
    </w:p>
    <w:p w14:paraId="6EA50A4B" w14:textId="77777777" w:rsidR="00115E93" w:rsidRDefault="00115E93" w:rsidP="00F12682">
      <w:pPr>
        <w:spacing w:after="120" w:line="276" w:lineRule="auto"/>
        <w:jc w:val="both"/>
        <w:rPr>
          <w:rFonts w:ascii="Calibri" w:hAnsi="Calibri" w:cs="Calibri"/>
          <w:sz w:val="24"/>
          <w:szCs w:val="24"/>
        </w:rPr>
      </w:pPr>
    </w:p>
    <w:p w14:paraId="17A4351C" w14:textId="77777777" w:rsidR="00840BF9" w:rsidRPr="005978CD" w:rsidRDefault="00840BF9" w:rsidP="00F12682">
      <w:pPr>
        <w:pStyle w:val="Titre4"/>
        <w:rPr>
          <w:rFonts w:asciiTheme="minorHAnsi" w:hAnsiTheme="minorHAnsi" w:cstheme="minorHAnsi"/>
        </w:rPr>
      </w:pPr>
      <w:r w:rsidRPr="005978CD">
        <w:rPr>
          <w:rFonts w:asciiTheme="minorHAnsi" w:hAnsiTheme="minorHAnsi" w:cstheme="minorHAnsi"/>
        </w:rPr>
        <w:t>Analyse de la Gestion des Ressources Humaines</w:t>
      </w:r>
    </w:p>
    <w:p w14:paraId="70033F41" w14:textId="200328A8" w:rsidR="00A146BD" w:rsidRPr="004A5122" w:rsidRDefault="00757CF6" w:rsidP="00F12682">
      <w:pPr>
        <w:jc w:val="both"/>
        <w:rPr>
          <w:rFonts w:cs="Calibri"/>
          <w:sz w:val="24"/>
        </w:rPr>
      </w:pPr>
      <w:r>
        <w:rPr>
          <w:rFonts w:cs="Calibri"/>
          <w:sz w:val="24"/>
        </w:rPr>
        <w:t>Au cours de l’année 2016, le MH</w:t>
      </w:r>
      <w:r w:rsidR="00A146BD" w:rsidRPr="004A5122">
        <w:rPr>
          <w:rFonts w:cs="Calibri"/>
          <w:sz w:val="24"/>
        </w:rPr>
        <w:t>A a été animé par un personnel constitué de 565 agents ayant divers profils et repartis selon le tableau ci-après :</w:t>
      </w:r>
    </w:p>
    <w:p w14:paraId="479E8FF5" w14:textId="6C2142AF" w:rsidR="00A146BD" w:rsidRPr="00855DFA" w:rsidRDefault="00855DFA" w:rsidP="00F12682">
      <w:pPr>
        <w:pStyle w:val="Lgende"/>
        <w:rPr>
          <w:rFonts w:eastAsiaTheme="majorEastAsia" w:cs="Calibri"/>
          <w:iCs w:val="0"/>
        </w:rPr>
      </w:pPr>
      <w:bookmarkStart w:id="55" w:name="_Toc529305060"/>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6</w:t>
      </w:r>
      <w:r w:rsidR="00A773EB">
        <w:rPr>
          <w:noProof/>
        </w:rPr>
        <w:fldChar w:fldCharType="end"/>
      </w:r>
      <w:r w:rsidR="006C65EE" w:rsidRPr="00855DFA">
        <w:rPr>
          <w:rFonts w:eastAsiaTheme="majorEastAsia" w:cs="Calibri"/>
          <w:iCs w:val="0"/>
        </w:rPr>
        <w:t> : S</w:t>
      </w:r>
      <w:r w:rsidR="00A146BD" w:rsidRPr="00855DFA">
        <w:rPr>
          <w:rFonts w:eastAsiaTheme="majorEastAsia" w:cs="Calibri"/>
          <w:iCs w:val="0"/>
        </w:rPr>
        <w:t xml:space="preserve">ituation du Personnel </w:t>
      </w:r>
      <w:r w:rsidR="006C65EE" w:rsidRPr="00855DFA">
        <w:rPr>
          <w:rFonts w:eastAsiaTheme="majorEastAsia" w:cs="Calibri"/>
          <w:iCs w:val="0"/>
        </w:rPr>
        <w:t xml:space="preserve">du </w:t>
      </w:r>
      <w:r w:rsidR="00757CF6">
        <w:rPr>
          <w:rFonts w:eastAsiaTheme="majorEastAsia" w:cs="Calibri"/>
          <w:iCs w:val="0"/>
        </w:rPr>
        <w:t xml:space="preserve">MHA </w:t>
      </w:r>
      <w:r w:rsidR="006C65EE" w:rsidRPr="00855DFA">
        <w:rPr>
          <w:rFonts w:eastAsiaTheme="majorEastAsia" w:cs="Calibri"/>
          <w:iCs w:val="0"/>
        </w:rPr>
        <w:t>en 2016</w:t>
      </w:r>
      <w:bookmarkEnd w:id="55"/>
    </w:p>
    <w:tbl>
      <w:tblPr>
        <w:tblW w:w="9780" w:type="dxa"/>
        <w:tblInd w:w="-152" w:type="dxa"/>
        <w:tblLayout w:type="fixed"/>
        <w:tblCellMar>
          <w:left w:w="70" w:type="dxa"/>
          <w:right w:w="70" w:type="dxa"/>
        </w:tblCellMar>
        <w:tblLook w:val="04A0" w:firstRow="1" w:lastRow="0" w:firstColumn="1" w:lastColumn="0" w:noHBand="0" w:noVBand="1"/>
      </w:tblPr>
      <w:tblGrid>
        <w:gridCol w:w="2680"/>
        <w:gridCol w:w="1059"/>
        <w:gridCol w:w="1059"/>
        <w:gridCol w:w="1059"/>
        <w:gridCol w:w="1060"/>
        <w:gridCol w:w="1163"/>
        <w:gridCol w:w="811"/>
        <w:gridCol w:w="889"/>
      </w:tblGrid>
      <w:tr w:rsidR="00A146BD" w:rsidRPr="00650E40" w14:paraId="6DE1DB22" w14:textId="77777777" w:rsidTr="006C65EE">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0580D9" w14:textId="77777777" w:rsidR="00A146BD" w:rsidRPr="00650E40" w:rsidRDefault="00A146BD" w:rsidP="00F12682">
            <w:pPr>
              <w:spacing w:after="0" w:line="240" w:lineRule="auto"/>
              <w:jc w:val="center"/>
              <w:rPr>
                <w:rFonts w:ascii="Calibri" w:eastAsia="Times New Roman" w:hAnsi="Calibri" w:cs="Calibri"/>
                <w:b/>
                <w:bCs/>
                <w:i/>
                <w:iCs/>
                <w:lang w:eastAsia="fr-FR"/>
              </w:rPr>
            </w:pPr>
            <w:r w:rsidRPr="00EB6086">
              <w:rPr>
                <w:rFonts w:asciiTheme="majorHAnsi" w:eastAsiaTheme="majorEastAsia" w:hAnsiTheme="majorHAnsi" w:cstheme="majorBidi"/>
                <w:iCs/>
              </w:rPr>
              <w:t xml:space="preserve"> </w:t>
            </w:r>
            <w:r w:rsidRPr="00650E40">
              <w:rPr>
                <w:rFonts w:ascii="Calibri" w:eastAsia="Times New Roman" w:hAnsi="Calibri" w:cs="Calibri"/>
                <w:b/>
                <w:bCs/>
                <w:i/>
                <w:iCs/>
                <w:lang w:eastAsia="fr-FR"/>
              </w:rPr>
              <w:t>Service d'affectation</w:t>
            </w:r>
          </w:p>
        </w:tc>
        <w:tc>
          <w:tcPr>
            <w:tcW w:w="10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2CCC50" w14:textId="77777777" w:rsidR="00A146BD" w:rsidRPr="00650E40" w:rsidRDefault="00A146BD"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A</w:t>
            </w:r>
          </w:p>
        </w:tc>
        <w:tc>
          <w:tcPr>
            <w:tcW w:w="10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8A6FDD7" w14:textId="77777777" w:rsidR="00A146BD" w:rsidRPr="00650E40" w:rsidRDefault="00A146BD"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B</w:t>
            </w:r>
          </w:p>
        </w:tc>
        <w:tc>
          <w:tcPr>
            <w:tcW w:w="10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6506B5" w14:textId="77777777" w:rsidR="00A146BD" w:rsidRPr="00650E40" w:rsidRDefault="00A146BD"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C</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BF3347" w14:textId="77777777" w:rsidR="00A146BD" w:rsidRPr="00650E40" w:rsidRDefault="00A146BD"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D</w:t>
            </w:r>
          </w:p>
        </w:tc>
        <w:tc>
          <w:tcPr>
            <w:tcW w:w="11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1F2FB8" w14:textId="77777777" w:rsidR="00A146BD" w:rsidRPr="00650E40" w:rsidRDefault="00A146BD"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Auxiliaires</w:t>
            </w:r>
          </w:p>
        </w:tc>
        <w:tc>
          <w:tcPr>
            <w:tcW w:w="8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766250" w14:textId="77777777" w:rsidR="00A146BD" w:rsidRPr="00650E40" w:rsidRDefault="00A146BD"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Total</w:t>
            </w:r>
          </w:p>
        </w:tc>
        <w:tc>
          <w:tcPr>
            <w:tcW w:w="88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A660F1" w14:textId="77777777" w:rsidR="00A146BD" w:rsidRPr="00650E40" w:rsidRDefault="00A146BD"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w:t>
            </w:r>
          </w:p>
        </w:tc>
      </w:tr>
      <w:tr w:rsidR="00A146BD" w:rsidRPr="00650E40" w14:paraId="7E81D059" w14:textId="77777777" w:rsidTr="006C65EE">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0CA0A28A" w14:textId="77777777" w:rsidR="00A146BD" w:rsidRPr="00650E40" w:rsidRDefault="00A146BD"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Cabinet</w:t>
            </w:r>
            <w:r>
              <w:rPr>
                <w:rFonts w:ascii="Calibri" w:eastAsia="Times New Roman" w:hAnsi="Calibri" w:cs="Calibri"/>
                <w:lang w:eastAsia="fr-FR"/>
              </w:rPr>
              <w:t xml:space="preserve">, </w:t>
            </w:r>
            <w:r w:rsidRPr="00650E40">
              <w:rPr>
                <w:rFonts w:ascii="Calibri" w:eastAsia="Times New Roman" w:hAnsi="Calibri" w:cs="Calibri"/>
                <w:lang w:eastAsia="fr-FR"/>
              </w:rPr>
              <w:t>SG</w:t>
            </w:r>
            <w:r>
              <w:rPr>
                <w:rFonts w:ascii="Calibri" w:eastAsia="Times New Roman" w:hAnsi="Calibri" w:cs="Calibri"/>
                <w:lang w:eastAsia="fr-FR"/>
              </w:rPr>
              <w:t xml:space="preserve"> et IGS</w:t>
            </w:r>
          </w:p>
        </w:tc>
        <w:tc>
          <w:tcPr>
            <w:tcW w:w="1059" w:type="dxa"/>
            <w:tcBorders>
              <w:top w:val="nil"/>
              <w:left w:val="nil"/>
              <w:bottom w:val="single" w:sz="4" w:space="0" w:color="auto"/>
              <w:right w:val="single" w:sz="4" w:space="0" w:color="auto"/>
            </w:tcBorders>
            <w:shd w:val="clear" w:color="auto" w:fill="auto"/>
            <w:noWrap/>
            <w:vAlign w:val="center"/>
          </w:tcPr>
          <w:p w14:paraId="09882CED"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17</w:t>
            </w:r>
          </w:p>
        </w:tc>
        <w:tc>
          <w:tcPr>
            <w:tcW w:w="1059" w:type="dxa"/>
            <w:tcBorders>
              <w:top w:val="nil"/>
              <w:left w:val="nil"/>
              <w:bottom w:val="single" w:sz="4" w:space="0" w:color="auto"/>
              <w:right w:val="single" w:sz="4" w:space="0" w:color="auto"/>
            </w:tcBorders>
            <w:shd w:val="clear" w:color="auto" w:fill="auto"/>
            <w:noWrap/>
            <w:vAlign w:val="center"/>
          </w:tcPr>
          <w:p w14:paraId="48303AB1"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2</w:t>
            </w:r>
          </w:p>
        </w:tc>
        <w:tc>
          <w:tcPr>
            <w:tcW w:w="1059" w:type="dxa"/>
            <w:tcBorders>
              <w:top w:val="nil"/>
              <w:left w:val="nil"/>
              <w:bottom w:val="single" w:sz="4" w:space="0" w:color="auto"/>
              <w:right w:val="single" w:sz="4" w:space="0" w:color="auto"/>
            </w:tcBorders>
            <w:shd w:val="clear" w:color="auto" w:fill="auto"/>
            <w:noWrap/>
            <w:vAlign w:val="center"/>
          </w:tcPr>
          <w:p w14:paraId="7D4873C9"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w:t>
            </w:r>
          </w:p>
        </w:tc>
        <w:tc>
          <w:tcPr>
            <w:tcW w:w="1060" w:type="dxa"/>
            <w:tcBorders>
              <w:top w:val="nil"/>
              <w:left w:val="nil"/>
              <w:bottom w:val="single" w:sz="4" w:space="0" w:color="auto"/>
              <w:right w:val="single" w:sz="4" w:space="0" w:color="auto"/>
            </w:tcBorders>
            <w:shd w:val="clear" w:color="auto" w:fill="auto"/>
            <w:noWrap/>
            <w:vAlign w:val="center"/>
          </w:tcPr>
          <w:p w14:paraId="5F8EDDE7"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w:t>
            </w:r>
          </w:p>
        </w:tc>
        <w:tc>
          <w:tcPr>
            <w:tcW w:w="1163" w:type="dxa"/>
            <w:tcBorders>
              <w:top w:val="nil"/>
              <w:left w:val="nil"/>
              <w:bottom w:val="single" w:sz="4" w:space="0" w:color="auto"/>
              <w:right w:val="single" w:sz="4" w:space="0" w:color="auto"/>
            </w:tcBorders>
            <w:shd w:val="clear" w:color="auto" w:fill="auto"/>
            <w:noWrap/>
            <w:vAlign w:val="center"/>
          </w:tcPr>
          <w:p w14:paraId="06E3D8BD"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15</w:t>
            </w:r>
          </w:p>
        </w:tc>
        <w:tc>
          <w:tcPr>
            <w:tcW w:w="811" w:type="dxa"/>
            <w:tcBorders>
              <w:top w:val="nil"/>
              <w:left w:val="nil"/>
              <w:bottom w:val="single" w:sz="4" w:space="0" w:color="auto"/>
              <w:right w:val="single" w:sz="4" w:space="0" w:color="auto"/>
            </w:tcBorders>
            <w:shd w:val="clear" w:color="auto" w:fill="auto"/>
            <w:noWrap/>
            <w:vAlign w:val="center"/>
          </w:tcPr>
          <w:p w14:paraId="6DFE7AC3"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35</w:t>
            </w:r>
          </w:p>
        </w:tc>
        <w:tc>
          <w:tcPr>
            <w:tcW w:w="889" w:type="dxa"/>
            <w:tcBorders>
              <w:top w:val="nil"/>
              <w:left w:val="nil"/>
              <w:bottom w:val="single" w:sz="4" w:space="0" w:color="auto"/>
              <w:right w:val="single" w:sz="4" w:space="0" w:color="auto"/>
            </w:tcBorders>
            <w:shd w:val="clear" w:color="auto" w:fill="auto"/>
            <w:noWrap/>
            <w:vAlign w:val="center"/>
          </w:tcPr>
          <w:p w14:paraId="56B87C35"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6%</w:t>
            </w:r>
          </w:p>
        </w:tc>
      </w:tr>
      <w:tr w:rsidR="00A146BD" w:rsidRPr="00650E40" w14:paraId="136CFAFD" w14:textId="77777777" w:rsidTr="006C65EE">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5522D107" w14:textId="77777777" w:rsidR="00A146BD" w:rsidRPr="00650E40" w:rsidRDefault="00A146BD"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Directions techniques</w:t>
            </w:r>
          </w:p>
        </w:tc>
        <w:tc>
          <w:tcPr>
            <w:tcW w:w="1059" w:type="dxa"/>
            <w:tcBorders>
              <w:top w:val="nil"/>
              <w:left w:val="nil"/>
              <w:bottom w:val="single" w:sz="4" w:space="0" w:color="auto"/>
              <w:right w:val="single" w:sz="4" w:space="0" w:color="auto"/>
            </w:tcBorders>
            <w:shd w:val="clear" w:color="auto" w:fill="auto"/>
            <w:noWrap/>
            <w:vAlign w:val="center"/>
          </w:tcPr>
          <w:p w14:paraId="33B9EC8F"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59</w:t>
            </w:r>
          </w:p>
        </w:tc>
        <w:tc>
          <w:tcPr>
            <w:tcW w:w="1059" w:type="dxa"/>
            <w:tcBorders>
              <w:top w:val="nil"/>
              <w:left w:val="nil"/>
              <w:bottom w:val="single" w:sz="4" w:space="0" w:color="auto"/>
              <w:right w:val="single" w:sz="4" w:space="0" w:color="auto"/>
            </w:tcBorders>
            <w:shd w:val="clear" w:color="auto" w:fill="auto"/>
            <w:noWrap/>
            <w:vAlign w:val="center"/>
          </w:tcPr>
          <w:p w14:paraId="7EB4FCD1"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9</w:t>
            </w:r>
          </w:p>
        </w:tc>
        <w:tc>
          <w:tcPr>
            <w:tcW w:w="1059" w:type="dxa"/>
            <w:tcBorders>
              <w:top w:val="nil"/>
              <w:left w:val="nil"/>
              <w:bottom w:val="single" w:sz="4" w:space="0" w:color="auto"/>
              <w:right w:val="single" w:sz="4" w:space="0" w:color="auto"/>
            </w:tcBorders>
            <w:shd w:val="clear" w:color="auto" w:fill="auto"/>
            <w:noWrap/>
            <w:vAlign w:val="center"/>
          </w:tcPr>
          <w:p w14:paraId="0053DA16"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w:t>
            </w:r>
          </w:p>
        </w:tc>
        <w:tc>
          <w:tcPr>
            <w:tcW w:w="1060" w:type="dxa"/>
            <w:tcBorders>
              <w:top w:val="nil"/>
              <w:left w:val="nil"/>
              <w:bottom w:val="single" w:sz="4" w:space="0" w:color="auto"/>
              <w:right w:val="single" w:sz="4" w:space="0" w:color="auto"/>
            </w:tcBorders>
            <w:shd w:val="clear" w:color="auto" w:fill="auto"/>
            <w:noWrap/>
            <w:vAlign w:val="center"/>
          </w:tcPr>
          <w:p w14:paraId="2BE230B8"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w:t>
            </w:r>
          </w:p>
        </w:tc>
        <w:tc>
          <w:tcPr>
            <w:tcW w:w="1163" w:type="dxa"/>
            <w:tcBorders>
              <w:top w:val="nil"/>
              <w:left w:val="nil"/>
              <w:bottom w:val="single" w:sz="4" w:space="0" w:color="auto"/>
              <w:right w:val="single" w:sz="4" w:space="0" w:color="auto"/>
            </w:tcBorders>
            <w:shd w:val="clear" w:color="auto" w:fill="auto"/>
            <w:noWrap/>
            <w:vAlign w:val="center"/>
          </w:tcPr>
          <w:p w14:paraId="1F73DB90"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20</w:t>
            </w:r>
          </w:p>
        </w:tc>
        <w:tc>
          <w:tcPr>
            <w:tcW w:w="811" w:type="dxa"/>
            <w:tcBorders>
              <w:top w:val="nil"/>
              <w:left w:val="nil"/>
              <w:bottom w:val="single" w:sz="4" w:space="0" w:color="auto"/>
              <w:right w:val="single" w:sz="4" w:space="0" w:color="auto"/>
            </w:tcBorders>
            <w:shd w:val="clear" w:color="auto" w:fill="auto"/>
            <w:noWrap/>
            <w:vAlign w:val="center"/>
          </w:tcPr>
          <w:p w14:paraId="3ABAE793"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89</w:t>
            </w:r>
          </w:p>
        </w:tc>
        <w:tc>
          <w:tcPr>
            <w:tcW w:w="889" w:type="dxa"/>
            <w:tcBorders>
              <w:top w:val="nil"/>
              <w:left w:val="nil"/>
              <w:bottom w:val="single" w:sz="4" w:space="0" w:color="auto"/>
              <w:right w:val="single" w:sz="4" w:space="0" w:color="auto"/>
            </w:tcBorders>
            <w:shd w:val="clear" w:color="auto" w:fill="auto"/>
            <w:noWrap/>
            <w:vAlign w:val="center"/>
          </w:tcPr>
          <w:p w14:paraId="2F52B816"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16%</w:t>
            </w:r>
          </w:p>
        </w:tc>
      </w:tr>
      <w:tr w:rsidR="00A146BD" w:rsidRPr="00650E40" w14:paraId="4359236E" w14:textId="77777777" w:rsidTr="006C65EE">
        <w:tc>
          <w:tcPr>
            <w:tcW w:w="2680" w:type="dxa"/>
            <w:tcBorders>
              <w:top w:val="nil"/>
              <w:left w:val="single" w:sz="4" w:space="0" w:color="auto"/>
              <w:bottom w:val="single" w:sz="4" w:space="0" w:color="auto"/>
              <w:right w:val="single" w:sz="4" w:space="0" w:color="auto"/>
            </w:tcBorders>
            <w:shd w:val="clear" w:color="auto" w:fill="auto"/>
            <w:noWrap/>
            <w:vAlign w:val="center"/>
          </w:tcPr>
          <w:p w14:paraId="56E56AF7" w14:textId="77777777" w:rsidR="00A146BD" w:rsidRPr="00650E40" w:rsidRDefault="00A146BD" w:rsidP="00F12682">
            <w:pPr>
              <w:spacing w:after="0" w:line="240" w:lineRule="auto"/>
              <w:rPr>
                <w:rFonts w:ascii="Calibri" w:eastAsia="Times New Roman" w:hAnsi="Calibri" w:cs="Calibri"/>
                <w:lang w:eastAsia="fr-FR"/>
              </w:rPr>
            </w:pPr>
            <w:r>
              <w:rPr>
                <w:rFonts w:ascii="Calibri" w:eastAsia="Times New Roman" w:hAnsi="Calibri" w:cs="Calibri"/>
                <w:lang w:eastAsia="fr-FR"/>
              </w:rPr>
              <w:t>Directions transversales</w:t>
            </w:r>
          </w:p>
        </w:tc>
        <w:tc>
          <w:tcPr>
            <w:tcW w:w="1059" w:type="dxa"/>
            <w:tcBorders>
              <w:top w:val="nil"/>
              <w:left w:val="nil"/>
              <w:bottom w:val="single" w:sz="4" w:space="0" w:color="auto"/>
              <w:right w:val="single" w:sz="4" w:space="0" w:color="auto"/>
            </w:tcBorders>
            <w:shd w:val="clear" w:color="auto" w:fill="auto"/>
            <w:noWrap/>
            <w:vAlign w:val="center"/>
          </w:tcPr>
          <w:p w14:paraId="3A456245" w14:textId="77777777" w:rsidR="00A146BD"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46</w:t>
            </w:r>
          </w:p>
        </w:tc>
        <w:tc>
          <w:tcPr>
            <w:tcW w:w="1059" w:type="dxa"/>
            <w:tcBorders>
              <w:top w:val="nil"/>
              <w:left w:val="nil"/>
              <w:bottom w:val="single" w:sz="4" w:space="0" w:color="auto"/>
              <w:right w:val="single" w:sz="4" w:space="0" w:color="auto"/>
            </w:tcBorders>
            <w:shd w:val="clear" w:color="auto" w:fill="auto"/>
            <w:noWrap/>
            <w:vAlign w:val="center"/>
          </w:tcPr>
          <w:p w14:paraId="12D7B10F"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19</w:t>
            </w:r>
          </w:p>
        </w:tc>
        <w:tc>
          <w:tcPr>
            <w:tcW w:w="1059" w:type="dxa"/>
            <w:tcBorders>
              <w:top w:val="nil"/>
              <w:left w:val="nil"/>
              <w:bottom w:val="single" w:sz="4" w:space="0" w:color="auto"/>
              <w:right w:val="single" w:sz="4" w:space="0" w:color="auto"/>
            </w:tcBorders>
            <w:shd w:val="clear" w:color="auto" w:fill="auto"/>
            <w:noWrap/>
            <w:vAlign w:val="center"/>
          </w:tcPr>
          <w:p w14:paraId="77B04491"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w:t>
            </w:r>
          </w:p>
        </w:tc>
        <w:tc>
          <w:tcPr>
            <w:tcW w:w="1060" w:type="dxa"/>
            <w:tcBorders>
              <w:top w:val="nil"/>
              <w:left w:val="nil"/>
              <w:bottom w:val="single" w:sz="4" w:space="0" w:color="auto"/>
              <w:right w:val="single" w:sz="4" w:space="0" w:color="auto"/>
            </w:tcBorders>
            <w:shd w:val="clear" w:color="auto" w:fill="auto"/>
            <w:noWrap/>
            <w:vAlign w:val="center"/>
          </w:tcPr>
          <w:p w14:paraId="404370C0"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w:t>
            </w:r>
          </w:p>
        </w:tc>
        <w:tc>
          <w:tcPr>
            <w:tcW w:w="1163" w:type="dxa"/>
            <w:tcBorders>
              <w:top w:val="nil"/>
              <w:left w:val="nil"/>
              <w:bottom w:val="single" w:sz="4" w:space="0" w:color="auto"/>
              <w:right w:val="single" w:sz="4" w:space="0" w:color="auto"/>
            </w:tcBorders>
            <w:shd w:val="clear" w:color="auto" w:fill="auto"/>
            <w:noWrap/>
            <w:vAlign w:val="center"/>
          </w:tcPr>
          <w:p w14:paraId="76495C2D"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20</w:t>
            </w:r>
          </w:p>
        </w:tc>
        <w:tc>
          <w:tcPr>
            <w:tcW w:w="811" w:type="dxa"/>
            <w:tcBorders>
              <w:top w:val="nil"/>
              <w:left w:val="nil"/>
              <w:bottom w:val="single" w:sz="4" w:space="0" w:color="auto"/>
              <w:right w:val="single" w:sz="4" w:space="0" w:color="auto"/>
            </w:tcBorders>
            <w:shd w:val="clear" w:color="auto" w:fill="auto"/>
            <w:noWrap/>
            <w:vAlign w:val="center"/>
          </w:tcPr>
          <w:p w14:paraId="77620FCC"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86</w:t>
            </w:r>
          </w:p>
        </w:tc>
        <w:tc>
          <w:tcPr>
            <w:tcW w:w="889" w:type="dxa"/>
            <w:tcBorders>
              <w:top w:val="nil"/>
              <w:left w:val="nil"/>
              <w:bottom w:val="single" w:sz="4" w:space="0" w:color="auto"/>
              <w:right w:val="single" w:sz="4" w:space="0" w:color="auto"/>
            </w:tcBorders>
            <w:shd w:val="clear" w:color="auto" w:fill="auto"/>
            <w:noWrap/>
            <w:vAlign w:val="center"/>
          </w:tcPr>
          <w:p w14:paraId="08050338"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15%</w:t>
            </w:r>
          </w:p>
        </w:tc>
      </w:tr>
      <w:tr w:rsidR="00A146BD" w:rsidRPr="00650E40" w14:paraId="5AEC7562" w14:textId="77777777" w:rsidTr="006C65EE">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4DB1139E" w14:textId="77777777" w:rsidR="00A146BD" w:rsidRPr="00650E40" w:rsidRDefault="00A146BD"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Directions régionales</w:t>
            </w:r>
          </w:p>
        </w:tc>
        <w:tc>
          <w:tcPr>
            <w:tcW w:w="1059" w:type="dxa"/>
            <w:tcBorders>
              <w:top w:val="nil"/>
              <w:left w:val="nil"/>
              <w:bottom w:val="single" w:sz="4" w:space="0" w:color="auto"/>
              <w:right w:val="single" w:sz="4" w:space="0" w:color="auto"/>
            </w:tcBorders>
            <w:shd w:val="clear" w:color="auto" w:fill="auto"/>
            <w:noWrap/>
            <w:vAlign w:val="center"/>
          </w:tcPr>
          <w:p w14:paraId="1D4A7A61"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98</w:t>
            </w:r>
          </w:p>
        </w:tc>
        <w:tc>
          <w:tcPr>
            <w:tcW w:w="1059" w:type="dxa"/>
            <w:tcBorders>
              <w:top w:val="nil"/>
              <w:left w:val="nil"/>
              <w:bottom w:val="single" w:sz="4" w:space="0" w:color="auto"/>
              <w:right w:val="single" w:sz="4" w:space="0" w:color="auto"/>
            </w:tcBorders>
            <w:shd w:val="clear" w:color="auto" w:fill="auto"/>
            <w:noWrap/>
            <w:vAlign w:val="center"/>
          </w:tcPr>
          <w:p w14:paraId="4D4596E1"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37</w:t>
            </w:r>
          </w:p>
        </w:tc>
        <w:tc>
          <w:tcPr>
            <w:tcW w:w="1059" w:type="dxa"/>
            <w:tcBorders>
              <w:top w:val="nil"/>
              <w:left w:val="nil"/>
              <w:bottom w:val="single" w:sz="4" w:space="0" w:color="auto"/>
              <w:right w:val="single" w:sz="4" w:space="0" w:color="auto"/>
            </w:tcBorders>
            <w:shd w:val="clear" w:color="auto" w:fill="auto"/>
            <w:noWrap/>
            <w:vAlign w:val="center"/>
          </w:tcPr>
          <w:p w14:paraId="01BA260F"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6</w:t>
            </w:r>
          </w:p>
        </w:tc>
        <w:tc>
          <w:tcPr>
            <w:tcW w:w="1060" w:type="dxa"/>
            <w:tcBorders>
              <w:top w:val="nil"/>
              <w:left w:val="nil"/>
              <w:bottom w:val="single" w:sz="4" w:space="0" w:color="auto"/>
              <w:right w:val="single" w:sz="4" w:space="0" w:color="auto"/>
            </w:tcBorders>
            <w:shd w:val="clear" w:color="auto" w:fill="auto"/>
            <w:noWrap/>
            <w:vAlign w:val="center"/>
          </w:tcPr>
          <w:p w14:paraId="5D52CBA3"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w:t>
            </w:r>
          </w:p>
        </w:tc>
        <w:tc>
          <w:tcPr>
            <w:tcW w:w="1163" w:type="dxa"/>
            <w:tcBorders>
              <w:top w:val="nil"/>
              <w:left w:val="nil"/>
              <w:bottom w:val="single" w:sz="4" w:space="0" w:color="auto"/>
              <w:right w:val="single" w:sz="4" w:space="0" w:color="auto"/>
            </w:tcBorders>
            <w:shd w:val="clear" w:color="auto" w:fill="auto"/>
            <w:noWrap/>
            <w:vAlign w:val="center"/>
          </w:tcPr>
          <w:p w14:paraId="4C5B2347"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62</w:t>
            </w:r>
          </w:p>
        </w:tc>
        <w:tc>
          <w:tcPr>
            <w:tcW w:w="811" w:type="dxa"/>
            <w:tcBorders>
              <w:top w:val="nil"/>
              <w:left w:val="nil"/>
              <w:bottom w:val="single" w:sz="4" w:space="0" w:color="auto"/>
              <w:right w:val="single" w:sz="4" w:space="0" w:color="auto"/>
            </w:tcBorders>
            <w:shd w:val="clear" w:color="auto" w:fill="auto"/>
            <w:noWrap/>
            <w:vAlign w:val="center"/>
          </w:tcPr>
          <w:p w14:paraId="5F653D52"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204</w:t>
            </w:r>
          </w:p>
        </w:tc>
        <w:tc>
          <w:tcPr>
            <w:tcW w:w="889" w:type="dxa"/>
            <w:tcBorders>
              <w:top w:val="nil"/>
              <w:left w:val="nil"/>
              <w:bottom w:val="single" w:sz="4" w:space="0" w:color="auto"/>
              <w:right w:val="single" w:sz="4" w:space="0" w:color="auto"/>
            </w:tcBorders>
            <w:shd w:val="clear" w:color="auto" w:fill="auto"/>
            <w:noWrap/>
            <w:vAlign w:val="center"/>
          </w:tcPr>
          <w:p w14:paraId="49EE6D85"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36%</w:t>
            </w:r>
          </w:p>
        </w:tc>
      </w:tr>
      <w:tr w:rsidR="00A146BD" w:rsidRPr="00650E40" w14:paraId="31C32D92" w14:textId="77777777" w:rsidTr="006C65EE">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3C602A49" w14:textId="77777777" w:rsidR="00A146BD" w:rsidRPr="00650E40" w:rsidRDefault="00A146BD"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Directions départementales</w:t>
            </w:r>
          </w:p>
        </w:tc>
        <w:tc>
          <w:tcPr>
            <w:tcW w:w="1059" w:type="dxa"/>
            <w:tcBorders>
              <w:top w:val="nil"/>
              <w:left w:val="nil"/>
              <w:bottom w:val="single" w:sz="4" w:space="0" w:color="auto"/>
              <w:right w:val="single" w:sz="4" w:space="0" w:color="auto"/>
            </w:tcBorders>
            <w:shd w:val="clear" w:color="auto" w:fill="auto"/>
            <w:noWrap/>
            <w:vAlign w:val="center"/>
          </w:tcPr>
          <w:p w14:paraId="50430BC2"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39</w:t>
            </w:r>
          </w:p>
        </w:tc>
        <w:tc>
          <w:tcPr>
            <w:tcW w:w="1059" w:type="dxa"/>
            <w:tcBorders>
              <w:top w:val="nil"/>
              <w:left w:val="nil"/>
              <w:bottom w:val="single" w:sz="4" w:space="0" w:color="auto"/>
              <w:right w:val="single" w:sz="4" w:space="0" w:color="auto"/>
            </w:tcBorders>
            <w:shd w:val="clear" w:color="auto" w:fill="auto"/>
            <w:noWrap/>
            <w:vAlign w:val="center"/>
          </w:tcPr>
          <w:p w14:paraId="3726F821"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47</w:t>
            </w:r>
          </w:p>
        </w:tc>
        <w:tc>
          <w:tcPr>
            <w:tcW w:w="1059" w:type="dxa"/>
            <w:tcBorders>
              <w:top w:val="nil"/>
              <w:left w:val="nil"/>
              <w:bottom w:val="single" w:sz="4" w:space="0" w:color="auto"/>
              <w:right w:val="single" w:sz="4" w:space="0" w:color="auto"/>
            </w:tcBorders>
            <w:shd w:val="clear" w:color="auto" w:fill="auto"/>
            <w:noWrap/>
            <w:vAlign w:val="center"/>
          </w:tcPr>
          <w:p w14:paraId="6D09DDFB"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w:t>
            </w:r>
          </w:p>
        </w:tc>
        <w:tc>
          <w:tcPr>
            <w:tcW w:w="1060" w:type="dxa"/>
            <w:tcBorders>
              <w:top w:val="nil"/>
              <w:left w:val="nil"/>
              <w:bottom w:val="single" w:sz="4" w:space="0" w:color="auto"/>
              <w:right w:val="single" w:sz="4" w:space="0" w:color="auto"/>
            </w:tcBorders>
            <w:shd w:val="clear" w:color="auto" w:fill="auto"/>
            <w:noWrap/>
            <w:vAlign w:val="center"/>
          </w:tcPr>
          <w:p w14:paraId="2E95D7C7"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3</w:t>
            </w:r>
          </w:p>
        </w:tc>
        <w:tc>
          <w:tcPr>
            <w:tcW w:w="1163" w:type="dxa"/>
            <w:tcBorders>
              <w:top w:val="nil"/>
              <w:left w:val="nil"/>
              <w:bottom w:val="single" w:sz="4" w:space="0" w:color="auto"/>
              <w:right w:val="single" w:sz="4" w:space="0" w:color="auto"/>
            </w:tcBorders>
            <w:shd w:val="clear" w:color="auto" w:fill="auto"/>
            <w:noWrap/>
            <w:vAlign w:val="center"/>
          </w:tcPr>
          <w:p w14:paraId="4583AEDB"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38</w:t>
            </w:r>
          </w:p>
        </w:tc>
        <w:tc>
          <w:tcPr>
            <w:tcW w:w="811" w:type="dxa"/>
            <w:tcBorders>
              <w:top w:val="nil"/>
              <w:left w:val="nil"/>
              <w:bottom w:val="single" w:sz="4" w:space="0" w:color="auto"/>
              <w:right w:val="single" w:sz="4" w:space="0" w:color="auto"/>
            </w:tcBorders>
            <w:shd w:val="clear" w:color="auto" w:fill="auto"/>
            <w:noWrap/>
            <w:vAlign w:val="center"/>
          </w:tcPr>
          <w:p w14:paraId="67D7DEEC"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128</w:t>
            </w:r>
          </w:p>
        </w:tc>
        <w:tc>
          <w:tcPr>
            <w:tcW w:w="889" w:type="dxa"/>
            <w:tcBorders>
              <w:top w:val="nil"/>
              <w:left w:val="nil"/>
              <w:bottom w:val="single" w:sz="4" w:space="0" w:color="auto"/>
              <w:right w:val="single" w:sz="4" w:space="0" w:color="auto"/>
            </w:tcBorders>
            <w:shd w:val="clear" w:color="auto" w:fill="auto"/>
            <w:noWrap/>
            <w:vAlign w:val="center"/>
          </w:tcPr>
          <w:p w14:paraId="5F8FFBFE"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23%</w:t>
            </w:r>
          </w:p>
        </w:tc>
      </w:tr>
      <w:tr w:rsidR="00A146BD" w:rsidRPr="00650E40" w14:paraId="6DB1BD7E" w14:textId="77777777" w:rsidTr="006C65EE">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27B7FBE7" w14:textId="77777777" w:rsidR="00A146BD" w:rsidRPr="00650E40" w:rsidRDefault="00A146BD"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Services communaux</w:t>
            </w:r>
          </w:p>
        </w:tc>
        <w:tc>
          <w:tcPr>
            <w:tcW w:w="1059" w:type="dxa"/>
            <w:tcBorders>
              <w:top w:val="nil"/>
              <w:left w:val="nil"/>
              <w:bottom w:val="single" w:sz="4" w:space="0" w:color="auto"/>
              <w:right w:val="single" w:sz="4" w:space="0" w:color="auto"/>
            </w:tcBorders>
            <w:shd w:val="clear" w:color="auto" w:fill="auto"/>
            <w:noWrap/>
            <w:vAlign w:val="center"/>
          </w:tcPr>
          <w:p w14:paraId="584799CB"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2</w:t>
            </w:r>
          </w:p>
        </w:tc>
        <w:tc>
          <w:tcPr>
            <w:tcW w:w="1059" w:type="dxa"/>
            <w:tcBorders>
              <w:top w:val="nil"/>
              <w:left w:val="nil"/>
              <w:bottom w:val="single" w:sz="4" w:space="0" w:color="auto"/>
              <w:right w:val="single" w:sz="4" w:space="0" w:color="auto"/>
            </w:tcBorders>
            <w:shd w:val="clear" w:color="auto" w:fill="auto"/>
            <w:noWrap/>
            <w:vAlign w:val="center"/>
          </w:tcPr>
          <w:p w14:paraId="4DE3E885"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w:t>
            </w:r>
          </w:p>
        </w:tc>
        <w:tc>
          <w:tcPr>
            <w:tcW w:w="1059" w:type="dxa"/>
            <w:tcBorders>
              <w:top w:val="nil"/>
              <w:left w:val="nil"/>
              <w:bottom w:val="single" w:sz="4" w:space="0" w:color="auto"/>
              <w:right w:val="single" w:sz="4" w:space="0" w:color="auto"/>
            </w:tcBorders>
            <w:shd w:val="clear" w:color="auto" w:fill="auto"/>
            <w:noWrap/>
            <w:vAlign w:val="center"/>
          </w:tcPr>
          <w:p w14:paraId="3B5C261C"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w:t>
            </w:r>
          </w:p>
        </w:tc>
        <w:tc>
          <w:tcPr>
            <w:tcW w:w="1060" w:type="dxa"/>
            <w:tcBorders>
              <w:top w:val="nil"/>
              <w:left w:val="nil"/>
              <w:bottom w:val="single" w:sz="4" w:space="0" w:color="auto"/>
              <w:right w:val="single" w:sz="4" w:space="0" w:color="auto"/>
            </w:tcBorders>
            <w:shd w:val="clear" w:color="auto" w:fill="auto"/>
            <w:noWrap/>
            <w:vAlign w:val="center"/>
          </w:tcPr>
          <w:p w14:paraId="592EDA4F"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w:t>
            </w:r>
          </w:p>
        </w:tc>
        <w:tc>
          <w:tcPr>
            <w:tcW w:w="1163" w:type="dxa"/>
            <w:tcBorders>
              <w:top w:val="nil"/>
              <w:left w:val="nil"/>
              <w:bottom w:val="single" w:sz="4" w:space="0" w:color="auto"/>
              <w:right w:val="single" w:sz="4" w:space="0" w:color="auto"/>
            </w:tcBorders>
            <w:shd w:val="clear" w:color="auto" w:fill="auto"/>
            <w:noWrap/>
            <w:vAlign w:val="center"/>
          </w:tcPr>
          <w:p w14:paraId="7579F63E"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5</w:t>
            </w:r>
          </w:p>
        </w:tc>
        <w:tc>
          <w:tcPr>
            <w:tcW w:w="811" w:type="dxa"/>
            <w:tcBorders>
              <w:top w:val="nil"/>
              <w:left w:val="nil"/>
              <w:bottom w:val="single" w:sz="4" w:space="0" w:color="auto"/>
              <w:right w:val="single" w:sz="4" w:space="0" w:color="auto"/>
            </w:tcBorders>
            <w:shd w:val="clear" w:color="auto" w:fill="auto"/>
            <w:noWrap/>
            <w:vAlign w:val="center"/>
          </w:tcPr>
          <w:p w14:paraId="62E897CA"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8</w:t>
            </w:r>
          </w:p>
        </w:tc>
        <w:tc>
          <w:tcPr>
            <w:tcW w:w="889" w:type="dxa"/>
            <w:tcBorders>
              <w:top w:val="nil"/>
              <w:left w:val="nil"/>
              <w:bottom w:val="single" w:sz="4" w:space="0" w:color="auto"/>
              <w:right w:val="single" w:sz="4" w:space="0" w:color="auto"/>
            </w:tcBorders>
            <w:shd w:val="clear" w:color="auto" w:fill="auto"/>
            <w:noWrap/>
            <w:vAlign w:val="center"/>
          </w:tcPr>
          <w:p w14:paraId="1014168C"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w:t>
            </w:r>
          </w:p>
        </w:tc>
      </w:tr>
      <w:tr w:rsidR="00A146BD" w:rsidRPr="00650E40" w14:paraId="6917E033" w14:textId="77777777" w:rsidTr="006C65EE">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56BF734C" w14:textId="4536999C" w:rsidR="00A146BD" w:rsidRPr="00650E40" w:rsidRDefault="00A146BD"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Services rattachés</w:t>
            </w:r>
          </w:p>
        </w:tc>
        <w:tc>
          <w:tcPr>
            <w:tcW w:w="1059" w:type="dxa"/>
            <w:tcBorders>
              <w:top w:val="nil"/>
              <w:left w:val="nil"/>
              <w:bottom w:val="single" w:sz="4" w:space="0" w:color="auto"/>
              <w:right w:val="single" w:sz="4" w:space="0" w:color="auto"/>
            </w:tcBorders>
            <w:shd w:val="clear" w:color="auto" w:fill="auto"/>
            <w:noWrap/>
            <w:vAlign w:val="center"/>
          </w:tcPr>
          <w:p w14:paraId="09B71370"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11</w:t>
            </w:r>
          </w:p>
        </w:tc>
        <w:tc>
          <w:tcPr>
            <w:tcW w:w="1059" w:type="dxa"/>
            <w:tcBorders>
              <w:top w:val="nil"/>
              <w:left w:val="nil"/>
              <w:bottom w:val="single" w:sz="4" w:space="0" w:color="auto"/>
              <w:right w:val="single" w:sz="4" w:space="0" w:color="auto"/>
            </w:tcBorders>
            <w:shd w:val="clear" w:color="auto" w:fill="auto"/>
            <w:noWrap/>
            <w:vAlign w:val="center"/>
          </w:tcPr>
          <w:p w14:paraId="4F716795"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w:t>
            </w:r>
          </w:p>
        </w:tc>
        <w:tc>
          <w:tcPr>
            <w:tcW w:w="1059" w:type="dxa"/>
            <w:tcBorders>
              <w:top w:val="nil"/>
              <w:left w:val="nil"/>
              <w:bottom w:val="single" w:sz="4" w:space="0" w:color="auto"/>
              <w:right w:val="single" w:sz="4" w:space="0" w:color="auto"/>
            </w:tcBorders>
            <w:shd w:val="clear" w:color="auto" w:fill="auto"/>
            <w:noWrap/>
            <w:vAlign w:val="center"/>
          </w:tcPr>
          <w:p w14:paraId="4C9FAC4D"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w:t>
            </w:r>
          </w:p>
        </w:tc>
        <w:tc>
          <w:tcPr>
            <w:tcW w:w="1060" w:type="dxa"/>
            <w:tcBorders>
              <w:top w:val="nil"/>
              <w:left w:val="nil"/>
              <w:bottom w:val="single" w:sz="4" w:space="0" w:color="auto"/>
              <w:right w:val="single" w:sz="4" w:space="0" w:color="auto"/>
            </w:tcBorders>
            <w:shd w:val="clear" w:color="auto" w:fill="auto"/>
            <w:noWrap/>
            <w:vAlign w:val="center"/>
          </w:tcPr>
          <w:p w14:paraId="24A1D267"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w:t>
            </w:r>
          </w:p>
        </w:tc>
        <w:tc>
          <w:tcPr>
            <w:tcW w:w="1163" w:type="dxa"/>
            <w:tcBorders>
              <w:top w:val="nil"/>
              <w:left w:val="nil"/>
              <w:bottom w:val="single" w:sz="4" w:space="0" w:color="auto"/>
              <w:right w:val="single" w:sz="4" w:space="0" w:color="auto"/>
            </w:tcBorders>
            <w:shd w:val="clear" w:color="auto" w:fill="auto"/>
            <w:noWrap/>
            <w:vAlign w:val="center"/>
          </w:tcPr>
          <w:p w14:paraId="6F117762"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4</w:t>
            </w:r>
          </w:p>
        </w:tc>
        <w:tc>
          <w:tcPr>
            <w:tcW w:w="811" w:type="dxa"/>
            <w:tcBorders>
              <w:top w:val="nil"/>
              <w:left w:val="nil"/>
              <w:bottom w:val="single" w:sz="4" w:space="0" w:color="auto"/>
              <w:right w:val="single" w:sz="4" w:space="0" w:color="auto"/>
            </w:tcBorders>
            <w:shd w:val="clear" w:color="auto" w:fill="auto"/>
            <w:noWrap/>
            <w:vAlign w:val="center"/>
          </w:tcPr>
          <w:p w14:paraId="0C1DCCC3"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15</w:t>
            </w:r>
          </w:p>
        </w:tc>
        <w:tc>
          <w:tcPr>
            <w:tcW w:w="889" w:type="dxa"/>
            <w:tcBorders>
              <w:top w:val="nil"/>
              <w:left w:val="nil"/>
              <w:bottom w:val="single" w:sz="4" w:space="0" w:color="auto"/>
              <w:right w:val="single" w:sz="4" w:space="0" w:color="auto"/>
            </w:tcBorders>
            <w:shd w:val="clear" w:color="auto" w:fill="auto"/>
            <w:noWrap/>
            <w:vAlign w:val="center"/>
          </w:tcPr>
          <w:p w14:paraId="6E450684" w14:textId="77777777" w:rsidR="00A146BD" w:rsidRPr="00650E40" w:rsidRDefault="00A146BD" w:rsidP="00F12682">
            <w:pPr>
              <w:spacing w:after="0" w:line="240" w:lineRule="auto"/>
              <w:jc w:val="center"/>
              <w:rPr>
                <w:rFonts w:ascii="Calibri" w:eastAsia="Times New Roman" w:hAnsi="Calibri" w:cs="Calibri"/>
                <w:lang w:eastAsia="fr-FR"/>
              </w:rPr>
            </w:pPr>
            <w:r>
              <w:rPr>
                <w:rFonts w:ascii="Calibri" w:eastAsia="Times New Roman" w:hAnsi="Calibri" w:cs="Calibri"/>
                <w:lang w:eastAsia="fr-FR"/>
              </w:rPr>
              <w:t>3%</w:t>
            </w:r>
          </w:p>
        </w:tc>
      </w:tr>
      <w:tr w:rsidR="00A146BD" w:rsidRPr="00650E40" w14:paraId="78DA0A81" w14:textId="77777777" w:rsidTr="006C65EE">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5400F43F" w14:textId="77777777" w:rsidR="00A146BD" w:rsidRPr="00650E40" w:rsidRDefault="00A146BD"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Total</w:t>
            </w:r>
          </w:p>
        </w:tc>
        <w:tc>
          <w:tcPr>
            <w:tcW w:w="1059" w:type="dxa"/>
            <w:tcBorders>
              <w:top w:val="nil"/>
              <w:left w:val="nil"/>
              <w:bottom w:val="single" w:sz="4" w:space="0" w:color="auto"/>
              <w:right w:val="single" w:sz="4" w:space="0" w:color="auto"/>
            </w:tcBorders>
            <w:shd w:val="clear" w:color="auto" w:fill="auto"/>
            <w:noWrap/>
            <w:vAlign w:val="center"/>
          </w:tcPr>
          <w:p w14:paraId="43A6E80F"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272</w:t>
            </w:r>
          </w:p>
        </w:tc>
        <w:tc>
          <w:tcPr>
            <w:tcW w:w="1059" w:type="dxa"/>
            <w:tcBorders>
              <w:top w:val="nil"/>
              <w:left w:val="nil"/>
              <w:bottom w:val="single" w:sz="4" w:space="0" w:color="auto"/>
              <w:right w:val="single" w:sz="4" w:space="0" w:color="auto"/>
            </w:tcBorders>
            <w:shd w:val="clear" w:color="auto" w:fill="auto"/>
            <w:noWrap/>
            <w:vAlign w:val="center"/>
          </w:tcPr>
          <w:p w14:paraId="752152C0"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115</w:t>
            </w:r>
          </w:p>
        </w:tc>
        <w:tc>
          <w:tcPr>
            <w:tcW w:w="1059" w:type="dxa"/>
            <w:tcBorders>
              <w:top w:val="nil"/>
              <w:left w:val="nil"/>
              <w:bottom w:val="single" w:sz="4" w:space="0" w:color="auto"/>
              <w:right w:val="single" w:sz="4" w:space="0" w:color="auto"/>
            </w:tcBorders>
            <w:shd w:val="clear" w:color="auto" w:fill="auto"/>
            <w:noWrap/>
            <w:vAlign w:val="center"/>
          </w:tcPr>
          <w:p w14:paraId="1A707EA6"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9</w:t>
            </w:r>
          </w:p>
        </w:tc>
        <w:tc>
          <w:tcPr>
            <w:tcW w:w="1060" w:type="dxa"/>
            <w:tcBorders>
              <w:top w:val="nil"/>
              <w:left w:val="nil"/>
              <w:bottom w:val="single" w:sz="4" w:space="0" w:color="auto"/>
              <w:right w:val="single" w:sz="4" w:space="0" w:color="auto"/>
            </w:tcBorders>
            <w:shd w:val="clear" w:color="auto" w:fill="auto"/>
            <w:noWrap/>
            <w:vAlign w:val="center"/>
          </w:tcPr>
          <w:p w14:paraId="68B7532F"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5</w:t>
            </w:r>
          </w:p>
        </w:tc>
        <w:tc>
          <w:tcPr>
            <w:tcW w:w="1163" w:type="dxa"/>
            <w:tcBorders>
              <w:top w:val="nil"/>
              <w:left w:val="nil"/>
              <w:bottom w:val="single" w:sz="4" w:space="0" w:color="auto"/>
              <w:right w:val="single" w:sz="4" w:space="0" w:color="auto"/>
            </w:tcBorders>
            <w:shd w:val="clear" w:color="auto" w:fill="auto"/>
            <w:noWrap/>
            <w:vAlign w:val="center"/>
          </w:tcPr>
          <w:p w14:paraId="5BFF2AB5"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164</w:t>
            </w:r>
          </w:p>
        </w:tc>
        <w:tc>
          <w:tcPr>
            <w:tcW w:w="811" w:type="dxa"/>
            <w:tcBorders>
              <w:top w:val="nil"/>
              <w:left w:val="nil"/>
              <w:bottom w:val="single" w:sz="4" w:space="0" w:color="auto"/>
              <w:right w:val="single" w:sz="4" w:space="0" w:color="auto"/>
            </w:tcBorders>
            <w:shd w:val="clear" w:color="auto" w:fill="auto"/>
            <w:noWrap/>
            <w:vAlign w:val="center"/>
          </w:tcPr>
          <w:p w14:paraId="67164C86" w14:textId="77777777" w:rsidR="00A146BD" w:rsidRPr="00650E40" w:rsidRDefault="00A146BD" w:rsidP="00F12682">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565</w:t>
            </w:r>
          </w:p>
        </w:tc>
        <w:tc>
          <w:tcPr>
            <w:tcW w:w="889" w:type="dxa"/>
            <w:tcBorders>
              <w:top w:val="nil"/>
              <w:left w:val="nil"/>
              <w:bottom w:val="single" w:sz="4" w:space="0" w:color="auto"/>
              <w:right w:val="single" w:sz="4" w:space="0" w:color="auto"/>
            </w:tcBorders>
            <w:shd w:val="clear" w:color="auto" w:fill="auto"/>
            <w:noWrap/>
            <w:vAlign w:val="center"/>
          </w:tcPr>
          <w:p w14:paraId="5D82AAA9" w14:textId="77777777" w:rsidR="00A146BD" w:rsidRPr="00B577BC" w:rsidRDefault="00A146BD" w:rsidP="00F12682">
            <w:pPr>
              <w:spacing w:after="0" w:line="240" w:lineRule="auto"/>
              <w:jc w:val="center"/>
              <w:rPr>
                <w:rFonts w:ascii="Calibri" w:eastAsia="Times New Roman" w:hAnsi="Calibri" w:cs="Calibri"/>
                <w:b/>
                <w:lang w:eastAsia="fr-FR"/>
              </w:rPr>
            </w:pPr>
            <w:r w:rsidRPr="00B577BC">
              <w:rPr>
                <w:rFonts w:ascii="Calibri" w:eastAsia="Times New Roman" w:hAnsi="Calibri" w:cs="Calibri"/>
                <w:b/>
                <w:lang w:eastAsia="fr-FR"/>
              </w:rPr>
              <w:t>100%</w:t>
            </w:r>
          </w:p>
        </w:tc>
      </w:tr>
    </w:tbl>
    <w:p w14:paraId="05D8E21B" w14:textId="6787E3D7" w:rsidR="006C65EE" w:rsidRDefault="006C65EE" w:rsidP="00F12682">
      <w:pPr>
        <w:jc w:val="both"/>
        <w:rPr>
          <w:rFonts w:cs="Calibri"/>
          <w:sz w:val="20"/>
        </w:rPr>
      </w:pPr>
      <w:r w:rsidRPr="006C65EE">
        <w:rPr>
          <w:rFonts w:cs="Calibri"/>
          <w:sz w:val="20"/>
          <w:u w:val="single"/>
        </w:rPr>
        <w:t>Source</w:t>
      </w:r>
      <w:r w:rsidR="00AF324D">
        <w:rPr>
          <w:rFonts w:cs="Calibri"/>
          <w:sz w:val="20"/>
        </w:rPr>
        <w:t> : DRH/MH</w:t>
      </w:r>
      <w:r w:rsidRPr="006C65EE">
        <w:rPr>
          <w:rFonts w:cs="Calibri"/>
          <w:sz w:val="20"/>
        </w:rPr>
        <w:t>A</w:t>
      </w:r>
      <w:r>
        <w:rPr>
          <w:rFonts w:cs="Calibri"/>
          <w:sz w:val="20"/>
        </w:rPr>
        <w:t>, 2016</w:t>
      </w:r>
    </w:p>
    <w:p w14:paraId="16A19414" w14:textId="77777777" w:rsidR="00B70B9C" w:rsidRDefault="00B70B9C" w:rsidP="00F12682">
      <w:pPr>
        <w:jc w:val="both"/>
        <w:rPr>
          <w:rFonts w:cs="Calibri"/>
          <w:sz w:val="20"/>
        </w:rPr>
      </w:pPr>
    </w:p>
    <w:p w14:paraId="5BA0F9CE" w14:textId="77777777" w:rsidR="00335816" w:rsidRDefault="00335816" w:rsidP="00F12682">
      <w:pPr>
        <w:jc w:val="both"/>
        <w:rPr>
          <w:rFonts w:cs="Calibri"/>
          <w:sz w:val="20"/>
        </w:rPr>
      </w:pPr>
    </w:p>
    <w:p w14:paraId="61FBE752" w14:textId="77777777" w:rsidR="00335816" w:rsidRPr="006C65EE" w:rsidRDefault="00335816" w:rsidP="00F12682">
      <w:pPr>
        <w:jc w:val="both"/>
        <w:rPr>
          <w:rFonts w:cs="Calibri"/>
          <w:sz w:val="20"/>
        </w:rPr>
      </w:pPr>
    </w:p>
    <w:p w14:paraId="4FBA79AA" w14:textId="77777777" w:rsidR="00B70B9C" w:rsidRPr="00855DFA" w:rsidRDefault="00B70B9C" w:rsidP="00F12682">
      <w:pPr>
        <w:pStyle w:val="Lgende"/>
        <w:rPr>
          <w:rFonts w:eastAsiaTheme="majorEastAsia" w:cs="Calibri"/>
          <w:iCs w:val="0"/>
        </w:rPr>
      </w:pPr>
      <w:bookmarkStart w:id="56" w:name="_Toc529305061"/>
      <w:r w:rsidRPr="00855DFA">
        <w:rPr>
          <w:rFonts w:cs="Calibri"/>
        </w:rPr>
        <w:lastRenderedPageBreak/>
        <w:t xml:space="preserve">Tableau </w:t>
      </w:r>
      <w:r w:rsidRPr="00855DFA">
        <w:rPr>
          <w:rFonts w:cs="Calibri"/>
        </w:rPr>
        <w:fldChar w:fldCharType="begin"/>
      </w:r>
      <w:r w:rsidRPr="00855DFA">
        <w:rPr>
          <w:rFonts w:cs="Calibri"/>
        </w:rPr>
        <w:instrText xml:space="preserve"> SEQ Tableau \* ARABIC </w:instrText>
      </w:r>
      <w:r w:rsidRPr="00855DFA">
        <w:rPr>
          <w:rFonts w:cs="Calibri"/>
        </w:rPr>
        <w:fldChar w:fldCharType="separate"/>
      </w:r>
      <w:r w:rsidR="001C37F0">
        <w:rPr>
          <w:rFonts w:cs="Calibri"/>
          <w:noProof/>
        </w:rPr>
        <w:t>7</w:t>
      </w:r>
      <w:r w:rsidRPr="00855DFA">
        <w:rPr>
          <w:rFonts w:cs="Calibri"/>
        </w:rPr>
        <w:fldChar w:fldCharType="end"/>
      </w:r>
      <w:r w:rsidRPr="00855DFA">
        <w:rPr>
          <w:rFonts w:eastAsiaTheme="majorEastAsia" w:cs="Calibri"/>
          <w:iCs w:val="0"/>
        </w:rPr>
        <w:t xml:space="preserve"> : </w:t>
      </w:r>
      <w:r>
        <w:rPr>
          <w:rFonts w:eastAsiaTheme="majorEastAsia" w:cs="Calibri"/>
          <w:iCs w:val="0"/>
        </w:rPr>
        <w:t>Répartition géographique du Personnel du MH</w:t>
      </w:r>
      <w:r w:rsidRPr="00855DFA">
        <w:rPr>
          <w:rFonts w:eastAsiaTheme="majorEastAsia" w:cs="Calibri"/>
          <w:iCs w:val="0"/>
        </w:rPr>
        <w:t>A en 2016</w:t>
      </w:r>
      <w:bookmarkEnd w:id="56"/>
    </w:p>
    <w:tbl>
      <w:tblPr>
        <w:tblW w:w="5000" w:type="pct"/>
        <w:tblCellMar>
          <w:left w:w="70" w:type="dxa"/>
          <w:right w:w="70" w:type="dxa"/>
        </w:tblCellMar>
        <w:tblLook w:val="04A0" w:firstRow="1" w:lastRow="0" w:firstColumn="1" w:lastColumn="0" w:noHBand="0" w:noVBand="1"/>
      </w:tblPr>
      <w:tblGrid>
        <w:gridCol w:w="3192"/>
        <w:gridCol w:w="1060"/>
        <w:gridCol w:w="1059"/>
        <w:gridCol w:w="1602"/>
        <w:gridCol w:w="1329"/>
        <w:gridCol w:w="1386"/>
      </w:tblGrid>
      <w:tr w:rsidR="00B70B9C" w:rsidRPr="006C65EE" w14:paraId="2B43E4FF" w14:textId="77777777" w:rsidTr="009E3565">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43A7" w14:textId="77777777" w:rsidR="00B70B9C" w:rsidRPr="006C65EE" w:rsidRDefault="00B70B9C" w:rsidP="00F12682">
            <w:pPr>
              <w:spacing w:after="0" w:line="240" w:lineRule="auto"/>
              <w:jc w:val="center"/>
              <w:rPr>
                <w:rFonts w:ascii="Calibri" w:eastAsia="Times New Roman" w:hAnsi="Calibri" w:cs="Calibri"/>
                <w:b/>
                <w:bCs/>
                <w:iCs/>
                <w:lang w:eastAsia="fr-FR"/>
              </w:rPr>
            </w:pPr>
            <w:r w:rsidRPr="006C65EE">
              <w:rPr>
                <w:rFonts w:ascii="Calibri" w:eastAsia="Times New Roman" w:hAnsi="Calibri" w:cs="Calibri"/>
                <w:b/>
                <w:bCs/>
                <w:iCs/>
                <w:lang w:eastAsia="fr-FR"/>
              </w:rPr>
              <w:t>Profils des agents</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33622FCA" w14:textId="77777777" w:rsidR="00B70B9C" w:rsidRPr="006C65EE" w:rsidRDefault="00B70B9C" w:rsidP="00F12682">
            <w:pPr>
              <w:spacing w:after="0" w:line="240" w:lineRule="auto"/>
              <w:jc w:val="center"/>
              <w:rPr>
                <w:rFonts w:ascii="Calibri" w:eastAsia="Times New Roman" w:hAnsi="Calibri" w:cs="Calibri"/>
                <w:b/>
                <w:bCs/>
                <w:iCs/>
                <w:lang w:eastAsia="fr-FR"/>
              </w:rPr>
            </w:pPr>
            <w:r w:rsidRPr="006C65EE">
              <w:rPr>
                <w:rFonts w:ascii="Calibri" w:eastAsia="Times New Roman" w:hAnsi="Calibri" w:cs="Calibri"/>
                <w:b/>
                <w:bCs/>
                <w:iCs/>
                <w:lang w:eastAsia="fr-FR"/>
              </w:rPr>
              <w:t>Niveau Central</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58D03538" w14:textId="77777777" w:rsidR="00B70B9C" w:rsidRPr="006C65EE" w:rsidRDefault="00B70B9C" w:rsidP="00F12682">
            <w:pPr>
              <w:spacing w:after="0" w:line="240" w:lineRule="auto"/>
              <w:jc w:val="center"/>
              <w:rPr>
                <w:rFonts w:ascii="Calibri" w:eastAsia="Times New Roman" w:hAnsi="Calibri" w:cs="Calibri"/>
                <w:b/>
                <w:bCs/>
                <w:iCs/>
                <w:lang w:eastAsia="fr-FR"/>
              </w:rPr>
            </w:pPr>
            <w:r w:rsidRPr="006C65EE">
              <w:rPr>
                <w:rFonts w:ascii="Calibri" w:eastAsia="Times New Roman" w:hAnsi="Calibri" w:cs="Calibri"/>
                <w:b/>
                <w:bCs/>
                <w:iCs/>
                <w:lang w:eastAsia="fr-FR"/>
              </w:rPr>
              <w:t>Niveau Région</w:t>
            </w: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46968135" w14:textId="77777777" w:rsidR="00B70B9C" w:rsidRPr="006C65EE" w:rsidRDefault="00B70B9C" w:rsidP="00F12682">
            <w:pPr>
              <w:spacing w:after="0" w:line="240" w:lineRule="auto"/>
              <w:jc w:val="center"/>
              <w:rPr>
                <w:rFonts w:ascii="Calibri" w:eastAsia="Times New Roman" w:hAnsi="Calibri" w:cs="Calibri"/>
                <w:b/>
                <w:bCs/>
                <w:iCs/>
                <w:lang w:eastAsia="fr-FR"/>
              </w:rPr>
            </w:pPr>
            <w:r w:rsidRPr="006C65EE">
              <w:rPr>
                <w:rFonts w:ascii="Calibri" w:eastAsia="Times New Roman" w:hAnsi="Calibri" w:cs="Calibri"/>
                <w:b/>
                <w:bCs/>
                <w:iCs/>
                <w:lang w:eastAsia="fr-FR"/>
              </w:rPr>
              <w:t>Niveau Départ.</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16E79C42" w14:textId="77777777" w:rsidR="00B70B9C" w:rsidRPr="006C65EE" w:rsidRDefault="00B70B9C" w:rsidP="00F12682">
            <w:pPr>
              <w:spacing w:after="0" w:line="240" w:lineRule="auto"/>
              <w:jc w:val="center"/>
              <w:rPr>
                <w:rFonts w:ascii="Calibri" w:eastAsia="Times New Roman" w:hAnsi="Calibri" w:cs="Calibri"/>
                <w:b/>
                <w:bCs/>
                <w:iCs/>
                <w:lang w:eastAsia="fr-FR"/>
              </w:rPr>
            </w:pPr>
            <w:r w:rsidRPr="006C65EE">
              <w:rPr>
                <w:rFonts w:ascii="Calibri" w:eastAsia="Times New Roman" w:hAnsi="Calibri" w:cs="Calibri"/>
                <w:b/>
                <w:bCs/>
                <w:iCs/>
                <w:lang w:eastAsia="fr-FR"/>
              </w:rPr>
              <w:t>Niveau Commun.</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4E6246D3" w14:textId="77777777" w:rsidR="00B70B9C" w:rsidRPr="006C65EE" w:rsidRDefault="00B70B9C" w:rsidP="00F12682">
            <w:pPr>
              <w:spacing w:after="0" w:line="240" w:lineRule="auto"/>
              <w:jc w:val="center"/>
              <w:rPr>
                <w:rFonts w:ascii="Calibri" w:eastAsia="Times New Roman" w:hAnsi="Calibri" w:cs="Calibri"/>
                <w:b/>
                <w:bCs/>
                <w:lang w:eastAsia="fr-FR"/>
              </w:rPr>
            </w:pPr>
            <w:r w:rsidRPr="006C65EE">
              <w:rPr>
                <w:rFonts w:ascii="Calibri" w:eastAsia="Times New Roman" w:hAnsi="Calibri" w:cs="Calibri"/>
                <w:b/>
                <w:bCs/>
                <w:lang w:eastAsia="fr-FR"/>
              </w:rPr>
              <w:t>Total</w:t>
            </w:r>
          </w:p>
        </w:tc>
      </w:tr>
      <w:tr w:rsidR="00B70B9C" w:rsidRPr="006C65EE" w14:paraId="6A697547" w14:textId="77777777" w:rsidTr="009E3565">
        <w:tc>
          <w:tcPr>
            <w:tcW w:w="1657" w:type="pct"/>
            <w:tcBorders>
              <w:top w:val="nil"/>
              <w:left w:val="single" w:sz="4" w:space="0" w:color="auto"/>
              <w:bottom w:val="single" w:sz="4" w:space="0" w:color="auto"/>
              <w:right w:val="single" w:sz="4" w:space="0" w:color="auto"/>
            </w:tcBorders>
            <w:shd w:val="clear" w:color="auto" w:fill="auto"/>
            <w:noWrap/>
            <w:vAlign w:val="center"/>
            <w:hideMark/>
          </w:tcPr>
          <w:p w14:paraId="66B4C408" w14:textId="77777777" w:rsidR="00B70B9C" w:rsidRPr="006C65EE" w:rsidRDefault="00B70B9C" w:rsidP="00F12682">
            <w:pPr>
              <w:spacing w:after="0" w:line="240" w:lineRule="auto"/>
              <w:rPr>
                <w:rFonts w:ascii="Calibri" w:eastAsia="Times New Roman" w:hAnsi="Calibri" w:cs="Calibri"/>
                <w:lang w:eastAsia="fr-FR"/>
              </w:rPr>
            </w:pPr>
            <w:r w:rsidRPr="006C65EE">
              <w:rPr>
                <w:rFonts w:ascii="Calibri" w:eastAsia="Times New Roman" w:hAnsi="Calibri" w:cs="Calibri"/>
                <w:lang w:eastAsia="fr-FR"/>
              </w:rPr>
              <w:t>Personnel administratif</w:t>
            </w:r>
          </w:p>
        </w:tc>
        <w:tc>
          <w:tcPr>
            <w:tcW w:w="550" w:type="pct"/>
            <w:tcBorders>
              <w:top w:val="nil"/>
              <w:left w:val="nil"/>
              <w:bottom w:val="single" w:sz="4" w:space="0" w:color="auto"/>
              <w:right w:val="single" w:sz="4" w:space="0" w:color="auto"/>
            </w:tcBorders>
            <w:shd w:val="clear" w:color="auto" w:fill="auto"/>
            <w:noWrap/>
            <w:vAlign w:val="center"/>
          </w:tcPr>
          <w:p w14:paraId="3FD145FE" w14:textId="77777777" w:rsidR="00B70B9C" w:rsidRPr="006C65EE" w:rsidRDefault="00B70B9C" w:rsidP="00F12682">
            <w:pPr>
              <w:spacing w:after="0" w:line="240" w:lineRule="auto"/>
              <w:jc w:val="center"/>
              <w:rPr>
                <w:rFonts w:ascii="Calibri" w:eastAsia="Times New Roman" w:hAnsi="Calibri" w:cs="Calibri"/>
                <w:lang w:eastAsia="fr-FR"/>
              </w:rPr>
            </w:pPr>
            <w:r w:rsidRPr="006C65EE">
              <w:rPr>
                <w:rFonts w:ascii="Calibri" w:eastAsia="Times New Roman" w:hAnsi="Calibri" w:cs="Calibri"/>
                <w:lang w:eastAsia="fr-FR"/>
              </w:rPr>
              <w:t>82</w:t>
            </w:r>
          </w:p>
        </w:tc>
        <w:tc>
          <w:tcPr>
            <w:tcW w:w="550" w:type="pct"/>
            <w:tcBorders>
              <w:top w:val="nil"/>
              <w:left w:val="nil"/>
              <w:bottom w:val="single" w:sz="4" w:space="0" w:color="auto"/>
              <w:right w:val="single" w:sz="4" w:space="0" w:color="auto"/>
            </w:tcBorders>
            <w:shd w:val="clear" w:color="auto" w:fill="auto"/>
            <w:noWrap/>
            <w:vAlign w:val="center"/>
          </w:tcPr>
          <w:p w14:paraId="5A76E801" w14:textId="77777777" w:rsidR="00B70B9C" w:rsidRPr="006C65EE" w:rsidRDefault="00B70B9C" w:rsidP="00F12682">
            <w:pPr>
              <w:spacing w:after="0" w:line="240" w:lineRule="auto"/>
              <w:jc w:val="center"/>
              <w:rPr>
                <w:rFonts w:ascii="Calibri" w:eastAsia="Times New Roman" w:hAnsi="Calibri" w:cs="Calibri"/>
                <w:lang w:eastAsia="fr-FR"/>
              </w:rPr>
            </w:pPr>
            <w:r w:rsidRPr="006C65EE">
              <w:rPr>
                <w:rFonts w:ascii="Calibri" w:eastAsia="Times New Roman" w:hAnsi="Calibri" w:cs="Calibri"/>
                <w:lang w:eastAsia="fr-FR"/>
              </w:rPr>
              <w:t>32</w:t>
            </w:r>
          </w:p>
        </w:tc>
        <w:tc>
          <w:tcPr>
            <w:tcW w:w="832" w:type="pct"/>
            <w:tcBorders>
              <w:top w:val="nil"/>
              <w:left w:val="nil"/>
              <w:bottom w:val="single" w:sz="4" w:space="0" w:color="auto"/>
              <w:right w:val="single" w:sz="4" w:space="0" w:color="auto"/>
            </w:tcBorders>
            <w:shd w:val="clear" w:color="auto" w:fill="auto"/>
            <w:noWrap/>
            <w:vAlign w:val="center"/>
          </w:tcPr>
          <w:p w14:paraId="1EAF5A30" w14:textId="77777777" w:rsidR="00B70B9C" w:rsidRPr="006C65EE" w:rsidRDefault="00B70B9C" w:rsidP="00F12682">
            <w:pPr>
              <w:spacing w:after="0" w:line="240" w:lineRule="auto"/>
              <w:jc w:val="center"/>
              <w:rPr>
                <w:rFonts w:ascii="Calibri" w:eastAsia="Times New Roman" w:hAnsi="Calibri" w:cs="Calibri"/>
                <w:lang w:eastAsia="fr-FR"/>
              </w:rPr>
            </w:pPr>
            <w:r w:rsidRPr="006C65EE">
              <w:rPr>
                <w:rFonts w:ascii="Calibri" w:eastAsia="Times New Roman" w:hAnsi="Calibri" w:cs="Calibri"/>
                <w:lang w:eastAsia="fr-FR"/>
              </w:rPr>
              <w:t>6</w:t>
            </w:r>
          </w:p>
        </w:tc>
        <w:tc>
          <w:tcPr>
            <w:tcW w:w="690" w:type="pct"/>
            <w:tcBorders>
              <w:top w:val="nil"/>
              <w:left w:val="nil"/>
              <w:bottom w:val="single" w:sz="4" w:space="0" w:color="auto"/>
              <w:right w:val="single" w:sz="4" w:space="0" w:color="auto"/>
            </w:tcBorders>
            <w:shd w:val="clear" w:color="auto" w:fill="auto"/>
            <w:noWrap/>
            <w:vAlign w:val="center"/>
          </w:tcPr>
          <w:p w14:paraId="4823A586" w14:textId="77777777" w:rsidR="00B70B9C" w:rsidRPr="006C65EE" w:rsidRDefault="00B70B9C" w:rsidP="00F12682">
            <w:pPr>
              <w:spacing w:after="0" w:line="240" w:lineRule="auto"/>
              <w:jc w:val="center"/>
              <w:rPr>
                <w:rFonts w:ascii="Calibri" w:eastAsia="Times New Roman" w:hAnsi="Calibri" w:cs="Calibri"/>
                <w:lang w:eastAsia="fr-FR"/>
              </w:rPr>
            </w:pPr>
            <w:r w:rsidRPr="006C65EE">
              <w:rPr>
                <w:rFonts w:ascii="Calibri" w:eastAsia="Times New Roman" w:hAnsi="Calibri" w:cs="Calibri"/>
                <w:lang w:eastAsia="fr-FR"/>
              </w:rPr>
              <w:t>-</w:t>
            </w:r>
          </w:p>
        </w:tc>
        <w:tc>
          <w:tcPr>
            <w:tcW w:w="720" w:type="pct"/>
            <w:tcBorders>
              <w:top w:val="nil"/>
              <w:left w:val="nil"/>
              <w:bottom w:val="single" w:sz="4" w:space="0" w:color="auto"/>
              <w:right w:val="single" w:sz="4" w:space="0" w:color="auto"/>
            </w:tcBorders>
            <w:shd w:val="clear" w:color="auto" w:fill="auto"/>
            <w:noWrap/>
            <w:vAlign w:val="center"/>
          </w:tcPr>
          <w:p w14:paraId="1A91E777" w14:textId="77777777" w:rsidR="00B70B9C" w:rsidRPr="006C65EE" w:rsidRDefault="00B70B9C" w:rsidP="00F12682">
            <w:pPr>
              <w:spacing w:after="0" w:line="240" w:lineRule="auto"/>
              <w:jc w:val="center"/>
              <w:rPr>
                <w:rFonts w:ascii="Calibri" w:eastAsia="Times New Roman" w:hAnsi="Calibri" w:cs="Calibri"/>
                <w:b/>
                <w:bCs/>
                <w:lang w:eastAsia="fr-FR"/>
              </w:rPr>
            </w:pPr>
            <w:r w:rsidRPr="006C65EE">
              <w:rPr>
                <w:rFonts w:ascii="Calibri" w:eastAsia="Times New Roman" w:hAnsi="Calibri" w:cs="Calibri"/>
                <w:b/>
                <w:bCs/>
                <w:lang w:eastAsia="fr-FR"/>
              </w:rPr>
              <w:t>120</w:t>
            </w:r>
          </w:p>
        </w:tc>
      </w:tr>
      <w:tr w:rsidR="00B70B9C" w:rsidRPr="006C65EE" w14:paraId="08E33829" w14:textId="77777777" w:rsidTr="009E3565">
        <w:tc>
          <w:tcPr>
            <w:tcW w:w="1657" w:type="pct"/>
            <w:tcBorders>
              <w:top w:val="nil"/>
              <w:left w:val="single" w:sz="4" w:space="0" w:color="auto"/>
              <w:bottom w:val="single" w:sz="4" w:space="0" w:color="auto"/>
              <w:right w:val="single" w:sz="4" w:space="0" w:color="auto"/>
            </w:tcBorders>
            <w:shd w:val="clear" w:color="auto" w:fill="auto"/>
            <w:noWrap/>
            <w:vAlign w:val="center"/>
            <w:hideMark/>
          </w:tcPr>
          <w:p w14:paraId="6AC515B5" w14:textId="77777777" w:rsidR="00B70B9C" w:rsidRPr="006C65EE" w:rsidRDefault="00B70B9C" w:rsidP="00F12682">
            <w:pPr>
              <w:spacing w:after="0" w:line="240" w:lineRule="auto"/>
              <w:rPr>
                <w:rFonts w:ascii="Calibri" w:eastAsia="Times New Roman" w:hAnsi="Calibri" w:cs="Calibri"/>
                <w:lang w:eastAsia="fr-FR"/>
              </w:rPr>
            </w:pPr>
            <w:r w:rsidRPr="006C65EE">
              <w:rPr>
                <w:rFonts w:ascii="Calibri" w:eastAsia="Times New Roman" w:hAnsi="Calibri" w:cs="Calibri"/>
                <w:lang w:eastAsia="fr-FR"/>
              </w:rPr>
              <w:t>Cadre technique</w:t>
            </w:r>
          </w:p>
        </w:tc>
        <w:tc>
          <w:tcPr>
            <w:tcW w:w="550" w:type="pct"/>
            <w:tcBorders>
              <w:top w:val="nil"/>
              <w:left w:val="nil"/>
              <w:bottom w:val="single" w:sz="4" w:space="0" w:color="auto"/>
              <w:right w:val="single" w:sz="4" w:space="0" w:color="auto"/>
            </w:tcBorders>
            <w:shd w:val="clear" w:color="auto" w:fill="auto"/>
            <w:noWrap/>
            <w:vAlign w:val="center"/>
          </w:tcPr>
          <w:p w14:paraId="25DEB6B1" w14:textId="77777777" w:rsidR="00B70B9C" w:rsidRPr="006C65EE" w:rsidRDefault="00B70B9C" w:rsidP="00F12682">
            <w:pPr>
              <w:spacing w:after="0" w:line="240" w:lineRule="auto"/>
              <w:jc w:val="center"/>
              <w:rPr>
                <w:rFonts w:ascii="Calibri" w:eastAsia="Times New Roman" w:hAnsi="Calibri" w:cs="Calibri"/>
                <w:lang w:eastAsia="fr-FR"/>
              </w:rPr>
            </w:pPr>
            <w:r w:rsidRPr="006C65EE">
              <w:rPr>
                <w:rFonts w:ascii="Calibri" w:eastAsia="Times New Roman" w:hAnsi="Calibri" w:cs="Calibri"/>
                <w:lang w:eastAsia="fr-FR"/>
              </w:rPr>
              <w:t>84</w:t>
            </w:r>
          </w:p>
        </w:tc>
        <w:tc>
          <w:tcPr>
            <w:tcW w:w="550" w:type="pct"/>
            <w:tcBorders>
              <w:top w:val="nil"/>
              <w:left w:val="nil"/>
              <w:bottom w:val="single" w:sz="4" w:space="0" w:color="auto"/>
              <w:right w:val="single" w:sz="4" w:space="0" w:color="auto"/>
            </w:tcBorders>
            <w:shd w:val="clear" w:color="auto" w:fill="auto"/>
            <w:noWrap/>
            <w:vAlign w:val="center"/>
          </w:tcPr>
          <w:p w14:paraId="6C137A8A" w14:textId="77777777" w:rsidR="00B70B9C" w:rsidRPr="006C65EE" w:rsidRDefault="00B70B9C" w:rsidP="00F12682">
            <w:pPr>
              <w:spacing w:after="0" w:line="240" w:lineRule="auto"/>
              <w:jc w:val="center"/>
              <w:rPr>
                <w:rFonts w:ascii="Calibri" w:eastAsia="Times New Roman" w:hAnsi="Calibri" w:cs="Calibri"/>
                <w:lang w:eastAsia="fr-FR"/>
              </w:rPr>
            </w:pPr>
            <w:r w:rsidRPr="006C65EE">
              <w:rPr>
                <w:rFonts w:ascii="Calibri" w:eastAsia="Times New Roman" w:hAnsi="Calibri" w:cs="Calibri"/>
                <w:lang w:eastAsia="fr-FR"/>
              </w:rPr>
              <w:t>110</w:t>
            </w:r>
          </w:p>
        </w:tc>
        <w:tc>
          <w:tcPr>
            <w:tcW w:w="832" w:type="pct"/>
            <w:tcBorders>
              <w:top w:val="nil"/>
              <w:left w:val="nil"/>
              <w:bottom w:val="single" w:sz="4" w:space="0" w:color="auto"/>
              <w:right w:val="single" w:sz="4" w:space="0" w:color="auto"/>
            </w:tcBorders>
            <w:shd w:val="clear" w:color="auto" w:fill="auto"/>
            <w:noWrap/>
            <w:vAlign w:val="center"/>
          </w:tcPr>
          <w:p w14:paraId="425102F5" w14:textId="77777777" w:rsidR="00B70B9C" w:rsidRPr="006C65EE" w:rsidRDefault="00B70B9C" w:rsidP="00F12682">
            <w:pPr>
              <w:spacing w:after="0" w:line="240" w:lineRule="auto"/>
              <w:jc w:val="center"/>
              <w:rPr>
                <w:rFonts w:ascii="Calibri" w:eastAsia="Times New Roman" w:hAnsi="Calibri" w:cs="Calibri"/>
                <w:lang w:eastAsia="fr-FR"/>
              </w:rPr>
            </w:pPr>
            <w:r w:rsidRPr="006C65EE">
              <w:rPr>
                <w:rFonts w:ascii="Calibri" w:eastAsia="Times New Roman" w:hAnsi="Calibri" w:cs="Calibri"/>
                <w:lang w:eastAsia="fr-FR"/>
              </w:rPr>
              <w:t>84</w:t>
            </w:r>
          </w:p>
        </w:tc>
        <w:tc>
          <w:tcPr>
            <w:tcW w:w="690" w:type="pct"/>
            <w:tcBorders>
              <w:top w:val="nil"/>
              <w:left w:val="nil"/>
              <w:bottom w:val="single" w:sz="4" w:space="0" w:color="auto"/>
              <w:right w:val="single" w:sz="4" w:space="0" w:color="auto"/>
            </w:tcBorders>
            <w:shd w:val="clear" w:color="auto" w:fill="auto"/>
            <w:noWrap/>
            <w:vAlign w:val="center"/>
          </w:tcPr>
          <w:p w14:paraId="38EB508A" w14:textId="77777777" w:rsidR="00B70B9C" w:rsidRPr="006C65EE" w:rsidRDefault="00B70B9C" w:rsidP="00F12682">
            <w:pPr>
              <w:spacing w:after="0" w:line="240" w:lineRule="auto"/>
              <w:jc w:val="center"/>
              <w:rPr>
                <w:rFonts w:ascii="Calibri" w:eastAsia="Times New Roman" w:hAnsi="Calibri" w:cs="Calibri"/>
                <w:lang w:eastAsia="fr-FR"/>
              </w:rPr>
            </w:pPr>
            <w:r w:rsidRPr="006C65EE">
              <w:rPr>
                <w:rFonts w:ascii="Calibri" w:eastAsia="Times New Roman" w:hAnsi="Calibri" w:cs="Calibri"/>
                <w:lang w:eastAsia="fr-FR"/>
              </w:rPr>
              <w:t>3</w:t>
            </w:r>
          </w:p>
        </w:tc>
        <w:tc>
          <w:tcPr>
            <w:tcW w:w="720" w:type="pct"/>
            <w:tcBorders>
              <w:top w:val="nil"/>
              <w:left w:val="nil"/>
              <w:bottom w:val="single" w:sz="4" w:space="0" w:color="auto"/>
              <w:right w:val="single" w:sz="4" w:space="0" w:color="auto"/>
            </w:tcBorders>
            <w:shd w:val="clear" w:color="auto" w:fill="auto"/>
            <w:noWrap/>
            <w:vAlign w:val="center"/>
          </w:tcPr>
          <w:p w14:paraId="367D8850" w14:textId="77777777" w:rsidR="00B70B9C" w:rsidRPr="006C65EE" w:rsidRDefault="00B70B9C" w:rsidP="00F12682">
            <w:pPr>
              <w:spacing w:after="0" w:line="240" w:lineRule="auto"/>
              <w:jc w:val="center"/>
              <w:rPr>
                <w:rFonts w:ascii="Calibri" w:eastAsia="Times New Roman" w:hAnsi="Calibri" w:cs="Calibri"/>
                <w:b/>
                <w:bCs/>
                <w:lang w:eastAsia="fr-FR"/>
              </w:rPr>
            </w:pPr>
            <w:r w:rsidRPr="006C65EE">
              <w:rPr>
                <w:rFonts w:ascii="Calibri" w:eastAsia="Times New Roman" w:hAnsi="Calibri" w:cs="Calibri"/>
                <w:b/>
                <w:bCs/>
                <w:lang w:eastAsia="fr-FR"/>
              </w:rPr>
              <w:t>281</w:t>
            </w:r>
          </w:p>
        </w:tc>
      </w:tr>
      <w:tr w:rsidR="00B70B9C" w:rsidRPr="006C65EE" w14:paraId="43FAD45A" w14:textId="77777777" w:rsidTr="009E3565">
        <w:tc>
          <w:tcPr>
            <w:tcW w:w="1657" w:type="pct"/>
            <w:tcBorders>
              <w:top w:val="nil"/>
              <w:left w:val="single" w:sz="4" w:space="0" w:color="auto"/>
              <w:bottom w:val="single" w:sz="4" w:space="0" w:color="auto"/>
              <w:right w:val="single" w:sz="4" w:space="0" w:color="auto"/>
            </w:tcBorders>
            <w:shd w:val="clear" w:color="auto" w:fill="auto"/>
            <w:noWrap/>
            <w:vAlign w:val="bottom"/>
            <w:hideMark/>
          </w:tcPr>
          <w:p w14:paraId="0FEE413B" w14:textId="77777777" w:rsidR="00B70B9C" w:rsidRPr="006C65EE" w:rsidRDefault="00B70B9C" w:rsidP="00F12682">
            <w:pPr>
              <w:spacing w:after="0" w:line="240" w:lineRule="auto"/>
              <w:jc w:val="center"/>
              <w:rPr>
                <w:rFonts w:ascii="Calibri" w:eastAsia="Times New Roman" w:hAnsi="Calibri" w:cs="Calibri"/>
                <w:b/>
                <w:bCs/>
                <w:iCs/>
                <w:lang w:eastAsia="fr-FR"/>
              </w:rPr>
            </w:pPr>
            <w:r w:rsidRPr="006C65EE">
              <w:rPr>
                <w:rFonts w:ascii="Calibri" w:eastAsia="Times New Roman" w:hAnsi="Calibri" w:cs="Calibri"/>
                <w:b/>
                <w:bCs/>
                <w:iCs/>
                <w:lang w:eastAsia="fr-FR"/>
              </w:rPr>
              <w:t>Total</w:t>
            </w:r>
          </w:p>
        </w:tc>
        <w:tc>
          <w:tcPr>
            <w:tcW w:w="550" w:type="pct"/>
            <w:tcBorders>
              <w:top w:val="nil"/>
              <w:left w:val="nil"/>
              <w:bottom w:val="single" w:sz="4" w:space="0" w:color="auto"/>
              <w:right w:val="single" w:sz="4" w:space="0" w:color="auto"/>
            </w:tcBorders>
            <w:shd w:val="clear" w:color="auto" w:fill="auto"/>
            <w:noWrap/>
            <w:vAlign w:val="center"/>
          </w:tcPr>
          <w:p w14:paraId="42494116" w14:textId="77777777" w:rsidR="00B70B9C" w:rsidRPr="006C65EE" w:rsidRDefault="00B70B9C" w:rsidP="00F12682">
            <w:pPr>
              <w:spacing w:after="0" w:line="240" w:lineRule="auto"/>
              <w:jc w:val="center"/>
              <w:rPr>
                <w:rFonts w:ascii="Calibri" w:eastAsia="Times New Roman" w:hAnsi="Calibri" w:cs="Calibri"/>
                <w:b/>
                <w:bCs/>
                <w:lang w:eastAsia="fr-FR"/>
              </w:rPr>
            </w:pPr>
            <w:r w:rsidRPr="006C65EE">
              <w:rPr>
                <w:rFonts w:ascii="Calibri" w:eastAsia="Times New Roman" w:hAnsi="Calibri" w:cs="Calibri"/>
                <w:b/>
                <w:bCs/>
                <w:lang w:eastAsia="fr-FR"/>
              </w:rPr>
              <w:t>166</w:t>
            </w:r>
          </w:p>
        </w:tc>
        <w:tc>
          <w:tcPr>
            <w:tcW w:w="550" w:type="pct"/>
            <w:tcBorders>
              <w:top w:val="nil"/>
              <w:left w:val="nil"/>
              <w:bottom w:val="single" w:sz="4" w:space="0" w:color="auto"/>
              <w:right w:val="single" w:sz="4" w:space="0" w:color="auto"/>
            </w:tcBorders>
            <w:shd w:val="clear" w:color="auto" w:fill="auto"/>
            <w:noWrap/>
            <w:vAlign w:val="center"/>
          </w:tcPr>
          <w:p w14:paraId="0F52BBDE" w14:textId="77777777" w:rsidR="00B70B9C" w:rsidRPr="006C65EE" w:rsidRDefault="00B70B9C" w:rsidP="00F12682">
            <w:pPr>
              <w:spacing w:after="0" w:line="240" w:lineRule="auto"/>
              <w:jc w:val="center"/>
              <w:rPr>
                <w:rFonts w:ascii="Calibri" w:eastAsia="Times New Roman" w:hAnsi="Calibri" w:cs="Calibri"/>
                <w:b/>
                <w:bCs/>
                <w:lang w:eastAsia="fr-FR"/>
              </w:rPr>
            </w:pPr>
            <w:r w:rsidRPr="006C65EE">
              <w:rPr>
                <w:rFonts w:ascii="Calibri" w:eastAsia="Times New Roman" w:hAnsi="Calibri" w:cs="Calibri"/>
                <w:b/>
                <w:bCs/>
                <w:lang w:eastAsia="fr-FR"/>
              </w:rPr>
              <w:t>142</w:t>
            </w:r>
          </w:p>
        </w:tc>
        <w:tc>
          <w:tcPr>
            <w:tcW w:w="832" w:type="pct"/>
            <w:tcBorders>
              <w:top w:val="nil"/>
              <w:left w:val="nil"/>
              <w:bottom w:val="single" w:sz="4" w:space="0" w:color="auto"/>
              <w:right w:val="single" w:sz="4" w:space="0" w:color="auto"/>
            </w:tcBorders>
            <w:shd w:val="clear" w:color="auto" w:fill="auto"/>
            <w:noWrap/>
            <w:vAlign w:val="center"/>
          </w:tcPr>
          <w:p w14:paraId="73FDE313" w14:textId="77777777" w:rsidR="00B70B9C" w:rsidRPr="006C65EE" w:rsidRDefault="00B70B9C" w:rsidP="00F12682">
            <w:pPr>
              <w:spacing w:after="0" w:line="240" w:lineRule="auto"/>
              <w:jc w:val="center"/>
              <w:rPr>
                <w:rFonts w:ascii="Calibri" w:eastAsia="Times New Roman" w:hAnsi="Calibri" w:cs="Calibri"/>
                <w:b/>
                <w:bCs/>
                <w:lang w:eastAsia="fr-FR"/>
              </w:rPr>
            </w:pPr>
            <w:r w:rsidRPr="006C65EE">
              <w:rPr>
                <w:rFonts w:ascii="Calibri" w:eastAsia="Times New Roman" w:hAnsi="Calibri" w:cs="Calibri"/>
                <w:b/>
                <w:bCs/>
                <w:lang w:eastAsia="fr-FR"/>
              </w:rPr>
              <w:t>90</w:t>
            </w:r>
          </w:p>
        </w:tc>
        <w:tc>
          <w:tcPr>
            <w:tcW w:w="690" w:type="pct"/>
            <w:tcBorders>
              <w:top w:val="nil"/>
              <w:left w:val="nil"/>
              <w:bottom w:val="single" w:sz="4" w:space="0" w:color="auto"/>
              <w:right w:val="single" w:sz="4" w:space="0" w:color="auto"/>
            </w:tcBorders>
            <w:shd w:val="clear" w:color="auto" w:fill="auto"/>
            <w:noWrap/>
            <w:vAlign w:val="center"/>
          </w:tcPr>
          <w:p w14:paraId="6DFD4F47" w14:textId="77777777" w:rsidR="00B70B9C" w:rsidRPr="006C65EE" w:rsidRDefault="00B70B9C" w:rsidP="00F12682">
            <w:pPr>
              <w:spacing w:after="0" w:line="240" w:lineRule="auto"/>
              <w:jc w:val="center"/>
              <w:rPr>
                <w:rFonts w:ascii="Calibri" w:eastAsia="Times New Roman" w:hAnsi="Calibri" w:cs="Calibri"/>
                <w:b/>
                <w:bCs/>
                <w:lang w:eastAsia="fr-FR"/>
              </w:rPr>
            </w:pPr>
            <w:r w:rsidRPr="006C65EE">
              <w:rPr>
                <w:rFonts w:ascii="Calibri" w:eastAsia="Times New Roman" w:hAnsi="Calibri" w:cs="Calibri"/>
                <w:b/>
                <w:bCs/>
                <w:lang w:eastAsia="fr-FR"/>
              </w:rPr>
              <w:t>3</w:t>
            </w:r>
          </w:p>
        </w:tc>
        <w:tc>
          <w:tcPr>
            <w:tcW w:w="720" w:type="pct"/>
            <w:tcBorders>
              <w:top w:val="nil"/>
              <w:left w:val="nil"/>
              <w:bottom w:val="single" w:sz="4" w:space="0" w:color="auto"/>
              <w:right w:val="single" w:sz="4" w:space="0" w:color="auto"/>
            </w:tcBorders>
            <w:shd w:val="clear" w:color="auto" w:fill="auto"/>
            <w:noWrap/>
            <w:vAlign w:val="center"/>
          </w:tcPr>
          <w:p w14:paraId="29D74EE8" w14:textId="77777777" w:rsidR="00B70B9C" w:rsidRPr="006C65EE" w:rsidRDefault="00B70B9C" w:rsidP="00F12682">
            <w:pPr>
              <w:spacing w:after="0" w:line="240" w:lineRule="auto"/>
              <w:jc w:val="center"/>
              <w:rPr>
                <w:rFonts w:ascii="Calibri" w:eastAsia="Times New Roman" w:hAnsi="Calibri" w:cs="Calibri"/>
                <w:b/>
                <w:bCs/>
                <w:lang w:eastAsia="fr-FR"/>
              </w:rPr>
            </w:pPr>
            <w:r w:rsidRPr="006C65EE">
              <w:rPr>
                <w:rFonts w:ascii="Calibri" w:eastAsia="Times New Roman" w:hAnsi="Calibri" w:cs="Calibri"/>
                <w:b/>
                <w:bCs/>
                <w:lang w:eastAsia="fr-FR"/>
              </w:rPr>
              <w:t>401</w:t>
            </w:r>
          </w:p>
        </w:tc>
      </w:tr>
    </w:tbl>
    <w:p w14:paraId="08B151C5" w14:textId="77777777" w:rsidR="00B70B9C" w:rsidRPr="006C65EE" w:rsidRDefault="00B70B9C" w:rsidP="00F12682">
      <w:pPr>
        <w:jc w:val="both"/>
        <w:rPr>
          <w:rFonts w:cs="Calibri"/>
          <w:sz w:val="20"/>
        </w:rPr>
      </w:pPr>
      <w:r w:rsidRPr="006C65EE">
        <w:rPr>
          <w:rFonts w:cs="Calibri"/>
          <w:sz w:val="20"/>
          <w:u w:val="single"/>
        </w:rPr>
        <w:t>Source</w:t>
      </w:r>
      <w:r>
        <w:rPr>
          <w:rFonts w:cs="Calibri"/>
          <w:sz w:val="20"/>
        </w:rPr>
        <w:t> : DRH/MH</w:t>
      </w:r>
      <w:r w:rsidRPr="006C65EE">
        <w:rPr>
          <w:rFonts w:cs="Calibri"/>
          <w:sz w:val="20"/>
        </w:rPr>
        <w:t>A</w:t>
      </w:r>
      <w:r>
        <w:rPr>
          <w:rFonts w:cs="Calibri"/>
          <w:sz w:val="20"/>
        </w:rPr>
        <w:t>, 2016</w:t>
      </w:r>
    </w:p>
    <w:p w14:paraId="5697D537" w14:textId="77777777" w:rsidR="00F44153" w:rsidRPr="00807E04" w:rsidRDefault="00F44153" w:rsidP="00F12682">
      <w:pPr>
        <w:spacing w:after="120" w:line="276" w:lineRule="auto"/>
        <w:jc w:val="both"/>
        <w:rPr>
          <w:rFonts w:ascii="Calibri" w:eastAsiaTheme="majorEastAsia" w:hAnsi="Calibri" w:cs="Calibri"/>
          <w:iCs/>
          <w:sz w:val="24"/>
        </w:rPr>
      </w:pPr>
      <w:r w:rsidRPr="00807E04">
        <w:rPr>
          <w:rFonts w:ascii="Calibri" w:eastAsiaTheme="majorEastAsia" w:hAnsi="Calibri" w:cs="Calibri"/>
          <w:iCs/>
          <w:sz w:val="24"/>
        </w:rPr>
        <w:t xml:space="preserve">Il résulte du tableau ci-dessus que 60% de l’effectif du MHA est employé dans les services déconcentrés de l’Etat. Ce qui constitue un motif de satisfaction modérée en ce sens que le niveau opérationnel se retrouve avec plus de la moitié des agents du MHA. </w:t>
      </w:r>
    </w:p>
    <w:p w14:paraId="33E1BF65" w14:textId="77777777" w:rsidR="00A41BF8" w:rsidRPr="006C65EE" w:rsidRDefault="00A41BF8" w:rsidP="00F12682">
      <w:pPr>
        <w:spacing w:after="120" w:line="276" w:lineRule="auto"/>
        <w:jc w:val="both"/>
        <w:rPr>
          <w:rFonts w:ascii="Calibri" w:eastAsiaTheme="majorEastAsia" w:hAnsi="Calibri" w:cs="Calibri"/>
          <w:iCs/>
          <w:sz w:val="24"/>
        </w:rPr>
      </w:pPr>
      <w:r w:rsidRPr="006C65EE">
        <w:rPr>
          <w:rFonts w:ascii="Calibri" w:eastAsiaTheme="majorEastAsia" w:hAnsi="Calibri" w:cs="Calibri"/>
          <w:iCs/>
          <w:sz w:val="24"/>
        </w:rPr>
        <w:t>Sous l’angle des profils, il se dégage que les agents techniques constituent plus du double du personnel administratif ; ce qui peut signifier que le caractère technique prime lors du recrutement des agents.</w:t>
      </w:r>
    </w:p>
    <w:p w14:paraId="58D6293A" w14:textId="767862E6" w:rsidR="00587BCD" w:rsidRDefault="00A41BF8" w:rsidP="00F12682">
      <w:pPr>
        <w:spacing w:line="276" w:lineRule="auto"/>
        <w:jc w:val="both"/>
        <w:rPr>
          <w:rFonts w:ascii="Calibri" w:eastAsiaTheme="majorEastAsia" w:hAnsi="Calibri" w:cs="Calibri"/>
          <w:iCs/>
          <w:sz w:val="24"/>
        </w:rPr>
      </w:pPr>
      <w:r w:rsidRPr="006C65EE">
        <w:rPr>
          <w:rFonts w:ascii="Calibri" w:eastAsiaTheme="majorEastAsia" w:hAnsi="Calibri" w:cs="Calibri"/>
          <w:iCs/>
          <w:sz w:val="24"/>
        </w:rPr>
        <w:t>Toutefois, il faut noter l’existence de Service Financier</w:t>
      </w:r>
      <w:r>
        <w:rPr>
          <w:rFonts w:ascii="Calibri" w:eastAsiaTheme="majorEastAsia" w:hAnsi="Calibri" w:cs="Calibri"/>
          <w:iCs/>
          <w:sz w:val="24"/>
        </w:rPr>
        <w:t xml:space="preserve"> </w:t>
      </w:r>
      <w:r w:rsidRPr="006C65EE">
        <w:rPr>
          <w:rFonts w:ascii="Calibri" w:eastAsiaTheme="majorEastAsia" w:hAnsi="Calibri" w:cs="Calibri"/>
          <w:iCs/>
          <w:sz w:val="24"/>
        </w:rPr>
        <w:t>au sein de chaque Direction Régionale. Ce Service Financier est dirigé, en général, par un cadre moyen ayant soit le profit financier ou disposant d’une certaine expérience en matière de gestion financière et comptable.</w:t>
      </w:r>
    </w:p>
    <w:p w14:paraId="5AC7280F" w14:textId="77777777" w:rsidR="00115E93" w:rsidRPr="006E0D8D" w:rsidRDefault="00115E93" w:rsidP="00F12682">
      <w:pPr>
        <w:spacing w:line="240" w:lineRule="auto"/>
        <w:jc w:val="both"/>
        <w:rPr>
          <w:rFonts w:ascii="Calibri" w:eastAsiaTheme="majorEastAsia" w:hAnsi="Calibri" w:cs="Calibri"/>
          <w:iCs/>
          <w:sz w:val="24"/>
        </w:rPr>
      </w:pPr>
    </w:p>
    <w:p w14:paraId="18FC0BAF" w14:textId="77777777" w:rsidR="00840BF9" w:rsidRPr="006C65EE" w:rsidRDefault="00840BF9" w:rsidP="00F12682">
      <w:pPr>
        <w:pStyle w:val="Titre4"/>
        <w:rPr>
          <w:rFonts w:asciiTheme="minorHAnsi" w:hAnsiTheme="minorHAnsi" w:cstheme="minorHAnsi"/>
        </w:rPr>
      </w:pPr>
      <w:r w:rsidRPr="006C65EE">
        <w:rPr>
          <w:rFonts w:asciiTheme="minorHAnsi" w:hAnsiTheme="minorHAnsi" w:cstheme="minorHAnsi"/>
        </w:rPr>
        <w:t>Synthèse et perspective en matière de GFP</w:t>
      </w:r>
    </w:p>
    <w:p w14:paraId="791BE0B8" w14:textId="28E2C4F9" w:rsidR="00A146BD" w:rsidRPr="006C65EE" w:rsidRDefault="00A146BD" w:rsidP="00F12682">
      <w:pPr>
        <w:spacing w:after="120" w:line="276" w:lineRule="auto"/>
        <w:jc w:val="both"/>
        <w:rPr>
          <w:rFonts w:ascii="Calibri" w:eastAsiaTheme="majorEastAsia" w:hAnsi="Calibri" w:cs="Calibri"/>
          <w:iCs/>
          <w:sz w:val="24"/>
        </w:rPr>
      </w:pPr>
      <w:r w:rsidRPr="006C65EE">
        <w:rPr>
          <w:rFonts w:ascii="Calibri" w:eastAsiaTheme="majorEastAsia" w:hAnsi="Calibri" w:cs="Calibri"/>
          <w:iCs/>
          <w:sz w:val="24"/>
        </w:rPr>
        <w:t xml:space="preserve">En matière de </w:t>
      </w:r>
      <w:r w:rsidR="00757CF6">
        <w:rPr>
          <w:rFonts w:ascii="Calibri" w:eastAsiaTheme="majorEastAsia" w:hAnsi="Calibri" w:cs="Calibri"/>
          <w:iCs/>
          <w:sz w:val="24"/>
        </w:rPr>
        <w:t>g</w:t>
      </w:r>
      <w:r w:rsidRPr="006C65EE">
        <w:rPr>
          <w:rFonts w:ascii="Calibri" w:eastAsiaTheme="majorEastAsia" w:hAnsi="Calibri" w:cs="Calibri"/>
          <w:iCs/>
          <w:sz w:val="24"/>
        </w:rPr>
        <w:t xml:space="preserve">estion des </w:t>
      </w:r>
      <w:r w:rsidR="00757CF6">
        <w:rPr>
          <w:rFonts w:ascii="Calibri" w:eastAsiaTheme="majorEastAsia" w:hAnsi="Calibri" w:cs="Calibri"/>
          <w:iCs/>
          <w:sz w:val="24"/>
        </w:rPr>
        <w:t>f</w:t>
      </w:r>
      <w:r w:rsidRPr="006C65EE">
        <w:rPr>
          <w:rFonts w:ascii="Calibri" w:eastAsiaTheme="majorEastAsia" w:hAnsi="Calibri" w:cs="Calibri"/>
          <w:iCs/>
          <w:sz w:val="24"/>
        </w:rPr>
        <w:t xml:space="preserve">inances </w:t>
      </w:r>
      <w:r w:rsidR="00757CF6">
        <w:rPr>
          <w:rFonts w:ascii="Calibri" w:eastAsiaTheme="majorEastAsia" w:hAnsi="Calibri" w:cs="Calibri"/>
          <w:iCs/>
          <w:sz w:val="24"/>
        </w:rPr>
        <w:t>p</w:t>
      </w:r>
      <w:r w:rsidRPr="006C65EE">
        <w:rPr>
          <w:rFonts w:ascii="Calibri" w:eastAsiaTheme="majorEastAsia" w:hAnsi="Calibri" w:cs="Calibri"/>
          <w:iCs/>
          <w:sz w:val="24"/>
        </w:rPr>
        <w:t xml:space="preserve">ubliques, le </w:t>
      </w:r>
      <w:r w:rsidR="00757CF6">
        <w:rPr>
          <w:rFonts w:ascii="Calibri" w:eastAsiaTheme="majorEastAsia" w:hAnsi="Calibri" w:cs="Calibri"/>
          <w:iCs/>
          <w:sz w:val="24"/>
        </w:rPr>
        <w:t xml:space="preserve">MHA </w:t>
      </w:r>
      <w:r w:rsidRPr="006C65EE">
        <w:rPr>
          <w:rFonts w:ascii="Calibri" w:eastAsiaTheme="majorEastAsia" w:hAnsi="Calibri" w:cs="Calibri"/>
          <w:iCs/>
          <w:sz w:val="24"/>
        </w:rPr>
        <w:t>peut être classée parmi les structures de l’Etat garantissant une saine te transparente exécution des crédits alloués audit département.</w:t>
      </w:r>
    </w:p>
    <w:p w14:paraId="3D88E8A2" w14:textId="2E62C335" w:rsidR="00A146BD" w:rsidRDefault="00A146BD" w:rsidP="00F12682">
      <w:pPr>
        <w:spacing w:after="120" w:line="276" w:lineRule="auto"/>
        <w:jc w:val="both"/>
        <w:rPr>
          <w:rFonts w:ascii="Calibri" w:eastAsiaTheme="majorEastAsia" w:hAnsi="Calibri" w:cs="Calibri"/>
          <w:iCs/>
          <w:sz w:val="24"/>
        </w:rPr>
      </w:pPr>
      <w:r w:rsidRPr="006C65EE">
        <w:rPr>
          <w:rFonts w:ascii="Calibri" w:eastAsiaTheme="majorEastAsia" w:hAnsi="Calibri" w:cs="Calibri"/>
          <w:iCs/>
          <w:sz w:val="24"/>
        </w:rPr>
        <w:t xml:space="preserve">Le </w:t>
      </w:r>
      <w:r w:rsidR="00757CF6">
        <w:rPr>
          <w:rFonts w:ascii="Calibri" w:eastAsiaTheme="majorEastAsia" w:hAnsi="Calibri" w:cs="Calibri"/>
          <w:iCs/>
          <w:sz w:val="24"/>
        </w:rPr>
        <w:t xml:space="preserve">MHA </w:t>
      </w:r>
      <w:r w:rsidRPr="006C65EE">
        <w:rPr>
          <w:rFonts w:ascii="Calibri" w:eastAsiaTheme="majorEastAsia" w:hAnsi="Calibri" w:cs="Calibri"/>
          <w:iCs/>
          <w:sz w:val="24"/>
        </w:rPr>
        <w:t>entend poursuivre dans la même lancée, au titre des années suivantes, afin de jouer pleinement le rôle qui lui est dévolu au nive</w:t>
      </w:r>
      <w:r w:rsidR="006C65EE">
        <w:rPr>
          <w:rFonts w:ascii="Calibri" w:eastAsiaTheme="majorEastAsia" w:hAnsi="Calibri" w:cs="Calibri"/>
          <w:iCs/>
          <w:sz w:val="24"/>
        </w:rPr>
        <w:t>au de l’action gouvernementale.</w:t>
      </w:r>
    </w:p>
    <w:p w14:paraId="63BA2FBA" w14:textId="77777777" w:rsidR="00312E67" w:rsidRDefault="00312E67" w:rsidP="00F12682">
      <w:pPr>
        <w:spacing w:after="0" w:line="276" w:lineRule="auto"/>
        <w:jc w:val="both"/>
        <w:rPr>
          <w:rFonts w:ascii="Calibri" w:eastAsiaTheme="majorEastAsia" w:hAnsi="Calibri" w:cs="Calibri"/>
          <w:iCs/>
          <w:sz w:val="24"/>
        </w:rPr>
      </w:pPr>
    </w:p>
    <w:p w14:paraId="17E61839" w14:textId="77777777" w:rsidR="00335816" w:rsidRDefault="00335816" w:rsidP="00F12682">
      <w:pPr>
        <w:spacing w:after="0" w:line="276" w:lineRule="auto"/>
        <w:jc w:val="both"/>
        <w:rPr>
          <w:rFonts w:ascii="Calibri" w:eastAsiaTheme="majorEastAsia" w:hAnsi="Calibri" w:cs="Calibri"/>
          <w:iCs/>
          <w:sz w:val="24"/>
        </w:rPr>
      </w:pPr>
    </w:p>
    <w:p w14:paraId="5A5B818F" w14:textId="465B57F8" w:rsidR="00290DAE" w:rsidRDefault="006C65EE" w:rsidP="00F12682">
      <w:pPr>
        <w:pStyle w:val="Titre3"/>
        <w:numPr>
          <w:ilvl w:val="2"/>
          <w:numId w:val="21"/>
        </w:numPr>
        <w:rPr>
          <w:rFonts w:asciiTheme="minorHAnsi" w:hAnsiTheme="minorHAnsi" w:cstheme="minorHAnsi"/>
        </w:rPr>
      </w:pPr>
      <w:bookmarkStart w:id="57" w:name="_Toc523577341"/>
      <w:bookmarkStart w:id="58" w:name="_Toc523577342"/>
      <w:bookmarkStart w:id="59" w:name="_Toc523577343"/>
      <w:bookmarkStart w:id="60" w:name="_Toc523577344"/>
      <w:bookmarkStart w:id="61" w:name="_Toc523577345"/>
      <w:bookmarkStart w:id="62" w:name="_Toc523577346"/>
      <w:bookmarkStart w:id="63" w:name="_Toc523577347"/>
      <w:bookmarkStart w:id="64" w:name="_Toc523577348"/>
      <w:bookmarkStart w:id="65" w:name="_Toc523577349"/>
      <w:bookmarkStart w:id="66" w:name="_Toc529305020"/>
      <w:bookmarkEnd w:id="57"/>
      <w:bookmarkEnd w:id="58"/>
      <w:bookmarkEnd w:id="59"/>
      <w:bookmarkEnd w:id="60"/>
      <w:bookmarkEnd w:id="61"/>
      <w:bookmarkEnd w:id="62"/>
      <w:bookmarkEnd w:id="63"/>
      <w:bookmarkEnd w:id="64"/>
      <w:bookmarkEnd w:id="65"/>
      <w:r w:rsidRPr="006C65EE">
        <w:rPr>
          <w:rFonts w:asciiTheme="minorHAnsi" w:hAnsiTheme="minorHAnsi" w:cstheme="minorHAnsi"/>
        </w:rPr>
        <w:t>Ministère du Commerce et de la Promotion du secteur Privé (MC/PSP)</w:t>
      </w:r>
      <w:bookmarkEnd w:id="66"/>
    </w:p>
    <w:p w14:paraId="03863E0B" w14:textId="45FB964B" w:rsidR="00985AC1" w:rsidRDefault="00985AC1" w:rsidP="00F12682">
      <w:pPr>
        <w:pStyle w:val="Titre4"/>
        <w:rPr>
          <w:rFonts w:asciiTheme="minorHAnsi" w:hAnsiTheme="minorHAnsi" w:cstheme="minorHAnsi"/>
        </w:rPr>
      </w:pPr>
      <w:r w:rsidRPr="004A5122">
        <w:rPr>
          <w:rFonts w:asciiTheme="minorHAnsi" w:hAnsiTheme="minorHAnsi" w:cstheme="minorHAnsi"/>
        </w:rPr>
        <w:t>Analyse de la planification/programmation et de la budgétisation des dépenses</w:t>
      </w:r>
      <w:r w:rsidR="00A41BF8">
        <w:rPr>
          <w:rFonts w:asciiTheme="minorHAnsi" w:hAnsiTheme="minorHAnsi" w:cstheme="minorHAnsi"/>
        </w:rPr>
        <w:t xml:space="preserve"> </w:t>
      </w:r>
      <w:r w:rsidR="00A41BF8" w:rsidRPr="004A5122">
        <w:rPr>
          <w:rFonts w:asciiTheme="minorHAnsi" w:hAnsiTheme="minorHAnsi" w:cstheme="minorHAnsi"/>
        </w:rPr>
        <w:t>et de reddition des comptes</w:t>
      </w:r>
    </w:p>
    <w:p w14:paraId="029A5557" w14:textId="77777777" w:rsidR="00943352" w:rsidRPr="004A7DD0" w:rsidRDefault="00943352" w:rsidP="00F12682">
      <w:pPr>
        <w:spacing w:after="120" w:line="276" w:lineRule="auto"/>
        <w:jc w:val="both"/>
        <w:rPr>
          <w:rFonts w:ascii="Calibri" w:eastAsiaTheme="majorEastAsia" w:hAnsi="Calibri" w:cs="Calibri"/>
          <w:iCs/>
          <w:sz w:val="24"/>
        </w:rPr>
      </w:pPr>
      <w:r w:rsidRPr="004A7DD0">
        <w:rPr>
          <w:rFonts w:ascii="Calibri" w:eastAsiaTheme="majorEastAsia" w:hAnsi="Calibri" w:cs="Calibri"/>
          <w:iCs/>
          <w:sz w:val="24"/>
        </w:rPr>
        <w:t xml:space="preserve">Le Ministère du Commerce et de la Promotion du secteur Privé (MC/PSP) disposait des plusieurs documents programmatiques, concernant les deux (2) principaux volets dont il a la charge : (i) Développement du Commerce et (ii) Promotion du Secteur Privé. </w:t>
      </w:r>
    </w:p>
    <w:p w14:paraId="75C897B6" w14:textId="77777777" w:rsidR="00943352" w:rsidRPr="004A7DD0" w:rsidRDefault="00943352" w:rsidP="00F12682">
      <w:pPr>
        <w:spacing w:after="120" w:line="276" w:lineRule="auto"/>
        <w:jc w:val="both"/>
        <w:rPr>
          <w:rFonts w:ascii="Calibri" w:eastAsiaTheme="majorEastAsia" w:hAnsi="Calibri" w:cs="Calibri"/>
          <w:iCs/>
          <w:sz w:val="24"/>
        </w:rPr>
      </w:pPr>
      <w:r w:rsidRPr="004A7DD0">
        <w:rPr>
          <w:rFonts w:ascii="Calibri" w:eastAsiaTheme="majorEastAsia" w:hAnsi="Calibri" w:cs="Calibri"/>
          <w:iCs/>
          <w:sz w:val="24"/>
        </w:rPr>
        <w:t xml:space="preserve">L’examen de ces documents qui ont été élaborés dans un contexte qui d’avant la LOLF, révèle que, quel que soit le volet, il est nécessaire de procéder à leur unification, car, ils disparates. </w:t>
      </w:r>
    </w:p>
    <w:p w14:paraId="2B71084C" w14:textId="77777777" w:rsidR="00943352" w:rsidRPr="004A7DD0" w:rsidRDefault="00943352" w:rsidP="00F12682">
      <w:pPr>
        <w:spacing w:after="120" w:line="276" w:lineRule="auto"/>
        <w:jc w:val="both"/>
        <w:rPr>
          <w:rFonts w:ascii="Calibri" w:eastAsiaTheme="majorEastAsia" w:hAnsi="Calibri" w:cs="Calibri"/>
          <w:iCs/>
          <w:sz w:val="24"/>
        </w:rPr>
      </w:pPr>
      <w:r w:rsidRPr="004A7DD0">
        <w:rPr>
          <w:rFonts w:ascii="Calibri" w:eastAsiaTheme="majorEastAsia" w:hAnsi="Calibri" w:cs="Calibri"/>
          <w:iCs/>
          <w:sz w:val="24"/>
        </w:rPr>
        <w:t>S’agissant du volet Commerce,</w:t>
      </w:r>
      <w:r>
        <w:rPr>
          <w:rFonts w:ascii="Calibri" w:eastAsiaTheme="majorEastAsia" w:hAnsi="Calibri" w:cs="Calibri"/>
          <w:iCs/>
          <w:sz w:val="24"/>
        </w:rPr>
        <w:t xml:space="preserve"> </w:t>
      </w:r>
      <w:r w:rsidRPr="004A7DD0">
        <w:rPr>
          <w:rFonts w:ascii="Calibri" w:eastAsiaTheme="majorEastAsia" w:hAnsi="Calibri" w:cs="Calibri"/>
          <w:iCs/>
          <w:sz w:val="24"/>
        </w:rPr>
        <w:t xml:space="preserve">le MC/PSP disposait d’une politique et d’une Etude Diagnostic de l’Intégration du Commerce (EDIC). De l’autre côté, le PC/PSP disposait d’un Document Cadre de la Promotion du Secteur Privé (DC/PSP) qui peut </w:t>
      </w:r>
      <w:proofErr w:type="gramStart"/>
      <w:r w:rsidRPr="004A7DD0">
        <w:rPr>
          <w:rFonts w:ascii="Calibri" w:eastAsiaTheme="majorEastAsia" w:hAnsi="Calibri" w:cs="Calibri"/>
          <w:iCs/>
          <w:sz w:val="24"/>
        </w:rPr>
        <w:t>jouer</w:t>
      </w:r>
      <w:proofErr w:type="gramEnd"/>
      <w:r w:rsidRPr="004A7DD0">
        <w:rPr>
          <w:rFonts w:ascii="Calibri" w:eastAsiaTheme="majorEastAsia" w:hAnsi="Calibri" w:cs="Calibri"/>
          <w:iCs/>
          <w:sz w:val="24"/>
        </w:rPr>
        <w:t xml:space="preserve"> le rôle de document stratégique en la matière.</w:t>
      </w:r>
      <w:r>
        <w:rPr>
          <w:rFonts w:ascii="Calibri" w:eastAsiaTheme="majorEastAsia" w:hAnsi="Calibri" w:cs="Calibri"/>
          <w:iCs/>
          <w:sz w:val="24"/>
        </w:rPr>
        <w:t xml:space="preserve"> </w:t>
      </w:r>
    </w:p>
    <w:p w14:paraId="2A581AA9" w14:textId="77777777" w:rsidR="00943352" w:rsidRDefault="00943352" w:rsidP="00F12682">
      <w:pPr>
        <w:spacing w:after="120" w:line="276" w:lineRule="auto"/>
        <w:jc w:val="both"/>
        <w:rPr>
          <w:rFonts w:ascii="Calibri" w:eastAsiaTheme="majorEastAsia" w:hAnsi="Calibri" w:cs="Calibri"/>
          <w:iCs/>
          <w:sz w:val="24"/>
        </w:rPr>
      </w:pPr>
      <w:r w:rsidRPr="004A7DD0">
        <w:rPr>
          <w:rFonts w:ascii="Calibri" w:eastAsiaTheme="majorEastAsia" w:hAnsi="Calibri" w:cs="Calibri"/>
          <w:iCs/>
          <w:sz w:val="24"/>
        </w:rPr>
        <w:t>Par ailleurs, grâce à un financement du Projet ‘HUB’, les principaux cadres du MC/PSP ont bénéficié d’une formation sur l’élaboration du budget programme, organisée</w:t>
      </w:r>
      <w:r>
        <w:rPr>
          <w:rFonts w:ascii="Calibri" w:eastAsiaTheme="majorEastAsia" w:hAnsi="Calibri" w:cs="Calibri"/>
          <w:iCs/>
          <w:sz w:val="24"/>
        </w:rPr>
        <w:t xml:space="preserve"> au cours du mois de juin 2016.</w:t>
      </w:r>
    </w:p>
    <w:p w14:paraId="21A120F7" w14:textId="53E616C2" w:rsidR="00985AC1" w:rsidRDefault="00985AC1" w:rsidP="00F12682">
      <w:pPr>
        <w:pStyle w:val="Titre4"/>
        <w:rPr>
          <w:rFonts w:asciiTheme="minorHAnsi" w:hAnsiTheme="minorHAnsi" w:cstheme="minorHAnsi"/>
        </w:rPr>
      </w:pPr>
      <w:r w:rsidRPr="004A5122">
        <w:rPr>
          <w:rFonts w:asciiTheme="minorHAnsi" w:hAnsiTheme="minorHAnsi" w:cstheme="minorHAnsi"/>
        </w:rPr>
        <w:lastRenderedPageBreak/>
        <w:t>Analyse de la Gestion des Ressources Humaines</w:t>
      </w:r>
    </w:p>
    <w:p w14:paraId="698BE04A" w14:textId="23B86745" w:rsidR="00D03DF1" w:rsidRPr="00807E04" w:rsidRDefault="00D03DF1" w:rsidP="00F12682">
      <w:pPr>
        <w:spacing w:after="120" w:line="276" w:lineRule="auto"/>
        <w:jc w:val="both"/>
        <w:rPr>
          <w:rFonts w:ascii="Calibri" w:eastAsiaTheme="majorEastAsia" w:hAnsi="Calibri" w:cs="Calibri"/>
          <w:iCs/>
          <w:sz w:val="24"/>
        </w:rPr>
      </w:pPr>
      <w:r w:rsidRPr="00807E04">
        <w:rPr>
          <w:rFonts w:ascii="Calibri" w:eastAsiaTheme="majorEastAsia" w:hAnsi="Calibri" w:cs="Calibri"/>
          <w:iCs/>
          <w:sz w:val="24"/>
        </w:rPr>
        <w:t>La situation du personnel employé par le MC/PSP en 2016, apparai</w:t>
      </w:r>
      <w:r w:rsidR="00F44153" w:rsidRPr="00807E04">
        <w:rPr>
          <w:rFonts w:ascii="Calibri" w:eastAsiaTheme="majorEastAsia" w:hAnsi="Calibri" w:cs="Calibri"/>
          <w:iCs/>
          <w:sz w:val="24"/>
        </w:rPr>
        <w:t>t à travers le tableau suivant.</w:t>
      </w:r>
    </w:p>
    <w:p w14:paraId="69C1B19B" w14:textId="77777777" w:rsidR="001A5A73" w:rsidRPr="00807E04" w:rsidRDefault="001A5A73" w:rsidP="00F12682">
      <w:pPr>
        <w:spacing w:after="120" w:line="276" w:lineRule="auto"/>
        <w:jc w:val="both"/>
        <w:rPr>
          <w:rFonts w:ascii="Calibri" w:eastAsiaTheme="majorEastAsia" w:hAnsi="Calibri" w:cs="Calibri"/>
          <w:iCs/>
          <w:sz w:val="24"/>
        </w:rPr>
      </w:pPr>
    </w:p>
    <w:p w14:paraId="46C7662B" w14:textId="77777777" w:rsidR="001A5A73" w:rsidRPr="00522678" w:rsidRDefault="001A5A73" w:rsidP="00F12682">
      <w:pPr>
        <w:pStyle w:val="Lgende"/>
        <w:rPr>
          <w:rFonts w:eastAsiaTheme="majorEastAsia" w:cs="Calibri"/>
          <w:iCs w:val="0"/>
        </w:rPr>
      </w:pPr>
      <w:bookmarkStart w:id="67" w:name="_Toc529305062"/>
      <w:r>
        <w:t xml:space="preserve">Tableau </w:t>
      </w:r>
      <w:r>
        <w:rPr>
          <w:noProof/>
        </w:rPr>
        <w:fldChar w:fldCharType="begin"/>
      </w:r>
      <w:r>
        <w:rPr>
          <w:noProof/>
        </w:rPr>
        <w:instrText xml:space="preserve"> SEQ Tableau \* ARABIC </w:instrText>
      </w:r>
      <w:r>
        <w:rPr>
          <w:noProof/>
        </w:rPr>
        <w:fldChar w:fldCharType="separate"/>
      </w:r>
      <w:r w:rsidR="001C37F0">
        <w:rPr>
          <w:noProof/>
        </w:rPr>
        <w:t>8</w:t>
      </w:r>
      <w:r>
        <w:rPr>
          <w:noProof/>
        </w:rPr>
        <w:fldChar w:fldCharType="end"/>
      </w:r>
      <w:r w:rsidRPr="00522678">
        <w:rPr>
          <w:rFonts w:eastAsiaTheme="majorEastAsia" w:cs="Calibri"/>
          <w:iCs w:val="0"/>
        </w:rPr>
        <w:t xml:space="preserve"> : </w:t>
      </w:r>
      <w:r>
        <w:rPr>
          <w:rFonts w:eastAsiaTheme="majorEastAsia" w:cs="Calibri"/>
          <w:iCs w:val="0"/>
        </w:rPr>
        <w:t>Situation</w:t>
      </w:r>
      <w:r w:rsidRPr="00522678">
        <w:rPr>
          <w:rFonts w:eastAsiaTheme="majorEastAsia" w:cs="Calibri"/>
          <w:iCs w:val="0"/>
        </w:rPr>
        <w:t xml:space="preserve"> du personnel du MC/PSP en 2016</w:t>
      </w:r>
      <w:bookmarkEnd w:id="67"/>
    </w:p>
    <w:tbl>
      <w:tblPr>
        <w:tblW w:w="5008" w:type="pct"/>
        <w:tblInd w:w="-5" w:type="dxa"/>
        <w:tblCellMar>
          <w:left w:w="70" w:type="dxa"/>
          <w:right w:w="70" w:type="dxa"/>
        </w:tblCellMar>
        <w:tblLook w:val="04A0" w:firstRow="1" w:lastRow="0" w:firstColumn="1" w:lastColumn="0" w:noHBand="0" w:noVBand="1"/>
      </w:tblPr>
      <w:tblGrid>
        <w:gridCol w:w="2798"/>
        <w:gridCol w:w="928"/>
        <w:gridCol w:w="916"/>
        <w:gridCol w:w="1217"/>
        <w:gridCol w:w="1080"/>
        <w:gridCol w:w="1165"/>
        <w:gridCol w:w="862"/>
        <w:gridCol w:w="677"/>
      </w:tblGrid>
      <w:tr w:rsidR="001A5A73" w:rsidRPr="00650E40" w14:paraId="00CFD83D" w14:textId="77777777" w:rsidTr="009E3565">
        <w:tc>
          <w:tcPr>
            <w:tcW w:w="1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A757CF" w14:textId="073D2667" w:rsidR="001A5A73" w:rsidRPr="00650E40" w:rsidRDefault="001A5A73"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Service d'affectation</w:t>
            </w:r>
          </w:p>
        </w:tc>
        <w:tc>
          <w:tcPr>
            <w:tcW w:w="48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E09863" w14:textId="77777777" w:rsidR="001A5A73" w:rsidRPr="00650E40" w:rsidRDefault="001A5A73"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A</w:t>
            </w:r>
          </w:p>
        </w:tc>
        <w:tc>
          <w:tcPr>
            <w:tcW w:w="47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42CEEE" w14:textId="77777777" w:rsidR="001A5A73" w:rsidRPr="00650E40" w:rsidRDefault="001A5A73"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B</w:t>
            </w:r>
          </w:p>
        </w:tc>
        <w:tc>
          <w:tcPr>
            <w:tcW w:w="63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094672" w14:textId="77777777" w:rsidR="001A5A73" w:rsidRPr="00650E40" w:rsidRDefault="001A5A73"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C</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E04FEA" w14:textId="77777777" w:rsidR="001A5A73" w:rsidRPr="00650E40" w:rsidRDefault="001A5A73"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D</w:t>
            </w:r>
          </w:p>
        </w:tc>
        <w:tc>
          <w:tcPr>
            <w:tcW w:w="6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66AF4F" w14:textId="77777777" w:rsidR="001A5A73" w:rsidRPr="00650E40" w:rsidRDefault="001A5A73"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Auxiliaires</w:t>
            </w:r>
          </w:p>
        </w:tc>
        <w:tc>
          <w:tcPr>
            <w:tcW w:w="44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60215E" w14:textId="77777777" w:rsidR="001A5A73" w:rsidRPr="00650E40" w:rsidRDefault="001A5A73"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Total</w:t>
            </w:r>
          </w:p>
        </w:tc>
        <w:tc>
          <w:tcPr>
            <w:tcW w:w="35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ED11C6" w14:textId="77777777" w:rsidR="001A5A73" w:rsidRPr="00650E40" w:rsidRDefault="001A5A73"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w:t>
            </w:r>
          </w:p>
        </w:tc>
      </w:tr>
      <w:tr w:rsidR="001A5A73" w:rsidRPr="00650E40" w14:paraId="4A32B01D" w14:textId="77777777" w:rsidTr="009E3565">
        <w:tc>
          <w:tcPr>
            <w:tcW w:w="1451" w:type="pct"/>
            <w:tcBorders>
              <w:top w:val="nil"/>
              <w:left w:val="single" w:sz="4" w:space="0" w:color="auto"/>
              <w:bottom w:val="single" w:sz="4" w:space="0" w:color="auto"/>
              <w:right w:val="single" w:sz="4" w:space="0" w:color="auto"/>
            </w:tcBorders>
            <w:shd w:val="clear" w:color="auto" w:fill="auto"/>
            <w:noWrap/>
            <w:vAlign w:val="center"/>
            <w:hideMark/>
          </w:tcPr>
          <w:p w14:paraId="40A740A7" w14:textId="77777777" w:rsidR="001A5A73" w:rsidRPr="00650E40" w:rsidRDefault="001A5A73"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Cabinet et SG</w:t>
            </w:r>
          </w:p>
        </w:tc>
        <w:tc>
          <w:tcPr>
            <w:tcW w:w="481" w:type="pct"/>
            <w:tcBorders>
              <w:top w:val="nil"/>
              <w:left w:val="nil"/>
              <w:bottom w:val="single" w:sz="4" w:space="0" w:color="auto"/>
              <w:right w:val="single" w:sz="4" w:space="0" w:color="auto"/>
            </w:tcBorders>
            <w:shd w:val="clear" w:color="auto" w:fill="auto"/>
            <w:noWrap/>
            <w:vAlign w:val="center"/>
            <w:hideMark/>
          </w:tcPr>
          <w:p w14:paraId="6B680BC0"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20</w:t>
            </w:r>
          </w:p>
        </w:tc>
        <w:tc>
          <w:tcPr>
            <w:tcW w:w="475" w:type="pct"/>
            <w:tcBorders>
              <w:top w:val="nil"/>
              <w:left w:val="nil"/>
              <w:bottom w:val="single" w:sz="4" w:space="0" w:color="auto"/>
              <w:right w:val="single" w:sz="4" w:space="0" w:color="auto"/>
            </w:tcBorders>
            <w:shd w:val="clear" w:color="auto" w:fill="auto"/>
            <w:noWrap/>
            <w:vAlign w:val="center"/>
            <w:hideMark/>
          </w:tcPr>
          <w:p w14:paraId="1197BC30"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3</w:t>
            </w:r>
          </w:p>
        </w:tc>
        <w:tc>
          <w:tcPr>
            <w:tcW w:w="631" w:type="pct"/>
            <w:tcBorders>
              <w:top w:val="nil"/>
              <w:left w:val="nil"/>
              <w:bottom w:val="single" w:sz="4" w:space="0" w:color="auto"/>
              <w:right w:val="single" w:sz="4" w:space="0" w:color="auto"/>
            </w:tcBorders>
            <w:shd w:val="clear" w:color="auto" w:fill="auto"/>
            <w:noWrap/>
            <w:vAlign w:val="center"/>
            <w:hideMark/>
          </w:tcPr>
          <w:p w14:paraId="051B4599"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1</w:t>
            </w:r>
          </w:p>
        </w:tc>
        <w:tc>
          <w:tcPr>
            <w:tcW w:w="560" w:type="pct"/>
            <w:tcBorders>
              <w:top w:val="nil"/>
              <w:left w:val="nil"/>
              <w:bottom w:val="single" w:sz="4" w:space="0" w:color="auto"/>
              <w:right w:val="single" w:sz="4" w:space="0" w:color="auto"/>
            </w:tcBorders>
            <w:shd w:val="clear" w:color="auto" w:fill="auto"/>
            <w:noWrap/>
            <w:vAlign w:val="center"/>
            <w:hideMark/>
          </w:tcPr>
          <w:p w14:paraId="0249AEFD" w14:textId="77777777" w:rsidR="001A5A73" w:rsidRPr="00650E40" w:rsidRDefault="001A5A73" w:rsidP="00F12682">
            <w:pPr>
              <w:spacing w:after="0" w:line="240" w:lineRule="auto"/>
              <w:jc w:val="center"/>
              <w:rPr>
                <w:rFonts w:ascii="Calibri" w:eastAsia="Times New Roman" w:hAnsi="Calibri" w:cs="Calibri"/>
                <w:lang w:eastAsia="fr-FR"/>
              </w:rPr>
            </w:pPr>
          </w:p>
        </w:tc>
        <w:tc>
          <w:tcPr>
            <w:tcW w:w="604" w:type="pct"/>
            <w:tcBorders>
              <w:top w:val="nil"/>
              <w:left w:val="nil"/>
              <w:bottom w:val="single" w:sz="4" w:space="0" w:color="auto"/>
              <w:right w:val="single" w:sz="4" w:space="0" w:color="auto"/>
            </w:tcBorders>
            <w:shd w:val="clear" w:color="auto" w:fill="auto"/>
            <w:noWrap/>
            <w:vAlign w:val="center"/>
            <w:hideMark/>
          </w:tcPr>
          <w:p w14:paraId="5FCAE06C"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17</w:t>
            </w:r>
          </w:p>
        </w:tc>
        <w:tc>
          <w:tcPr>
            <w:tcW w:w="447" w:type="pct"/>
            <w:tcBorders>
              <w:top w:val="nil"/>
              <w:left w:val="nil"/>
              <w:bottom w:val="single" w:sz="4" w:space="0" w:color="auto"/>
              <w:right w:val="single" w:sz="4" w:space="0" w:color="auto"/>
            </w:tcBorders>
            <w:shd w:val="clear" w:color="auto" w:fill="auto"/>
            <w:noWrap/>
            <w:vAlign w:val="center"/>
            <w:hideMark/>
          </w:tcPr>
          <w:p w14:paraId="05107824"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41</w:t>
            </w:r>
          </w:p>
        </w:tc>
        <w:tc>
          <w:tcPr>
            <w:tcW w:w="352" w:type="pct"/>
            <w:tcBorders>
              <w:top w:val="nil"/>
              <w:left w:val="nil"/>
              <w:bottom w:val="single" w:sz="4" w:space="0" w:color="auto"/>
              <w:right w:val="single" w:sz="4" w:space="0" w:color="auto"/>
            </w:tcBorders>
            <w:shd w:val="clear" w:color="auto" w:fill="auto"/>
            <w:noWrap/>
            <w:vAlign w:val="center"/>
            <w:hideMark/>
          </w:tcPr>
          <w:p w14:paraId="63DDAC95"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19%</w:t>
            </w:r>
          </w:p>
        </w:tc>
      </w:tr>
      <w:tr w:rsidR="001A5A73" w:rsidRPr="00650E40" w14:paraId="78E90174" w14:textId="77777777" w:rsidTr="009E3565">
        <w:tc>
          <w:tcPr>
            <w:tcW w:w="1451" w:type="pct"/>
            <w:tcBorders>
              <w:top w:val="nil"/>
              <w:left w:val="single" w:sz="4" w:space="0" w:color="auto"/>
              <w:bottom w:val="single" w:sz="4" w:space="0" w:color="auto"/>
              <w:right w:val="single" w:sz="4" w:space="0" w:color="auto"/>
            </w:tcBorders>
            <w:shd w:val="clear" w:color="auto" w:fill="auto"/>
            <w:noWrap/>
            <w:vAlign w:val="center"/>
            <w:hideMark/>
          </w:tcPr>
          <w:p w14:paraId="159B162A" w14:textId="77777777" w:rsidR="001A5A73" w:rsidRPr="00650E40" w:rsidRDefault="001A5A73"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Directions techniques</w:t>
            </w:r>
          </w:p>
        </w:tc>
        <w:tc>
          <w:tcPr>
            <w:tcW w:w="481" w:type="pct"/>
            <w:tcBorders>
              <w:top w:val="nil"/>
              <w:left w:val="nil"/>
              <w:bottom w:val="single" w:sz="4" w:space="0" w:color="auto"/>
              <w:right w:val="single" w:sz="4" w:space="0" w:color="auto"/>
            </w:tcBorders>
            <w:shd w:val="clear" w:color="auto" w:fill="auto"/>
            <w:noWrap/>
            <w:vAlign w:val="center"/>
            <w:hideMark/>
          </w:tcPr>
          <w:p w14:paraId="79AE03A0"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64</w:t>
            </w:r>
          </w:p>
        </w:tc>
        <w:tc>
          <w:tcPr>
            <w:tcW w:w="475" w:type="pct"/>
            <w:tcBorders>
              <w:top w:val="nil"/>
              <w:left w:val="nil"/>
              <w:bottom w:val="single" w:sz="4" w:space="0" w:color="auto"/>
              <w:right w:val="single" w:sz="4" w:space="0" w:color="auto"/>
            </w:tcBorders>
            <w:shd w:val="clear" w:color="auto" w:fill="auto"/>
            <w:noWrap/>
            <w:vAlign w:val="center"/>
            <w:hideMark/>
          </w:tcPr>
          <w:p w14:paraId="23CDFE13"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12</w:t>
            </w:r>
          </w:p>
        </w:tc>
        <w:tc>
          <w:tcPr>
            <w:tcW w:w="631" w:type="pct"/>
            <w:tcBorders>
              <w:top w:val="nil"/>
              <w:left w:val="nil"/>
              <w:bottom w:val="single" w:sz="4" w:space="0" w:color="auto"/>
              <w:right w:val="single" w:sz="4" w:space="0" w:color="auto"/>
            </w:tcBorders>
            <w:shd w:val="clear" w:color="auto" w:fill="auto"/>
            <w:noWrap/>
            <w:vAlign w:val="center"/>
            <w:hideMark/>
          </w:tcPr>
          <w:p w14:paraId="3098D693" w14:textId="77777777" w:rsidR="001A5A73" w:rsidRPr="00650E40" w:rsidRDefault="001A5A73" w:rsidP="00F12682">
            <w:pPr>
              <w:spacing w:after="0" w:line="240" w:lineRule="auto"/>
              <w:jc w:val="center"/>
              <w:rPr>
                <w:rFonts w:ascii="Calibri" w:eastAsia="Times New Roman" w:hAnsi="Calibri" w:cs="Calibri"/>
                <w:lang w:eastAsia="fr-FR"/>
              </w:rPr>
            </w:pPr>
          </w:p>
        </w:tc>
        <w:tc>
          <w:tcPr>
            <w:tcW w:w="560" w:type="pct"/>
            <w:tcBorders>
              <w:top w:val="nil"/>
              <w:left w:val="nil"/>
              <w:bottom w:val="single" w:sz="4" w:space="0" w:color="auto"/>
              <w:right w:val="single" w:sz="4" w:space="0" w:color="auto"/>
            </w:tcBorders>
            <w:shd w:val="clear" w:color="auto" w:fill="auto"/>
            <w:noWrap/>
            <w:vAlign w:val="center"/>
            <w:hideMark/>
          </w:tcPr>
          <w:p w14:paraId="726C9DAA" w14:textId="77777777" w:rsidR="001A5A73" w:rsidRPr="00650E40" w:rsidRDefault="001A5A73" w:rsidP="00F12682">
            <w:pPr>
              <w:spacing w:after="0" w:line="240" w:lineRule="auto"/>
              <w:jc w:val="center"/>
              <w:rPr>
                <w:rFonts w:ascii="Calibri" w:eastAsia="Times New Roman" w:hAnsi="Calibri" w:cs="Calibri"/>
                <w:lang w:eastAsia="fr-FR"/>
              </w:rPr>
            </w:pPr>
          </w:p>
        </w:tc>
        <w:tc>
          <w:tcPr>
            <w:tcW w:w="604" w:type="pct"/>
            <w:tcBorders>
              <w:top w:val="nil"/>
              <w:left w:val="nil"/>
              <w:bottom w:val="single" w:sz="4" w:space="0" w:color="auto"/>
              <w:right w:val="single" w:sz="4" w:space="0" w:color="auto"/>
            </w:tcBorders>
            <w:shd w:val="clear" w:color="auto" w:fill="auto"/>
            <w:noWrap/>
            <w:vAlign w:val="center"/>
            <w:hideMark/>
          </w:tcPr>
          <w:p w14:paraId="4BE981E9"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28</w:t>
            </w:r>
          </w:p>
        </w:tc>
        <w:tc>
          <w:tcPr>
            <w:tcW w:w="447" w:type="pct"/>
            <w:tcBorders>
              <w:top w:val="nil"/>
              <w:left w:val="nil"/>
              <w:bottom w:val="single" w:sz="4" w:space="0" w:color="auto"/>
              <w:right w:val="single" w:sz="4" w:space="0" w:color="auto"/>
            </w:tcBorders>
            <w:shd w:val="clear" w:color="auto" w:fill="auto"/>
            <w:noWrap/>
            <w:vAlign w:val="center"/>
            <w:hideMark/>
          </w:tcPr>
          <w:p w14:paraId="5829AAEC"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104</w:t>
            </w:r>
          </w:p>
        </w:tc>
        <w:tc>
          <w:tcPr>
            <w:tcW w:w="352" w:type="pct"/>
            <w:tcBorders>
              <w:top w:val="nil"/>
              <w:left w:val="nil"/>
              <w:bottom w:val="single" w:sz="4" w:space="0" w:color="auto"/>
              <w:right w:val="single" w:sz="4" w:space="0" w:color="auto"/>
            </w:tcBorders>
            <w:shd w:val="clear" w:color="auto" w:fill="auto"/>
            <w:noWrap/>
            <w:vAlign w:val="center"/>
            <w:hideMark/>
          </w:tcPr>
          <w:p w14:paraId="518F136C"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49%</w:t>
            </w:r>
          </w:p>
        </w:tc>
      </w:tr>
      <w:tr w:rsidR="001A5A73" w:rsidRPr="00650E40" w14:paraId="3E229193" w14:textId="77777777" w:rsidTr="009E3565">
        <w:tc>
          <w:tcPr>
            <w:tcW w:w="1451" w:type="pct"/>
            <w:tcBorders>
              <w:top w:val="nil"/>
              <w:left w:val="single" w:sz="4" w:space="0" w:color="auto"/>
              <w:bottom w:val="single" w:sz="4" w:space="0" w:color="auto"/>
              <w:right w:val="single" w:sz="4" w:space="0" w:color="auto"/>
            </w:tcBorders>
            <w:shd w:val="clear" w:color="auto" w:fill="auto"/>
            <w:noWrap/>
            <w:vAlign w:val="center"/>
            <w:hideMark/>
          </w:tcPr>
          <w:p w14:paraId="1DE9BC93" w14:textId="77777777" w:rsidR="001A5A73" w:rsidRPr="00650E40" w:rsidRDefault="001A5A73"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Directions régionales</w:t>
            </w:r>
          </w:p>
        </w:tc>
        <w:tc>
          <w:tcPr>
            <w:tcW w:w="481" w:type="pct"/>
            <w:tcBorders>
              <w:top w:val="nil"/>
              <w:left w:val="nil"/>
              <w:bottom w:val="single" w:sz="4" w:space="0" w:color="auto"/>
              <w:right w:val="single" w:sz="4" w:space="0" w:color="auto"/>
            </w:tcBorders>
            <w:shd w:val="clear" w:color="auto" w:fill="auto"/>
            <w:noWrap/>
            <w:vAlign w:val="center"/>
            <w:hideMark/>
          </w:tcPr>
          <w:p w14:paraId="2AF40994"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35</w:t>
            </w:r>
          </w:p>
        </w:tc>
        <w:tc>
          <w:tcPr>
            <w:tcW w:w="475" w:type="pct"/>
            <w:tcBorders>
              <w:top w:val="nil"/>
              <w:left w:val="nil"/>
              <w:bottom w:val="single" w:sz="4" w:space="0" w:color="auto"/>
              <w:right w:val="single" w:sz="4" w:space="0" w:color="auto"/>
            </w:tcBorders>
            <w:shd w:val="clear" w:color="auto" w:fill="auto"/>
            <w:noWrap/>
            <w:vAlign w:val="center"/>
            <w:hideMark/>
          </w:tcPr>
          <w:p w14:paraId="6F2032C0"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5</w:t>
            </w:r>
          </w:p>
        </w:tc>
        <w:tc>
          <w:tcPr>
            <w:tcW w:w="631" w:type="pct"/>
            <w:tcBorders>
              <w:top w:val="nil"/>
              <w:left w:val="nil"/>
              <w:bottom w:val="single" w:sz="4" w:space="0" w:color="auto"/>
              <w:right w:val="single" w:sz="4" w:space="0" w:color="auto"/>
            </w:tcBorders>
            <w:shd w:val="clear" w:color="auto" w:fill="auto"/>
            <w:noWrap/>
            <w:vAlign w:val="center"/>
            <w:hideMark/>
          </w:tcPr>
          <w:p w14:paraId="4147F499"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2</w:t>
            </w:r>
          </w:p>
        </w:tc>
        <w:tc>
          <w:tcPr>
            <w:tcW w:w="560" w:type="pct"/>
            <w:tcBorders>
              <w:top w:val="nil"/>
              <w:left w:val="nil"/>
              <w:bottom w:val="single" w:sz="4" w:space="0" w:color="auto"/>
              <w:right w:val="single" w:sz="4" w:space="0" w:color="auto"/>
            </w:tcBorders>
            <w:shd w:val="clear" w:color="auto" w:fill="auto"/>
            <w:noWrap/>
            <w:vAlign w:val="center"/>
            <w:hideMark/>
          </w:tcPr>
          <w:p w14:paraId="007F6D60" w14:textId="77777777" w:rsidR="001A5A73" w:rsidRPr="00650E40" w:rsidRDefault="001A5A73" w:rsidP="00F12682">
            <w:pPr>
              <w:spacing w:after="0" w:line="240" w:lineRule="auto"/>
              <w:jc w:val="center"/>
              <w:rPr>
                <w:rFonts w:ascii="Calibri" w:eastAsia="Times New Roman" w:hAnsi="Calibri" w:cs="Calibri"/>
                <w:lang w:eastAsia="fr-FR"/>
              </w:rPr>
            </w:pPr>
          </w:p>
        </w:tc>
        <w:tc>
          <w:tcPr>
            <w:tcW w:w="604" w:type="pct"/>
            <w:tcBorders>
              <w:top w:val="nil"/>
              <w:left w:val="nil"/>
              <w:bottom w:val="single" w:sz="4" w:space="0" w:color="auto"/>
              <w:right w:val="single" w:sz="4" w:space="0" w:color="auto"/>
            </w:tcBorders>
            <w:shd w:val="clear" w:color="auto" w:fill="auto"/>
            <w:noWrap/>
            <w:vAlign w:val="center"/>
            <w:hideMark/>
          </w:tcPr>
          <w:p w14:paraId="33939C8B"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25</w:t>
            </w:r>
          </w:p>
        </w:tc>
        <w:tc>
          <w:tcPr>
            <w:tcW w:w="447" w:type="pct"/>
            <w:tcBorders>
              <w:top w:val="nil"/>
              <w:left w:val="nil"/>
              <w:bottom w:val="single" w:sz="4" w:space="0" w:color="auto"/>
              <w:right w:val="single" w:sz="4" w:space="0" w:color="auto"/>
            </w:tcBorders>
            <w:shd w:val="clear" w:color="auto" w:fill="auto"/>
            <w:noWrap/>
            <w:vAlign w:val="center"/>
            <w:hideMark/>
          </w:tcPr>
          <w:p w14:paraId="40E961D4"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67</w:t>
            </w:r>
          </w:p>
        </w:tc>
        <w:tc>
          <w:tcPr>
            <w:tcW w:w="352" w:type="pct"/>
            <w:tcBorders>
              <w:top w:val="nil"/>
              <w:left w:val="nil"/>
              <w:bottom w:val="single" w:sz="4" w:space="0" w:color="auto"/>
              <w:right w:val="single" w:sz="4" w:space="0" w:color="auto"/>
            </w:tcBorders>
            <w:shd w:val="clear" w:color="auto" w:fill="auto"/>
            <w:noWrap/>
            <w:vAlign w:val="center"/>
            <w:hideMark/>
          </w:tcPr>
          <w:p w14:paraId="545AE57B"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32%</w:t>
            </w:r>
          </w:p>
        </w:tc>
      </w:tr>
      <w:tr w:rsidR="001A5A73" w:rsidRPr="00650E40" w14:paraId="26FB7FA9" w14:textId="77777777" w:rsidTr="009E3565">
        <w:tc>
          <w:tcPr>
            <w:tcW w:w="1451" w:type="pct"/>
            <w:tcBorders>
              <w:top w:val="nil"/>
              <w:left w:val="single" w:sz="4" w:space="0" w:color="auto"/>
              <w:bottom w:val="single" w:sz="4" w:space="0" w:color="auto"/>
              <w:right w:val="single" w:sz="4" w:space="0" w:color="auto"/>
            </w:tcBorders>
            <w:shd w:val="clear" w:color="auto" w:fill="auto"/>
            <w:noWrap/>
            <w:vAlign w:val="center"/>
            <w:hideMark/>
          </w:tcPr>
          <w:p w14:paraId="4F3791D6" w14:textId="77777777" w:rsidR="001A5A73" w:rsidRPr="00650E40" w:rsidRDefault="001A5A73"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Directions départementales</w:t>
            </w:r>
          </w:p>
        </w:tc>
        <w:tc>
          <w:tcPr>
            <w:tcW w:w="481" w:type="pct"/>
            <w:tcBorders>
              <w:top w:val="nil"/>
              <w:left w:val="nil"/>
              <w:bottom w:val="single" w:sz="4" w:space="0" w:color="auto"/>
              <w:right w:val="single" w:sz="4" w:space="0" w:color="auto"/>
            </w:tcBorders>
            <w:shd w:val="clear" w:color="auto" w:fill="auto"/>
            <w:noWrap/>
            <w:vAlign w:val="center"/>
            <w:hideMark/>
          </w:tcPr>
          <w:p w14:paraId="21E2ABFD" w14:textId="77777777" w:rsidR="001A5A73" w:rsidRPr="00650E40" w:rsidRDefault="001A5A73" w:rsidP="00F12682">
            <w:pPr>
              <w:spacing w:after="0" w:line="240" w:lineRule="auto"/>
              <w:jc w:val="center"/>
              <w:rPr>
                <w:rFonts w:ascii="Calibri" w:eastAsia="Times New Roman" w:hAnsi="Calibri" w:cs="Calibri"/>
                <w:lang w:eastAsia="fr-FR"/>
              </w:rPr>
            </w:pPr>
          </w:p>
        </w:tc>
        <w:tc>
          <w:tcPr>
            <w:tcW w:w="475" w:type="pct"/>
            <w:tcBorders>
              <w:top w:val="nil"/>
              <w:left w:val="nil"/>
              <w:bottom w:val="single" w:sz="4" w:space="0" w:color="auto"/>
              <w:right w:val="single" w:sz="4" w:space="0" w:color="auto"/>
            </w:tcBorders>
            <w:shd w:val="clear" w:color="auto" w:fill="auto"/>
            <w:noWrap/>
            <w:vAlign w:val="center"/>
            <w:hideMark/>
          </w:tcPr>
          <w:p w14:paraId="0FECDC4F" w14:textId="77777777" w:rsidR="001A5A73" w:rsidRPr="00650E40" w:rsidRDefault="001A5A73" w:rsidP="00F12682">
            <w:pPr>
              <w:spacing w:after="0" w:line="240" w:lineRule="auto"/>
              <w:jc w:val="center"/>
              <w:rPr>
                <w:rFonts w:ascii="Calibri" w:eastAsia="Times New Roman" w:hAnsi="Calibri" w:cs="Calibri"/>
                <w:lang w:eastAsia="fr-FR"/>
              </w:rPr>
            </w:pPr>
          </w:p>
        </w:tc>
        <w:tc>
          <w:tcPr>
            <w:tcW w:w="631" w:type="pct"/>
            <w:tcBorders>
              <w:top w:val="nil"/>
              <w:left w:val="nil"/>
              <w:bottom w:val="single" w:sz="4" w:space="0" w:color="auto"/>
              <w:right w:val="single" w:sz="4" w:space="0" w:color="auto"/>
            </w:tcBorders>
            <w:shd w:val="clear" w:color="auto" w:fill="auto"/>
            <w:noWrap/>
            <w:vAlign w:val="center"/>
            <w:hideMark/>
          </w:tcPr>
          <w:p w14:paraId="0CCC7C8C" w14:textId="77777777" w:rsidR="001A5A73" w:rsidRPr="00650E40" w:rsidRDefault="001A5A73" w:rsidP="00F12682">
            <w:pPr>
              <w:spacing w:after="0" w:line="240" w:lineRule="auto"/>
              <w:jc w:val="center"/>
              <w:rPr>
                <w:rFonts w:ascii="Calibri" w:eastAsia="Times New Roman" w:hAnsi="Calibri" w:cs="Calibri"/>
                <w:lang w:eastAsia="fr-FR"/>
              </w:rPr>
            </w:pPr>
          </w:p>
        </w:tc>
        <w:tc>
          <w:tcPr>
            <w:tcW w:w="560" w:type="pct"/>
            <w:tcBorders>
              <w:top w:val="nil"/>
              <w:left w:val="nil"/>
              <w:bottom w:val="single" w:sz="4" w:space="0" w:color="auto"/>
              <w:right w:val="single" w:sz="4" w:space="0" w:color="auto"/>
            </w:tcBorders>
            <w:shd w:val="clear" w:color="auto" w:fill="auto"/>
            <w:noWrap/>
            <w:vAlign w:val="center"/>
            <w:hideMark/>
          </w:tcPr>
          <w:p w14:paraId="1BD2C308" w14:textId="77777777" w:rsidR="001A5A73" w:rsidRPr="00650E40" w:rsidRDefault="001A5A73" w:rsidP="00F12682">
            <w:pPr>
              <w:spacing w:after="0" w:line="240" w:lineRule="auto"/>
              <w:jc w:val="center"/>
              <w:rPr>
                <w:rFonts w:ascii="Calibri" w:eastAsia="Times New Roman" w:hAnsi="Calibri" w:cs="Calibri"/>
                <w:lang w:eastAsia="fr-FR"/>
              </w:rPr>
            </w:pPr>
          </w:p>
        </w:tc>
        <w:tc>
          <w:tcPr>
            <w:tcW w:w="604" w:type="pct"/>
            <w:tcBorders>
              <w:top w:val="nil"/>
              <w:left w:val="nil"/>
              <w:bottom w:val="single" w:sz="4" w:space="0" w:color="auto"/>
              <w:right w:val="single" w:sz="4" w:space="0" w:color="auto"/>
            </w:tcBorders>
            <w:shd w:val="clear" w:color="auto" w:fill="auto"/>
            <w:noWrap/>
            <w:vAlign w:val="center"/>
            <w:hideMark/>
          </w:tcPr>
          <w:p w14:paraId="7F90B7E9" w14:textId="77777777" w:rsidR="001A5A73" w:rsidRPr="00650E40" w:rsidRDefault="001A5A73" w:rsidP="00F12682">
            <w:pPr>
              <w:spacing w:after="0" w:line="240" w:lineRule="auto"/>
              <w:jc w:val="center"/>
              <w:rPr>
                <w:rFonts w:ascii="Calibri" w:eastAsia="Times New Roman" w:hAnsi="Calibri" w:cs="Calibri"/>
                <w:lang w:eastAsia="fr-FR"/>
              </w:rPr>
            </w:pPr>
          </w:p>
        </w:tc>
        <w:tc>
          <w:tcPr>
            <w:tcW w:w="447" w:type="pct"/>
            <w:tcBorders>
              <w:top w:val="nil"/>
              <w:left w:val="nil"/>
              <w:bottom w:val="single" w:sz="4" w:space="0" w:color="auto"/>
              <w:right w:val="single" w:sz="4" w:space="0" w:color="auto"/>
            </w:tcBorders>
            <w:shd w:val="clear" w:color="auto" w:fill="auto"/>
            <w:noWrap/>
            <w:vAlign w:val="center"/>
            <w:hideMark/>
          </w:tcPr>
          <w:p w14:paraId="6DEC53B6"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w:t>
            </w:r>
          </w:p>
        </w:tc>
        <w:tc>
          <w:tcPr>
            <w:tcW w:w="352" w:type="pct"/>
            <w:tcBorders>
              <w:top w:val="nil"/>
              <w:left w:val="nil"/>
              <w:bottom w:val="single" w:sz="4" w:space="0" w:color="auto"/>
              <w:right w:val="single" w:sz="4" w:space="0" w:color="auto"/>
            </w:tcBorders>
            <w:shd w:val="clear" w:color="auto" w:fill="auto"/>
            <w:noWrap/>
            <w:vAlign w:val="center"/>
            <w:hideMark/>
          </w:tcPr>
          <w:p w14:paraId="1E5466E1"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0%</w:t>
            </w:r>
          </w:p>
        </w:tc>
      </w:tr>
      <w:tr w:rsidR="001A5A73" w:rsidRPr="00650E40" w14:paraId="705A9D28" w14:textId="77777777" w:rsidTr="009E3565">
        <w:tc>
          <w:tcPr>
            <w:tcW w:w="1451" w:type="pct"/>
            <w:tcBorders>
              <w:top w:val="nil"/>
              <w:left w:val="single" w:sz="4" w:space="0" w:color="auto"/>
              <w:bottom w:val="single" w:sz="4" w:space="0" w:color="auto"/>
              <w:right w:val="single" w:sz="4" w:space="0" w:color="auto"/>
            </w:tcBorders>
            <w:shd w:val="clear" w:color="auto" w:fill="auto"/>
            <w:noWrap/>
            <w:vAlign w:val="center"/>
            <w:hideMark/>
          </w:tcPr>
          <w:p w14:paraId="195D3988" w14:textId="77777777" w:rsidR="001A5A73" w:rsidRPr="00650E40" w:rsidRDefault="001A5A73"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Services communaux</w:t>
            </w:r>
          </w:p>
        </w:tc>
        <w:tc>
          <w:tcPr>
            <w:tcW w:w="481" w:type="pct"/>
            <w:tcBorders>
              <w:top w:val="nil"/>
              <w:left w:val="nil"/>
              <w:bottom w:val="single" w:sz="4" w:space="0" w:color="auto"/>
              <w:right w:val="single" w:sz="4" w:space="0" w:color="auto"/>
            </w:tcBorders>
            <w:shd w:val="clear" w:color="auto" w:fill="auto"/>
            <w:noWrap/>
            <w:vAlign w:val="center"/>
            <w:hideMark/>
          </w:tcPr>
          <w:p w14:paraId="2874E6A8" w14:textId="77777777" w:rsidR="001A5A73" w:rsidRPr="00650E40" w:rsidRDefault="001A5A73" w:rsidP="00F12682">
            <w:pPr>
              <w:spacing w:after="0" w:line="240" w:lineRule="auto"/>
              <w:jc w:val="center"/>
              <w:rPr>
                <w:rFonts w:ascii="Calibri" w:eastAsia="Times New Roman" w:hAnsi="Calibri" w:cs="Calibri"/>
                <w:lang w:eastAsia="fr-FR"/>
              </w:rPr>
            </w:pPr>
          </w:p>
        </w:tc>
        <w:tc>
          <w:tcPr>
            <w:tcW w:w="475" w:type="pct"/>
            <w:tcBorders>
              <w:top w:val="nil"/>
              <w:left w:val="nil"/>
              <w:bottom w:val="single" w:sz="4" w:space="0" w:color="auto"/>
              <w:right w:val="single" w:sz="4" w:space="0" w:color="auto"/>
            </w:tcBorders>
            <w:shd w:val="clear" w:color="auto" w:fill="auto"/>
            <w:noWrap/>
            <w:vAlign w:val="center"/>
            <w:hideMark/>
          </w:tcPr>
          <w:p w14:paraId="27C1831D" w14:textId="77777777" w:rsidR="001A5A73" w:rsidRPr="00650E40" w:rsidRDefault="001A5A73" w:rsidP="00F12682">
            <w:pPr>
              <w:spacing w:after="0" w:line="240" w:lineRule="auto"/>
              <w:jc w:val="center"/>
              <w:rPr>
                <w:rFonts w:ascii="Calibri" w:eastAsia="Times New Roman" w:hAnsi="Calibri" w:cs="Calibri"/>
                <w:lang w:eastAsia="fr-FR"/>
              </w:rPr>
            </w:pPr>
          </w:p>
        </w:tc>
        <w:tc>
          <w:tcPr>
            <w:tcW w:w="631" w:type="pct"/>
            <w:tcBorders>
              <w:top w:val="nil"/>
              <w:left w:val="nil"/>
              <w:bottom w:val="single" w:sz="4" w:space="0" w:color="auto"/>
              <w:right w:val="single" w:sz="4" w:space="0" w:color="auto"/>
            </w:tcBorders>
            <w:shd w:val="clear" w:color="auto" w:fill="auto"/>
            <w:noWrap/>
            <w:vAlign w:val="center"/>
            <w:hideMark/>
          </w:tcPr>
          <w:p w14:paraId="45CFBF55" w14:textId="77777777" w:rsidR="001A5A73" w:rsidRPr="00650E40" w:rsidRDefault="001A5A73" w:rsidP="00F12682">
            <w:pPr>
              <w:spacing w:after="0" w:line="240" w:lineRule="auto"/>
              <w:jc w:val="center"/>
              <w:rPr>
                <w:rFonts w:ascii="Calibri" w:eastAsia="Times New Roman" w:hAnsi="Calibri" w:cs="Calibri"/>
                <w:lang w:eastAsia="fr-FR"/>
              </w:rPr>
            </w:pPr>
          </w:p>
        </w:tc>
        <w:tc>
          <w:tcPr>
            <w:tcW w:w="560" w:type="pct"/>
            <w:tcBorders>
              <w:top w:val="nil"/>
              <w:left w:val="nil"/>
              <w:bottom w:val="single" w:sz="4" w:space="0" w:color="auto"/>
              <w:right w:val="single" w:sz="4" w:space="0" w:color="auto"/>
            </w:tcBorders>
            <w:shd w:val="clear" w:color="auto" w:fill="auto"/>
            <w:noWrap/>
            <w:vAlign w:val="center"/>
            <w:hideMark/>
          </w:tcPr>
          <w:p w14:paraId="4DEC0AE0" w14:textId="77777777" w:rsidR="001A5A73" w:rsidRPr="00650E40" w:rsidRDefault="001A5A73" w:rsidP="00F12682">
            <w:pPr>
              <w:spacing w:after="0" w:line="240" w:lineRule="auto"/>
              <w:jc w:val="center"/>
              <w:rPr>
                <w:rFonts w:ascii="Calibri" w:eastAsia="Times New Roman" w:hAnsi="Calibri" w:cs="Calibri"/>
                <w:lang w:eastAsia="fr-FR"/>
              </w:rPr>
            </w:pPr>
          </w:p>
        </w:tc>
        <w:tc>
          <w:tcPr>
            <w:tcW w:w="604" w:type="pct"/>
            <w:tcBorders>
              <w:top w:val="nil"/>
              <w:left w:val="nil"/>
              <w:bottom w:val="single" w:sz="4" w:space="0" w:color="auto"/>
              <w:right w:val="single" w:sz="4" w:space="0" w:color="auto"/>
            </w:tcBorders>
            <w:shd w:val="clear" w:color="auto" w:fill="auto"/>
            <w:noWrap/>
            <w:vAlign w:val="center"/>
            <w:hideMark/>
          </w:tcPr>
          <w:p w14:paraId="736A1BE6" w14:textId="77777777" w:rsidR="001A5A73" w:rsidRPr="00650E40" w:rsidRDefault="001A5A73" w:rsidP="00F12682">
            <w:pPr>
              <w:spacing w:after="0" w:line="240" w:lineRule="auto"/>
              <w:jc w:val="center"/>
              <w:rPr>
                <w:rFonts w:ascii="Calibri" w:eastAsia="Times New Roman" w:hAnsi="Calibri" w:cs="Calibri"/>
                <w:lang w:eastAsia="fr-FR"/>
              </w:rPr>
            </w:pPr>
          </w:p>
        </w:tc>
        <w:tc>
          <w:tcPr>
            <w:tcW w:w="447" w:type="pct"/>
            <w:tcBorders>
              <w:top w:val="nil"/>
              <w:left w:val="nil"/>
              <w:bottom w:val="single" w:sz="4" w:space="0" w:color="auto"/>
              <w:right w:val="single" w:sz="4" w:space="0" w:color="auto"/>
            </w:tcBorders>
            <w:shd w:val="clear" w:color="auto" w:fill="auto"/>
            <w:noWrap/>
            <w:vAlign w:val="center"/>
            <w:hideMark/>
          </w:tcPr>
          <w:p w14:paraId="48BD2F4E"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w:t>
            </w:r>
          </w:p>
        </w:tc>
        <w:tc>
          <w:tcPr>
            <w:tcW w:w="352" w:type="pct"/>
            <w:tcBorders>
              <w:top w:val="nil"/>
              <w:left w:val="nil"/>
              <w:bottom w:val="single" w:sz="4" w:space="0" w:color="auto"/>
              <w:right w:val="single" w:sz="4" w:space="0" w:color="auto"/>
            </w:tcBorders>
            <w:shd w:val="clear" w:color="auto" w:fill="auto"/>
            <w:noWrap/>
            <w:vAlign w:val="center"/>
            <w:hideMark/>
          </w:tcPr>
          <w:p w14:paraId="1CCC9AC8"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0%</w:t>
            </w:r>
          </w:p>
        </w:tc>
      </w:tr>
      <w:tr w:rsidR="001A5A73" w:rsidRPr="00650E40" w14:paraId="4EB6A66D" w14:textId="77777777" w:rsidTr="009E3565">
        <w:tc>
          <w:tcPr>
            <w:tcW w:w="1451" w:type="pct"/>
            <w:tcBorders>
              <w:top w:val="nil"/>
              <w:left w:val="single" w:sz="4" w:space="0" w:color="auto"/>
              <w:bottom w:val="single" w:sz="4" w:space="0" w:color="auto"/>
              <w:right w:val="single" w:sz="4" w:space="0" w:color="auto"/>
            </w:tcBorders>
            <w:shd w:val="clear" w:color="auto" w:fill="auto"/>
            <w:noWrap/>
            <w:vAlign w:val="center"/>
            <w:hideMark/>
          </w:tcPr>
          <w:p w14:paraId="5F4BF1B4" w14:textId="77777777" w:rsidR="001A5A73" w:rsidRPr="00650E40" w:rsidRDefault="001A5A73"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Services rattachés</w:t>
            </w:r>
          </w:p>
        </w:tc>
        <w:tc>
          <w:tcPr>
            <w:tcW w:w="481" w:type="pct"/>
            <w:tcBorders>
              <w:top w:val="nil"/>
              <w:left w:val="nil"/>
              <w:bottom w:val="single" w:sz="4" w:space="0" w:color="auto"/>
              <w:right w:val="single" w:sz="4" w:space="0" w:color="auto"/>
            </w:tcBorders>
            <w:shd w:val="clear" w:color="auto" w:fill="auto"/>
            <w:noWrap/>
            <w:vAlign w:val="center"/>
            <w:hideMark/>
          </w:tcPr>
          <w:p w14:paraId="7F846F10" w14:textId="77777777" w:rsidR="001A5A73" w:rsidRPr="00650E40" w:rsidRDefault="001A5A73" w:rsidP="00F12682">
            <w:pPr>
              <w:spacing w:after="0" w:line="240" w:lineRule="auto"/>
              <w:jc w:val="center"/>
              <w:rPr>
                <w:rFonts w:ascii="Calibri" w:eastAsia="Times New Roman" w:hAnsi="Calibri" w:cs="Calibri"/>
                <w:lang w:eastAsia="fr-FR"/>
              </w:rPr>
            </w:pPr>
          </w:p>
        </w:tc>
        <w:tc>
          <w:tcPr>
            <w:tcW w:w="475" w:type="pct"/>
            <w:tcBorders>
              <w:top w:val="nil"/>
              <w:left w:val="nil"/>
              <w:bottom w:val="single" w:sz="4" w:space="0" w:color="auto"/>
              <w:right w:val="single" w:sz="4" w:space="0" w:color="auto"/>
            </w:tcBorders>
            <w:shd w:val="clear" w:color="auto" w:fill="auto"/>
            <w:noWrap/>
            <w:vAlign w:val="center"/>
            <w:hideMark/>
          </w:tcPr>
          <w:p w14:paraId="16A5AF80" w14:textId="77777777" w:rsidR="001A5A73" w:rsidRPr="00650E40" w:rsidRDefault="001A5A73" w:rsidP="00F12682">
            <w:pPr>
              <w:spacing w:after="0" w:line="240" w:lineRule="auto"/>
              <w:jc w:val="center"/>
              <w:rPr>
                <w:rFonts w:ascii="Calibri" w:eastAsia="Times New Roman" w:hAnsi="Calibri" w:cs="Calibri"/>
                <w:lang w:eastAsia="fr-FR"/>
              </w:rPr>
            </w:pPr>
          </w:p>
        </w:tc>
        <w:tc>
          <w:tcPr>
            <w:tcW w:w="631" w:type="pct"/>
            <w:tcBorders>
              <w:top w:val="nil"/>
              <w:left w:val="nil"/>
              <w:bottom w:val="single" w:sz="4" w:space="0" w:color="auto"/>
              <w:right w:val="single" w:sz="4" w:space="0" w:color="auto"/>
            </w:tcBorders>
            <w:shd w:val="clear" w:color="auto" w:fill="auto"/>
            <w:noWrap/>
            <w:vAlign w:val="center"/>
            <w:hideMark/>
          </w:tcPr>
          <w:p w14:paraId="6D4A908C" w14:textId="77777777" w:rsidR="001A5A73" w:rsidRPr="00650E40" w:rsidRDefault="001A5A73" w:rsidP="00F12682">
            <w:pPr>
              <w:spacing w:after="0" w:line="240" w:lineRule="auto"/>
              <w:jc w:val="center"/>
              <w:rPr>
                <w:rFonts w:ascii="Calibri" w:eastAsia="Times New Roman" w:hAnsi="Calibri" w:cs="Calibri"/>
                <w:lang w:eastAsia="fr-FR"/>
              </w:rPr>
            </w:pPr>
          </w:p>
        </w:tc>
        <w:tc>
          <w:tcPr>
            <w:tcW w:w="560" w:type="pct"/>
            <w:tcBorders>
              <w:top w:val="nil"/>
              <w:left w:val="nil"/>
              <w:bottom w:val="single" w:sz="4" w:space="0" w:color="auto"/>
              <w:right w:val="single" w:sz="4" w:space="0" w:color="auto"/>
            </w:tcBorders>
            <w:shd w:val="clear" w:color="auto" w:fill="auto"/>
            <w:noWrap/>
            <w:vAlign w:val="center"/>
            <w:hideMark/>
          </w:tcPr>
          <w:p w14:paraId="60983CE6" w14:textId="77777777" w:rsidR="001A5A73" w:rsidRPr="00650E40" w:rsidRDefault="001A5A73" w:rsidP="00F12682">
            <w:pPr>
              <w:spacing w:after="0" w:line="240" w:lineRule="auto"/>
              <w:jc w:val="center"/>
              <w:rPr>
                <w:rFonts w:ascii="Calibri" w:eastAsia="Times New Roman" w:hAnsi="Calibri" w:cs="Calibri"/>
                <w:lang w:eastAsia="fr-FR"/>
              </w:rPr>
            </w:pPr>
          </w:p>
        </w:tc>
        <w:tc>
          <w:tcPr>
            <w:tcW w:w="604" w:type="pct"/>
            <w:tcBorders>
              <w:top w:val="nil"/>
              <w:left w:val="nil"/>
              <w:bottom w:val="single" w:sz="4" w:space="0" w:color="auto"/>
              <w:right w:val="single" w:sz="4" w:space="0" w:color="auto"/>
            </w:tcBorders>
            <w:shd w:val="clear" w:color="auto" w:fill="auto"/>
            <w:noWrap/>
            <w:vAlign w:val="center"/>
            <w:hideMark/>
          </w:tcPr>
          <w:p w14:paraId="4B652F14" w14:textId="77777777" w:rsidR="001A5A73" w:rsidRPr="00650E40" w:rsidRDefault="001A5A73" w:rsidP="00F12682">
            <w:pPr>
              <w:spacing w:after="0" w:line="240" w:lineRule="auto"/>
              <w:jc w:val="center"/>
              <w:rPr>
                <w:rFonts w:ascii="Calibri" w:eastAsia="Times New Roman" w:hAnsi="Calibri" w:cs="Calibri"/>
                <w:lang w:eastAsia="fr-FR"/>
              </w:rPr>
            </w:pPr>
          </w:p>
        </w:tc>
        <w:tc>
          <w:tcPr>
            <w:tcW w:w="447" w:type="pct"/>
            <w:tcBorders>
              <w:top w:val="nil"/>
              <w:left w:val="nil"/>
              <w:bottom w:val="single" w:sz="4" w:space="0" w:color="auto"/>
              <w:right w:val="single" w:sz="4" w:space="0" w:color="auto"/>
            </w:tcBorders>
            <w:shd w:val="clear" w:color="auto" w:fill="auto"/>
            <w:noWrap/>
            <w:vAlign w:val="center"/>
            <w:hideMark/>
          </w:tcPr>
          <w:p w14:paraId="03CBDED9"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w:t>
            </w:r>
          </w:p>
        </w:tc>
        <w:tc>
          <w:tcPr>
            <w:tcW w:w="352" w:type="pct"/>
            <w:tcBorders>
              <w:top w:val="nil"/>
              <w:left w:val="nil"/>
              <w:bottom w:val="single" w:sz="4" w:space="0" w:color="auto"/>
              <w:right w:val="single" w:sz="4" w:space="0" w:color="auto"/>
            </w:tcBorders>
            <w:shd w:val="clear" w:color="auto" w:fill="auto"/>
            <w:noWrap/>
            <w:vAlign w:val="center"/>
            <w:hideMark/>
          </w:tcPr>
          <w:p w14:paraId="3F30D05F"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0%</w:t>
            </w:r>
          </w:p>
        </w:tc>
      </w:tr>
      <w:tr w:rsidR="001A5A73" w:rsidRPr="00650E40" w14:paraId="274CCB19" w14:textId="77777777" w:rsidTr="009E3565">
        <w:tc>
          <w:tcPr>
            <w:tcW w:w="1451" w:type="pct"/>
            <w:tcBorders>
              <w:top w:val="nil"/>
              <w:left w:val="single" w:sz="4" w:space="0" w:color="auto"/>
              <w:bottom w:val="single" w:sz="4" w:space="0" w:color="auto"/>
              <w:right w:val="single" w:sz="4" w:space="0" w:color="auto"/>
            </w:tcBorders>
            <w:shd w:val="clear" w:color="auto" w:fill="auto"/>
            <w:noWrap/>
            <w:vAlign w:val="center"/>
            <w:hideMark/>
          </w:tcPr>
          <w:p w14:paraId="501B7C3D" w14:textId="77777777" w:rsidR="001A5A73" w:rsidRPr="00650E40" w:rsidRDefault="001A5A73"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Total</w:t>
            </w:r>
          </w:p>
        </w:tc>
        <w:tc>
          <w:tcPr>
            <w:tcW w:w="481" w:type="pct"/>
            <w:tcBorders>
              <w:top w:val="nil"/>
              <w:left w:val="nil"/>
              <w:bottom w:val="single" w:sz="4" w:space="0" w:color="auto"/>
              <w:right w:val="single" w:sz="4" w:space="0" w:color="auto"/>
            </w:tcBorders>
            <w:shd w:val="clear" w:color="auto" w:fill="auto"/>
            <w:noWrap/>
            <w:vAlign w:val="center"/>
            <w:hideMark/>
          </w:tcPr>
          <w:p w14:paraId="497A056E"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119</w:t>
            </w:r>
          </w:p>
        </w:tc>
        <w:tc>
          <w:tcPr>
            <w:tcW w:w="475" w:type="pct"/>
            <w:tcBorders>
              <w:top w:val="nil"/>
              <w:left w:val="nil"/>
              <w:bottom w:val="single" w:sz="4" w:space="0" w:color="auto"/>
              <w:right w:val="single" w:sz="4" w:space="0" w:color="auto"/>
            </w:tcBorders>
            <w:shd w:val="clear" w:color="auto" w:fill="auto"/>
            <w:noWrap/>
            <w:vAlign w:val="center"/>
            <w:hideMark/>
          </w:tcPr>
          <w:p w14:paraId="692F1B8F"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20</w:t>
            </w:r>
          </w:p>
        </w:tc>
        <w:tc>
          <w:tcPr>
            <w:tcW w:w="631" w:type="pct"/>
            <w:tcBorders>
              <w:top w:val="nil"/>
              <w:left w:val="nil"/>
              <w:bottom w:val="single" w:sz="4" w:space="0" w:color="auto"/>
              <w:right w:val="single" w:sz="4" w:space="0" w:color="auto"/>
            </w:tcBorders>
            <w:shd w:val="clear" w:color="auto" w:fill="auto"/>
            <w:noWrap/>
            <w:vAlign w:val="center"/>
            <w:hideMark/>
          </w:tcPr>
          <w:p w14:paraId="4F412B8B"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3</w:t>
            </w:r>
          </w:p>
        </w:tc>
        <w:tc>
          <w:tcPr>
            <w:tcW w:w="560" w:type="pct"/>
            <w:tcBorders>
              <w:top w:val="nil"/>
              <w:left w:val="nil"/>
              <w:bottom w:val="single" w:sz="4" w:space="0" w:color="auto"/>
              <w:right w:val="single" w:sz="4" w:space="0" w:color="auto"/>
            </w:tcBorders>
            <w:shd w:val="clear" w:color="auto" w:fill="auto"/>
            <w:noWrap/>
            <w:vAlign w:val="center"/>
            <w:hideMark/>
          </w:tcPr>
          <w:p w14:paraId="1230513C"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w:t>
            </w:r>
          </w:p>
        </w:tc>
        <w:tc>
          <w:tcPr>
            <w:tcW w:w="604" w:type="pct"/>
            <w:tcBorders>
              <w:top w:val="nil"/>
              <w:left w:val="nil"/>
              <w:bottom w:val="single" w:sz="4" w:space="0" w:color="auto"/>
              <w:right w:val="single" w:sz="4" w:space="0" w:color="auto"/>
            </w:tcBorders>
            <w:shd w:val="clear" w:color="auto" w:fill="auto"/>
            <w:noWrap/>
            <w:vAlign w:val="center"/>
            <w:hideMark/>
          </w:tcPr>
          <w:p w14:paraId="62A92730"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70</w:t>
            </w:r>
          </w:p>
        </w:tc>
        <w:tc>
          <w:tcPr>
            <w:tcW w:w="447" w:type="pct"/>
            <w:tcBorders>
              <w:top w:val="nil"/>
              <w:left w:val="nil"/>
              <w:bottom w:val="single" w:sz="4" w:space="0" w:color="auto"/>
              <w:right w:val="single" w:sz="4" w:space="0" w:color="auto"/>
            </w:tcBorders>
            <w:shd w:val="clear" w:color="auto" w:fill="auto"/>
            <w:noWrap/>
            <w:vAlign w:val="center"/>
            <w:hideMark/>
          </w:tcPr>
          <w:p w14:paraId="0E5145B7" w14:textId="77777777" w:rsidR="001A5A73" w:rsidRPr="00650E40" w:rsidRDefault="001A5A73"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212</w:t>
            </w:r>
          </w:p>
        </w:tc>
        <w:tc>
          <w:tcPr>
            <w:tcW w:w="352" w:type="pct"/>
            <w:tcBorders>
              <w:top w:val="nil"/>
              <w:left w:val="nil"/>
              <w:bottom w:val="single" w:sz="4" w:space="0" w:color="auto"/>
              <w:right w:val="single" w:sz="4" w:space="0" w:color="auto"/>
            </w:tcBorders>
            <w:shd w:val="clear" w:color="auto" w:fill="auto"/>
            <w:noWrap/>
            <w:vAlign w:val="center"/>
            <w:hideMark/>
          </w:tcPr>
          <w:p w14:paraId="5EEC38D2" w14:textId="77777777" w:rsidR="001A5A73" w:rsidRPr="00650E40" w:rsidRDefault="001A5A73"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100%</w:t>
            </w:r>
          </w:p>
        </w:tc>
      </w:tr>
    </w:tbl>
    <w:p w14:paraId="48184CC2" w14:textId="77777777" w:rsidR="001A5A73" w:rsidRPr="006C65EE" w:rsidRDefault="001A5A73" w:rsidP="00F12682">
      <w:pPr>
        <w:jc w:val="both"/>
        <w:rPr>
          <w:rFonts w:cs="Calibri"/>
          <w:sz w:val="20"/>
        </w:rPr>
      </w:pPr>
      <w:r w:rsidRPr="006C65EE">
        <w:rPr>
          <w:rFonts w:cs="Calibri"/>
          <w:sz w:val="20"/>
          <w:u w:val="single"/>
        </w:rPr>
        <w:t>Source</w:t>
      </w:r>
      <w:r w:rsidRPr="006C65EE">
        <w:rPr>
          <w:rFonts w:cs="Calibri"/>
          <w:sz w:val="20"/>
        </w:rPr>
        <w:t xml:space="preserve"> : </w:t>
      </w:r>
      <w:r w:rsidRPr="004A7DD0">
        <w:rPr>
          <w:rFonts w:cs="Calibri"/>
          <w:sz w:val="20"/>
        </w:rPr>
        <w:t>DR</w:t>
      </w:r>
      <w:r>
        <w:rPr>
          <w:rFonts w:cs="Calibri"/>
          <w:sz w:val="20"/>
        </w:rPr>
        <w:t>H</w:t>
      </w:r>
      <w:r w:rsidRPr="004A7DD0">
        <w:rPr>
          <w:rFonts w:cs="Calibri"/>
          <w:sz w:val="20"/>
        </w:rPr>
        <w:t>/MC/PSP</w:t>
      </w:r>
      <w:r>
        <w:rPr>
          <w:rFonts w:cs="Calibri"/>
          <w:sz w:val="20"/>
        </w:rPr>
        <w:t>, 2016</w:t>
      </w:r>
    </w:p>
    <w:p w14:paraId="2CD8B868" w14:textId="77777777" w:rsidR="00F44153" w:rsidRPr="00807E04" w:rsidRDefault="00F44153" w:rsidP="00F12682">
      <w:pPr>
        <w:spacing w:after="120" w:line="276" w:lineRule="auto"/>
        <w:jc w:val="both"/>
        <w:rPr>
          <w:rFonts w:ascii="Calibri" w:eastAsiaTheme="majorEastAsia" w:hAnsi="Calibri" w:cs="Calibri"/>
          <w:iCs/>
          <w:sz w:val="24"/>
        </w:rPr>
      </w:pPr>
      <w:r w:rsidRPr="00807E04">
        <w:rPr>
          <w:rFonts w:ascii="Calibri" w:eastAsiaTheme="majorEastAsia" w:hAnsi="Calibri" w:cs="Calibri"/>
          <w:iCs/>
          <w:sz w:val="24"/>
        </w:rPr>
        <w:t>Avec un tel effectif, surtout au niveau déconcentré, le MC/PSP dispose de très peu d’agents et de cadres en particulier, pour pouvoir conduire ses missions dans un contexte où le commerce et la promotion du secteur privé constituent des défis pour chaque pays. .</w:t>
      </w:r>
    </w:p>
    <w:p w14:paraId="11274A9F" w14:textId="77777777" w:rsidR="00F44153" w:rsidRPr="00807E04" w:rsidRDefault="00F44153" w:rsidP="00F12682">
      <w:pPr>
        <w:spacing w:after="120" w:line="276" w:lineRule="auto"/>
        <w:jc w:val="both"/>
        <w:rPr>
          <w:rFonts w:ascii="Calibri" w:eastAsiaTheme="majorEastAsia" w:hAnsi="Calibri" w:cs="Calibri"/>
          <w:iCs/>
          <w:sz w:val="24"/>
        </w:rPr>
      </w:pPr>
      <w:r w:rsidRPr="00807E04">
        <w:rPr>
          <w:rFonts w:ascii="Calibri" w:eastAsiaTheme="majorEastAsia" w:hAnsi="Calibri" w:cs="Calibri"/>
          <w:iCs/>
          <w:sz w:val="24"/>
        </w:rPr>
        <w:t>L’autre constat majeur est que les cadres de conception (catégorie A) représentent près de six (6) fois l’effectif des cadres d’encadrement (catégorie B) qui lui-même fait sept (7) fois le nombre des cadres d’exécution (catégorie C).</w:t>
      </w:r>
    </w:p>
    <w:p w14:paraId="2B666B43" w14:textId="77777777" w:rsidR="00F44153" w:rsidRPr="00807E04" w:rsidRDefault="00F44153" w:rsidP="00F12682">
      <w:pPr>
        <w:spacing w:after="120" w:line="276" w:lineRule="auto"/>
        <w:jc w:val="both"/>
        <w:rPr>
          <w:rFonts w:ascii="Calibri" w:eastAsiaTheme="majorEastAsia" w:hAnsi="Calibri" w:cs="Calibri"/>
          <w:iCs/>
          <w:sz w:val="24"/>
        </w:rPr>
      </w:pPr>
      <w:r w:rsidRPr="00807E04">
        <w:rPr>
          <w:rFonts w:ascii="Calibri" w:eastAsiaTheme="majorEastAsia" w:hAnsi="Calibri" w:cs="Calibri"/>
          <w:iCs/>
          <w:sz w:val="24"/>
        </w:rPr>
        <w:t>Le personnel auxiliaire qui constitue près de 33% de l’effectif global se retrouve en grande partie au niveau central avec 45 sur 70.</w:t>
      </w:r>
    </w:p>
    <w:p w14:paraId="51FABF34" w14:textId="6FF32F76" w:rsidR="00F44153" w:rsidRPr="00807E04" w:rsidRDefault="00F44153" w:rsidP="00F12682">
      <w:pPr>
        <w:spacing w:after="120" w:line="276" w:lineRule="auto"/>
        <w:jc w:val="both"/>
        <w:rPr>
          <w:rFonts w:ascii="Calibri" w:eastAsiaTheme="majorEastAsia" w:hAnsi="Calibri" w:cs="Calibri"/>
          <w:iCs/>
          <w:sz w:val="24"/>
        </w:rPr>
      </w:pPr>
      <w:r w:rsidRPr="00807E04">
        <w:rPr>
          <w:rFonts w:ascii="Calibri" w:eastAsiaTheme="majorEastAsia" w:hAnsi="Calibri" w:cs="Calibri"/>
          <w:iCs/>
          <w:sz w:val="24"/>
        </w:rPr>
        <w:t>Du point de vue de la répartition géographique, l’administration centrale occupe 145 agents sur 212, soit 68,40% des ressources humaines mises à la disposition du MC/PSP. Malgré cela, au cours de l’année 2016, plusieurs postes de responsabilité étaient sans titulaires. Il s’agit notamment des postes de Secrétaire Général (SG), Directeur Général du Commerce (DGC), Directeur des Etudes et d la Programmation (DEP), etc.</w:t>
      </w:r>
      <w:r w:rsidR="001A5A73">
        <w:rPr>
          <w:rFonts w:ascii="Calibri" w:eastAsiaTheme="majorEastAsia" w:hAnsi="Calibri" w:cs="Calibri"/>
          <w:iCs/>
          <w:sz w:val="24"/>
        </w:rPr>
        <w:t xml:space="preserve"> </w:t>
      </w:r>
      <w:r w:rsidRPr="00807E04">
        <w:rPr>
          <w:rFonts w:ascii="Calibri" w:eastAsiaTheme="majorEastAsia" w:hAnsi="Calibri" w:cs="Calibri"/>
          <w:iCs/>
          <w:sz w:val="24"/>
        </w:rPr>
        <w:t xml:space="preserve">A l’intérieur du pays, tous les 67 </w:t>
      </w:r>
      <w:r w:rsidR="001A5A73">
        <w:rPr>
          <w:rFonts w:ascii="Calibri" w:eastAsiaTheme="majorEastAsia" w:hAnsi="Calibri" w:cs="Calibri"/>
          <w:iCs/>
          <w:sz w:val="24"/>
        </w:rPr>
        <w:t>cadres</w:t>
      </w:r>
      <w:r w:rsidRPr="00807E04">
        <w:rPr>
          <w:rFonts w:ascii="Calibri" w:eastAsiaTheme="majorEastAsia" w:hAnsi="Calibri" w:cs="Calibri"/>
          <w:iCs/>
          <w:sz w:val="24"/>
        </w:rPr>
        <w:t xml:space="preserve"> sont placés au niveau régional.</w:t>
      </w:r>
    </w:p>
    <w:p w14:paraId="64A5BAD2" w14:textId="77777777" w:rsidR="00522678" w:rsidRDefault="00522678" w:rsidP="00F12682">
      <w:pPr>
        <w:spacing w:after="0" w:line="240" w:lineRule="auto"/>
        <w:rPr>
          <w:rFonts w:ascii="Calibri" w:eastAsiaTheme="majorEastAsia" w:hAnsi="Calibri" w:cs="Calibri"/>
          <w:iCs/>
          <w:sz w:val="24"/>
        </w:rPr>
      </w:pPr>
    </w:p>
    <w:p w14:paraId="02BEAF5D" w14:textId="24ACB6F8" w:rsidR="008A7952" w:rsidRPr="006F1134" w:rsidRDefault="00522678" w:rsidP="00F12682">
      <w:pPr>
        <w:pStyle w:val="Lgende"/>
        <w:rPr>
          <w:rFonts w:eastAsiaTheme="majorEastAsia" w:cs="Calibri"/>
          <w:iCs w:val="0"/>
          <w:color w:val="auto"/>
        </w:rPr>
      </w:pPr>
      <w:bookmarkStart w:id="68" w:name="_Toc529305063"/>
      <w:r w:rsidRPr="006F1134">
        <w:rPr>
          <w:color w:val="auto"/>
        </w:rPr>
        <w:t xml:space="preserve">Tableau </w:t>
      </w:r>
      <w:r w:rsidR="00A773EB" w:rsidRPr="006F1134">
        <w:rPr>
          <w:noProof/>
          <w:color w:val="auto"/>
        </w:rPr>
        <w:fldChar w:fldCharType="begin"/>
      </w:r>
      <w:r w:rsidR="00A773EB" w:rsidRPr="006F1134">
        <w:rPr>
          <w:noProof/>
          <w:color w:val="auto"/>
        </w:rPr>
        <w:instrText xml:space="preserve"> SEQ Tableau \* ARABIC </w:instrText>
      </w:r>
      <w:r w:rsidR="00A773EB" w:rsidRPr="006F1134">
        <w:rPr>
          <w:noProof/>
          <w:color w:val="auto"/>
        </w:rPr>
        <w:fldChar w:fldCharType="separate"/>
      </w:r>
      <w:r w:rsidR="001C37F0">
        <w:rPr>
          <w:noProof/>
          <w:color w:val="auto"/>
        </w:rPr>
        <w:t>9</w:t>
      </w:r>
      <w:r w:rsidR="00A773EB" w:rsidRPr="006F1134">
        <w:rPr>
          <w:noProof/>
          <w:color w:val="auto"/>
        </w:rPr>
        <w:fldChar w:fldCharType="end"/>
      </w:r>
      <w:r w:rsidR="008A7952" w:rsidRPr="006F1134">
        <w:rPr>
          <w:rFonts w:eastAsiaTheme="majorEastAsia" w:cs="Calibri"/>
          <w:iCs w:val="0"/>
          <w:color w:val="auto"/>
        </w:rPr>
        <w:t xml:space="preserve"> : Répartition géographique </w:t>
      </w:r>
      <w:r w:rsidR="009678CA" w:rsidRPr="006F1134">
        <w:rPr>
          <w:rFonts w:eastAsiaTheme="majorEastAsia" w:cs="Calibri"/>
          <w:iCs w:val="0"/>
          <w:color w:val="auto"/>
        </w:rPr>
        <w:t>du personnel du</w:t>
      </w:r>
      <w:r w:rsidR="007574D7" w:rsidRPr="006F1134">
        <w:rPr>
          <w:rFonts w:eastAsiaTheme="majorEastAsia" w:cs="Calibri"/>
          <w:iCs w:val="0"/>
          <w:color w:val="auto"/>
        </w:rPr>
        <w:t xml:space="preserve"> MC/PSP en 2016</w:t>
      </w:r>
      <w:bookmarkEnd w:id="68"/>
    </w:p>
    <w:tbl>
      <w:tblPr>
        <w:tblW w:w="5000" w:type="pct"/>
        <w:tblCellMar>
          <w:left w:w="70" w:type="dxa"/>
          <w:right w:w="70" w:type="dxa"/>
        </w:tblCellMar>
        <w:tblLook w:val="04A0" w:firstRow="1" w:lastRow="0" w:firstColumn="1" w:lastColumn="0" w:noHBand="0" w:noVBand="1"/>
      </w:tblPr>
      <w:tblGrid>
        <w:gridCol w:w="3167"/>
        <w:gridCol w:w="1104"/>
        <w:gridCol w:w="1104"/>
        <w:gridCol w:w="1583"/>
        <w:gridCol w:w="1307"/>
        <w:gridCol w:w="1363"/>
      </w:tblGrid>
      <w:tr w:rsidR="008A7952" w:rsidRPr="00650E40" w14:paraId="3F498E4E" w14:textId="77777777" w:rsidTr="007574D7">
        <w:tc>
          <w:tcPr>
            <w:tcW w:w="1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C1EF5" w14:textId="77777777" w:rsidR="008A7952" w:rsidRPr="00650E40" w:rsidRDefault="008A7952"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Profils des agents</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407C92DE" w14:textId="77777777" w:rsidR="008A7952" w:rsidRPr="00650E40" w:rsidRDefault="008A7952"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Niveau Central</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061B2964" w14:textId="77777777" w:rsidR="008A7952" w:rsidRPr="00650E40" w:rsidRDefault="008A7952"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Niveau Région</w:t>
            </w:r>
          </w:p>
        </w:tc>
        <w:tc>
          <w:tcPr>
            <w:tcW w:w="822" w:type="pct"/>
            <w:tcBorders>
              <w:top w:val="single" w:sz="4" w:space="0" w:color="auto"/>
              <w:left w:val="nil"/>
              <w:bottom w:val="single" w:sz="4" w:space="0" w:color="auto"/>
              <w:right w:val="single" w:sz="4" w:space="0" w:color="auto"/>
            </w:tcBorders>
            <w:shd w:val="clear" w:color="auto" w:fill="auto"/>
            <w:vAlign w:val="center"/>
            <w:hideMark/>
          </w:tcPr>
          <w:p w14:paraId="5B0F9387" w14:textId="77777777" w:rsidR="008A7952" w:rsidRPr="00650E40" w:rsidRDefault="008A7952" w:rsidP="00F12682">
            <w:pPr>
              <w:spacing w:after="0" w:line="240" w:lineRule="auto"/>
              <w:jc w:val="center"/>
              <w:rPr>
                <w:rFonts w:ascii="Calibri" w:eastAsia="Times New Roman" w:hAnsi="Calibri" w:cs="Calibri"/>
                <w:b/>
                <w:bCs/>
                <w:i/>
                <w:iCs/>
                <w:lang w:eastAsia="fr-FR"/>
              </w:rPr>
            </w:pPr>
            <w:r>
              <w:rPr>
                <w:rFonts w:ascii="Calibri" w:eastAsia="Times New Roman" w:hAnsi="Calibri" w:cs="Calibri"/>
                <w:b/>
                <w:bCs/>
                <w:i/>
                <w:iCs/>
                <w:lang w:eastAsia="fr-FR"/>
              </w:rPr>
              <w:t>Niveau Départ.</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7F9B96B4" w14:textId="77777777" w:rsidR="008A7952" w:rsidRPr="00650E40" w:rsidRDefault="008A7952" w:rsidP="00F12682">
            <w:pPr>
              <w:spacing w:after="0" w:line="240" w:lineRule="auto"/>
              <w:jc w:val="center"/>
              <w:rPr>
                <w:rFonts w:ascii="Calibri" w:eastAsia="Times New Roman" w:hAnsi="Calibri" w:cs="Calibri"/>
                <w:b/>
                <w:bCs/>
                <w:i/>
                <w:iCs/>
                <w:lang w:eastAsia="fr-FR"/>
              </w:rPr>
            </w:pPr>
            <w:r>
              <w:rPr>
                <w:rFonts w:ascii="Calibri" w:eastAsia="Times New Roman" w:hAnsi="Calibri" w:cs="Calibri"/>
                <w:b/>
                <w:bCs/>
                <w:i/>
                <w:iCs/>
                <w:lang w:eastAsia="fr-FR"/>
              </w:rPr>
              <w:t>Niveau Commun.</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0EF1707A" w14:textId="77777777"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Total</w:t>
            </w:r>
          </w:p>
        </w:tc>
      </w:tr>
      <w:tr w:rsidR="008A7952" w:rsidRPr="00650E40" w14:paraId="140FEA6F" w14:textId="77777777" w:rsidTr="007574D7">
        <w:tc>
          <w:tcPr>
            <w:tcW w:w="1644" w:type="pct"/>
            <w:tcBorders>
              <w:top w:val="nil"/>
              <w:left w:val="single" w:sz="4" w:space="0" w:color="auto"/>
              <w:bottom w:val="single" w:sz="4" w:space="0" w:color="auto"/>
              <w:right w:val="single" w:sz="4" w:space="0" w:color="auto"/>
            </w:tcBorders>
            <w:shd w:val="clear" w:color="auto" w:fill="auto"/>
            <w:noWrap/>
            <w:vAlign w:val="center"/>
            <w:hideMark/>
          </w:tcPr>
          <w:p w14:paraId="03E52DBE" w14:textId="77777777" w:rsidR="008A7952" w:rsidRPr="00650E40" w:rsidRDefault="008A7952"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Personnel administratif</w:t>
            </w:r>
          </w:p>
        </w:tc>
        <w:tc>
          <w:tcPr>
            <w:tcW w:w="573" w:type="pct"/>
            <w:tcBorders>
              <w:top w:val="nil"/>
              <w:left w:val="nil"/>
              <w:bottom w:val="single" w:sz="4" w:space="0" w:color="auto"/>
              <w:right w:val="single" w:sz="4" w:space="0" w:color="auto"/>
            </w:tcBorders>
            <w:shd w:val="clear" w:color="auto" w:fill="auto"/>
            <w:noWrap/>
            <w:vAlign w:val="center"/>
            <w:hideMark/>
          </w:tcPr>
          <w:p w14:paraId="0A18789D" w14:textId="456E3AFE" w:rsidR="008A7952" w:rsidRPr="00650E40" w:rsidRDefault="008A7952"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75</w:t>
            </w:r>
          </w:p>
        </w:tc>
        <w:tc>
          <w:tcPr>
            <w:tcW w:w="573" w:type="pct"/>
            <w:tcBorders>
              <w:top w:val="nil"/>
              <w:left w:val="nil"/>
              <w:bottom w:val="single" w:sz="4" w:space="0" w:color="auto"/>
              <w:right w:val="single" w:sz="4" w:space="0" w:color="auto"/>
            </w:tcBorders>
            <w:shd w:val="clear" w:color="auto" w:fill="auto"/>
            <w:noWrap/>
            <w:vAlign w:val="center"/>
            <w:hideMark/>
          </w:tcPr>
          <w:p w14:paraId="67D7E76A" w14:textId="32F4F560" w:rsidR="008A7952" w:rsidRPr="00650E40" w:rsidRDefault="008A7952"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35</w:t>
            </w:r>
          </w:p>
        </w:tc>
        <w:tc>
          <w:tcPr>
            <w:tcW w:w="822" w:type="pct"/>
            <w:tcBorders>
              <w:top w:val="nil"/>
              <w:left w:val="nil"/>
              <w:bottom w:val="single" w:sz="4" w:space="0" w:color="auto"/>
              <w:right w:val="single" w:sz="4" w:space="0" w:color="auto"/>
            </w:tcBorders>
            <w:shd w:val="clear" w:color="auto" w:fill="auto"/>
            <w:noWrap/>
            <w:vAlign w:val="center"/>
            <w:hideMark/>
          </w:tcPr>
          <w:p w14:paraId="60D5B92E" w14:textId="7A7638FE" w:rsidR="008A7952" w:rsidRPr="00650E40" w:rsidRDefault="008A7952" w:rsidP="00F12682">
            <w:pPr>
              <w:spacing w:after="0" w:line="240" w:lineRule="auto"/>
              <w:jc w:val="center"/>
              <w:rPr>
                <w:rFonts w:ascii="Calibri" w:eastAsia="Times New Roman" w:hAnsi="Calibri" w:cs="Calibri"/>
                <w:lang w:eastAsia="fr-FR"/>
              </w:rPr>
            </w:pPr>
          </w:p>
        </w:tc>
        <w:tc>
          <w:tcPr>
            <w:tcW w:w="679" w:type="pct"/>
            <w:tcBorders>
              <w:top w:val="nil"/>
              <w:left w:val="nil"/>
              <w:bottom w:val="single" w:sz="4" w:space="0" w:color="auto"/>
              <w:right w:val="single" w:sz="4" w:space="0" w:color="auto"/>
            </w:tcBorders>
            <w:shd w:val="clear" w:color="auto" w:fill="auto"/>
            <w:noWrap/>
            <w:vAlign w:val="center"/>
            <w:hideMark/>
          </w:tcPr>
          <w:p w14:paraId="022DF43A" w14:textId="24754F4D" w:rsidR="008A7952" w:rsidRPr="00650E40" w:rsidRDefault="008A7952" w:rsidP="00F12682">
            <w:pPr>
              <w:spacing w:after="0" w:line="240" w:lineRule="auto"/>
              <w:jc w:val="center"/>
              <w:rPr>
                <w:rFonts w:ascii="Calibri" w:eastAsia="Times New Roman" w:hAnsi="Calibri" w:cs="Calibri"/>
                <w:lang w:eastAsia="fr-FR"/>
              </w:rPr>
            </w:pPr>
          </w:p>
        </w:tc>
        <w:tc>
          <w:tcPr>
            <w:tcW w:w="708" w:type="pct"/>
            <w:tcBorders>
              <w:top w:val="nil"/>
              <w:left w:val="nil"/>
              <w:bottom w:val="single" w:sz="4" w:space="0" w:color="auto"/>
              <w:right w:val="single" w:sz="4" w:space="0" w:color="auto"/>
            </w:tcBorders>
            <w:shd w:val="clear" w:color="auto" w:fill="auto"/>
            <w:noWrap/>
            <w:vAlign w:val="center"/>
            <w:hideMark/>
          </w:tcPr>
          <w:p w14:paraId="37FF18BB" w14:textId="3CC38B45"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110</w:t>
            </w:r>
          </w:p>
        </w:tc>
      </w:tr>
      <w:tr w:rsidR="008A7952" w:rsidRPr="00650E40" w14:paraId="3E29B0C0" w14:textId="77777777" w:rsidTr="007574D7">
        <w:tc>
          <w:tcPr>
            <w:tcW w:w="1644" w:type="pct"/>
            <w:tcBorders>
              <w:top w:val="nil"/>
              <w:left w:val="single" w:sz="4" w:space="0" w:color="auto"/>
              <w:bottom w:val="single" w:sz="4" w:space="0" w:color="auto"/>
              <w:right w:val="single" w:sz="4" w:space="0" w:color="auto"/>
            </w:tcBorders>
            <w:shd w:val="clear" w:color="auto" w:fill="auto"/>
            <w:noWrap/>
            <w:vAlign w:val="center"/>
            <w:hideMark/>
          </w:tcPr>
          <w:p w14:paraId="41A15122" w14:textId="77777777" w:rsidR="008A7952" w:rsidRPr="00650E40" w:rsidRDefault="008A7952"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Ingénieurs</w:t>
            </w:r>
          </w:p>
        </w:tc>
        <w:tc>
          <w:tcPr>
            <w:tcW w:w="573" w:type="pct"/>
            <w:tcBorders>
              <w:top w:val="nil"/>
              <w:left w:val="nil"/>
              <w:bottom w:val="single" w:sz="4" w:space="0" w:color="auto"/>
              <w:right w:val="single" w:sz="4" w:space="0" w:color="auto"/>
            </w:tcBorders>
            <w:shd w:val="clear" w:color="auto" w:fill="auto"/>
            <w:noWrap/>
            <w:vAlign w:val="center"/>
            <w:hideMark/>
          </w:tcPr>
          <w:p w14:paraId="64B250A7" w14:textId="2DA95485" w:rsidR="008A7952" w:rsidRPr="00650E40" w:rsidRDefault="008A7952"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4</w:t>
            </w:r>
          </w:p>
        </w:tc>
        <w:tc>
          <w:tcPr>
            <w:tcW w:w="573" w:type="pct"/>
            <w:tcBorders>
              <w:top w:val="nil"/>
              <w:left w:val="nil"/>
              <w:bottom w:val="single" w:sz="4" w:space="0" w:color="auto"/>
              <w:right w:val="single" w:sz="4" w:space="0" w:color="auto"/>
            </w:tcBorders>
            <w:shd w:val="clear" w:color="auto" w:fill="auto"/>
            <w:noWrap/>
            <w:vAlign w:val="center"/>
            <w:hideMark/>
          </w:tcPr>
          <w:p w14:paraId="27CD0590" w14:textId="541C4CC1" w:rsidR="008A7952" w:rsidRPr="00650E40" w:rsidRDefault="008A7952" w:rsidP="00F12682">
            <w:pPr>
              <w:spacing w:after="0" w:line="240" w:lineRule="auto"/>
              <w:jc w:val="center"/>
              <w:rPr>
                <w:rFonts w:ascii="Calibri" w:eastAsia="Times New Roman" w:hAnsi="Calibri" w:cs="Calibri"/>
                <w:lang w:eastAsia="fr-FR"/>
              </w:rPr>
            </w:pPr>
          </w:p>
        </w:tc>
        <w:tc>
          <w:tcPr>
            <w:tcW w:w="822" w:type="pct"/>
            <w:tcBorders>
              <w:top w:val="nil"/>
              <w:left w:val="nil"/>
              <w:bottom w:val="single" w:sz="4" w:space="0" w:color="auto"/>
              <w:right w:val="single" w:sz="4" w:space="0" w:color="auto"/>
            </w:tcBorders>
            <w:shd w:val="clear" w:color="auto" w:fill="auto"/>
            <w:noWrap/>
            <w:vAlign w:val="center"/>
            <w:hideMark/>
          </w:tcPr>
          <w:p w14:paraId="7F5B388E" w14:textId="5CB96B2B" w:rsidR="008A7952" w:rsidRPr="00650E40" w:rsidRDefault="008A7952" w:rsidP="00F12682">
            <w:pPr>
              <w:spacing w:after="0" w:line="240" w:lineRule="auto"/>
              <w:jc w:val="center"/>
              <w:rPr>
                <w:rFonts w:ascii="Calibri" w:eastAsia="Times New Roman" w:hAnsi="Calibri" w:cs="Calibri"/>
                <w:lang w:eastAsia="fr-FR"/>
              </w:rPr>
            </w:pPr>
          </w:p>
        </w:tc>
        <w:tc>
          <w:tcPr>
            <w:tcW w:w="679" w:type="pct"/>
            <w:tcBorders>
              <w:top w:val="nil"/>
              <w:left w:val="nil"/>
              <w:bottom w:val="single" w:sz="4" w:space="0" w:color="auto"/>
              <w:right w:val="single" w:sz="4" w:space="0" w:color="auto"/>
            </w:tcBorders>
            <w:shd w:val="clear" w:color="auto" w:fill="auto"/>
            <w:noWrap/>
            <w:vAlign w:val="center"/>
            <w:hideMark/>
          </w:tcPr>
          <w:p w14:paraId="69959838" w14:textId="50512F68" w:rsidR="008A7952" w:rsidRPr="00650E40" w:rsidRDefault="008A7952" w:rsidP="00F12682">
            <w:pPr>
              <w:spacing w:after="0" w:line="240" w:lineRule="auto"/>
              <w:jc w:val="center"/>
              <w:rPr>
                <w:rFonts w:ascii="Calibri" w:eastAsia="Times New Roman" w:hAnsi="Calibri" w:cs="Calibri"/>
                <w:lang w:eastAsia="fr-FR"/>
              </w:rPr>
            </w:pPr>
          </w:p>
        </w:tc>
        <w:tc>
          <w:tcPr>
            <w:tcW w:w="708" w:type="pct"/>
            <w:tcBorders>
              <w:top w:val="nil"/>
              <w:left w:val="nil"/>
              <w:bottom w:val="single" w:sz="4" w:space="0" w:color="auto"/>
              <w:right w:val="single" w:sz="4" w:space="0" w:color="auto"/>
            </w:tcBorders>
            <w:shd w:val="clear" w:color="auto" w:fill="auto"/>
            <w:noWrap/>
            <w:vAlign w:val="center"/>
            <w:hideMark/>
          </w:tcPr>
          <w:p w14:paraId="2AFD8745" w14:textId="3C194E4E"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4</w:t>
            </w:r>
          </w:p>
        </w:tc>
      </w:tr>
      <w:tr w:rsidR="008A7952" w:rsidRPr="00650E40" w14:paraId="1A11091F" w14:textId="77777777" w:rsidTr="007574D7">
        <w:tc>
          <w:tcPr>
            <w:tcW w:w="1644" w:type="pct"/>
            <w:tcBorders>
              <w:top w:val="nil"/>
              <w:left w:val="single" w:sz="4" w:space="0" w:color="auto"/>
              <w:bottom w:val="single" w:sz="4" w:space="0" w:color="auto"/>
              <w:right w:val="single" w:sz="4" w:space="0" w:color="auto"/>
            </w:tcBorders>
            <w:shd w:val="clear" w:color="auto" w:fill="auto"/>
            <w:noWrap/>
            <w:vAlign w:val="center"/>
            <w:hideMark/>
          </w:tcPr>
          <w:p w14:paraId="606E8433" w14:textId="77777777" w:rsidR="008A7952" w:rsidRPr="00650E40" w:rsidRDefault="008A7952"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Ingénieur techn</w:t>
            </w:r>
            <w:r>
              <w:rPr>
                <w:rFonts w:ascii="Calibri" w:eastAsia="Times New Roman" w:hAnsi="Calibri" w:cs="Calibri"/>
                <w:lang w:eastAsia="fr-FR"/>
              </w:rPr>
              <w:t>iciens</w:t>
            </w:r>
          </w:p>
        </w:tc>
        <w:tc>
          <w:tcPr>
            <w:tcW w:w="573" w:type="pct"/>
            <w:tcBorders>
              <w:top w:val="nil"/>
              <w:left w:val="nil"/>
              <w:bottom w:val="single" w:sz="4" w:space="0" w:color="auto"/>
              <w:right w:val="single" w:sz="4" w:space="0" w:color="auto"/>
            </w:tcBorders>
            <w:shd w:val="clear" w:color="auto" w:fill="auto"/>
            <w:noWrap/>
            <w:vAlign w:val="center"/>
            <w:hideMark/>
          </w:tcPr>
          <w:p w14:paraId="0AD27930" w14:textId="29E4F964" w:rsidR="008A7952" w:rsidRPr="00650E40" w:rsidRDefault="008A7952"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1</w:t>
            </w:r>
          </w:p>
        </w:tc>
        <w:tc>
          <w:tcPr>
            <w:tcW w:w="573" w:type="pct"/>
            <w:tcBorders>
              <w:top w:val="nil"/>
              <w:left w:val="nil"/>
              <w:bottom w:val="single" w:sz="4" w:space="0" w:color="auto"/>
              <w:right w:val="single" w:sz="4" w:space="0" w:color="auto"/>
            </w:tcBorders>
            <w:shd w:val="clear" w:color="auto" w:fill="auto"/>
            <w:noWrap/>
            <w:vAlign w:val="center"/>
            <w:hideMark/>
          </w:tcPr>
          <w:p w14:paraId="477FE60D" w14:textId="50402C12" w:rsidR="008A7952" w:rsidRPr="00650E40" w:rsidRDefault="008A7952" w:rsidP="00F12682">
            <w:pPr>
              <w:spacing w:after="0" w:line="240" w:lineRule="auto"/>
              <w:jc w:val="center"/>
              <w:rPr>
                <w:rFonts w:ascii="Calibri" w:eastAsia="Times New Roman" w:hAnsi="Calibri" w:cs="Calibri"/>
                <w:lang w:eastAsia="fr-FR"/>
              </w:rPr>
            </w:pPr>
          </w:p>
        </w:tc>
        <w:tc>
          <w:tcPr>
            <w:tcW w:w="822" w:type="pct"/>
            <w:tcBorders>
              <w:top w:val="nil"/>
              <w:left w:val="nil"/>
              <w:bottom w:val="single" w:sz="4" w:space="0" w:color="auto"/>
              <w:right w:val="single" w:sz="4" w:space="0" w:color="auto"/>
            </w:tcBorders>
            <w:shd w:val="clear" w:color="auto" w:fill="auto"/>
            <w:noWrap/>
            <w:vAlign w:val="center"/>
            <w:hideMark/>
          </w:tcPr>
          <w:p w14:paraId="10A962BB" w14:textId="48E797F7" w:rsidR="008A7952" w:rsidRPr="00650E40" w:rsidRDefault="008A7952" w:rsidP="00F12682">
            <w:pPr>
              <w:spacing w:after="0" w:line="240" w:lineRule="auto"/>
              <w:jc w:val="center"/>
              <w:rPr>
                <w:rFonts w:ascii="Calibri" w:eastAsia="Times New Roman" w:hAnsi="Calibri" w:cs="Calibri"/>
                <w:lang w:eastAsia="fr-FR"/>
              </w:rPr>
            </w:pPr>
          </w:p>
        </w:tc>
        <w:tc>
          <w:tcPr>
            <w:tcW w:w="679" w:type="pct"/>
            <w:tcBorders>
              <w:top w:val="nil"/>
              <w:left w:val="nil"/>
              <w:bottom w:val="single" w:sz="4" w:space="0" w:color="auto"/>
              <w:right w:val="single" w:sz="4" w:space="0" w:color="auto"/>
            </w:tcBorders>
            <w:shd w:val="clear" w:color="auto" w:fill="auto"/>
            <w:noWrap/>
            <w:vAlign w:val="center"/>
            <w:hideMark/>
          </w:tcPr>
          <w:p w14:paraId="4D3D69E3" w14:textId="77BDA802" w:rsidR="008A7952" w:rsidRPr="00650E40" w:rsidRDefault="008A7952" w:rsidP="00F12682">
            <w:pPr>
              <w:spacing w:after="0" w:line="240" w:lineRule="auto"/>
              <w:jc w:val="center"/>
              <w:rPr>
                <w:rFonts w:ascii="Calibri" w:eastAsia="Times New Roman" w:hAnsi="Calibri" w:cs="Calibri"/>
                <w:lang w:eastAsia="fr-FR"/>
              </w:rPr>
            </w:pPr>
          </w:p>
        </w:tc>
        <w:tc>
          <w:tcPr>
            <w:tcW w:w="708" w:type="pct"/>
            <w:tcBorders>
              <w:top w:val="nil"/>
              <w:left w:val="nil"/>
              <w:bottom w:val="single" w:sz="4" w:space="0" w:color="auto"/>
              <w:right w:val="single" w:sz="4" w:space="0" w:color="auto"/>
            </w:tcBorders>
            <w:shd w:val="clear" w:color="auto" w:fill="auto"/>
            <w:noWrap/>
            <w:vAlign w:val="center"/>
            <w:hideMark/>
          </w:tcPr>
          <w:p w14:paraId="48140E05" w14:textId="4732D7BF"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1</w:t>
            </w:r>
          </w:p>
        </w:tc>
      </w:tr>
      <w:tr w:rsidR="008A7952" w:rsidRPr="00650E40" w14:paraId="742DEDEC" w14:textId="77777777" w:rsidTr="007574D7">
        <w:tc>
          <w:tcPr>
            <w:tcW w:w="1644" w:type="pct"/>
            <w:tcBorders>
              <w:top w:val="nil"/>
              <w:left w:val="single" w:sz="4" w:space="0" w:color="auto"/>
              <w:bottom w:val="single" w:sz="4" w:space="0" w:color="auto"/>
              <w:right w:val="single" w:sz="4" w:space="0" w:color="auto"/>
            </w:tcBorders>
            <w:shd w:val="clear" w:color="auto" w:fill="auto"/>
            <w:noWrap/>
            <w:vAlign w:val="center"/>
            <w:hideMark/>
          </w:tcPr>
          <w:p w14:paraId="1A97B126" w14:textId="77777777" w:rsidR="008A7952" w:rsidRPr="00650E40" w:rsidRDefault="008A7952"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 xml:space="preserve">Techniciens supérieurs </w:t>
            </w:r>
          </w:p>
        </w:tc>
        <w:tc>
          <w:tcPr>
            <w:tcW w:w="573" w:type="pct"/>
            <w:tcBorders>
              <w:top w:val="nil"/>
              <w:left w:val="nil"/>
              <w:bottom w:val="single" w:sz="4" w:space="0" w:color="auto"/>
              <w:right w:val="single" w:sz="4" w:space="0" w:color="auto"/>
            </w:tcBorders>
            <w:shd w:val="clear" w:color="auto" w:fill="auto"/>
            <w:noWrap/>
            <w:vAlign w:val="center"/>
            <w:hideMark/>
          </w:tcPr>
          <w:p w14:paraId="4873ABD6" w14:textId="048B8984" w:rsidR="008A7952" w:rsidRPr="00650E40" w:rsidRDefault="008A7952" w:rsidP="00F12682">
            <w:pPr>
              <w:spacing w:after="0" w:line="240" w:lineRule="auto"/>
              <w:jc w:val="center"/>
              <w:rPr>
                <w:rFonts w:ascii="Calibri" w:eastAsia="Times New Roman" w:hAnsi="Calibri" w:cs="Calibri"/>
                <w:lang w:eastAsia="fr-FR"/>
              </w:rPr>
            </w:pPr>
          </w:p>
        </w:tc>
        <w:tc>
          <w:tcPr>
            <w:tcW w:w="573" w:type="pct"/>
            <w:tcBorders>
              <w:top w:val="nil"/>
              <w:left w:val="nil"/>
              <w:bottom w:val="single" w:sz="4" w:space="0" w:color="auto"/>
              <w:right w:val="single" w:sz="4" w:space="0" w:color="auto"/>
            </w:tcBorders>
            <w:shd w:val="clear" w:color="auto" w:fill="auto"/>
            <w:noWrap/>
            <w:vAlign w:val="center"/>
            <w:hideMark/>
          </w:tcPr>
          <w:p w14:paraId="189410F4" w14:textId="7827393C" w:rsidR="008A7952" w:rsidRPr="00650E40" w:rsidRDefault="008A7952" w:rsidP="00F12682">
            <w:pPr>
              <w:spacing w:after="0" w:line="240" w:lineRule="auto"/>
              <w:jc w:val="center"/>
              <w:rPr>
                <w:rFonts w:ascii="Calibri" w:eastAsia="Times New Roman" w:hAnsi="Calibri" w:cs="Calibri"/>
                <w:lang w:eastAsia="fr-FR"/>
              </w:rPr>
            </w:pPr>
          </w:p>
        </w:tc>
        <w:tc>
          <w:tcPr>
            <w:tcW w:w="822" w:type="pct"/>
            <w:tcBorders>
              <w:top w:val="nil"/>
              <w:left w:val="nil"/>
              <w:bottom w:val="single" w:sz="4" w:space="0" w:color="auto"/>
              <w:right w:val="single" w:sz="4" w:space="0" w:color="auto"/>
            </w:tcBorders>
            <w:shd w:val="clear" w:color="auto" w:fill="auto"/>
            <w:noWrap/>
            <w:vAlign w:val="center"/>
            <w:hideMark/>
          </w:tcPr>
          <w:p w14:paraId="035B1CD0" w14:textId="13CB9A0D" w:rsidR="008A7952" w:rsidRPr="00650E40" w:rsidRDefault="008A7952" w:rsidP="00F12682">
            <w:pPr>
              <w:spacing w:after="0" w:line="240" w:lineRule="auto"/>
              <w:jc w:val="center"/>
              <w:rPr>
                <w:rFonts w:ascii="Calibri" w:eastAsia="Times New Roman" w:hAnsi="Calibri" w:cs="Calibri"/>
                <w:lang w:eastAsia="fr-FR"/>
              </w:rPr>
            </w:pPr>
          </w:p>
        </w:tc>
        <w:tc>
          <w:tcPr>
            <w:tcW w:w="679" w:type="pct"/>
            <w:tcBorders>
              <w:top w:val="nil"/>
              <w:left w:val="nil"/>
              <w:bottom w:val="single" w:sz="4" w:space="0" w:color="auto"/>
              <w:right w:val="single" w:sz="4" w:space="0" w:color="auto"/>
            </w:tcBorders>
            <w:shd w:val="clear" w:color="auto" w:fill="auto"/>
            <w:noWrap/>
            <w:vAlign w:val="center"/>
            <w:hideMark/>
          </w:tcPr>
          <w:p w14:paraId="596D0591" w14:textId="04E1A3E4" w:rsidR="008A7952" w:rsidRPr="00650E40" w:rsidRDefault="008A7952" w:rsidP="00F12682">
            <w:pPr>
              <w:spacing w:after="0" w:line="240" w:lineRule="auto"/>
              <w:jc w:val="center"/>
              <w:rPr>
                <w:rFonts w:ascii="Calibri" w:eastAsia="Times New Roman" w:hAnsi="Calibri" w:cs="Calibri"/>
                <w:lang w:eastAsia="fr-FR"/>
              </w:rPr>
            </w:pPr>
          </w:p>
        </w:tc>
        <w:tc>
          <w:tcPr>
            <w:tcW w:w="708" w:type="pct"/>
            <w:tcBorders>
              <w:top w:val="nil"/>
              <w:left w:val="nil"/>
              <w:bottom w:val="single" w:sz="4" w:space="0" w:color="auto"/>
              <w:right w:val="single" w:sz="4" w:space="0" w:color="auto"/>
            </w:tcBorders>
            <w:shd w:val="clear" w:color="auto" w:fill="auto"/>
            <w:noWrap/>
            <w:vAlign w:val="center"/>
            <w:hideMark/>
          </w:tcPr>
          <w:p w14:paraId="467B79BF" w14:textId="78483ADB"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w:t>
            </w:r>
          </w:p>
        </w:tc>
      </w:tr>
      <w:tr w:rsidR="008A7952" w:rsidRPr="00650E40" w14:paraId="5C0EBA0E" w14:textId="77777777" w:rsidTr="007574D7">
        <w:tc>
          <w:tcPr>
            <w:tcW w:w="1644" w:type="pct"/>
            <w:tcBorders>
              <w:top w:val="nil"/>
              <w:left w:val="single" w:sz="4" w:space="0" w:color="auto"/>
              <w:bottom w:val="single" w:sz="4" w:space="0" w:color="auto"/>
              <w:right w:val="single" w:sz="4" w:space="0" w:color="auto"/>
            </w:tcBorders>
            <w:shd w:val="clear" w:color="auto" w:fill="auto"/>
            <w:noWrap/>
            <w:vAlign w:val="center"/>
            <w:hideMark/>
          </w:tcPr>
          <w:p w14:paraId="210D7118" w14:textId="77777777" w:rsidR="008A7952" w:rsidRPr="00650E40" w:rsidRDefault="008A7952"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Conseillers</w:t>
            </w:r>
          </w:p>
        </w:tc>
        <w:tc>
          <w:tcPr>
            <w:tcW w:w="573" w:type="pct"/>
            <w:tcBorders>
              <w:top w:val="nil"/>
              <w:left w:val="nil"/>
              <w:bottom w:val="single" w:sz="4" w:space="0" w:color="auto"/>
              <w:right w:val="single" w:sz="4" w:space="0" w:color="auto"/>
            </w:tcBorders>
            <w:shd w:val="clear" w:color="auto" w:fill="auto"/>
            <w:noWrap/>
            <w:vAlign w:val="center"/>
            <w:hideMark/>
          </w:tcPr>
          <w:p w14:paraId="1BB87106" w14:textId="52A152E6" w:rsidR="008A7952" w:rsidRPr="00650E40" w:rsidRDefault="008A7952" w:rsidP="00F12682">
            <w:pPr>
              <w:spacing w:after="0" w:line="240" w:lineRule="auto"/>
              <w:jc w:val="center"/>
              <w:rPr>
                <w:rFonts w:ascii="Calibri" w:eastAsia="Times New Roman" w:hAnsi="Calibri" w:cs="Calibri"/>
                <w:lang w:eastAsia="fr-FR"/>
              </w:rPr>
            </w:pPr>
            <w:r w:rsidRPr="00650E40">
              <w:rPr>
                <w:rFonts w:ascii="Calibri" w:eastAsia="Times New Roman" w:hAnsi="Calibri" w:cs="Calibri"/>
                <w:lang w:eastAsia="fr-FR"/>
              </w:rPr>
              <w:t>4</w:t>
            </w:r>
          </w:p>
        </w:tc>
        <w:tc>
          <w:tcPr>
            <w:tcW w:w="573" w:type="pct"/>
            <w:tcBorders>
              <w:top w:val="nil"/>
              <w:left w:val="nil"/>
              <w:bottom w:val="single" w:sz="4" w:space="0" w:color="auto"/>
              <w:right w:val="single" w:sz="4" w:space="0" w:color="auto"/>
            </w:tcBorders>
            <w:shd w:val="clear" w:color="auto" w:fill="auto"/>
            <w:noWrap/>
            <w:vAlign w:val="center"/>
            <w:hideMark/>
          </w:tcPr>
          <w:p w14:paraId="0DD4BBB7" w14:textId="11F615A1" w:rsidR="008A7952" w:rsidRPr="00650E40" w:rsidRDefault="008A7952" w:rsidP="00F12682">
            <w:pPr>
              <w:spacing w:after="0" w:line="240" w:lineRule="auto"/>
              <w:jc w:val="center"/>
              <w:rPr>
                <w:rFonts w:ascii="Calibri" w:eastAsia="Times New Roman" w:hAnsi="Calibri" w:cs="Calibri"/>
                <w:lang w:eastAsia="fr-FR"/>
              </w:rPr>
            </w:pPr>
          </w:p>
        </w:tc>
        <w:tc>
          <w:tcPr>
            <w:tcW w:w="822" w:type="pct"/>
            <w:tcBorders>
              <w:top w:val="nil"/>
              <w:left w:val="nil"/>
              <w:bottom w:val="single" w:sz="4" w:space="0" w:color="auto"/>
              <w:right w:val="single" w:sz="4" w:space="0" w:color="auto"/>
            </w:tcBorders>
            <w:shd w:val="clear" w:color="auto" w:fill="auto"/>
            <w:noWrap/>
            <w:vAlign w:val="center"/>
            <w:hideMark/>
          </w:tcPr>
          <w:p w14:paraId="3532085D" w14:textId="28A86D53" w:rsidR="008A7952" w:rsidRPr="00650E40" w:rsidRDefault="008A7952" w:rsidP="00F12682">
            <w:pPr>
              <w:spacing w:after="0" w:line="240" w:lineRule="auto"/>
              <w:jc w:val="center"/>
              <w:rPr>
                <w:rFonts w:ascii="Calibri" w:eastAsia="Times New Roman" w:hAnsi="Calibri" w:cs="Calibri"/>
                <w:lang w:eastAsia="fr-FR"/>
              </w:rPr>
            </w:pPr>
          </w:p>
        </w:tc>
        <w:tc>
          <w:tcPr>
            <w:tcW w:w="679" w:type="pct"/>
            <w:tcBorders>
              <w:top w:val="nil"/>
              <w:left w:val="nil"/>
              <w:bottom w:val="single" w:sz="4" w:space="0" w:color="auto"/>
              <w:right w:val="single" w:sz="4" w:space="0" w:color="auto"/>
            </w:tcBorders>
            <w:shd w:val="clear" w:color="auto" w:fill="auto"/>
            <w:noWrap/>
            <w:vAlign w:val="center"/>
            <w:hideMark/>
          </w:tcPr>
          <w:p w14:paraId="5B77AA0E" w14:textId="6076C698" w:rsidR="008A7952" w:rsidRPr="00650E40" w:rsidRDefault="008A7952" w:rsidP="00F12682">
            <w:pPr>
              <w:spacing w:after="0" w:line="240" w:lineRule="auto"/>
              <w:jc w:val="center"/>
              <w:rPr>
                <w:rFonts w:ascii="Calibri" w:eastAsia="Times New Roman" w:hAnsi="Calibri" w:cs="Calibri"/>
                <w:lang w:eastAsia="fr-FR"/>
              </w:rPr>
            </w:pPr>
          </w:p>
        </w:tc>
        <w:tc>
          <w:tcPr>
            <w:tcW w:w="708" w:type="pct"/>
            <w:tcBorders>
              <w:top w:val="nil"/>
              <w:left w:val="nil"/>
              <w:bottom w:val="single" w:sz="4" w:space="0" w:color="auto"/>
              <w:right w:val="single" w:sz="4" w:space="0" w:color="auto"/>
            </w:tcBorders>
            <w:shd w:val="clear" w:color="auto" w:fill="auto"/>
            <w:noWrap/>
            <w:vAlign w:val="center"/>
            <w:hideMark/>
          </w:tcPr>
          <w:p w14:paraId="18C3C5DD" w14:textId="680587BD"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4</w:t>
            </w:r>
          </w:p>
        </w:tc>
      </w:tr>
      <w:tr w:rsidR="008A7952" w:rsidRPr="00650E40" w14:paraId="64AF9567" w14:textId="77777777" w:rsidTr="007574D7">
        <w:tc>
          <w:tcPr>
            <w:tcW w:w="1644" w:type="pct"/>
            <w:tcBorders>
              <w:top w:val="nil"/>
              <w:left w:val="single" w:sz="4" w:space="0" w:color="auto"/>
              <w:bottom w:val="single" w:sz="4" w:space="0" w:color="auto"/>
              <w:right w:val="single" w:sz="4" w:space="0" w:color="auto"/>
            </w:tcBorders>
            <w:shd w:val="clear" w:color="auto" w:fill="auto"/>
            <w:noWrap/>
            <w:vAlign w:val="bottom"/>
            <w:hideMark/>
          </w:tcPr>
          <w:p w14:paraId="3C048094" w14:textId="77777777" w:rsidR="008A7952" w:rsidRPr="00650E40" w:rsidRDefault="008A7952" w:rsidP="00F12682">
            <w:pPr>
              <w:spacing w:after="0" w:line="240" w:lineRule="auto"/>
              <w:rPr>
                <w:rFonts w:ascii="Calibri" w:eastAsia="Times New Roman" w:hAnsi="Calibri" w:cs="Calibri"/>
                <w:b/>
                <w:bCs/>
                <w:i/>
                <w:iCs/>
                <w:lang w:eastAsia="fr-FR"/>
              </w:rPr>
            </w:pPr>
            <w:r w:rsidRPr="00650E40">
              <w:rPr>
                <w:rFonts w:ascii="Calibri" w:eastAsia="Times New Roman" w:hAnsi="Calibri" w:cs="Calibri"/>
                <w:b/>
                <w:bCs/>
                <w:i/>
                <w:iCs/>
                <w:lang w:eastAsia="fr-FR"/>
              </w:rPr>
              <w:t>Total</w:t>
            </w:r>
          </w:p>
        </w:tc>
        <w:tc>
          <w:tcPr>
            <w:tcW w:w="573" w:type="pct"/>
            <w:tcBorders>
              <w:top w:val="nil"/>
              <w:left w:val="nil"/>
              <w:bottom w:val="single" w:sz="4" w:space="0" w:color="auto"/>
              <w:right w:val="single" w:sz="4" w:space="0" w:color="auto"/>
            </w:tcBorders>
            <w:shd w:val="clear" w:color="auto" w:fill="auto"/>
            <w:noWrap/>
            <w:vAlign w:val="center"/>
            <w:hideMark/>
          </w:tcPr>
          <w:p w14:paraId="13C59146" w14:textId="1558F938"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84</w:t>
            </w:r>
          </w:p>
        </w:tc>
        <w:tc>
          <w:tcPr>
            <w:tcW w:w="573" w:type="pct"/>
            <w:tcBorders>
              <w:top w:val="nil"/>
              <w:left w:val="nil"/>
              <w:bottom w:val="single" w:sz="4" w:space="0" w:color="auto"/>
              <w:right w:val="single" w:sz="4" w:space="0" w:color="auto"/>
            </w:tcBorders>
            <w:shd w:val="clear" w:color="auto" w:fill="auto"/>
            <w:noWrap/>
            <w:vAlign w:val="center"/>
            <w:hideMark/>
          </w:tcPr>
          <w:p w14:paraId="1D62E64D" w14:textId="4E1B1883"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35</w:t>
            </w:r>
          </w:p>
        </w:tc>
        <w:tc>
          <w:tcPr>
            <w:tcW w:w="822" w:type="pct"/>
            <w:tcBorders>
              <w:top w:val="nil"/>
              <w:left w:val="nil"/>
              <w:bottom w:val="single" w:sz="4" w:space="0" w:color="auto"/>
              <w:right w:val="single" w:sz="4" w:space="0" w:color="auto"/>
            </w:tcBorders>
            <w:shd w:val="clear" w:color="auto" w:fill="auto"/>
            <w:noWrap/>
            <w:vAlign w:val="center"/>
            <w:hideMark/>
          </w:tcPr>
          <w:p w14:paraId="7629D077" w14:textId="031BA0CB"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w:t>
            </w:r>
          </w:p>
        </w:tc>
        <w:tc>
          <w:tcPr>
            <w:tcW w:w="679" w:type="pct"/>
            <w:tcBorders>
              <w:top w:val="nil"/>
              <w:left w:val="nil"/>
              <w:bottom w:val="single" w:sz="4" w:space="0" w:color="auto"/>
              <w:right w:val="single" w:sz="4" w:space="0" w:color="auto"/>
            </w:tcBorders>
            <w:shd w:val="clear" w:color="auto" w:fill="auto"/>
            <w:noWrap/>
            <w:vAlign w:val="center"/>
            <w:hideMark/>
          </w:tcPr>
          <w:p w14:paraId="3D2F63C9" w14:textId="16A8C531"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w:t>
            </w:r>
          </w:p>
        </w:tc>
        <w:tc>
          <w:tcPr>
            <w:tcW w:w="708" w:type="pct"/>
            <w:tcBorders>
              <w:top w:val="nil"/>
              <w:left w:val="nil"/>
              <w:bottom w:val="single" w:sz="4" w:space="0" w:color="auto"/>
              <w:right w:val="single" w:sz="4" w:space="0" w:color="auto"/>
            </w:tcBorders>
            <w:shd w:val="clear" w:color="auto" w:fill="auto"/>
            <w:noWrap/>
            <w:vAlign w:val="center"/>
            <w:hideMark/>
          </w:tcPr>
          <w:p w14:paraId="5E13E7EA" w14:textId="4A373E7D" w:rsidR="008A7952" w:rsidRPr="00650E40" w:rsidRDefault="008A7952"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119</w:t>
            </w:r>
          </w:p>
        </w:tc>
      </w:tr>
    </w:tbl>
    <w:p w14:paraId="1478CCB4" w14:textId="77777777" w:rsidR="007574D7" w:rsidRPr="006C65EE" w:rsidRDefault="007574D7" w:rsidP="00F12682">
      <w:pPr>
        <w:jc w:val="both"/>
        <w:rPr>
          <w:rFonts w:cs="Calibri"/>
          <w:sz w:val="20"/>
        </w:rPr>
      </w:pPr>
      <w:r w:rsidRPr="006C65EE">
        <w:rPr>
          <w:rFonts w:cs="Calibri"/>
          <w:sz w:val="20"/>
          <w:u w:val="single"/>
        </w:rPr>
        <w:t>Source</w:t>
      </w:r>
      <w:r w:rsidRPr="006C65EE">
        <w:rPr>
          <w:rFonts w:cs="Calibri"/>
          <w:sz w:val="20"/>
        </w:rPr>
        <w:t xml:space="preserve"> : </w:t>
      </w:r>
      <w:r w:rsidRPr="004A7DD0">
        <w:rPr>
          <w:rFonts w:cs="Calibri"/>
          <w:sz w:val="20"/>
        </w:rPr>
        <w:t>DR</w:t>
      </w:r>
      <w:r>
        <w:rPr>
          <w:rFonts w:cs="Calibri"/>
          <w:sz w:val="20"/>
        </w:rPr>
        <w:t>H</w:t>
      </w:r>
      <w:r w:rsidRPr="004A7DD0">
        <w:rPr>
          <w:rFonts w:cs="Calibri"/>
          <w:sz w:val="20"/>
        </w:rPr>
        <w:t>/MC/PSP</w:t>
      </w:r>
      <w:r>
        <w:rPr>
          <w:rFonts w:cs="Calibri"/>
          <w:sz w:val="20"/>
        </w:rPr>
        <w:t>, 2016</w:t>
      </w:r>
    </w:p>
    <w:p w14:paraId="4311B2BD" w14:textId="252E92ED" w:rsidR="00D03DF1" w:rsidRPr="007574D7" w:rsidRDefault="00D03DF1" w:rsidP="00F12682">
      <w:pPr>
        <w:spacing w:after="120" w:line="276" w:lineRule="auto"/>
        <w:jc w:val="both"/>
        <w:rPr>
          <w:rFonts w:ascii="Calibri" w:eastAsiaTheme="majorEastAsia" w:hAnsi="Calibri" w:cs="Calibri"/>
          <w:iCs/>
          <w:sz w:val="24"/>
        </w:rPr>
      </w:pPr>
      <w:r w:rsidRPr="007574D7">
        <w:rPr>
          <w:rFonts w:ascii="Calibri" w:eastAsiaTheme="majorEastAsia" w:hAnsi="Calibri" w:cs="Calibri"/>
          <w:iCs/>
          <w:sz w:val="24"/>
        </w:rPr>
        <w:t>Sous l’angle de la qualification, on constate que sur les 119 cadres, 110, soit 92,%44 ont le profil administratif. Cette forte appartenance du personnel cadre du MC/PSP au corps administratif, nous laisse penser qu’il n’y a pas adéquation profil emploi. Il nous semble pertinent d’avoir</w:t>
      </w:r>
      <w:r w:rsidR="003D34E5">
        <w:rPr>
          <w:rFonts w:ascii="Calibri" w:eastAsiaTheme="majorEastAsia" w:hAnsi="Calibri" w:cs="Calibri"/>
          <w:iCs/>
          <w:sz w:val="24"/>
        </w:rPr>
        <w:t xml:space="preserve"> </w:t>
      </w:r>
      <w:r w:rsidRPr="007574D7">
        <w:rPr>
          <w:rFonts w:ascii="Calibri" w:eastAsiaTheme="majorEastAsia" w:hAnsi="Calibri" w:cs="Calibri"/>
          <w:iCs/>
          <w:sz w:val="24"/>
        </w:rPr>
        <w:t xml:space="preserve">au poste technique des cadres qui ont une compétence avérée dans e domaine, car l’administrateur est </w:t>
      </w:r>
      <w:r w:rsidRPr="007574D7">
        <w:rPr>
          <w:rFonts w:ascii="Calibri" w:eastAsiaTheme="majorEastAsia" w:hAnsi="Calibri" w:cs="Calibri"/>
          <w:iCs/>
          <w:sz w:val="24"/>
        </w:rPr>
        <w:lastRenderedPageBreak/>
        <w:t>censé manager. Pour ce faire, il aura besoin de techniciens pour pouvoir conduire le bateau à bon port.</w:t>
      </w:r>
    </w:p>
    <w:p w14:paraId="300CA44E" w14:textId="77777777" w:rsidR="00FA3679" w:rsidRDefault="00FA3679" w:rsidP="00F12682">
      <w:pPr>
        <w:spacing w:after="120" w:line="276" w:lineRule="auto"/>
        <w:jc w:val="both"/>
      </w:pPr>
    </w:p>
    <w:p w14:paraId="1D13B407" w14:textId="77777777" w:rsidR="00985AC1" w:rsidRPr="004A5122" w:rsidRDefault="00985AC1" w:rsidP="00F12682">
      <w:pPr>
        <w:pStyle w:val="Titre4"/>
        <w:rPr>
          <w:rFonts w:asciiTheme="minorHAnsi" w:hAnsiTheme="minorHAnsi" w:cstheme="minorHAnsi"/>
        </w:rPr>
      </w:pPr>
      <w:r w:rsidRPr="004A5122">
        <w:rPr>
          <w:rFonts w:asciiTheme="minorHAnsi" w:hAnsiTheme="minorHAnsi" w:cstheme="minorHAnsi"/>
        </w:rPr>
        <w:t>Synthèse et perspective en matière de GFP</w:t>
      </w:r>
    </w:p>
    <w:p w14:paraId="20D2ED77" w14:textId="2AB247D2" w:rsidR="00957DC3" w:rsidRPr="00957DC3" w:rsidRDefault="00957DC3" w:rsidP="00F12682">
      <w:pPr>
        <w:spacing w:after="120" w:line="276" w:lineRule="auto"/>
        <w:jc w:val="both"/>
        <w:rPr>
          <w:rFonts w:ascii="Calibri" w:eastAsiaTheme="majorEastAsia" w:hAnsi="Calibri" w:cs="Calibri"/>
          <w:iCs/>
          <w:sz w:val="24"/>
        </w:rPr>
      </w:pPr>
      <w:r w:rsidRPr="00957DC3">
        <w:rPr>
          <w:rFonts w:ascii="Calibri" w:eastAsiaTheme="majorEastAsia" w:hAnsi="Calibri" w:cs="Calibri"/>
          <w:iCs/>
          <w:sz w:val="24"/>
        </w:rPr>
        <w:t xml:space="preserve">Les meilleures performances du MC/PSP en matière d’amélioration de la position du Niger dans le </w:t>
      </w:r>
      <w:proofErr w:type="spellStart"/>
      <w:r w:rsidRPr="00957DC3">
        <w:rPr>
          <w:rFonts w:ascii="Calibri" w:eastAsiaTheme="majorEastAsia" w:hAnsi="Calibri" w:cs="Calibri"/>
          <w:iCs/>
          <w:sz w:val="24"/>
        </w:rPr>
        <w:t>Doing</w:t>
      </w:r>
      <w:proofErr w:type="spellEnd"/>
      <w:r w:rsidRPr="00957DC3">
        <w:rPr>
          <w:rFonts w:ascii="Calibri" w:eastAsiaTheme="majorEastAsia" w:hAnsi="Calibri" w:cs="Calibri"/>
          <w:iCs/>
          <w:sz w:val="24"/>
        </w:rPr>
        <w:t xml:space="preserve"> Business, contraste avec le faible niveau des ressources mises à disposition.</w:t>
      </w:r>
      <w:r w:rsidR="00E55603">
        <w:rPr>
          <w:rFonts w:ascii="Calibri" w:eastAsiaTheme="majorEastAsia" w:hAnsi="Calibri" w:cs="Calibri"/>
          <w:iCs/>
          <w:sz w:val="24"/>
        </w:rPr>
        <w:t xml:space="preserve"> </w:t>
      </w:r>
      <w:r w:rsidRPr="00957DC3">
        <w:rPr>
          <w:rFonts w:ascii="Calibri" w:eastAsiaTheme="majorEastAsia" w:hAnsi="Calibri" w:cs="Calibri"/>
          <w:iCs/>
          <w:sz w:val="24"/>
        </w:rPr>
        <w:t xml:space="preserve">En effet, le MC/SPS éprouve d’énormes difficultés pour lesquelles des solutions doivent être apportées. Les contraintes soulevées tournent, pour l’essentiel des points suivants : </w:t>
      </w:r>
    </w:p>
    <w:p w14:paraId="56ECBA35" w14:textId="77777777" w:rsidR="00957DC3" w:rsidRPr="00957DC3" w:rsidRDefault="00957DC3" w:rsidP="00F12682">
      <w:pPr>
        <w:pStyle w:val="Paragraphedeliste"/>
        <w:numPr>
          <w:ilvl w:val="0"/>
          <w:numId w:val="25"/>
        </w:numPr>
        <w:spacing w:after="120" w:line="276" w:lineRule="auto"/>
        <w:ind w:left="567" w:hanging="210"/>
        <w:contextualSpacing w:val="0"/>
        <w:jc w:val="both"/>
        <w:rPr>
          <w:rFonts w:ascii="Calibri" w:eastAsiaTheme="majorEastAsia" w:hAnsi="Calibri" w:cs="Calibri"/>
          <w:iCs/>
          <w:sz w:val="24"/>
        </w:rPr>
      </w:pPr>
      <w:r w:rsidRPr="00957DC3">
        <w:rPr>
          <w:rFonts w:ascii="Calibri" w:eastAsiaTheme="majorEastAsia" w:hAnsi="Calibri" w:cs="Calibri"/>
          <w:iCs/>
          <w:sz w:val="24"/>
        </w:rPr>
        <w:t xml:space="preserve">les libérations tardives des crédits des périodes pour lesquelles ils se rapportent, </w:t>
      </w:r>
    </w:p>
    <w:p w14:paraId="52B06423" w14:textId="2AED55F9" w:rsidR="00957DC3" w:rsidRPr="00957DC3" w:rsidRDefault="00957DC3" w:rsidP="00F12682">
      <w:pPr>
        <w:pStyle w:val="Paragraphedeliste"/>
        <w:numPr>
          <w:ilvl w:val="0"/>
          <w:numId w:val="25"/>
        </w:numPr>
        <w:spacing w:after="120" w:line="276" w:lineRule="auto"/>
        <w:ind w:left="567" w:hanging="210"/>
        <w:contextualSpacing w:val="0"/>
        <w:jc w:val="both"/>
        <w:rPr>
          <w:rFonts w:ascii="Calibri" w:eastAsiaTheme="majorEastAsia" w:hAnsi="Calibri" w:cs="Calibri"/>
          <w:iCs/>
          <w:sz w:val="24"/>
        </w:rPr>
      </w:pPr>
      <w:r w:rsidRPr="00957DC3">
        <w:rPr>
          <w:rFonts w:ascii="Calibri" w:eastAsiaTheme="majorEastAsia" w:hAnsi="Calibri" w:cs="Calibri"/>
          <w:iCs/>
          <w:sz w:val="24"/>
        </w:rPr>
        <w:t>la coupe des crédits lors de la loi de finances rectificative le gel des c</w:t>
      </w:r>
      <w:r w:rsidR="00E55603">
        <w:rPr>
          <w:rFonts w:ascii="Calibri" w:eastAsiaTheme="majorEastAsia" w:hAnsi="Calibri" w:cs="Calibri"/>
          <w:iCs/>
          <w:sz w:val="24"/>
        </w:rPr>
        <w:t>rédits du quatrième trimestre.</w:t>
      </w:r>
    </w:p>
    <w:p w14:paraId="53FE673C" w14:textId="77777777" w:rsidR="00957DC3" w:rsidRPr="00957DC3" w:rsidRDefault="00957DC3" w:rsidP="00F12682">
      <w:pPr>
        <w:spacing w:after="120" w:line="276" w:lineRule="auto"/>
        <w:jc w:val="both"/>
        <w:rPr>
          <w:rFonts w:ascii="Calibri" w:eastAsiaTheme="majorEastAsia" w:hAnsi="Calibri" w:cs="Calibri"/>
          <w:iCs/>
          <w:sz w:val="24"/>
        </w:rPr>
      </w:pPr>
      <w:r w:rsidRPr="00957DC3">
        <w:rPr>
          <w:rFonts w:ascii="Calibri" w:eastAsiaTheme="majorEastAsia" w:hAnsi="Calibri" w:cs="Calibri"/>
          <w:iCs/>
          <w:sz w:val="24"/>
        </w:rPr>
        <w:t xml:space="preserve">Toutes choses qui ont des effets pervers sur les allocations futures du Ministère. </w:t>
      </w:r>
    </w:p>
    <w:p w14:paraId="61CB3E70" w14:textId="77777777" w:rsidR="00957DC3" w:rsidRPr="00957DC3" w:rsidRDefault="00957DC3" w:rsidP="00F12682">
      <w:pPr>
        <w:spacing w:after="120" w:line="276" w:lineRule="auto"/>
        <w:jc w:val="both"/>
        <w:rPr>
          <w:rFonts w:ascii="Calibri" w:eastAsiaTheme="majorEastAsia" w:hAnsi="Calibri" w:cs="Calibri"/>
          <w:iCs/>
          <w:sz w:val="24"/>
        </w:rPr>
      </w:pPr>
      <w:r w:rsidRPr="00957DC3">
        <w:rPr>
          <w:rFonts w:ascii="Calibri" w:eastAsiaTheme="majorEastAsia" w:hAnsi="Calibri" w:cs="Calibri"/>
          <w:iCs/>
          <w:sz w:val="24"/>
        </w:rPr>
        <w:t>En perspective, le MC/PSP fonde l’espoir que :</w:t>
      </w:r>
    </w:p>
    <w:p w14:paraId="4D274021" w14:textId="77777777" w:rsidR="00957DC3" w:rsidRPr="00957DC3" w:rsidRDefault="00957DC3" w:rsidP="00F12682">
      <w:pPr>
        <w:pStyle w:val="Paragraphedeliste"/>
        <w:numPr>
          <w:ilvl w:val="0"/>
          <w:numId w:val="25"/>
        </w:numPr>
        <w:spacing w:after="120" w:line="276" w:lineRule="auto"/>
        <w:ind w:left="567" w:hanging="210"/>
        <w:contextualSpacing w:val="0"/>
        <w:jc w:val="both"/>
        <w:rPr>
          <w:rFonts w:ascii="Calibri" w:eastAsiaTheme="majorEastAsia" w:hAnsi="Calibri" w:cs="Calibri"/>
          <w:iCs/>
          <w:sz w:val="24"/>
        </w:rPr>
      </w:pPr>
      <w:r w:rsidRPr="00957DC3">
        <w:rPr>
          <w:rFonts w:ascii="Calibri" w:eastAsiaTheme="majorEastAsia" w:hAnsi="Calibri" w:cs="Calibri"/>
          <w:iCs/>
          <w:sz w:val="24"/>
        </w:rPr>
        <w:t>l’avènement du budget programme pourrait entrainer plus de réalisme dans la préparation du budget et des souplesses dans la consommation des crédits ;</w:t>
      </w:r>
    </w:p>
    <w:p w14:paraId="75D40BF9" w14:textId="77777777" w:rsidR="00957DC3" w:rsidRPr="00957DC3" w:rsidRDefault="00957DC3" w:rsidP="00F12682">
      <w:pPr>
        <w:pStyle w:val="Paragraphedeliste"/>
        <w:numPr>
          <w:ilvl w:val="0"/>
          <w:numId w:val="25"/>
        </w:numPr>
        <w:spacing w:after="120" w:line="276" w:lineRule="auto"/>
        <w:ind w:left="567" w:hanging="210"/>
        <w:contextualSpacing w:val="0"/>
        <w:jc w:val="both"/>
        <w:rPr>
          <w:rFonts w:ascii="Calibri" w:eastAsiaTheme="majorEastAsia" w:hAnsi="Calibri" w:cs="Calibri"/>
          <w:iCs/>
          <w:sz w:val="24"/>
        </w:rPr>
      </w:pPr>
      <w:r w:rsidRPr="00957DC3">
        <w:rPr>
          <w:rFonts w:ascii="Calibri" w:eastAsiaTheme="majorEastAsia" w:hAnsi="Calibri" w:cs="Calibri"/>
          <w:iCs/>
          <w:sz w:val="24"/>
        </w:rPr>
        <w:t>l’idée de création d’un Compte Unique du Trésor (CUT) sera concrétisée afin de permettre à la tutelle et au Ministère des Finances d’avoir un regard vigilent sur la politique d’endettement des structures.</w:t>
      </w:r>
    </w:p>
    <w:p w14:paraId="42507350" w14:textId="77777777" w:rsidR="004649AB" w:rsidRDefault="004649AB" w:rsidP="00F12682">
      <w:pPr>
        <w:spacing w:after="120" w:line="276" w:lineRule="auto"/>
        <w:jc w:val="both"/>
        <w:rPr>
          <w:rFonts w:ascii="Calibri" w:eastAsiaTheme="majorEastAsia" w:hAnsi="Calibri" w:cs="Calibri"/>
          <w:iCs/>
          <w:sz w:val="24"/>
        </w:rPr>
      </w:pPr>
    </w:p>
    <w:p w14:paraId="50A37E94" w14:textId="51F66963" w:rsidR="00440C55" w:rsidRPr="004A5122" w:rsidRDefault="00440C55" w:rsidP="00F12682">
      <w:pPr>
        <w:pStyle w:val="Titre3"/>
        <w:numPr>
          <w:ilvl w:val="2"/>
          <w:numId w:val="21"/>
        </w:numPr>
        <w:rPr>
          <w:rFonts w:cstheme="minorHAnsi"/>
        </w:rPr>
      </w:pPr>
      <w:bookmarkStart w:id="69" w:name="_Toc529305021"/>
      <w:r w:rsidRPr="00440C55">
        <w:rPr>
          <w:rFonts w:asciiTheme="minorHAnsi" w:hAnsiTheme="minorHAnsi" w:cstheme="minorHAnsi"/>
        </w:rPr>
        <w:t>Dispositif National de Prévention et de Gestion des Crises Alimentaires (DNPGCA)</w:t>
      </w:r>
      <w:bookmarkEnd w:id="69"/>
    </w:p>
    <w:p w14:paraId="054FEE40" w14:textId="13230208" w:rsidR="00440C55" w:rsidRPr="00440C55" w:rsidRDefault="00440C55" w:rsidP="00F12682">
      <w:pPr>
        <w:pStyle w:val="Titre4"/>
      </w:pPr>
      <w:r w:rsidRPr="00440C55">
        <w:t>Analyse de la planification/programmation et de la budgétisation des dépenses</w:t>
      </w:r>
      <w:r w:rsidR="00943352" w:rsidRPr="00943352">
        <w:t xml:space="preserve"> </w:t>
      </w:r>
      <w:r w:rsidR="00943352" w:rsidRPr="00943352">
        <w:rPr>
          <w:rFonts w:asciiTheme="minorHAnsi" w:hAnsiTheme="minorHAnsi" w:cstheme="minorHAnsi"/>
        </w:rPr>
        <w:t>et de reddition des comptes</w:t>
      </w:r>
    </w:p>
    <w:p w14:paraId="6673B7BB" w14:textId="77777777" w:rsidR="00440C55" w:rsidRPr="00440C55" w:rsidRDefault="00440C55" w:rsidP="00F12682">
      <w:pPr>
        <w:spacing w:after="120" w:line="276" w:lineRule="auto"/>
        <w:jc w:val="both"/>
        <w:rPr>
          <w:rFonts w:ascii="Calibri" w:eastAsiaTheme="majorEastAsia" w:hAnsi="Calibri" w:cs="Calibri"/>
          <w:iCs/>
          <w:sz w:val="24"/>
        </w:rPr>
      </w:pPr>
      <w:r w:rsidRPr="00440C55">
        <w:rPr>
          <w:rFonts w:ascii="Calibri" w:eastAsiaTheme="majorEastAsia" w:hAnsi="Calibri" w:cs="Calibri"/>
          <w:iCs/>
          <w:sz w:val="24"/>
        </w:rPr>
        <w:t xml:space="preserve">Depuis 1998, le Niger nigérien s’est doté, d’un Dispositif National de Prévention et de Gestion des Crises Alimentaires (DNPGCA) qui a connu un élargissement de son mandat à la prévention et la gestion des catastrophes en 2012, puis un recentrage de ce dernier, en décembre 2016, sur la prévention et la gestion des crises alimentaires, pastorales et nutritionnelles. </w:t>
      </w:r>
    </w:p>
    <w:p w14:paraId="005C80C4" w14:textId="77777777" w:rsidR="00440C55" w:rsidRPr="00440C55" w:rsidRDefault="00440C55" w:rsidP="00F12682">
      <w:pPr>
        <w:spacing w:after="120" w:line="276" w:lineRule="auto"/>
        <w:jc w:val="both"/>
        <w:rPr>
          <w:rFonts w:ascii="Calibri" w:eastAsiaTheme="majorEastAsia" w:hAnsi="Calibri" w:cs="Calibri"/>
          <w:iCs/>
          <w:sz w:val="24"/>
        </w:rPr>
      </w:pPr>
      <w:r w:rsidRPr="00440C55">
        <w:rPr>
          <w:rFonts w:ascii="Calibri" w:eastAsiaTheme="majorEastAsia" w:hAnsi="Calibri" w:cs="Calibri"/>
          <w:iCs/>
          <w:sz w:val="24"/>
        </w:rPr>
        <w:t xml:space="preserve">Le DNPGCA a donc comme mission principale la prévention, l’atténuation, la gestion et le relèvement précoce des incidences des crises alimentaires, pastorales et nutritionnelles affectant les populations nigériennes. Il s’inscrit pleinement dans le cadre de la Plan de Développement Economique et Social (PDES), de l’Initiative 3 N (les Nigériens Nourrissent les Nigériens) et de la Politique Nationale de Protection Sociale. </w:t>
      </w:r>
    </w:p>
    <w:p w14:paraId="0BC4F71E" w14:textId="1699F885" w:rsidR="00496C80" w:rsidRDefault="00496C80" w:rsidP="00F12682">
      <w:pPr>
        <w:spacing w:after="120" w:line="276" w:lineRule="auto"/>
        <w:jc w:val="both"/>
        <w:rPr>
          <w:rFonts w:ascii="Calibri" w:eastAsiaTheme="majorEastAsia" w:hAnsi="Calibri" w:cs="Calibri"/>
          <w:iCs/>
          <w:sz w:val="24"/>
        </w:rPr>
      </w:pPr>
      <w:r w:rsidRPr="00496C80">
        <w:rPr>
          <w:rFonts w:ascii="Calibri" w:eastAsiaTheme="majorEastAsia" w:hAnsi="Calibri" w:cs="Calibri"/>
          <w:iCs/>
          <w:sz w:val="24"/>
        </w:rPr>
        <w:t xml:space="preserve">Le DNPGCA est composé d’un Secrétariat Permanent s’appuyant sur les directions d’appui (administration et finance, audit et contrôle interne, communication et documentation, suivi-évaluation), les Cellules techniques (Cellule de Coordination du Système d’Alerte Précoce </w:t>
      </w:r>
      <w:r w:rsidR="00E55603">
        <w:rPr>
          <w:rFonts w:ascii="Calibri" w:eastAsiaTheme="majorEastAsia" w:hAnsi="Calibri" w:cs="Calibri"/>
          <w:iCs/>
          <w:sz w:val="24"/>
        </w:rPr>
        <w:t>-</w:t>
      </w:r>
      <w:r w:rsidRPr="00496C80">
        <w:rPr>
          <w:rFonts w:ascii="Calibri" w:eastAsiaTheme="majorEastAsia" w:hAnsi="Calibri" w:cs="Calibri"/>
          <w:iCs/>
          <w:sz w:val="24"/>
        </w:rPr>
        <w:t xml:space="preserve">CC/SAP, Cellule Crises Alimentaires </w:t>
      </w:r>
      <w:r w:rsidR="00E55603">
        <w:rPr>
          <w:rFonts w:ascii="Calibri" w:eastAsiaTheme="majorEastAsia" w:hAnsi="Calibri" w:cs="Calibri"/>
          <w:iCs/>
          <w:sz w:val="24"/>
        </w:rPr>
        <w:t xml:space="preserve">- </w:t>
      </w:r>
      <w:r w:rsidRPr="00496C80">
        <w:rPr>
          <w:rFonts w:ascii="Calibri" w:eastAsiaTheme="majorEastAsia" w:hAnsi="Calibri" w:cs="Calibri"/>
          <w:iCs/>
          <w:sz w:val="24"/>
        </w:rPr>
        <w:t xml:space="preserve">CCA et Cellule Filets Sociaux </w:t>
      </w:r>
      <w:r w:rsidR="00E55603">
        <w:rPr>
          <w:rFonts w:ascii="Calibri" w:eastAsiaTheme="majorEastAsia" w:hAnsi="Calibri" w:cs="Calibri"/>
          <w:iCs/>
          <w:sz w:val="24"/>
        </w:rPr>
        <w:t xml:space="preserve">- </w:t>
      </w:r>
      <w:r w:rsidRPr="00496C80">
        <w:rPr>
          <w:rFonts w:ascii="Calibri" w:eastAsiaTheme="majorEastAsia" w:hAnsi="Calibri" w:cs="Calibri"/>
          <w:iCs/>
          <w:sz w:val="24"/>
        </w:rPr>
        <w:t xml:space="preserve">CFS), l’Unité Technique de Gestion (Projet de Gestion et de Réduction des Catastrophes et de Développement Urbain </w:t>
      </w:r>
      <w:r w:rsidR="00E55603">
        <w:rPr>
          <w:rFonts w:ascii="Calibri" w:eastAsiaTheme="majorEastAsia" w:hAnsi="Calibri" w:cs="Calibri"/>
          <w:iCs/>
          <w:sz w:val="24"/>
        </w:rPr>
        <w:t xml:space="preserve">- </w:t>
      </w:r>
      <w:r w:rsidRPr="00496C80">
        <w:rPr>
          <w:rFonts w:ascii="Calibri" w:eastAsiaTheme="majorEastAsia" w:hAnsi="Calibri" w:cs="Calibri"/>
          <w:iCs/>
          <w:sz w:val="24"/>
        </w:rPr>
        <w:t xml:space="preserve">PGRC-DU) ainsi que des structures déconcentrées (Comités Régionaux et leurs Secrétariats </w:t>
      </w:r>
      <w:r w:rsidR="00E55603" w:rsidRPr="00496C80">
        <w:rPr>
          <w:rFonts w:ascii="Calibri" w:eastAsiaTheme="majorEastAsia" w:hAnsi="Calibri" w:cs="Calibri"/>
          <w:iCs/>
          <w:sz w:val="24"/>
        </w:rPr>
        <w:t xml:space="preserve">Permanents Régionaux </w:t>
      </w:r>
      <w:r w:rsidR="00E55603">
        <w:rPr>
          <w:rFonts w:ascii="Calibri" w:eastAsiaTheme="majorEastAsia" w:hAnsi="Calibri" w:cs="Calibri"/>
          <w:iCs/>
          <w:sz w:val="24"/>
        </w:rPr>
        <w:t xml:space="preserve">- </w:t>
      </w:r>
      <w:r w:rsidRPr="00496C80">
        <w:rPr>
          <w:rFonts w:ascii="Calibri" w:eastAsiaTheme="majorEastAsia" w:hAnsi="Calibri" w:cs="Calibri"/>
          <w:iCs/>
          <w:sz w:val="24"/>
        </w:rPr>
        <w:t xml:space="preserve">SPR, </w:t>
      </w:r>
      <w:r w:rsidRPr="00496C80">
        <w:rPr>
          <w:rFonts w:ascii="Calibri" w:eastAsiaTheme="majorEastAsia" w:hAnsi="Calibri" w:cs="Calibri"/>
          <w:iCs/>
          <w:sz w:val="24"/>
        </w:rPr>
        <w:lastRenderedPageBreak/>
        <w:t>Comités Sous Régionaux). L’arrêté de 2016 mentionne parmi les structures déconcentrées l’existence de Comités Locaux (dénommés également Observatoires de Suivi de la Vulnérabilité) à l’échelle des communes. En plus, le Dispositif s’appuie sur des comités techniques (groupe technique interdisciplinaire regroupant les points focaux des Ministères, groupe HEA, cellule d’analyse du cadre harmonisé, clusters sécurité alimentaire et nutrition) ainsi que sur l’Office des Produits Vivriers du Niger (OPVN), chargé de la maintenance du Stock National de Réserve (SNR) et de la logistique des aides alimentaires. Une des particularités fortes du DNPGCA est le niveau d’implication des partenaires techniques et financiers signataires de l’Accord Cadre entre l’Etat et les donateurs dans le fonctionnement du dispositif national. Les contributions des donateurs au dispositif permettent de compléter les moyens utilisés par l’Etat dans la mise en œuvre d’interventions de prévention et de gestion des catastrophes ainsi que pour le fonctionnement même du dispositif et de ses structures. Pour faciliter cette concertation « technique et financière », le dispositif national s’est doté de trois cadres de concertation « Etat – Partenaires » : la Commission Mixte de Concertation (niveau stratégique), le Comité Elargi de Concertation et Comité Restreint de Concertation (niveau opérationnel dont la gestion des fonds communs). Un groupe de dialogue DNPGCA-PTF et un secrétariat technique des PTF complètent le fonctionnement global du Dispositif.</w:t>
      </w:r>
    </w:p>
    <w:p w14:paraId="54831CAB" w14:textId="7B49EA6F" w:rsidR="00BC5313" w:rsidRDefault="00BC5313" w:rsidP="00F12682">
      <w:pPr>
        <w:spacing w:after="120" w:line="276" w:lineRule="auto"/>
        <w:jc w:val="both"/>
        <w:rPr>
          <w:rFonts w:ascii="Calibri" w:eastAsiaTheme="majorEastAsia" w:hAnsi="Calibri" w:cs="Calibri"/>
          <w:iCs/>
          <w:sz w:val="24"/>
        </w:rPr>
      </w:pPr>
      <w:r w:rsidRPr="00BC5313">
        <w:rPr>
          <w:rFonts w:ascii="Calibri" w:eastAsiaTheme="majorEastAsia" w:hAnsi="Calibri" w:cs="Calibri"/>
          <w:iCs/>
          <w:sz w:val="24"/>
        </w:rPr>
        <w:t xml:space="preserve">Pour la réalisation de son mandat, le DNPGCA dispose des principaux </w:t>
      </w:r>
      <w:r w:rsidR="00293F27">
        <w:rPr>
          <w:rFonts w:ascii="Calibri" w:eastAsiaTheme="majorEastAsia" w:hAnsi="Calibri" w:cs="Calibri"/>
          <w:iCs/>
          <w:sz w:val="24"/>
        </w:rPr>
        <w:t>outils d’intervention suivants :</w:t>
      </w:r>
      <w:r w:rsidRPr="00BC5313">
        <w:rPr>
          <w:rFonts w:ascii="Calibri" w:eastAsiaTheme="majorEastAsia" w:hAnsi="Calibri" w:cs="Calibri"/>
          <w:iCs/>
          <w:sz w:val="24"/>
        </w:rPr>
        <w:t xml:space="preserve"> i) le SNR composé d’un Stock National de Sécurité (SNS), d’une Réserve Alimentaire Stratégique (RAS) en nature (100</w:t>
      </w:r>
      <w:r>
        <w:rPr>
          <w:rFonts w:ascii="Calibri" w:eastAsiaTheme="majorEastAsia" w:hAnsi="Calibri" w:cs="Calibri"/>
          <w:iCs/>
          <w:sz w:val="24"/>
        </w:rPr>
        <w:t> </w:t>
      </w:r>
      <w:r w:rsidRPr="00BC5313">
        <w:rPr>
          <w:rFonts w:ascii="Calibri" w:eastAsiaTheme="majorEastAsia" w:hAnsi="Calibri" w:cs="Calibri"/>
          <w:iCs/>
          <w:sz w:val="24"/>
        </w:rPr>
        <w:t>000</w:t>
      </w:r>
      <w:r>
        <w:rPr>
          <w:rFonts w:ascii="Calibri" w:eastAsiaTheme="majorEastAsia" w:hAnsi="Calibri" w:cs="Calibri"/>
          <w:iCs/>
          <w:sz w:val="24"/>
        </w:rPr>
        <w:t xml:space="preserve"> </w:t>
      </w:r>
      <w:r w:rsidRPr="00BC5313">
        <w:rPr>
          <w:rFonts w:ascii="Calibri" w:eastAsiaTheme="majorEastAsia" w:hAnsi="Calibri" w:cs="Calibri"/>
          <w:iCs/>
          <w:sz w:val="24"/>
        </w:rPr>
        <w:t>Tonnes de céréales) et d’un Fonds de sécurité Alimentaire (FSA) (équivalent financier de 50</w:t>
      </w:r>
      <w:r>
        <w:rPr>
          <w:rFonts w:ascii="Calibri" w:eastAsiaTheme="majorEastAsia" w:hAnsi="Calibri" w:cs="Calibri"/>
          <w:iCs/>
          <w:sz w:val="24"/>
        </w:rPr>
        <w:t> </w:t>
      </w:r>
      <w:r w:rsidRPr="00BC5313">
        <w:rPr>
          <w:rFonts w:ascii="Calibri" w:eastAsiaTheme="majorEastAsia" w:hAnsi="Calibri" w:cs="Calibri"/>
          <w:iCs/>
          <w:sz w:val="24"/>
        </w:rPr>
        <w:t>000</w:t>
      </w:r>
      <w:r>
        <w:rPr>
          <w:rFonts w:ascii="Calibri" w:eastAsiaTheme="majorEastAsia" w:hAnsi="Calibri" w:cs="Calibri"/>
          <w:iCs/>
          <w:sz w:val="24"/>
        </w:rPr>
        <w:t xml:space="preserve"> </w:t>
      </w:r>
      <w:r w:rsidRPr="00BC5313">
        <w:rPr>
          <w:rFonts w:ascii="Calibri" w:eastAsiaTheme="majorEastAsia" w:hAnsi="Calibri" w:cs="Calibri"/>
          <w:iCs/>
          <w:sz w:val="24"/>
        </w:rPr>
        <w:t>Tonnes de céréales); ii) le Fonds d’Intervention (FI) composé par un Fonds Commun des Donateurs, les fonds bilatéraux et les fonds nationaux d’urgence.</w:t>
      </w:r>
    </w:p>
    <w:p w14:paraId="39EFAE04" w14:textId="74DC1B87" w:rsidR="00BC5313" w:rsidRPr="00BC5313" w:rsidRDefault="00BC5313" w:rsidP="00F12682">
      <w:pPr>
        <w:spacing w:after="120" w:line="276" w:lineRule="auto"/>
        <w:jc w:val="both"/>
        <w:rPr>
          <w:rFonts w:ascii="Calibri" w:eastAsiaTheme="majorEastAsia" w:hAnsi="Calibri" w:cs="Calibri"/>
          <w:iCs/>
          <w:sz w:val="24"/>
        </w:rPr>
      </w:pPr>
      <w:r w:rsidRPr="00BC5313">
        <w:rPr>
          <w:rFonts w:ascii="Calibri" w:eastAsiaTheme="majorEastAsia" w:hAnsi="Calibri" w:cs="Calibri"/>
          <w:iCs/>
          <w:sz w:val="24"/>
        </w:rPr>
        <w:t>Le DNPGCA a progressivement introduit des outils de planification de ses activités</w:t>
      </w:r>
      <w:r>
        <w:rPr>
          <w:rFonts w:ascii="Calibri" w:eastAsiaTheme="majorEastAsia" w:hAnsi="Calibri" w:cs="Calibri"/>
          <w:iCs/>
          <w:sz w:val="24"/>
        </w:rPr>
        <w:t> :</w:t>
      </w:r>
    </w:p>
    <w:p w14:paraId="3AF3A745" w14:textId="71D106DC" w:rsidR="00BC5313" w:rsidRPr="00BC5313" w:rsidRDefault="00BC5313" w:rsidP="00F12682">
      <w:pPr>
        <w:pStyle w:val="Paragraphedeliste"/>
        <w:numPr>
          <w:ilvl w:val="0"/>
          <w:numId w:val="25"/>
        </w:numPr>
        <w:spacing w:after="120" w:line="276" w:lineRule="auto"/>
        <w:ind w:left="567" w:hanging="210"/>
        <w:contextualSpacing w:val="0"/>
        <w:jc w:val="both"/>
        <w:rPr>
          <w:rFonts w:ascii="Calibri" w:eastAsiaTheme="majorEastAsia" w:hAnsi="Calibri" w:cs="Calibri"/>
          <w:iCs/>
          <w:sz w:val="24"/>
        </w:rPr>
      </w:pPr>
      <w:r w:rsidRPr="00BC5313">
        <w:rPr>
          <w:rFonts w:ascii="Calibri" w:eastAsiaTheme="majorEastAsia" w:hAnsi="Calibri" w:cs="Calibri"/>
          <w:iCs/>
          <w:sz w:val="24"/>
        </w:rPr>
        <w:t>Depuis 2010, un plan de soutien aux populations vulnérables est élaboré. Il constitue le principal cadre de référence pour toutes les interventions en matière de prévention et gestion des catastrophes et des crises alimentaires, nutritionnelles et pastorales. A partir de 2016, il est construit en une seule phase, de janvier à décembre de chaque année sur la base des informations préliminaires relatives à la campagne agropastorale et suite à la production des résultats des rencontres techniques annuelles d’identification des zones vulnérables et de l’enquête annuelle de vulnérabilité. A la fin de chaque cycle du plan, des évaluations de la réponse et de l’organisation mises en place pour sa mise en œuvre sont effectuées avec pour objectif de capitaliser l’ensemble et l’efficience des réponses faites, d’évaluer le niveau de mobilisation des ressources mais aussi pour identifier les bonnes pratiques de l’exercice et les leçons apprises</w:t>
      </w:r>
      <w:r>
        <w:rPr>
          <w:rFonts w:ascii="Calibri" w:eastAsiaTheme="majorEastAsia" w:hAnsi="Calibri" w:cs="Calibri"/>
          <w:iCs/>
          <w:sz w:val="24"/>
        </w:rPr>
        <w:t> ;</w:t>
      </w:r>
    </w:p>
    <w:p w14:paraId="3315B6D8" w14:textId="0B28A43B" w:rsidR="00BC5313" w:rsidRDefault="00BC5313" w:rsidP="00F12682">
      <w:pPr>
        <w:pStyle w:val="Paragraphedeliste"/>
        <w:numPr>
          <w:ilvl w:val="0"/>
          <w:numId w:val="25"/>
        </w:numPr>
        <w:spacing w:after="120" w:line="276" w:lineRule="auto"/>
        <w:ind w:left="567" w:hanging="210"/>
        <w:contextualSpacing w:val="0"/>
        <w:jc w:val="both"/>
        <w:rPr>
          <w:rFonts w:ascii="Calibri" w:eastAsiaTheme="majorEastAsia" w:hAnsi="Calibri" w:cs="Calibri"/>
          <w:iCs/>
          <w:sz w:val="24"/>
        </w:rPr>
      </w:pPr>
      <w:r w:rsidRPr="00BC5313">
        <w:rPr>
          <w:rFonts w:ascii="Calibri" w:eastAsiaTheme="majorEastAsia" w:hAnsi="Calibri" w:cs="Calibri"/>
          <w:iCs/>
          <w:sz w:val="24"/>
        </w:rPr>
        <w:t xml:space="preserve">Pour assurer un meilleur fonctionnement organisationnel et stratégique sur le moyen terme, le DNPGCA s’est doté depuis 2016 d’un plan triennal d’activités. Elaboré de façon participative avec l’ensemble des Cellules sous la coordination du SP et présenté à la communauté des acteurs de l’accord cadre, ce plan a pour objectif de faciliter la planification des activités avec une plus forte articulation des interventions entre elles. Il doit assurer un rôle de mobilisation et de sécurisation des financements couvrant le fonctionnement, l’investissement et la mise en </w:t>
      </w:r>
      <w:r>
        <w:rPr>
          <w:rFonts w:ascii="Calibri" w:eastAsiaTheme="majorEastAsia" w:hAnsi="Calibri" w:cs="Calibri"/>
          <w:iCs/>
          <w:sz w:val="24"/>
        </w:rPr>
        <w:t xml:space="preserve">œuvre </w:t>
      </w:r>
      <w:r w:rsidRPr="00BC5313">
        <w:rPr>
          <w:rFonts w:ascii="Calibri" w:eastAsiaTheme="majorEastAsia" w:hAnsi="Calibri" w:cs="Calibri"/>
          <w:iCs/>
          <w:sz w:val="24"/>
        </w:rPr>
        <w:t xml:space="preserve">d’activités par une meilleure anticipation sur l’ensemble de la période de 3 ans. La </w:t>
      </w:r>
      <w:r w:rsidRPr="00BC5313">
        <w:rPr>
          <w:rFonts w:ascii="Calibri" w:eastAsiaTheme="majorEastAsia" w:hAnsi="Calibri" w:cs="Calibri"/>
          <w:iCs/>
          <w:sz w:val="24"/>
        </w:rPr>
        <w:lastRenderedPageBreak/>
        <w:t>réorganisation de décembre 2016 a nécessité une actualisation du plan d’action 2017-</w:t>
      </w:r>
      <w:r>
        <w:rPr>
          <w:rFonts w:ascii="Calibri" w:eastAsiaTheme="majorEastAsia" w:hAnsi="Calibri" w:cs="Calibri"/>
          <w:iCs/>
          <w:sz w:val="24"/>
        </w:rPr>
        <w:t>20</w:t>
      </w:r>
      <w:r w:rsidRPr="00BC5313">
        <w:rPr>
          <w:rFonts w:ascii="Calibri" w:eastAsiaTheme="majorEastAsia" w:hAnsi="Calibri" w:cs="Calibri"/>
          <w:iCs/>
          <w:sz w:val="24"/>
        </w:rPr>
        <w:t xml:space="preserve">19. Il est composé de 9 résultats répartis dans </w:t>
      </w:r>
      <w:r w:rsidR="00E55603">
        <w:rPr>
          <w:rFonts w:ascii="Calibri" w:eastAsiaTheme="majorEastAsia" w:hAnsi="Calibri" w:cs="Calibri"/>
          <w:iCs/>
          <w:sz w:val="24"/>
        </w:rPr>
        <w:t>deux (2)</w:t>
      </w:r>
      <w:r w:rsidRPr="00BC5313">
        <w:rPr>
          <w:rFonts w:ascii="Calibri" w:eastAsiaTheme="majorEastAsia" w:hAnsi="Calibri" w:cs="Calibri"/>
          <w:iCs/>
          <w:sz w:val="24"/>
        </w:rPr>
        <w:t xml:space="preserve"> programmes stratégiques et </w:t>
      </w:r>
      <w:r w:rsidR="00E55603">
        <w:rPr>
          <w:rFonts w:ascii="Calibri" w:eastAsiaTheme="majorEastAsia" w:hAnsi="Calibri" w:cs="Calibri"/>
          <w:iCs/>
          <w:sz w:val="24"/>
        </w:rPr>
        <w:t>quatre (</w:t>
      </w:r>
      <w:r w:rsidRPr="00BC5313">
        <w:rPr>
          <w:rFonts w:ascii="Calibri" w:eastAsiaTheme="majorEastAsia" w:hAnsi="Calibri" w:cs="Calibri"/>
          <w:iCs/>
          <w:sz w:val="24"/>
        </w:rPr>
        <w:t>4</w:t>
      </w:r>
      <w:r w:rsidR="00E55603">
        <w:rPr>
          <w:rFonts w:ascii="Calibri" w:eastAsiaTheme="majorEastAsia" w:hAnsi="Calibri" w:cs="Calibri"/>
          <w:iCs/>
          <w:sz w:val="24"/>
        </w:rPr>
        <w:t>)</w:t>
      </w:r>
      <w:r w:rsidRPr="00BC5313">
        <w:rPr>
          <w:rFonts w:ascii="Calibri" w:eastAsiaTheme="majorEastAsia" w:hAnsi="Calibri" w:cs="Calibri"/>
          <w:iCs/>
          <w:sz w:val="24"/>
        </w:rPr>
        <w:t xml:space="preserve"> sous programmes opérationnels. Les intitulés des programmes stratégiques sont conformes à ceux définis dans le plan d’action 2016-20</w:t>
      </w:r>
      <w:r w:rsidR="00E55603">
        <w:rPr>
          <w:rFonts w:ascii="Calibri" w:eastAsiaTheme="majorEastAsia" w:hAnsi="Calibri" w:cs="Calibri"/>
          <w:iCs/>
          <w:sz w:val="24"/>
        </w:rPr>
        <w:t>20</w:t>
      </w:r>
      <w:r w:rsidRPr="00BC5313">
        <w:rPr>
          <w:rFonts w:ascii="Calibri" w:eastAsiaTheme="majorEastAsia" w:hAnsi="Calibri" w:cs="Calibri"/>
          <w:iCs/>
          <w:sz w:val="24"/>
        </w:rPr>
        <w:t xml:space="preserve"> de l’I</w:t>
      </w:r>
      <w:r>
        <w:rPr>
          <w:rFonts w:ascii="Calibri" w:eastAsiaTheme="majorEastAsia" w:hAnsi="Calibri" w:cs="Calibri"/>
          <w:iCs/>
          <w:sz w:val="24"/>
        </w:rPr>
        <w:t xml:space="preserve">nitiative </w:t>
      </w:r>
      <w:r w:rsidRPr="00BC5313">
        <w:rPr>
          <w:rFonts w:ascii="Calibri" w:eastAsiaTheme="majorEastAsia" w:hAnsi="Calibri" w:cs="Calibri"/>
          <w:iCs/>
          <w:sz w:val="24"/>
        </w:rPr>
        <w:t>3N.</w:t>
      </w:r>
    </w:p>
    <w:p w14:paraId="6314478C" w14:textId="77777777" w:rsidR="00BC5313" w:rsidRDefault="00BC5313" w:rsidP="00F12682">
      <w:pPr>
        <w:spacing w:after="0" w:line="240" w:lineRule="auto"/>
        <w:jc w:val="both"/>
        <w:rPr>
          <w:rFonts w:ascii="Calibri" w:eastAsiaTheme="majorEastAsia" w:hAnsi="Calibri" w:cs="Calibri"/>
          <w:iCs/>
          <w:sz w:val="24"/>
        </w:rPr>
      </w:pPr>
    </w:p>
    <w:p w14:paraId="77C48E08" w14:textId="44CEFE91" w:rsidR="00440C55" w:rsidRPr="00440C55" w:rsidRDefault="00440C55" w:rsidP="00F12682">
      <w:pPr>
        <w:spacing w:after="120" w:line="276" w:lineRule="auto"/>
        <w:jc w:val="both"/>
        <w:rPr>
          <w:rFonts w:ascii="Calibri" w:eastAsiaTheme="majorEastAsia" w:hAnsi="Calibri" w:cs="Calibri"/>
          <w:iCs/>
          <w:sz w:val="24"/>
        </w:rPr>
      </w:pPr>
      <w:r w:rsidRPr="00440C55">
        <w:rPr>
          <w:rFonts w:ascii="Calibri" w:eastAsiaTheme="majorEastAsia" w:hAnsi="Calibri" w:cs="Calibri"/>
          <w:iCs/>
          <w:sz w:val="24"/>
        </w:rPr>
        <w:t>Le Plan Triennal est bâti</w:t>
      </w:r>
      <w:r w:rsidR="00B878AE">
        <w:rPr>
          <w:rFonts w:ascii="Calibri" w:eastAsiaTheme="majorEastAsia" w:hAnsi="Calibri" w:cs="Calibri"/>
          <w:iCs/>
          <w:sz w:val="24"/>
        </w:rPr>
        <w:t xml:space="preserve"> sur l’architecture </w:t>
      </w:r>
      <w:r w:rsidR="00E55603">
        <w:rPr>
          <w:rFonts w:ascii="Calibri" w:eastAsiaTheme="majorEastAsia" w:hAnsi="Calibri" w:cs="Calibri"/>
          <w:iCs/>
          <w:sz w:val="24"/>
        </w:rPr>
        <w:t>suivante</w:t>
      </w:r>
      <w:r w:rsidR="00B878AE">
        <w:rPr>
          <w:rFonts w:ascii="Calibri" w:eastAsiaTheme="majorEastAsia" w:hAnsi="Calibri" w:cs="Calibri"/>
          <w:iCs/>
          <w:sz w:val="24"/>
        </w:rPr>
        <w:t> :</w:t>
      </w:r>
    </w:p>
    <w:p w14:paraId="4A89B6E7" w14:textId="727071B6" w:rsidR="00440C55" w:rsidRPr="00440C55" w:rsidRDefault="00440C55" w:rsidP="00F12682">
      <w:pPr>
        <w:pStyle w:val="Paragraphedeliste"/>
        <w:numPr>
          <w:ilvl w:val="0"/>
          <w:numId w:val="25"/>
        </w:numPr>
        <w:spacing w:after="120" w:line="276" w:lineRule="auto"/>
        <w:ind w:left="567" w:hanging="210"/>
        <w:contextualSpacing w:val="0"/>
        <w:jc w:val="both"/>
        <w:rPr>
          <w:rFonts w:ascii="Calibri" w:eastAsiaTheme="majorEastAsia" w:hAnsi="Calibri" w:cs="Calibri"/>
          <w:iCs/>
          <w:sz w:val="24"/>
        </w:rPr>
      </w:pPr>
      <w:r w:rsidRPr="00440C55">
        <w:rPr>
          <w:rFonts w:ascii="Calibri" w:eastAsiaTheme="majorEastAsia" w:hAnsi="Calibri" w:cs="Calibri"/>
          <w:iCs/>
          <w:sz w:val="24"/>
        </w:rPr>
        <w:t xml:space="preserve">Programme Stratégique 1 </w:t>
      </w:r>
      <w:r w:rsidR="00E55603">
        <w:rPr>
          <w:rFonts w:ascii="Calibri" w:eastAsiaTheme="majorEastAsia" w:hAnsi="Calibri" w:cs="Calibri"/>
          <w:iCs/>
          <w:sz w:val="24"/>
        </w:rPr>
        <w:t>(PS 1) :</w:t>
      </w:r>
      <w:r w:rsidRPr="00440C55">
        <w:rPr>
          <w:rFonts w:ascii="Calibri" w:eastAsiaTheme="majorEastAsia" w:hAnsi="Calibri" w:cs="Calibri"/>
          <w:iCs/>
          <w:sz w:val="24"/>
        </w:rPr>
        <w:t xml:space="preserve"> Renforcement des outils de réduction de la vulnérabilité chronique (filets sociaux, protection sociale), dont l’Objectif Stratégique (OS) est de garantir et sécuriser l'accès des plus vulnérables aux revenus et aux moyens d'existence</w:t>
      </w:r>
    </w:p>
    <w:p w14:paraId="203A96A9" w14:textId="5408D5A5" w:rsidR="00440C55" w:rsidRPr="00440C55" w:rsidRDefault="00440C55" w:rsidP="00F12682">
      <w:pPr>
        <w:pStyle w:val="Paragraphedeliste"/>
        <w:numPr>
          <w:ilvl w:val="0"/>
          <w:numId w:val="25"/>
        </w:numPr>
        <w:spacing w:after="120" w:line="276" w:lineRule="auto"/>
        <w:ind w:left="567" w:hanging="210"/>
        <w:contextualSpacing w:val="0"/>
        <w:jc w:val="both"/>
        <w:rPr>
          <w:rFonts w:ascii="Calibri" w:eastAsiaTheme="majorEastAsia" w:hAnsi="Calibri" w:cs="Calibri"/>
          <w:iCs/>
          <w:sz w:val="24"/>
        </w:rPr>
      </w:pPr>
      <w:r w:rsidRPr="00440C55">
        <w:rPr>
          <w:rFonts w:ascii="Calibri" w:eastAsiaTheme="majorEastAsia" w:hAnsi="Calibri" w:cs="Calibri"/>
          <w:iCs/>
          <w:sz w:val="24"/>
        </w:rPr>
        <w:t>Programme Stratégique 2</w:t>
      </w:r>
      <w:r w:rsidR="00E55603">
        <w:rPr>
          <w:rFonts w:ascii="Calibri" w:eastAsiaTheme="majorEastAsia" w:hAnsi="Calibri" w:cs="Calibri"/>
          <w:iCs/>
          <w:sz w:val="24"/>
        </w:rPr>
        <w:t xml:space="preserve"> (PS 2)</w:t>
      </w:r>
      <w:r w:rsidRPr="00440C55">
        <w:rPr>
          <w:rFonts w:ascii="Calibri" w:eastAsiaTheme="majorEastAsia" w:hAnsi="Calibri" w:cs="Calibri"/>
          <w:iCs/>
          <w:sz w:val="24"/>
        </w:rPr>
        <w:t xml:space="preserve"> : Gestion de l'insécurité alimentaire et des situations de crises, qui vise les trois (3) Objectifs Stratégiques (OS) suivants : </w:t>
      </w:r>
    </w:p>
    <w:p w14:paraId="02B2839A" w14:textId="752E5F9A" w:rsidR="00440C55" w:rsidRPr="00440C55" w:rsidRDefault="00440C55" w:rsidP="00F12682">
      <w:pPr>
        <w:pStyle w:val="Paragraphedeliste"/>
        <w:numPr>
          <w:ilvl w:val="0"/>
          <w:numId w:val="37"/>
        </w:numPr>
        <w:spacing w:after="120" w:line="276" w:lineRule="auto"/>
        <w:ind w:left="1276" w:hanging="207"/>
        <w:contextualSpacing w:val="0"/>
        <w:jc w:val="both"/>
        <w:rPr>
          <w:rFonts w:ascii="Calibri" w:eastAsiaTheme="majorEastAsia" w:hAnsi="Calibri" w:cs="Calibri"/>
          <w:iCs/>
          <w:sz w:val="24"/>
        </w:rPr>
      </w:pPr>
      <w:r w:rsidRPr="00440C55">
        <w:rPr>
          <w:rFonts w:ascii="Calibri" w:eastAsiaTheme="majorEastAsia" w:hAnsi="Calibri" w:cs="Calibri"/>
          <w:iCs/>
          <w:sz w:val="24"/>
        </w:rPr>
        <w:t>OS 1 : anticiper et apporter des réponses ponctuelles à l'insécurité alimentaire saisonnière</w:t>
      </w:r>
      <w:r w:rsidR="00AF324D">
        <w:rPr>
          <w:rFonts w:ascii="Calibri" w:eastAsiaTheme="majorEastAsia" w:hAnsi="Calibri" w:cs="Calibri"/>
          <w:iCs/>
          <w:sz w:val="24"/>
        </w:rPr>
        <w:t> ;</w:t>
      </w:r>
    </w:p>
    <w:p w14:paraId="156F52E3" w14:textId="08ACFFFF" w:rsidR="00440C55" w:rsidRPr="00440C55" w:rsidRDefault="00440C55" w:rsidP="00F12682">
      <w:pPr>
        <w:pStyle w:val="Paragraphedeliste"/>
        <w:numPr>
          <w:ilvl w:val="0"/>
          <w:numId w:val="37"/>
        </w:numPr>
        <w:spacing w:after="120" w:line="276" w:lineRule="auto"/>
        <w:ind w:left="1276" w:hanging="207"/>
        <w:contextualSpacing w:val="0"/>
        <w:jc w:val="both"/>
        <w:rPr>
          <w:rFonts w:ascii="Calibri" w:eastAsiaTheme="majorEastAsia" w:hAnsi="Calibri" w:cs="Calibri"/>
          <w:iCs/>
          <w:sz w:val="24"/>
        </w:rPr>
      </w:pPr>
      <w:r w:rsidRPr="00440C55">
        <w:rPr>
          <w:rFonts w:ascii="Calibri" w:eastAsiaTheme="majorEastAsia" w:hAnsi="Calibri" w:cs="Calibri"/>
          <w:iCs/>
          <w:sz w:val="24"/>
        </w:rPr>
        <w:t>OS 2 : anticiper et apporter des réponses aux crises soudaines (inondations, mouvements de population)</w:t>
      </w:r>
      <w:r w:rsidR="00AF324D">
        <w:rPr>
          <w:rFonts w:ascii="Calibri" w:eastAsiaTheme="majorEastAsia" w:hAnsi="Calibri" w:cs="Calibri"/>
          <w:iCs/>
          <w:sz w:val="24"/>
        </w:rPr>
        <w:t> ;</w:t>
      </w:r>
    </w:p>
    <w:p w14:paraId="6ACB7AD3" w14:textId="6FE57EB9" w:rsidR="00440C55" w:rsidRPr="00440C55" w:rsidRDefault="00440C55" w:rsidP="00F12682">
      <w:pPr>
        <w:pStyle w:val="Paragraphedeliste"/>
        <w:numPr>
          <w:ilvl w:val="0"/>
          <w:numId w:val="37"/>
        </w:numPr>
        <w:spacing w:after="120" w:line="276" w:lineRule="auto"/>
        <w:ind w:left="1276" w:hanging="207"/>
        <w:contextualSpacing w:val="0"/>
        <w:jc w:val="both"/>
        <w:rPr>
          <w:rFonts w:ascii="Calibri" w:eastAsiaTheme="majorEastAsia" w:hAnsi="Calibri" w:cs="Calibri"/>
          <w:iCs/>
          <w:sz w:val="24"/>
        </w:rPr>
      </w:pPr>
      <w:r w:rsidRPr="00440C55">
        <w:rPr>
          <w:rFonts w:ascii="Calibri" w:eastAsiaTheme="majorEastAsia" w:hAnsi="Calibri" w:cs="Calibri"/>
          <w:iCs/>
          <w:sz w:val="24"/>
        </w:rPr>
        <w:t>OS 3 : assurer la coordination et le pilotage des mécanismes d'anticipation et de réponses aux crises et catastrophes</w:t>
      </w:r>
      <w:r w:rsidR="00AF324D">
        <w:rPr>
          <w:rFonts w:ascii="Calibri" w:eastAsiaTheme="majorEastAsia" w:hAnsi="Calibri" w:cs="Calibri"/>
          <w:iCs/>
          <w:sz w:val="24"/>
        </w:rPr>
        <w:t>.</w:t>
      </w:r>
    </w:p>
    <w:p w14:paraId="1B33CF84" w14:textId="115805DD" w:rsidR="00440C55" w:rsidRDefault="00440C55" w:rsidP="00F12682">
      <w:pPr>
        <w:spacing w:after="120" w:line="276" w:lineRule="auto"/>
        <w:jc w:val="both"/>
        <w:rPr>
          <w:rFonts w:ascii="Calibri" w:eastAsiaTheme="majorEastAsia" w:hAnsi="Calibri" w:cs="Calibri"/>
          <w:iCs/>
          <w:sz w:val="24"/>
        </w:rPr>
      </w:pPr>
      <w:r w:rsidRPr="00440C55">
        <w:rPr>
          <w:rFonts w:ascii="Calibri" w:eastAsiaTheme="majorEastAsia" w:hAnsi="Calibri" w:cs="Calibri"/>
          <w:iCs/>
          <w:sz w:val="24"/>
        </w:rPr>
        <w:t>Le programme stratégique reçoit l’essentiel du budget (soit près du quadruple de la somme allouée au PS 1) parce qu’il contient, en soin sein, les actions opérationnelles directement profitables aux populations afin de les soulager, en de besoin. Ce qui peut être considéré comme une volonté d’anticipation sur les difficultés des populations dans un contexte où plusieurs signaux (</w:t>
      </w:r>
      <w:proofErr w:type="spellStart"/>
      <w:r w:rsidRPr="00440C55">
        <w:rPr>
          <w:rFonts w:ascii="Calibri" w:eastAsiaTheme="majorEastAsia" w:hAnsi="Calibri" w:cs="Calibri"/>
          <w:iCs/>
          <w:sz w:val="24"/>
        </w:rPr>
        <w:t>Boko</w:t>
      </w:r>
      <w:proofErr w:type="spellEnd"/>
      <w:r w:rsidRPr="00440C55">
        <w:rPr>
          <w:rFonts w:ascii="Calibri" w:eastAsiaTheme="majorEastAsia" w:hAnsi="Calibri" w:cs="Calibri"/>
          <w:iCs/>
          <w:sz w:val="24"/>
        </w:rPr>
        <w:t xml:space="preserve"> </w:t>
      </w:r>
      <w:proofErr w:type="spellStart"/>
      <w:r w:rsidRPr="00440C55">
        <w:rPr>
          <w:rFonts w:ascii="Calibri" w:eastAsiaTheme="majorEastAsia" w:hAnsi="Calibri" w:cs="Calibri"/>
          <w:iCs/>
          <w:sz w:val="24"/>
        </w:rPr>
        <w:t>Haram</w:t>
      </w:r>
      <w:proofErr w:type="spellEnd"/>
      <w:r w:rsidRPr="00440C55">
        <w:rPr>
          <w:rFonts w:ascii="Calibri" w:eastAsiaTheme="majorEastAsia" w:hAnsi="Calibri" w:cs="Calibri"/>
          <w:iCs/>
          <w:sz w:val="24"/>
        </w:rPr>
        <w:t>, changement climatique) alertent sur des éventuels besoins d’assistance par les populations.</w:t>
      </w:r>
    </w:p>
    <w:p w14:paraId="40E114EB" w14:textId="77777777" w:rsidR="00BC5313" w:rsidRPr="00440C55" w:rsidRDefault="00BC5313" w:rsidP="00F12682">
      <w:pPr>
        <w:spacing w:after="0" w:line="240" w:lineRule="auto"/>
        <w:jc w:val="both"/>
        <w:rPr>
          <w:rFonts w:ascii="Calibri" w:eastAsiaTheme="majorEastAsia" w:hAnsi="Calibri" w:cs="Calibri"/>
          <w:iCs/>
          <w:sz w:val="24"/>
        </w:rPr>
      </w:pPr>
    </w:p>
    <w:p w14:paraId="01E24259" w14:textId="77777777" w:rsidR="00440C55" w:rsidRPr="00440C55" w:rsidRDefault="00440C55" w:rsidP="00F12682">
      <w:pPr>
        <w:pStyle w:val="Titre4"/>
        <w:rPr>
          <w:rFonts w:asciiTheme="minorHAnsi" w:hAnsiTheme="minorHAnsi" w:cstheme="minorHAnsi"/>
        </w:rPr>
      </w:pPr>
      <w:r w:rsidRPr="00440C55">
        <w:rPr>
          <w:rFonts w:asciiTheme="minorHAnsi" w:hAnsiTheme="minorHAnsi" w:cstheme="minorHAnsi"/>
        </w:rPr>
        <w:t>Synthèse et perspective en matière de GFP</w:t>
      </w:r>
    </w:p>
    <w:p w14:paraId="6017F0A0" w14:textId="77777777" w:rsidR="00440C55" w:rsidRPr="003754ED" w:rsidRDefault="00440C55" w:rsidP="00F12682">
      <w:pPr>
        <w:spacing w:after="120" w:line="276" w:lineRule="auto"/>
        <w:jc w:val="both"/>
        <w:rPr>
          <w:rFonts w:ascii="Calibri" w:eastAsiaTheme="majorEastAsia" w:hAnsi="Calibri" w:cs="Calibri"/>
          <w:iCs/>
          <w:sz w:val="24"/>
        </w:rPr>
      </w:pPr>
      <w:r w:rsidRPr="003754ED">
        <w:rPr>
          <w:rFonts w:ascii="Calibri" w:eastAsiaTheme="majorEastAsia" w:hAnsi="Calibri" w:cs="Calibri"/>
          <w:iCs/>
          <w:sz w:val="24"/>
        </w:rPr>
        <w:t xml:space="preserve">La contreperformance du DNPGCA en matière de gestion financière contraste avec les besoins des populations qui sont de plus en plus nombreuses à assister. Le DNPGCA éprouve d’énormes difficultés pour lesquelles des solutions idoines doivent être apportées. </w:t>
      </w:r>
    </w:p>
    <w:p w14:paraId="11770EFC" w14:textId="77777777" w:rsidR="00440C55" w:rsidRPr="003754ED" w:rsidRDefault="00440C55" w:rsidP="00F12682">
      <w:pPr>
        <w:spacing w:after="120" w:line="276" w:lineRule="auto"/>
        <w:jc w:val="both"/>
        <w:rPr>
          <w:rFonts w:ascii="Calibri" w:eastAsiaTheme="majorEastAsia" w:hAnsi="Calibri" w:cs="Calibri"/>
          <w:iCs/>
          <w:sz w:val="24"/>
        </w:rPr>
      </w:pPr>
      <w:r w:rsidRPr="003754ED">
        <w:rPr>
          <w:rFonts w:ascii="Calibri" w:eastAsiaTheme="majorEastAsia" w:hAnsi="Calibri" w:cs="Calibri"/>
          <w:iCs/>
          <w:sz w:val="24"/>
        </w:rPr>
        <w:t xml:space="preserve">Les contraintes soulevées tournent, pour l’essentiel, autour des points suivants : </w:t>
      </w:r>
    </w:p>
    <w:p w14:paraId="1F869066" w14:textId="2B88471A" w:rsidR="00440C55" w:rsidRPr="003754ED" w:rsidRDefault="003754ED"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Disfonctionnement</w:t>
      </w:r>
      <w:r w:rsidR="00440C55" w:rsidRPr="003754ED">
        <w:rPr>
          <w:rFonts w:ascii="Calibri" w:eastAsiaTheme="majorEastAsia" w:hAnsi="Calibri" w:cs="Calibri"/>
          <w:iCs/>
          <w:sz w:val="24"/>
        </w:rPr>
        <w:t xml:space="preserve"> organisationnel qui ne favorise pas une bonne mise en œuvre du plan triennal ;</w:t>
      </w:r>
    </w:p>
    <w:p w14:paraId="085E4B09" w14:textId="2D7F4063" w:rsidR="00440C55" w:rsidRPr="003754ED" w:rsidRDefault="003754ED"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Exis</w:t>
      </w:r>
      <w:r w:rsidR="00440C55" w:rsidRPr="003754ED">
        <w:rPr>
          <w:rFonts w:ascii="Calibri" w:eastAsiaTheme="majorEastAsia" w:hAnsi="Calibri" w:cs="Calibri"/>
          <w:iCs/>
          <w:sz w:val="24"/>
        </w:rPr>
        <w:t>tence de plusieurs procédures ce qui constitue un frein dans l’exécution des activités ;</w:t>
      </w:r>
    </w:p>
    <w:p w14:paraId="247151AB" w14:textId="2161350D" w:rsidR="00440C55" w:rsidRPr="003754ED" w:rsidRDefault="003754ED"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Absence de stratégie commune de communication fiable du dnpgca</w:t>
      </w:r>
      <w:r w:rsidR="00440C55" w:rsidRPr="003754ED">
        <w:rPr>
          <w:rFonts w:ascii="Calibri" w:eastAsiaTheme="majorEastAsia" w:hAnsi="Calibri" w:cs="Calibri"/>
          <w:iCs/>
          <w:sz w:val="24"/>
        </w:rPr>
        <w:t xml:space="preserve"> avec les autres structures partenaires ;</w:t>
      </w:r>
    </w:p>
    <w:p w14:paraId="2A56C5D8" w14:textId="2280EA0D" w:rsidR="00440C55" w:rsidRPr="003754ED" w:rsidRDefault="003754ED"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Faible</w:t>
      </w:r>
      <w:r w:rsidR="00440C55" w:rsidRPr="003754ED">
        <w:rPr>
          <w:rFonts w:ascii="Calibri" w:eastAsiaTheme="majorEastAsia" w:hAnsi="Calibri" w:cs="Calibri"/>
          <w:iCs/>
          <w:sz w:val="24"/>
        </w:rPr>
        <w:t xml:space="preserve"> capacité en production des bilans techniques et financiers ;</w:t>
      </w:r>
    </w:p>
    <w:p w14:paraId="5DF0B633" w14:textId="7A62ABE3" w:rsidR="00440C55" w:rsidRPr="003754ED" w:rsidRDefault="003754ED"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Absence</w:t>
      </w:r>
      <w:r w:rsidR="00440C55" w:rsidRPr="003754ED">
        <w:rPr>
          <w:rFonts w:ascii="Calibri" w:eastAsiaTheme="majorEastAsia" w:hAnsi="Calibri" w:cs="Calibri"/>
          <w:iCs/>
          <w:sz w:val="24"/>
        </w:rPr>
        <w:t xml:space="preserve"> à l’interne d’outils de suivi et évaluation des activités ;</w:t>
      </w:r>
    </w:p>
    <w:p w14:paraId="768AAE59" w14:textId="2713DC12" w:rsidR="00440C55" w:rsidRPr="003754ED" w:rsidRDefault="003754ED"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Insuffisance d</w:t>
      </w:r>
      <w:r w:rsidR="00440C55" w:rsidRPr="003754ED">
        <w:rPr>
          <w:rFonts w:ascii="Calibri" w:eastAsiaTheme="majorEastAsia" w:hAnsi="Calibri" w:cs="Calibri"/>
          <w:iCs/>
          <w:sz w:val="24"/>
        </w:rPr>
        <w:t>e dynamisme et de</w:t>
      </w:r>
      <w:r w:rsidRPr="003754ED">
        <w:rPr>
          <w:rFonts w:ascii="Calibri" w:eastAsiaTheme="majorEastAsia" w:hAnsi="Calibri" w:cs="Calibri"/>
          <w:iCs/>
          <w:sz w:val="24"/>
        </w:rPr>
        <w:t xml:space="preserve"> synergie pour rendre opérationnel et améliorer la coordination du dnpgca</w:t>
      </w:r>
      <w:r w:rsidR="00440C55" w:rsidRPr="003754ED">
        <w:rPr>
          <w:rFonts w:ascii="Calibri" w:eastAsiaTheme="majorEastAsia" w:hAnsi="Calibri" w:cs="Calibri"/>
          <w:iCs/>
          <w:sz w:val="24"/>
        </w:rPr>
        <w:t xml:space="preserve"> tant au niveau central que régional ;</w:t>
      </w:r>
    </w:p>
    <w:p w14:paraId="414F74C8" w14:textId="3517F1C3" w:rsidR="00440C55" w:rsidRPr="003754ED" w:rsidRDefault="003754ED"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lastRenderedPageBreak/>
        <w:t xml:space="preserve">Insuffisance de </w:t>
      </w:r>
      <w:r w:rsidR="00440C55" w:rsidRPr="003754ED">
        <w:rPr>
          <w:rFonts w:ascii="Calibri" w:eastAsiaTheme="majorEastAsia" w:hAnsi="Calibri" w:cs="Calibri"/>
          <w:iCs/>
          <w:sz w:val="24"/>
        </w:rPr>
        <w:t xml:space="preserve">coordination avec les acteurs sectoriels.  </w:t>
      </w:r>
    </w:p>
    <w:p w14:paraId="203FFE97" w14:textId="77777777" w:rsidR="00440C55" w:rsidRPr="003754ED" w:rsidRDefault="00440C55" w:rsidP="00F12682">
      <w:pPr>
        <w:spacing w:after="120" w:line="276" w:lineRule="auto"/>
        <w:jc w:val="both"/>
        <w:rPr>
          <w:rFonts w:ascii="Calibri" w:eastAsiaTheme="majorEastAsia" w:hAnsi="Calibri" w:cs="Calibri"/>
          <w:iCs/>
          <w:sz w:val="24"/>
        </w:rPr>
      </w:pPr>
      <w:r w:rsidRPr="003754ED">
        <w:rPr>
          <w:rFonts w:ascii="Calibri" w:eastAsiaTheme="majorEastAsia" w:hAnsi="Calibri" w:cs="Calibri"/>
          <w:iCs/>
          <w:sz w:val="24"/>
        </w:rPr>
        <w:t xml:space="preserve">Toutes choses qui ont des effets pervers sur les allocations futures du DNPGCA. </w:t>
      </w:r>
    </w:p>
    <w:p w14:paraId="5216A9D7" w14:textId="77777777" w:rsidR="00440C55" w:rsidRPr="003754ED" w:rsidRDefault="00440C55" w:rsidP="00F12682">
      <w:pPr>
        <w:spacing w:after="120" w:line="276" w:lineRule="auto"/>
        <w:jc w:val="both"/>
        <w:rPr>
          <w:rFonts w:ascii="Calibri" w:eastAsiaTheme="majorEastAsia" w:hAnsi="Calibri" w:cs="Calibri"/>
          <w:iCs/>
          <w:sz w:val="24"/>
        </w:rPr>
      </w:pPr>
      <w:r w:rsidRPr="003754ED">
        <w:rPr>
          <w:rFonts w:ascii="Calibri" w:eastAsiaTheme="majorEastAsia" w:hAnsi="Calibri" w:cs="Calibri"/>
          <w:iCs/>
          <w:sz w:val="24"/>
        </w:rPr>
        <w:t>En perspective, le DNPGCA se fixe les orientations ci-après :</w:t>
      </w:r>
    </w:p>
    <w:p w14:paraId="4A7E85C8" w14:textId="77777777" w:rsidR="00440C55" w:rsidRPr="003754ED" w:rsidRDefault="00440C55"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Amélioration du cadre organisationnel pour mettre en œuvre le plan triennal ;</w:t>
      </w:r>
    </w:p>
    <w:p w14:paraId="72DF19FA" w14:textId="77777777" w:rsidR="00440C55" w:rsidRPr="003754ED" w:rsidRDefault="00440C55"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Elaboration et opérationnalisation du manuel de procédure ;</w:t>
      </w:r>
    </w:p>
    <w:p w14:paraId="73F4813B" w14:textId="77777777" w:rsidR="00440C55" w:rsidRPr="003754ED" w:rsidRDefault="00440C55"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Identification et formation des acteurs locaux pour répondre aux besoins de proximité ;</w:t>
      </w:r>
    </w:p>
    <w:p w14:paraId="060EA68E" w14:textId="4E3CBDE8" w:rsidR="00440C55" w:rsidRPr="003754ED" w:rsidRDefault="00440C55"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Mise en place d’une stratégie commune de communication fiable du DN</w:t>
      </w:r>
      <w:r w:rsidR="00402DDE">
        <w:rPr>
          <w:rFonts w:ascii="Calibri" w:eastAsiaTheme="majorEastAsia" w:hAnsi="Calibri" w:cs="Calibri"/>
          <w:iCs/>
          <w:sz w:val="24"/>
        </w:rPr>
        <w:t>PGCA</w:t>
      </w:r>
      <w:r w:rsidRPr="003754ED">
        <w:rPr>
          <w:rFonts w:ascii="Calibri" w:eastAsiaTheme="majorEastAsia" w:hAnsi="Calibri" w:cs="Calibri"/>
          <w:iCs/>
          <w:sz w:val="24"/>
        </w:rPr>
        <w:t xml:space="preserve"> avec les autres structures partenaires ;</w:t>
      </w:r>
    </w:p>
    <w:p w14:paraId="7B183B46" w14:textId="77777777" w:rsidR="00440C55" w:rsidRPr="003754ED" w:rsidRDefault="00440C55"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Renforcement de capacité en production des bilans techniques et financiers (formation des cadres et achat de logiciel de comptabilité) ;</w:t>
      </w:r>
    </w:p>
    <w:p w14:paraId="6BA6D447" w14:textId="77777777" w:rsidR="00440C55" w:rsidRPr="003754ED" w:rsidRDefault="00440C55"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Mise en place à l’interne des outils de suivi et évaluation des activités.</w:t>
      </w:r>
    </w:p>
    <w:p w14:paraId="284815B3" w14:textId="205A9617" w:rsidR="003754ED" w:rsidRDefault="00440C55"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Créer le dynamisme et la synergie pour rendre opérationnel et améliorer la coordination du DN</w:t>
      </w:r>
      <w:r w:rsidR="00402DDE">
        <w:rPr>
          <w:rFonts w:ascii="Calibri" w:eastAsiaTheme="majorEastAsia" w:hAnsi="Calibri" w:cs="Calibri"/>
          <w:iCs/>
          <w:sz w:val="24"/>
        </w:rPr>
        <w:t>PGCA</w:t>
      </w:r>
      <w:r w:rsidRPr="003754ED">
        <w:rPr>
          <w:rFonts w:ascii="Calibri" w:eastAsiaTheme="majorEastAsia" w:hAnsi="Calibri" w:cs="Calibri"/>
          <w:iCs/>
          <w:sz w:val="24"/>
        </w:rPr>
        <w:t xml:space="preserve"> tant au niveau central que régional ;</w:t>
      </w:r>
    </w:p>
    <w:p w14:paraId="22AA967D" w14:textId="49720B7A" w:rsidR="00440C55" w:rsidRPr="003754ED" w:rsidRDefault="00440C55" w:rsidP="00F12682">
      <w:pPr>
        <w:pStyle w:val="Paragraphedeliste"/>
        <w:numPr>
          <w:ilvl w:val="0"/>
          <w:numId w:val="25"/>
        </w:numPr>
        <w:spacing w:after="60" w:line="276" w:lineRule="auto"/>
        <w:ind w:left="567" w:hanging="210"/>
        <w:contextualSpacing w:val="0"/>
        <w:jc w:val="both"/>
        <w:rPr>
          <w:rFonts w:ascii="Calibri" w:eastAsiaTheme="majorEastAsia" w:hAnsi="Calibri" w:cs="Calibri"/>
          <w:iCs/>
          <w:sz w:val="24"/>
        </w:rPr>
      </w:pPr>
      <w:r w:rsidRPr="003754ED">
        <w:rPr>
          <w:rFonts w:ascii="Calibri" w:eastAsiaTheme="majorEastAsia" w:hAnsi="Calibri" w:cs="Calibri"/>
          <w:iCs/>
          <w:sz w:val="24"/>
        </w:rPr>
        <w:t>Améliorer la coordination avec les acteurs sectoriels à travers l’organisation des réunions périodiques</w:t>
      </w:r>
      <w:r w:rsidR="00DB747C">
        <w:rPr>
          <w:rFonts w:ascii="Calibri" w:eastAsiaTheme="majorEastAsia" w:hAnsi="Calibri" w:cs="Calibri"/>
          <w:iCs/>
          <w:sz w:val="24"/>
        </w:rPr>
        <w:t>.</w:t>
      </w:r>
    </w:p>
    <w:p w14:paraId="33310B6A" w14:textId="77777777" w:rsidR="00440C55" w:rsidRDefault="00440C55" w:rsidP="00F12682">
      <w:pPr>
        <w:spacing w:after="120" w:line="276" w:lineRule="auto"/>
        <w:jc w:val="both"/>
        <w:rPr>
          <w:rFonts w:ascii="Calibri" w:eastAsiaTheme="majorEastAsia" w:hAnsi="Calibri" w:cs="Calibri"/>
          <w:iCs/>
          <w:sz w:val="24"/>
        </w:rPr>
      </w:pPr>
    </w:p>
    <w:p w14:paraId="10D3B026" w14:textId="77777777" w:rsidR="00542CF1" w:rsidRPr="004A5122" w:rsidRDefault="00542CF1" w:rsidP="00F12682">
      <w:pPr>
        <w:pStyle w:val="Titre3"/>
        <w:numPr>
          <w:ilvl w:val="2"/>
          <w:numId w:val="21"/>
        </w:numPr>
        <w:rPr>
          <w:rFonts w:cstheme="minorHAnsi"/>
        </w:rPr>
      </w:pPr>
      <w:bookmarkStart w:id="70" w:name="_Toc523405226"/>
      <w:bookmarkStart w:id="71" w:name="_Toc523405318"/>
      <w:bookmarkStart w:id="72" w:name="_Toc523577353"/>
      <w:bookmarkStart w:id="73" w:name="_Toc523405227"/>
      <w:bookmarkStart w:id="74" w:name="_Toc523405319"/>
      <w:bookmarkStart w:id="75" w:name="_Toc523577354"/>
      <w:bookmarkStart w:id="76" w:name="_Toc523405228"/>
      <w:bookmarkStart w:id="77" w:name="_Toc523405320"/>
      <w:bookmarkStart w:id="78" w:name="_Toc523577355"/>
      <w:bookmarkStart w:id="79" w:name="_Toc523405229"/>
      <w:bookmarkStart w:id="80" w:name="_Toc523405321"/>
      <w:bookmarkStart w:id="81" w:name="_Toc523577356"/>
      <w:bookmarkStart w:id="82" w:name="_Toc523405230"/>
      <w:bookmarkStart w:id="83" w:name="_Toc523405322"/>
      <w:bookmarkStart w:id="84" w:name="_Toc523577357"/>
      <w:bookmarkStart w:id="85" w:name="_Toc523405231"/>
      <w:bookmarkStart w:id="86" w:name="_Toc523405323"/>
      <w:bookmarkStart w:id="87" w:name="_Toc523577358"/>
      <w:bookmarkStart w:id="88" w:name="_Toc523405232"/>
      <w:bookmarkStart w:id="89" w:name="_Toc523405324"/>
      <w:bookmarkStart w:id="90" w:name="_Toc523577359"/>
      <w:bookmarkStart w:id="91" w:name="_Toc52930502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A5122">
        <w:rPr>
          <w:rFonts w:asciiTheme="minorHAnsi" w:hAnsiTheme="minorHAnsi" w:cstheme="minorHAnsi"/>
        </w:rPr>
        <w:t>Ministère des Actions humanitaires et de la Gestion des Catastrophes (MAH/GC)</w:t>
      </w:r>
      <w:bookmarkEnd w:id="91"/>
    </w:p>
    <w:p w14:paraId="7A8D80F7" w14:textId="2DDF541D" w:rsidR="00542CF1" w:rsidRPr="00B539EB" w:rsidRDefault="00542CF1" w:rsidP="00F12682">
      <w:pPr>
        <w:pStyle w:val="Titre4"/>
        <w:rPr>
          <w:rFonts w:asciiTheme="minorHAnsi" w:hAnsiTheme="minorHAnsi" w:cstheme="minorHAnsi"/>
        </w:rPr>
      </w:pPr>
      <w:r w:rsidRPr="00B539EB">
        <w:rPr>
          <w:rFonts w:asciiTheme="minorHAnsi" w:hAnsiTheme="minorHAnsi" w:cstheme="minorHAnsi"/>
        </w:rPr>
        <w:t>Analyse de la planification/programmation</w:t>
      </w:r>
      <w:r w:rsidR="006B5B40">
        <w:rPr>
          <w:rFonts w:asciiTheme="minorHAnsi" w:hAnsiTheme="minorHAnsi" w:cstheme="minorHAnsi"/>
        </w:rPr>
        <w:t>,</w:t>
      </w:r>
      <w:r w:rsidRPr="00B539EB">
        <w:rPr>
          <w:rFonts w:asciiTheme="minorHAnsi" w:hAnsiTheme="minorHAnsi" w:cstheme="minorHAnsi"/>
        </w:rPr>
        <w:t xml:space="preserve"> de la budgétisation des dépenses</w:t>
      </w:r>
      <w:r w:rsidR="006B5B40">
        <w:rPr>
          <w:rFonts w:asciiTheme="minorHAnsi" w:hAnsiTheme="minorHAnsi" w:cstheme="minorHAnsi"/>
        </w:rPr>
        <w:t xml:space="preserve"> </w:t>
      </w:r>
      <w:r w:rsidR="006B5B40" w:rsidRPr="00B539EB">
        <w:rPr>
          <w:rFonts w:asciiTheme="minorHAnsi" w:hAnsiTheme="minorHAnsi" w:cstheme="minorHAnsi"/>
        </w:rPr>
        <w:t>et de reddition des comptes</w:t>
      </w:r>
    </w:p>
    <w:p w14:paraId="21996DE8" w14:textId="77777777" w:rsidR="00542CF1" w:rsidRPr="00B539EB" w:rsidRDefault="00542CF1" w:rsidP="00F12682">
      <w:pPr>
        <w:spacing w:after="120" w:line="276" w:lineRule="auto"/>
        <w:jc w:val="both"/>
        <w:rPr>
          <w:rFonts w:ascii="Calibri" w:eastAsiaTheme="majorEastAsia" w:hAnsi="Calibri" w:cs="Calibri"/>
          <w:iCs/>
          <w:sz w:val="24"/>
        </w:rPr>
      </w:pPr>
      <w:r w:rsidRPr="00B539EB">
        <w:rPr>
          <w:rFonts w:ascii="Calibri" w:eastAsiaTheme="majorEastAsia" w:hAnsi="Calibri" w:cs="Calibri"/>
          <w:iCs/>
          <w:sz w:val="24"/>
        </w:rPr>
        <w:t xml:space="preserve">Le département ministériel a été consacré au cours du quatrième trimestre, le MAH/GC ne disposait pas de documents propres à lui en matière de planification/programmation et de budgétisation. </w:t>
      </w:r>
    </w:p>
    <w:p w14:paraId="161A1F98" w14:textId="1761E396" w:rsidR="00542CF1" w:rsidRDefault="00542CF1" w:rsidP="00F12682">
      <w:pPr>
        <w:spacing w:after="120" w:line="276" w:lineRule="auto"/>
        <w:jc w:val="both"/>
        <w:rPr>
          <w:rFonts w:ascii="Calibri" w:eastAsiaTheme="majorEastAsia" w:hAnsi="Calibri" w:cs="Calibri"/>
          <w:iCs/>
          <w:sz w:val="24"/>
        </w:rPr>
      </w:pPr>
      <w:r w:rsidRPr="00B539EB">
        <w:rPr>
          <w:rFonts w:ascii="Calibri" w:eastAsiaTheme="majorEastAsia" w:hAnsi="Calibri" w:cs="Calibri"/>
          <w:iCs/>
          <w:sz w:val="24"/>
        </w:rPr>
        <w:t>Toutefois, ses ambitions étaient prises en compte au sein des documents similaires au niveau d’autres structures, notamment du Dispositif National de Prévention et Gestion des Catastrophes Naturelles.</w:t>
      </w:r>
      <w:r w:rsidR="003D34E5">
        <w:rPr>
          <w:rFonts w:ascii="Calibri" w:eastAsiaTheme="majorEastAsia" w:hAnsi="Calibri" w:cs="Calibri"/>
          <w:iCs/>
          <w:sz w:val="24"/>
        </w:rPr>
        <w:t xml:space="preserve"> </w:t>
      </w:r>
    </w:p>
    <w:p w14:paraId="68B317B1" w14:textId="77777777" w:rsidR="00542CF1" w:rsidRPr="0018799A" w:rsidRDefault="00542CF1" w:rsidP="00F12682">
      <w:pPr>
        <w:spacing w:after="120" w:line="276" w:lineRule="auto"/>
        <w:jc w:val="both"/>
        <w:rPr>
          <w:rFonts w:ascii="Calibri" w:eastAsiaTheme="majorEastAsia" w:hAnsi="Calibri" w:cs="Calibri"/>
          <w:iCs/>
          <w:sz w:val="24"/>
        </w:rPr>
      </w:pPr>
    </w:p>
    <w:p w14:paraId="39A0CFBF" w14:textId="77777777" w:rsidR="00542CF1" w:rsidRPr="00B539EB" w:rsidRDefault="00542CF1" w:rsidP="00F12682">
      <w:pPr>
        <w:pStyle w:val="Titre4"/>
        <w:rPr>
          <w:rFonts w:asciiTheme="minorHAnsi" w:hAnsiTheme="minorHAnsi" w:cstheme="minorHAnsi"/>
        </w:rPr>
      </w:pPr>
      <w:r w:rsidRPr="00B539EB">
        <w:rPr>
          <w:rFonts w:asciiTheme="minorHAnsi" w:hAnsiTheme="minorHAnsi" w:cstheme="minorHAnsi"/>
        </w:rPr>
        <w:t>Analyse de la Gestion des Ressources Humaines</w:t>
      </w:r>
    </w:p>
    <w:p w14:paraId="12D1F1FF" w14:textId="3DA6DD53" w:rsidR="0018799A" w:rsidRPr="0018799A" w:rsidRDefault="0018799A" w:rsidP="00F12682">
      <w:pPr>
        <w:spacing w:after="120" w:line="276" w:lineRule="auto"/>
        <w:jc w:val="both"/>
        <w:rPr>
          <w:rFonts w:ascii="Calibri" w:eastAsiaTheme="majorEastAsia" w:hAnsi="Calibri" w:cs="Calibri"/>
          <w:iCs/>
          <w:sz w:val="24"/>
        </w:rPr>
      </w:pPr>
      <w:r w:rsidRPr="0018799A">
        <w:rPr>
          <w:rFonts w:ascii="Calibri" w:eastAsiaTheme="majorEastAsia" w:hAnsi="Calibri" w:cs="Calibri"/>
          <w:iCs/>
          <w:sz w:val="24"/>
        </w:rPr>
        <w:t>En 2016 (année de sa</w:t>
      </w:r>
      <w:r w:rsidR="00402DDE">
        <w:rPr>
          <w:rFonts w:ascii="Calibri" w:eastAsiaTheme="majorEastAsia" w:hAnsi="Calibri" w:cs="Calibri"/>
          <w:iCs/>
          <w:sz w:val="24"/>
        </w:rPr>
        <w:t xml:space="preserve"> création), le MAH/GC comptait que </w:t>
      </w:r>
      <w:r w:rsidRPr="0018799A">
        <w:rPr>
          <w:rFonts w:ascii="Calibri" w:eastAsiaTheme="majorEastAsia" w:hAnsi="Calibri" w:cs="Calibri"/>
          <w:iCs/>
          <w:sz w:val="24"/>
        </w:rPr>
        <w:t>25 agents toutes catégories confondues et répartis comme suit :</w:t>
      </w:r>
    </w:p>
    <w:p w14:paraId="1B3D7D1C" w14:textId="77777777" w:rsidR="0018799A" w:rsidRPr="0018799A" w:rsidRDefault="0018799A" w:rsidP="00F12682">
      <w:pPr>
        <w:spacing w:after="120" w:line="276" w:lineRule="auto"/>
        <w:jc w:val="both"/>
        <w:rPr>
          <w:rFonts w:ascii="Calibri" w:eastAsiaTheme="majorEastAsia" w:hAnsi="Calibri" w:cs="Calibri"/>
          <w:iCs/>
          <w:sz w:val="24"/>
        </w:rPr>
      </w:pPr>
    </w:p>
    <w:p w14:paraId="20F55ADD" w14:textId="4248EB95" w:rsidR="0018799A" w:rsidRPr="00ED0E3B" w:rsidRDefault="00ED0E3B" w:rsidP="00F12682">
      <w:pPr>
        <w:pStyle w:val="Lgende"/>
        <w:rPr>
          <w:rFonts w:eastAsiaTheme="majorEastAsia" w:cs="Calibri"/>
          <w:iCs w:val="0"/>
        </w:rPr>
      </w:pPr>
      <w:bookmarkStart w:id="92" w:name="_Toc529305064"/>
      <w:r>
        <w:t xml:space="preserve">Tableau </w:t>
      </w:r>
      <w:r w:rsidR="00FA3679">
        <w:rPr>
          <w:noProof/>
        </w:rPr>
        <w:fldChar w:fldCharType="begin"/>
      </w:r>
      <w:r w:rsidR="00FA3679">
        <w:rPr>
          <w:noProof/>
        </w:rPr>
        <w:instrText xml:space="preserve"> SEQ Tableau \* ARABIC </w:instrText>
      </w:r>
      <w:r w:rsidR="00FA3679">
        <w:rPr>
          <w:noProof/>
        </w:rPr>
        <w:fldChar w:fldCharType="separate"/>
      </w:r>
      <w:r w:rsidR="001C37F0">
        <w:rPr>
          <w:noProof/>
        </w:rPr>
        <w:t>10</w:t>
      </w:r>
      <w:r w:rsidR="00FA3679">
        <w:rPr>
          <w:noProof/>
        </w:rPr>
        <w:fldChar w:fldCharType="end"/>
      </w:r>
      <w:r w:rsidR="0018799A" w:rsidRPr="00ED0E3B">
        <w:rPr>
          <w:rFonts w:eastAsiaTheme="majorEastAsia" w:cs="Calibri"/>
          <w:iCs w:val="0"/>
        </w:rPr>
        <w:t> : Répartition géographique du personnel MAH/GC en 2016</w:t>
      </w:r>
      <w:bookmarkEnd w:id="92"/>
    </w:p>
    <w:tbl>
      <w:tblPr>
        <w:tblW w:w="9645" w:type="dxa"/>
        <w:tblInd w:w="-147" w:type="dxa"/>
        <w:tblCellMar>
          <w:left w:w="70" w:type="dxa"/>
          <w:right w:w="70" w:type="dxa"/>
        </w:tblCellMar>
        <w:tblLook w:val="04A0" w:firstRow="1" w:lastRow="0" w:firstColumn="1" w:lastColumn="0" w:noHBand="0" w:noVBand="1"/>
      </w:tblPr>
      <w:tblGrid>
        <w:gridCol w:w="2339"/>
        <w:gridCol w:w="306"/>
        <w:gridCol w:w="875"/>
        <w:gridCol w:w="876"/>
        <w:gridCol w:w="1327"/>
        <w:gridCol w:w="729"/>
        <w:gridCol w:w="371"/>
        <w:gridCol w:w="1147"/>
        <w:gridCol w:w="538"/>
        <w:gridCol w:w="261"/>
        <w:gridCol w:w="876"/>
      </w:tblGrid>
      <w:tr w:rsidR="0018799A" w:rsidRPr="00650E40" w14:paraId="5D93C034" w14:textId="77777777" w:rsidTr="00293F27">
        <w:tc>
          <w:tcPr>
            <w:tcW w:w="26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B92E5" w14:textId="77777777" w:rsidR="0018799A" w:rsidRPr="00650E40" w:rsidRDefault="0018799A" w:rsidP="00F12682">
            <w:pPr>
              <w:spacing w:after="0" w:line="240" w:lineRule="auto"/>
              <w:jc w:val="center"/>
              <w:rPr>
                <w:rFonts w:ascii="Calibri" w:eastAsia="Times New Roman" w:hAnsi="Calibri" w:cs="Calibri"/>
                <w:b/>
                <w:bCs/>
                <w:i/>
                <w:iCs/>
                <w:lang w:eastAsia="fr-FR"/>
              </w:rPr>
            </w:pPr>
            <w:r w:rsidRPr="00EB6086">
              <w:rPr>
                <w:rFonts w:asciiTheme="majorHAnsi" w:eastAsiaTheme="majorEastAsia" w:hAnsiTheme="majorHAnsi" w:cstheme="majorBidi"/>
                <w:iCs/>
              </w:rPr>
              <w:t xml:space="preserve"> </w:t>
            </w:r>
            <w:r w:rsidRPr="00650E40">
              <w:rPr>
                <w:rFonts w:ascii="Calibri" w:eastAsia="Times New Roman" w:hAnsi="Calibri" w:cs="Calibri"/>
                <w:b/>
                <w:bCs/>
                <w:i/>
                <w:iCs/>
                <w:lang w:eastAsia="fr-FR"/>
              </w:rPr>
              <w:t>Service d'affectation</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742F4763" w14:textId="77777777" w:rsidR="0018799A" w:rsidRPr="00650E40" w:rsidRDefault="0018799A"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A</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54D285E4" w14:textId="77777777" w:rsidR="0018799A" w:rsidRPr="00650E40" w:rsidRDefault="0018799A"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B</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2B676F72" w14:textId="77777777" w:rsidR="0018799A" w:rsidRPr="00650E40" w:rsidRDefault="0018799A"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C</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2B264E" w14:textId="77777777" w:rsidR="0018799A" w:rsidRPr="00650E40" w:rsidRDefault="0018799A"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CAT D</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24695987" w14:textId="77777777" w:rsidR="0018799A" w:rsidRPr="00650E40" w:rsidRDefault="0018799A"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Auxiliaires</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C45B0" w14:textId="77777777" w:rsidR="0018799A" w:rsidRPr="00650E40" w:rsidRDefault="0018799A"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Total</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1E2A733D" w14:textId="77777777" w:rsidR="0018799A" w:rsidRPr="00650E40" w:rsidRDefault="0018799A"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w:t>
            </w:r>
          </w:p>
        </w:tc>
      </w:tr>
      <w:tr w:rsidR="0018799A" w:rsidRPr="00650E40" w14:paraId="62E8C765" w14:textId="77777777" w:rsidTr="00293F27">
        <w:tc>
          <w:tcPr>
            <w:tcW w:w="26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416AF4" w14:textId="77777777" w:rsidR="0018799A" w:rsidRPr="00650E40" w:rsidRDefault="0018799A"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Cabinet et SG</w:t>
            </w:r>
          </w:p>
        </w:tc>
        <w:tc>
          <w:tcPr>
            <w:tcW w:w="875" w:type="dxa"/>
            <w:tcBorders>
              <w:top w:val="nil"/>
              <w:left w:val="nil"/>
              <w:bottom w:val="single" w:sz="4" w:space="0" w:color="auto"/>
              <w:right w:val="single" w:sz="4" w:space="0" w:color="auto"/>
            </w:tcBorders>
            <w:shd w:val="clear" w:color="auto" w:fill="auto"/>
            <w:noWrap/>
            <w:vAlign w:val="center"/>
          </w:tcPr>
          <w:p w14:paraId="50B0C0DF"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4</w:t>
            </w:r>
          </w:p>
        </w:tc>
        <w:tc>
          <w:tcPr>
            <w:tcW w:w="876" w:type="dxa"/>
            <w:tcBorders>
              <w:top w:val="nil"/>
              <w:left w:val="nil"/>
              <w:bottom w:val="single" w:sz="4" w:space="0" w:color="auto"/>
              <w:right w:val="single" w:sz="4" w:space="0" w:color="auto"/>
            </w:tcBorders>
            <w:shd w:val="clear" w:color="auto" w:fill="auto"/>
            <w:noWrap/>
            <w:vAlign w:val="center"/>
          </w:tcPr>
          <w:p w14:paraId="27E407A0"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1</w:t>
            </w:r>
          </w:p>
        </w:tc>
        <w:tc>
          <w:tcPr>
            <w:tcW w:w="1327" w:type="dxa"/>
            <w:tcBorders>
              <w:top w:val="nil"/>
              <w:left w:val="nil"/>
              <w:bottom w:val="single" w:sz="4" w:space="0" w:color="auto"/>
              <w:right w:val="single" w:sz="4" w:space="0" w:color="auto"/>
            </w:tcBorders>
            <w:shd w:val="clear" w:color="auto" w:fill="auto"/>
            <w:noWrap/>
            <w:vAlign w:val="center"/>
          </w:tcPr>
          <w:p w14:paraId="72054C14"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1</w:t>
            </w:r>
          </w:p>
        </w:tc>
        <w:tc>
          <w:tcPr>
            <w:tcW w:w="1100" w:type="dxa"/>
            <w:gridSpan w:val="2"/>
            <w:tcBorders>
              <w:top w:val="nil"/>
              <w:left w:val="nil"/>
              <w:bottom w:val="single" w:sz="4" w:space="0" w:color="auto"/>
              <w:right w:val="single" w:sz="4" w:space="0" w:color="auto"/>
            </w:tcBorders>
            <w:shd w:val="clear" w:color="auto" w:fill="auto"/>
            <w:noWrap/>
            <w:vAlign w:val="center"/>
          </w:tcPr>
          <w:p w14:paraId="50449BFE"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47" w:type="dxa"/>
            <w:tcBorders>
              <w:top w:val="nil"/>
              <w:left w:val="nil"/>
              <w:bottom w:val="single" w:sz="4" w:space="0" w:color="auto"/>
              <w:right w:val="single" w:sz="4" w:space="0" w:color="auto"/>
            </w:tcBorders>
            <w:shd w:val="clear" w:color="auto" w:fill="auto"/>
            <w:noWrap/>
            <w:vAlign w:val="center"/>
          </w:tcPr>
          <w:p w14:paraId="73213B82"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2</w:t>
            </w:r>
          </w:p>
        </w:tc>
        <w:tc>
          <w:tcPr>
            <w:tcW w:w="799" w:type="dxa"/>
            <w:gridSpan w:val="2"/>
            <w:tcBorders>
              <w:top w:val="nil"/>
              <w:left w:val="nil"/>
              <w:bottom w:val="single" w:sz="4" w:space="0" w:color="auto"/>
              <w:right w:val="single" w:sz="4" w:space="0" w:color="auto"/>
            </w:tcBorders>
            <w:shd w:val="clear" w:color="auto" w:fill="auto"/>
            <w:noWrap/>
            <w:vAlign w:val="center"/>
          </w:tcPr>
          <w:p w14:paraId="5CF4DB11" w14:textId="77777777" w:rsidR="0018799A" w:rsidRPr="00294337" w:rsidRDefault="0018799A"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8</w:t>
            </w:r>
          </w:p>
        </w:tc>
        <w:tc>
          <w:tcPr>
            <w:tcW w:w="876" w:type="dxa"/>
            <w:tcBorders>
              <w:top w:val="nil"/>
              <w:left w:val="nil"/>
              <w:bottom w:val="single" w:sz="4" w:space="0" w:color="auto"/>
              <w:right w:val="single" w:sz="4" w:space="0" w:color="auto"/>
            </w:tcBorders>
            <w:shd w:val="clear" w:color="auto" w:fill="auto"/>
            <w:noWrap/>
            <w:vAlign w:val="center"/>
          </w:tcPr>
          <w:p w14:paraId="38850A4C"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73%</w:t>
            </w:r>
          </w:p>
        </w:tc>
      </w:tr>
      <w:tr w:rsidR="0018799A" w:rsidRPr="00650E40" w14:paraId="13183318" w14:textId="77777777" w:rsidTr="00293F27">
        <w:tc>
          <w:tcPr>
            <w:tcW w:w="26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659F7" w14:textId="77777777" w:rsidR="0018799A" w:rsidRPr="00650E40" w:rsidRDefault="0018799A"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Directions techniques</w:t>
            </w:r>
          </w:p>
        </w:tc>
        <w:tc>
          <w:tcPr>
            <w:tcW w:w="875" w:type="dxa"/>
            <w:tcBorders>
              <w:top w:val="nil"/>
              <w:left w:val="nil"/>
              <w:bottom w:val="single" w:sz="4" w:space="0" w:color="auto"/>
              <w:right w:val="single" w:sz="4" w:space="0" w:color="auto"/>
            </w:tcBorders>
            <w:shd w:val="clear" w:color="auto" w:fill="auto"/>
            <w:noWrap/>
            <w:vAlign w:val="center"/>
          </w:tcPr>
          <w:p w14:paraId="1B261E44"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3</w:t>
            </w:r>
          </w:p>
        </w:tc>
        <w:tc>
          <w:tcPr>
            <w:tcW w:w="876" w:type="dxa"/>
            <w:tcBorders>
              <w:top w:val="nil"/>
              <w:left w:val="nil"/>
              <w:bottom w:val="single" w:sz="4" w:space="0" w:color="auto"/>
              <w:right w:val="single" w:sz="4" w:space="0" w:color="auto"/>
            </w:tcBorders>
            <w:shd w:val="clear" w:color="auto" w:fill="auto"/>
            <w:noWrap/>
            <w:vAlign w:val="center"/>
          </w:tcPr>
          <w:p w14:paraId="2063DFC3"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327" w:type="dxa"/>
            <w:tcBorders>
              <w:top w:val="nil"/>
              <w:left w:val="nil"/>
              <w:bottom w:val="single" w:sz="4" w:space="0" w:color="auto"/>
              <w:right w:val="single" w:sz="4" w:space="0" w:color="auto"/>
            </w:tcBorders>
            <w:shd w:val="clear" w:color="auto" w:fill="auto"/>
            <w:noWrap/>
            <w:vAlign w:val="center"/>
          </w:tcPr>
          <w:p w14:paraId="328BF323"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3DFB6181"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47" w:type="dxa"/>
            <w:tcBorders>
              <w:top w:val="nil"/>
              <w:left w:val="nil"/>
              <w:bottom w:val="single" w:sz="4" w:space="0" w:color="auto"/>
              <w:right w:val="single" w:sz="4" w:space="0" w:color="auto"/>
            </w:tcBorders>
            <w:shd w:val="clear" w:color="auto" w:fill="auto"/>
            <w:noWrap/>
            <w:vAlign w:val="center"/>
          </w:tcPr>
          <w:p w14:paraId="6FD858E5" w14:textId="77777777" w:rsidR="0018799A" w:rsidRPr="00294337" w:rsidRDefault="0018799A" w:rsidP="00F12682">
            <w:pPr>
              <w:spacing w:after="0" w:line="240" w:lineRule="auto"/>
              <w:jc w:val="center"/>
              <w:rPr>
                <w:rFonts w:ascii="Calibri" w:eastAsia="Times New Roman" w:hAnsi="Calibri" w:cs="Calibri"/>
                <w:lang w:eastAsia="fr-FR"/>
              </w:rPr>
            </w:pPr>
          </w:p>
        </w:tc>
        <w:tc>
          <w:tcPr>
            <w:tcW w:w="799" w:type="dxa"/>
            <w:gridSpan w:val="2"/>
            <w:tcBorders>
              <w:top w:val="nil"/>
              <w:left w:val="nil"/>
              <w:bottom w:val="single" w:sz="4" w:space="0" w:color="auto"/>
              <w:right w:val="single" w:sz="4" w:space="0" w:color="auto"/>
            </w:tcBorders>
            <w:shd w:val="clear" w:color="auto" w:fill="auto"/>
            <w:noWrap/>
            <w:vAlign w:val="center"/>
          </w:tcPr>
          <w:p w14:paraId="59D72A86" w14:textId="77777777" w:rsidR="0018799A" w:rsidRPr="00294337" w:rsidRDefault="0018799A"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3</w:t>
            </w:r>
          </w:p>
        </w:tc>
        <w:tc>
          <w:tcPr>
            <w:tcW w:w="876" w:type="dxa"/>
            <w:tcBorders>
              <w:top w:val="nil"/>
              <w:left w:val="nil"/>
              <w:bottom w:val="single" w:sz="4" w:space="0" w:color="auto"/>
              <w:right w:val="single" w:sz="4" w:space="0" w:color="auto"/>
            </w:tcBorders>
            <w:shd w:val="clear" w:color="auto" w:fill="auto"/>
            <w:noWrap/>
            <w:vAlign w:val="center"/>
          </w:tcPr>
          <w:p w14:paraId="2E872EB9"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27%</w:t>
            </w:r>
          </w:p>
        </w:tc>
      </w:tr>
      <w:tr w:rsidR="0018799A" w:rsidRPr="00650E40" w14:paraId="7A4C1863" w14:textId="77777777" w:rsidTr="00293F27">
        <w:tc>
          <w:tcPr>
            <w:tcW w:w="26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6CE8ED" w14:textId="77777777" w:rsidR="0018799A" w:rsidRPr="00650E40" w:rsidRDefault="0018799A"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Directions régionales</w:t>
            </w:r>
          </w:p>
        </w:tc>
        <w:tc>
          <w:tcPr>
            <w:tcW w:w="875" w:type="dxa"/>
            <w:tcBorders>
              <w:top w:val="nil"/>
              <w:left w:val="nil"/>
              <w:bottom w:val="single" w:sz="4" w:space="0" w:color="auto"/>
              <w:right w:val="single" w:sz="4" w:space="0" w:color="auto"/>
            </w:tcBorders>
            <w:shd w:val="clear" w:color="auto" w:fill="auto"/>
            <w:noWrap/>
            <w:vAlign w:val="center"/>
          </w:tcPr>
          <w:p w14:paraId="47309155" w14:textId="77777777" w:rsidR="0018799A" w:rsidRPr="00294337" w:rsidRDefault="0018799A" w:rsidP="00F12682">
            <w:pPr>
              <w:spacing w:after="0" w:line="240" w:lineRule="auto"/>
              <w:jc w:val="center"/>
              <w:rPr>
                <w:rFonts w:ascii="Calibri" w:eastAsia="Times New Roman" w:hAnsi="Calibri" w:cs="Calibri"/>
                <w:lang w:eastAsia="fr-FR"/>
              </w:rPr>
            </w:pPr>
          </w:p>
        </w:tc>
        <w:tc>
          <w:tcPr>
            <w:tcW w:w="876" w:type="dxa"/>
            <w:tcBorders>
              <w:top w:val="nil"/>
              <w:left w:val="nil"/>
              <w:bottom w:val="single" w:sz="4" w:space="0" w:color="auto"/>
              <w:right w:val="single" w:sz="4" w:space="0" w:color="auto"/>
            </w:tcBorders>
            <w:shd w:val="clear" w:color="auto" w:fill="auto"/>
            <w:noWrap/>
            <w:vAlign w:val="center"/>
          </w:tcPr>
          <w:p w14:paraId="2D443D6D"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327" w:type="dxa"/>
            <w:tcBorders>
              <w:top w:val="nil"/>
              <w:left w:val="nil"/>
              <w:bottom w:val="single" w:sz="4" w:space="0" w:color="auto"/>
              <w:right w:val="single" w:sz="4" w:space="0" w:color="auto"/>
            </w:tcBorders>
            <w:shd w:val="clear" w:color="auto" w:fill="auto"/>
            <w:noWrap/>
            <w:vAlign w:val="center"/>
          </w:tcPr>
          <w:p w14:paraId="2DF54661"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3599D187"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47" w:type="dxa"/>
            <w:tcBorders>
              <w:top w:val="nil"/>
              <w:left w:val="nil"/>
              <w:bottom w:val="single" w:sz="4" w:space="0" w:color="auto"/>
              <w:right w:val="single" w:sz="4" w:space="0" w:color="auto"/>
            </w:tcBorders>
            <w:shd w:val="clear" w:color="auto" w:fill="auto"/>
            <w:noWrap/>
            <w:vAlign w:val="center"/>
          </w:tcPr>
          <w:p w14:paraId="6907FD29" w14:textId="77777777" w:rsidR="0018799A" w:rsidRPr="00294337" w:rsidRDefault="0018799A" w:rsidP="00F12682">
            <w:pPr>
              <w:spacing w:after="0" w:line="240" w:lineRule="auto"/>
              <w:jc w:val="center"/>
              <w:rPr>
                <w:rFonts w:ascii="Calibri" w:eastAsia="Times New Roman" w:hAnsi="Calibri" w:cs="Calibri"/>
                <w:lang w:eastAsia="fr-FR"/>
              </w:rPr>
            </w:pPr>
          </w:p>
        </w:tc>
        <w:tc>
          <w:tcPr>
            <w:tcW w:w="799" w:type="dxa"/>
            <w:gridSpan w:val="2"/>
            <w:tcBorders>
              <w:top w:val="nil"/>
              <w:left w:val="nil"/>
              <w:bottom w:val="single" w:sz="4" w:space="0" w:color="auto"/>
              <w:right w:val="single" w:sz="4" w:space="0" w:color="auto"/>
            </w:tcBorders>
            <w:shd w:val="clear" w:color="auto" w:fill="auto"/>
            <w:noWrap/>
            <w:vAlign w:val="center"/>
          </w:tcPr>
          <w:p w14:paraId="7287F4EB" w14:textId="77777777" w:rsidR="0018799A" w:rsidRPr="00294337" w:rsidRDefault="0018799A" w:rsidP="00F12682">
            <w:pPr>
              <w:spacing w:after="0" w:line="240" w:lineRule="auto"/>
              <w:jc w:val="center"/>
              <w:rPr>
                <w:rFonts w:ascii="Calibri" w:eastAsia="Times New Roman" w:hAnsi="Calibri" w:cs="Calibri"/>
                <w:b/>
                <w:bCs/>
                <w:lang w:eastAsia="fr-FR"/>
              </w:rPr>
            </w:pPr>
          </w:p>
        </w:tc>
        <w:tc>
          <w:tcPr>
            <w:tcW w:w="876" w:type="dxa"/>
            <w:tcBorders>
              <w:top w:val="nil"/>
              <w:left w:val="nil"/>
              <w:bottom w:val="single" w:sz="4" w:space="0" w:color="auto"/>
              <w:right w:val="single" w:sz="4" w:space="0" w:color="auto"/>
            </w:tcBorders>
            <w:shd w:val="clear" w:color="auto" w:fill="auto"/>
            <w:noWrap/>
            <w:vAlign w:val="center"/>
          </w:tcPr>
          <w:p w14:paraId="64CBD235"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0%</w:t>
            </w:r>
          </w:p>
        </w:tc>
      </w:tr>
      <w:tr w:rsidR="0018799A" w:rsidRPr="00650E40" w14:paraId="63B96028" w14:textId="77777777" w:rsidTr="00293F27">
        <w:tc>
          <w:tcPr>
            <w:tcW w:w="26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5085B3" w14:textId="77777777" w:rsidR="0018799A" w:rsidRPr="00650E40" w:rsidRDefault="0018799A"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Directions départementales</w:t>
            </w:r>
          </w:p>
        </w:tc>
        <w:tc>
          <w:tcPr>
            <w:tcW w:w="875" w:type="dxa"/>
            <w:tcBorders>
              <w:top w:val="nil"/>
              <w:left w:val="nil"/>
              <w:bottom w:val="single" w:sz="4" w:space="0" w:color="auto"/>
              <w:right w:val="single" w:sz="4" w:space="0" w:color="auto"/>
            </w:tcBorders>
            <w:shd w:val="clear" w:color="auto" w:fill="auto"/>
            <w:noWrap/>
            <w:vAlign w:val="center"/>
          </w:tcPr>
          <w:p w14:paraId="3026080F" w14:textId="77777777" w:rsidR="0018799A" w:rsidRPr="00294337" w:rsidRDefault="0018799A" w:rsidP="00F12682">
            <w:pPr>
              <w:spacing w:after="0" w:line="240" w:lineRule="auto"/>
              <w:jc w:val="center"/>
              <w:rPr>
                <w:rFonts w:ascii="Calibri" w:eastAsia="Times New Roman" w:hAnsi="Calibri" w:cs="Calibri"/>
                <w:lang w:eastAsia="fr-FR"/>
              </w:rPr>
            </w:pPr>
          </w:p>
        </w:tc>
        <w:tc>
          <w:tcPr>
            <w:tcW w:w="876" w:type="dxa"/>
            <w:tcBorders>
              <w:top w:val="nil"/>
              <w:left w:val="nil"/>
              <w:bottom w:val="single" w:sz="4" w:space="0" w:color="auto"/>
              <w:right w:val="single" w:sz="4" w:space="0" w:color="auto"/>
            </w:tcBorders>
            <w:shd w:val="clear" w:color="auto" w:fill="auto"/>
            <w:noWrap/>
            <w:vAlign w:val="center"/>
          </w:tcPr>
          <w:p w14:paraId="3E0FEDBB"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327" w:type="dxa"/>
            <w:tcBorders>
              <w:top w:val="nil"/>
              <w:left w:val="nil"/>
              <w:bottom w:val="single" w:sz="4" w:space="0" w:color="auto"/>
              <w:right w:val="single" w:sz="4" w:space="0" w:color="auto"/>
            </w:tcBorders>
            <w:shd w:val="clear" w:color="auto" w:fill="auto"/>
            <w:noWrap/>
            <w:vAlign w:val="center"/>
          </w:tcPr>
          <w:p w14:paraId="04200750"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5BC53C83"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47" w:type="dxa"/>
            <w:tcBorders>
              <w:top w:val="nil"/>
              <w:left w:val="nil"/>
              <w:bottom w:val="single" w:sz="4" w:space="0" w:color="auto"/>
              <w:right w:val="single" w:sz="4" w:space="0" w:color="auto"/>
            </w:tcBorders>
            <w:shd w:val="clear" w:color="auto" w:fill="auto"/>
            <w:noWrap/>
            <w:vAlign w:val="center"/>
          </w:tcPr>
          <w:p w14:paraId="38AF4D20" w14:textId="77777777" w:rsidR="0018799A" w:rsidRPr="00294337" w:rsidRDefault="0018799A" w:rsidP="00F12682">
            <w:pPr>
              <w:spacing w:after="0" w:line="240" w:lineRule="auto"/>
              <w:jc w:val="center"/>
              <w:rPr>
                <w:rFonts w:ascii="Calibri" w:eastAsia="Times New Roman" w:hAnsi="Calibri" w:cs="Calibri"/>
                <w:lang w:eastAsia="fr-FR"/>
              </w:rPr>
            </w:pPr>
          </w:p>
        </w:tc>
        <w:tc>
          <w:tcPr>
            <w:tcW w:w="799" w:type="dxa"/>
            <w:gridSpan w:val="2"/>
            <w:tcBorders>
              <w:top w:val="nil"/>
              <w:left w:val="nil"/>
              <w:bottom w:val="single" w:sz="4" w:space="0" w:color="auto"/>
              <w:right w:val="single" w:sz="4" w:space="0" w:color="auto"/>
            </w:tcBorders>
            <w:shd w:val="clear" w:color="auto" w:fill="auto"/>
            <w:noWrap/>
            <w:vAlign w:val="center"/>
          </w:tcPr>
          <w:p w14:paraId="382E8ECE" w14:textId="77777777" w:rsidR="0018799A" w:rsidRPr="00294337" w:rsidRDefault="0018799A" w:rsidP="00F12682">
            <w:pPr>
              <w:spacing w:after="0" w:line="240" w:lineRule="auto"/>
              <w:jc w:val="center"/>
              <w:rPr>
                <w:rFonts w:ascii="Calibri" w:eastAsia="Times New Roman" w:hAnsi="Calibri" w:cs="Calibri"/>
                <w:b/>
                <w:bCs/>
                <w:lang w:eastAsia="fr-FR"/>
              </w:rPr>
            </w:pPr>
          </w:p>
        </w:tc>
        <w:tc>
          <w:tcPr>
            <w:tcW w:w="876" w:type="dxa"/>
            <w:tcBorders>
              <w:top w:val="nil"/>
              <w:left w:val="nil"/>
              <w:bottom w:val="single" w:sz="4" w:space="0" w:color="auto"/>
              <w:right w:val="single" w:sz="4" w:space="0" w:color="auto"/>
            </w:tcBorders>
            <w:shd w:val="clear" w:color="auto" w:fill="auto"/>
            <w:noWrap/>
            <w:vAlign w:val="center"/>
          </w:tcPr>
          <w:p w14:paraId="6D2947EE"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0%</w:t>
            </w:r>
          </w:p>
        </w:tc>
      </w:tr>
      <w:tr w:rsidR="0018799A" w:rsidRPr="00650E40" w14:paraId="71ED7C3D" w14:textId="77777777" w:rsidTr="00293F27">
        <w:tc>
          <w:tcPr>
            <w:tcW w:w="26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AAD18C" w14:textId="77777777" w:rsidR="0018799A" w:rsidRPr="00650E40" w:rsidRDefault="0018799A"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Services communaux</w:t>
            </w:r>
          </w:p>
        </w:tc>
        <w:tc>
          <w:tcPr>
            <w:tcW w:w="875" w:type="dxa"/>
            <w:tcBorders>
              <w:top w:val="nil"/>
              <w:left w:val="nil"/>
              <w:bottom w:val="single" w:sz="4" w:space="0" w:color="auto"/>
              <w:right w:val="single" w:sz="4" w:space="0" w:color="auto"/>
            </w:tcBorders>
            <w:shd w:val="clear" w:color="auto" w:fill="auto"/>
            <w:noWrap/>
            <w:vAlign w:val="center"/>
          </w:tcPr>
          <w:p w14:paraId="0935BABC" w14:textId="77777777" w:rsidR="0018799A" w:rsidRPr="00294337" w:rsidRDefault="0018799A" w:rsidP="00F12682">
            <w:pPr>
              <w:spacing w:after="0" w:line="240" w:lineRule="auto"/>
              <w:jc w:val="center"/>
              <w:rPr>
                <w:rFonts w:ascii="Calibri" w:eastAsia="Times New Roman" w:hAnsi="Calibri" w:cs="Calibri"/>
                <w:lang w:eastAsia="fr-FR"/>
              </w:rPr>
            </w:pPr>
          </w:p>
        </w:tc>
        <w:tc>
          <w:tcPr>
            <w:tcW w:w="876" w:type="dxa"/>
            <w:tcBorders>
              <w:top w:val="nil"/>
              <w:left w:val="nil"/>
              <w:bottom w:val="single" w:sz="4" w:space="0" w:color="auto"/>
              <w:right w:val="single" w:sz="4" w:space="0" w:color="auto"/>
            </w:tcBorders>
            <w:shd w:val="clear" w:color="auto" w:fill="auto"/>
            <w:noWrap/>
            <w:vAlign w:val="center"/>
          </w:tcPr>
          <w:p w14:paraId="6D496DB9"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327" w:type="dxa"/>
            <w:tcBorders>
              <w:top w:val="nil"/>
              <w:left w:val="nil"/>
              <w:bottom w:val="single" w:sz="4" w:space="0" w:color="auto"/>
              <w:right w:val="single" w:sz="4" w:space="0" w:color="auto"/>
            </w:tcBorders>
            <w:shd w:val="clear" w:color="auto" w:fill="auto"/>
            <w:noWrap/>
            <w:vAlign w:val="center"/>
          </w:tcPr>
          <w:p w14:paraId="35035196"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5B5DB93D"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47" w:type="dxa"/>
            <w:tcBorders>
              <w:top w:val="nil"/>
              <w:left w:val="nil"/>
              <w:bottom w:val="single" w:sz="4" w:space="0" w:color="auto"/>
              <w:right w:val="single" w:sz="4" w:space="0" w:color="auto"/>
            </w:tcBorders>
            <w:shd w:val="clear" w:color="auto" w:fill="auto"/>
            <w:noWrap/>
            <w:vAlign w:val="center"/>
          </w:tcPr>
          <w:p w14:paraId="35983985" w14:textId="77777777" w:rsidR="0018799A" w:rsidRPr="00294337" w:rsidRDefault="0018799A" w:rsidP="00F12682">
            <w:pPr>
              <w:spacing w:after="0" w:line="240" w:lineRule="auto"/>
              <w:jc w:val="center"/>
              <w:rPr>
                <w:rFonts w:ascii="Calibri" w:eastAsia="Times New Roman" w:hAnsi="Calibri" w:cs="Calibri"/>
                <w:lang w:eastAsia="fr-FR"/>
              </w:rPr>
            </w:pPr>
          </w:p>
        </w:tc>
        <w:tc>
          <w:tcPr>
            <w:tcW w:w="799" w:type="dxa"/>
            <w:gridSpan w:val="2"/>
            <w:tcBorders>
              <w:top w:val="nil"/>
              <w:left w:val="nil"/>
              <w:bottom w:val="single" w:sz="4" w:space="0" w:color="auto"/>
              <w:right w:val="single" w:sz="4" w:space="0" w:color="auto"/>
            </w:tcBorders>
            <w:shd w:val="clear" w:color="auto" w:fill="auto"/>
            <w:noWrap/>
            <w:vAlign w:val="center"/>
          </w:tcPr>
          <w:p w14:paraId="2BE36D6C" w14:textId="77777777" w:rsidR="0018799A" w:rsidRPr="00294337" w:rsidRDefault="0018799A" w:rsidP="00F12682">
            <w:pPr>
              <w:spacing w:after="0" w:line="240" w:lineRule="auto"/>
              <w:jc w:val="center"/>
              <w:rPr>
                <w:rFonts w:ascii="Calibri" w:eastAsia="Times New Roman" w:hAnsi="Calibri" w:cs="Calibri"/>
                <w:b/>
                <w:bCs/>
                <w:lang w:eastAsia="fr-FR"/>
              </w:rPr>
            </w:pPr>
          </w:p>
        </w:tc>
        <w:tc>
          <w:tcPr>
            <w:tcW w:w="876" w:type="dxa"/>
            <w:tcBorders>
              <w:top w:val="nil"/>
              <w:left w:val="nil"/>
              <w:bottom w:val="single" w:sz="4" w:space="0" w:color="auto"/>
              <w:right w:val="single" w:sz="4" w:space="0" w:color="auto"/>
            </w:tcBorders>
            <w:shd w:val="clear" w:color="auto" w:fill="auto"/>
            <w:noWrap/>
            <w:vAlign w:val="center"/>
          </w:tcPr>
          <w:p w14:paraId="4EE9945C"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0%</w:t>
            </w:r>
          </w:p>
        </w:tc>
      </w:tr>
      <w:tr w:rsidR="0018799A" w:rsidRPr="00650E40" w14:paraId="6001876D" w14:textId="77777777" w:rsidTr="00293F27">
        <w:tc>
          <w:tcPr>
            <w:tcW w:w="26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C422CD" w14:textId="77777777" w:rsidR="0018799A" w:rsidRPr="00650E40" w:rsidRDefault="0018799A"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Services rattachés</w:t>
            </w:r>
          </w:p>
        </w:tc>
        <w:tc>
          <w:tcPr>
            <w:tcW w:w="875" w:type="dxa"/>
            <w:tcBorders>
              <w:top w:val="nil"/>
              <w:left w:val="nil"/>
              <w:bottom w:val="single" w:sz="4" w:space="0" w:color="auto"/>
              <w:right w:val="single" w:sz="4" w:space="0" w:color="auto"/>
            </w:tcBorders>
            <w:shd w:val="clear" w:color="auto" w:fill="auto"/>
            <w:noWrap/>
            <w:vAlign w:val="center"/>
          </w:tcPr>
          <w:p w14:paraId="0577E905" w14:textId="77777777" w:rsidR="0018799A" w:rsidRPr="00294337" w:rsidRDefault="0018799A" w:rsidP="00F12682">
            <w:pPr>
              <w:spacing w:after="0" w:line="240" w:lineRule="auto"/>
              <w:jc w:val="center"/>
              <w:rPr>
                <w:rFonts w:ascii="Calibri" w:eastAsia="Times New Roman" w:hAnsi="Calibri" w:cs="Calibri"/>
                <w:lang w:eastAsia="fr-FR"/>
              </w:rPr>
            </w:pPr>
          </w:p>
        </w:tc>
        <w:tc>
          <w:tcPr>
            <w:tcW w:w="876" w:type="dxa"/>
            <w:tcBorders>
              <w:top w:val="nil"/>
              <w:left w:val="nil"/>
              <w:bottom w:val="single" w:sz="4" w:space="0" w:color="auto"/>
              <w:right w:val="single" w:sz="4" w:space="0" w:color="auto"/>
            </w:tcBorders>
            <w:shd w:val="clear" w:color="auto" w:fill="auto"/>
            <w:noWrap/>
            <w:vAlign w:val="center"/>
          </w:tcPr>
          <w:p w14:paraId="6433106C"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327" w:type="dxa"/>
            <w:tcBorders>
              <w:top w:val="nil"/>
              <w:left w:val="nil"/>
              <w:bottom w:val="single" w:sz="4" w:space="0" w:color="auto"/>
              <w:right w:val="single" w:sz="4" w:space="0" w:color="auto"/>
            </w:tcBorders>
            <w:shd w:val="clear" w:color="auto" w:fill="auto"/>
            <w:noWrap/>
            <w:vAlign w:val="center"/>
          </w:tcPr>
          <w:p w14:paraId="1609F480"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16F5903E" w14:textId="77777777" w:rsidR="0018799A" w:rsidRPr="00294337" w:rsidRDefault="0018799A" w:rsidP="00F12682">
            <w:pPr>
              <w:spacing w:after="0" w:line="240" w:lineRule="auto"/>
              <w:jc w:val="center"/>
              <w:rPr>
                <w:rFonts w:ascii="Calibri" w:eastAsia="Times New Roman" w:hAnsi="Calibri" w:cs="Calibri"/>
                <w:lang w:eastAsia="fr-FR"/>
              </w:rPr>
            </w:pPr>
          </w:p>
        </w:tc>
        <w:tc>
          <w:tcPr>
            <w:tcW w:w="1147" w:type="dxa"/>
            <w:tcBorders>
              <w:top w:val="nil"/>
              <w:left w:val="nil"/>
              <w:bottom w:val="single" w:sz="4" w:space="0" w:color="auto"/>
              <w:right w:val="single" w:sz="4" w:space="0" w:color="auto"/>
            </w:tcBorders>
            <w:shd w:val="clear" w:color="auto" w:fill="auto"/>
            <w:noWrap/>
            <w:vAlign w:val="center"/>
          </w:tcPr>
          <w:p w14:paraId="65AB67C6" w14:textId="77777777" w:rsidR="0018799A" w:rsidRPr="00294337" w:rsidRDefault="0018799A" w:rsidP="00F12682">
            <w:pPr>
              <w:spacing w:after="0" w:line="240" w:lineRule="auto"/>
              <w:jc w:val="center"/>
              <w:rPr>
                <w:rFonts w:ascii="Calibri" w:eastAsia="Times New Roman" w:hAnsi="Calibri" w:cs="Calibri"/>
                <w:lang w:eastAsia="fr-FR"/>
              </w:rPr>
            </w:pPr>
          </w:p>
        </w:tc>
        <w:tc>
          <w:tcPr>
            <w:tcW w:w="799" w:type="dxa"/>
            <w:gridSpan w:val="2"/>
            <w:tcBorders>
              <w:top w:val="nil"/>
              <w:left w:val="nil"/>
              <w:bottom w:val="single" w:sz="4" w:space="0" w:color="auto"/>
              <w:right w:val="single" w:sz="4" w:space="0" w:color="auto"/>
            </w:tcBorders>
            <w:shd w:val="clear" w:color="auto" w:fill="auto"/>
            <w:noWrap/>
            <w:vAlign w:val="center"/>
          </w:tcPr>
          <w:p w14:paraId="7BB8FB2E" w14:textId="77777777" w:rsidR="0018799A" w:rsidRPr="00294337" w:rsidRDefault="0018799A" w:rsidP="00F12682">
            <w:pPr>
              <w:spacing w:after="0" w:line="240" w:lineRule="auto"/>
              <w:jc w:val="center"/>
              <w:rPr>
                <w:rFonts w:ascii="Calibri" w:eastAsia="Times New Roman" w:hAnsi="Calibri" w:cs="Calibri"/>
                <w:b/>
                <w:bCs/>
                <w:lang w:eastAsia="fr-FR"/>
              </w:rPr>
            </w:pPr>
          </w:p>
        </w:tc>
        <w:tc>
          <w:tcPr>
            <w:tcW w:w="876" w:type="dxa"/>
            <w:tcBorders>
              <w:top w:val="nil"/>
              <w:left w:val="nil"/>
              <w:bottom w:val="single" w:sz="4" w:space="0" w:color="auto"/>
              <w:right w:val="single" w:sz="4" w:space="0" w:color="auto"/>
            </w:tcBorders>
            <w:shd w:val="clear" w:color="auto" w:fill="auto"/>
            <w:noWrap/>
            <w:vAlign w:val="center"/>
          </w:tcPr>
          <w:p w14:paraId="02891544"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0%</w:t>
            </w:r>
          </w:p>
        </w:tc>
      </w:tr>
      <w:tr w:rsidR="0018799A" w:rsidRPr="00650E40" w14:paraId="091F7041" w14:textId="77777777" w:rsidTr="00293F27">
        <w:tc>
          <w:tcPr>
            <w:tcW w:w="26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54382" w14:textId="77777777" w:rsidR="0018799A" w:rsidRPr="00650E40" w:rsidRDefault="0018799A"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Total</w:t>
            </w:r>
          </w:p>
        </w:tc>
        <w:tc>
          <w:tcPr>
            <w:tcW w:w="875" w:type="dxa"/>
            <w:tcBorders>
              <w:top w:val="nil"/>
              <w:left w:val="nil"/>
              <w:bottom w:val="single" w:sz="4" w:space="0" w:color="auto"/>
              <w:right w:val="single" w:sz="4" w:space="0" w:color="auto"/>
            </w:tcBorders>
            <w:shd w:val="clear" w:color="auto" w:fill="auto"/>
            <w:noWrap/>
            <w:vAlign w:val="center"/>
          </w:tcPr>
          <w:p w14:paraId="05EB93B8" w14:textId="77777777" w:rsidR="0018799A" w:rsidRPr="00294337" w:rsidRDefault="0018799A"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7</w:t>
            </w:r>
          </w:p>
        </w:tc>
        <w:tc>
          <w:tcPr>
            <w:tcW w:w="876" w:type="dxa"/>
            <w:tcBorders>
              <w:top w:val="nil"/>
              <w:left w:val="nil"/>
              <w:bottom w:val="single" w:sz="4" w:space="0" w:color="auto"/>
              <w:right w:val="single" w:sz="4" w:space="0" w:color="auto"/>
            </w:tcBorders>
            <w:shd w:val="clear" w:color="auto" w:fill="auto"/>
            <w:noWrap/>
            <w:vAlign w:val="center"/>
          </w:tcPr>
          <w:p w14:paraId="398EA3E1" w14:textId="77777777" w:rsidR="0018799A" w:rsidRPr="00294337" w:rsidRDefault="0018799A"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1</w:t>
            </w:r>
          </w:p>
        </w:tc>
        <w:tc>
          <w:tcPr>
            <w:tcW w:w="1327" w:type="dxa"/>
            <w:tcBorders>
              <w:top w:val="nil"/>
              <w:left w:val="nil"/>
              <w:bottom w:val="single" w:sz="4" w:space="0" w:color="auto"/>
              <w:right w:val="single" w:sz="4" w:space="0" w:color="auto"/>
            </w:tcBorders>
            <w:shd w:val="clear" w:color="auto" w:fill="auto"/>
            <w:noWrap/>
            <w:vAlign w:val="center"/>
          </w:tcPr>
          <w:p w14:paraId="3031C4C2" w14:textId="77777777" w:rsidR="0018799A" w:rsidRPr="00294337" w:rsidRDefault="0018799A"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1</w:t>
            </w:r>
          </w:p>
        </w:tc>
        <w:tc>
          <w:tcPr>
            <w:tcW w:w="1100" w:type="dxa"/>
            <w:gridSpan w:val="2"/>
            <w:tcBorders>
              <w:top w:val="nil"/>
              <w:left w:val="nil"/>
              <w:bottom w:val="single" w:sz="4" w:space="0" w:color="auto"/>
              <w:right w:val="single" w:sz="4" w:space="0" w:color="auto"/>
            </w:tcBorders>
            <w:shd w:val="clear" w:color="auto" w:fill="auto"/>
            <w:noWrap/>
            <w:vAlign w:val="center"/>
          </w:tcPr>
          <w:p w14:paraId="00560E0A" w14:textId="77777777" w:rsidR="0018799A" w:rsidRPr="00294337" w:rsidRDefault="0018799A" w:rsidP="00F12682">
            <w:pPr>
              <w:spacing w:after="0" w:line="240" w:lineRule="auto"/>
              <w:jc w:val="center"/>
              <w:rPr>
                <w:rFonts w:ascii="Calibri" w:eastAsia="Times New Roman" w:hAnsi="Calibri" w:cs="Calibri"/>
                <w:b/>
                <w:bCs/>
                <w:lang w:eastAsia="fr-FR"/>
              </w:rPr>
            </w:pPr>
          </w:p>
        </w:tc>
        <w:tc>
          <w:tcPr>
            <w:tcW w:w="1147" w:type="dxa"/>
            <w:tcBorders>
              <w:top w:val="nil"/>
              <w:left w:val="nil"/>
              <w:bottom w:val="single" w:sz="4" w:space="0" w:color="auto"/>
              <w:right w:val="single" w:sz="4" w:space="0" w:color="auto"/>
            </w:tcBorders>
            <w:shd w:val="clear" w:color="auto" w:fill="auto"/>
            <w:noWrap/>
            <w:vAlign w:val="center"/>
          </w:tcPr>
          <w:p w14:paraId="006534A8" w14:textId="77777777" w:rsidR="0018799A" w:rsidRPr="00294337" w:rsidRDefault="0018799A"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2</w:t>
            </w:r>
          </w:p>
        </w:tc>
        <w:tc>
          <w:tcPr>
            <w:tcW w:w="799" w:type="dxa"/>
            <w:gridSpan w:val="2"/>
            <w:tcBorders>
              <w:top w:val="nil"/>
              <w:left w:val="nil"/>
              <w:bottom w:val="single" w:sz="4" w:space="0" w:color="auto"/>
              <w:right w:val="single" w:sz="4" w:space="0" w:color="auto"/>
            </w:tcBorders>
            <w:shd w:val="clear" w:color="auto" w:fill="auto"/>
            <w:noWrap/>
            <w:vAlign w:val="center"/>
          </w:tcPr>
          <w:p w14:paraId="45A1CC27" w14:textId="77777777" w:rsidR="0018799A" w:rsidRPr="00294337" w:rsidRDefault="0018799A"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11</w:t>
            </w:r>
          </w:p>
        </w:tc>
        <w:tc>
          <w:tcPr>
            <w:tcW w:w="876" w:type="dxa"/>
            <w:tcBorders>
              <w:top w:val="nil"/>
              <w:left w:val="nil"/>
              <w:bottom w:val="single" w:sz="4" w:space="0" w:color="auto"/>
              <w:right w:val="single" w:sz="4" w:space="0" w:color="auto"/>
            </w:tcBorders>
            <w:shd w:val="clear" w:color="auto" w:fill="auto"/>
            <w:noWrap/>
            <w:vAlign w:val="center"/>
          </w:tcPr>
          <w:p w14:paraId="6B21C214" w14:textId="77777777" w:rsidR="0018799A" w:rsidRPr="00294337" w:rsidRDefault="0018799A"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100%</w:t>
            </w:r>
          </w:p>
        </w:tc>
      </w:tr>
      <w:tr w:rsidR="00402DDE" w:rsidRPr="00650E40" w14:paraId="566EF7AB" w14:textId="77777777" w:rsidTr="00293F27">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DD201" w14:textId="77777777" w:rsidR="00402DDE" w:rsidRPr="00650E40" w:rsidRDefault="00402DDE"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lastRenderedPageBreak/>
              <w:t>Profils des agents</w:t>
            </w:r>
          </w:p>
        </w:tc>
        <w:tc>
          <w:tcPr>
            <w:tcW w:w="2055" w:type="dxa"/>
            <w:gridSpan w:val="3"/>
            <w:tcBorders>
              <w:top w:val="single" w:sz="4" w:space="0" w:color="auto"/>
              <w:left w:val="nil"/>
              <w:bottom w:val="single" w:sz="4" w:space="0" w:color="auto"/>
              <w:right w:val="single" w:sz="4" w:space="0" w:color="auto"/>
            </w:tcBorders>
            <w:shd w:val="clear" w:color="auto" w:fill="auto"/>
            <w:vAlign w:val="center"/>
            <w:hideMark/>
          </w:tcPr>
          <w:p w14:paraId="389E4748" w14:textId="77777777" w:rsidR="00402DDE" w:rsidRPr="00650E40" w:rsidRDefault="00402DDE"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Niveau Central</w:t>
            </w:r>
          </w:p>
        </w:tc>
        <w:tc>
          <w:tcPr>
            <w:tcW w:w="2056" w:type="dxa"/>
            <w:gridSpan w:val="2"/>
            <w:tcBorders>
              <w:top w:val="single" w:sz="4" w:space="0" w:color="auto"/>
              <w:left w:val="nil"/>
              <w:bottom w:val="single" w:sz="4" w:space="0" w:color="auto"/>
              <w:right w:val="single" w:sz="4" w:space="0" w:color="auto"/>
            </w:tcBorders>
            <w:shd w:val="clear" w:color="auto" w:fill="auto"/>
            <w:vAlign w:val="center"/>
            <w:hideMark/>
          </w:tcPr>
          <w:p w14:paraId="2B21639C" w14:textId="77777777" w:rsidR="00402DDE" w:rsidRPr="00650E40" w:rsidRDefault="00402DDE" w:rsidP="00F12682">
            <w:pPr>
              <w:spacing w:after="0" w:line="240" w:lineRule="auto"/>
              <w:jc w:val="center"/>
              <w:rPr>
                <w:rFonts w:ascii="Calibri" w:eastAsia="Times New Roman" w:hAnsi="Calibri" w:cs="Calibri"/>
                <w:b/>
                <w:bCs/>
                <w:i/>
                <w:iCs/>
                <w:lang w:eastAsia="fr-FR"/>
              </w:rPr>
            </w:pPr>
            <w:r w:rsidRPr="00650E40">
              <w:rPr>
                <w:rFonts w:ascii="Calibri" w:eastAsia="Times New Roman" w:hAnsi="Calibri" w:cs="Calibri"/>
                <w:b/>
                <w:bCs/>
                <w:i/>
                <w:iCs/>
                <w:lang w:eastAsia="fr-FR"/>
              </w:rPr>
              <w:t>Niveau Région</w:t>
            </w:r>
          </w:p>
        </w:tc>
        <w:tc>
          <w:tcPr>
            <w:tcW w:w="2056" w:type="dxa"/>
            <w:gridSpan w:val="3"/>
            <w:tcBorders>
              <w:top w:val="single" w:sz="4" w:space="0" w:color="auto"/>
              <w:left w:val="nil"/>
              <w:bottom w:val="single" w:sz="4" w:space="0" w:color="auto"/>
              <w:right w:val="single" w:sz="4" w:space="0" w:color="auto"/>
            </w:tcBorders>
            <w:shd w:val="clear" w:color="auto" w:fill="auto"/>
            <w:vAlign w:val="center"/>
            <w:hideMark/>
          </w:tcPr>
          <w:p w14:paraId="3AF711F7" w14:textId="77777777" w:rsidR="00402DDE" w:rsidRPr="00650E40" w:rsidRDefault="00402DDE" w:rsidP="00F12682">
            <w:pPr>
              <w:spacing w:after="0" w:line="240" w:lineRule="auto"/>
              <w:jc w:val="center"/>
              <w:rPr>
                <w:rFonts w:ascii="Calibri" w:eastAsia="Times New Roman" w:hAnsi="Calibri" w:cs="Calibri"/>
                <w:b/>
                <w:bCs/>
                <w:i/>
                <w:iCs/>
                <w:lang w:eastAsia="fr-FR"/>
              </w:rPr>
            </w:pPr>
            <w:r>
              <w:rPr>
                <w:rFonts w:ascii="Calibri" w:eastAsia="Times New Roman" w:hAnsi="Calibri" w:cs="Calibri"/>
                <w:b/>
                <w:bCs/>
                <w:i/>
                <w:iCs/>
                <w:lang w:eastAsia="fr-FR"/>
              </w:rPr>
              <w:t>Niveau Départ.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768FFC3" w14:textId="77777777" w:rsidR="00402DDE" w:rsidRPr="00650E40" w:rsidRDefault="00402DDE" w:rsidP="00F12682">
            <w:pPr>
              <w:spacing w:after="0" w:line="240" w:lineRule="auto"/>
              <w:jc w:val="center"/>
              <w:rPr>
                <w:rFonts w:ascii="Calibri" w:eastAsia="Times New Roman" w:hAnsi="Calibri" w:cs="Calibri"/>
                <w:b/>
                <w:bCs/>
                <w:lang w:eastAsia="fr-FR"/>
              </w:rPr>
            </w:pPr>
            <w:r w:rsidRPr="00650E40">
              <w:rPr>
                <w:rFonts w:ascii="Calibri" w:eastAsia="Times New Roman" w:hAnsi="Calibri" w:cs="Calibri"/>
                <w:b/>
                <w:bCs/>
                <w:lang w:eastAsia="fr-FR"/>
              </w:rPr>
              <w:t>Total</w:t>
            </w:r>
          </w:p>
        </w:tc>
      </w:tr>
      <w:tr w:rsidR="00402DDE" w:rsidRPr="00650E40" w14:paraId="24128865" w14:textId="77777777" w:rsidTr="00293F27">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7A204D02" w14:textId="77777777" w:rsidR="00402DDE" w:rsidRPr="00650E40" w:rsidRDefault="00402DDE"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Personnel administratif</w:t>
            </w:r>
          </w:p>
        </w:tc>
        <w:tc>
          <w:tcPr>
            <w:tcW w:w="2055" w:type="dxa"/>
            <w:gridSpan w:val="3"/>
            <w:tcBorders>
              <w:top w:val="nil"/>
              <w:left w:val="nil"/>
              <w:bottom w:val="single" w:sz="4" w:space="0" w:color="auto"/>
              <w:right w:val="single" w:sz="4" w:space="0" w:color="auto"/>
            </w:tcBorders>
            <w:shd w:val="clear" w:color="auto" w:fill="auto"/>
            <w:noWrap/>
            <w:vAlign w:val="center"/>
          </w:tcPr>
          <w:p w14:paraId="44374987" w14:textId="77777777" w:rsidR="00402DDE" w:rsidRPr="00294337" w:rsidRDefault="00402DDE"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7</w:t>
            </w:r>
          </w:p>
        </w:tc>
        <w:tc>
          <w:tcPr>
            <w:tcW w:w="2056" w:type="dxa"/>
            <w:gridSpan w:val="2"/>
            <w:tcBorders>
              <w:top w:val="nil"/>
              <w:left w:val="nil"/>
              <w:bottom w:val="single" w:sz="4" w:space="0" w:color="auto"/>
              <w:right w:val="single" w:sz="4" w:space="0" w:color="auto"/>
            </w:tcBorders>
            <w:shd w:val="clear" w:color="auto" w:fill="auto"/>
            <w:noWrap/>
            <w:vAlign w:val="center"/>
          </w:tcPr>
          <w:p w14:paraId="180C8701" w14:textId="77777777" w:rsidR="00402DDE" w:rsidRPr="00294337" w:rsidRDefault="00402DDE" w:rsidP="00F12682">
            <w:pPr>
              <w:spacing w:after="0" w:line="240" w:lineRule="auto"/>
              <w:jc w:val="center"/>
              <w:rPr>
                <w:rFonts w:ascii="Calibri" w:eastAsia="Times New Roman" w:hAnsi="Calibri" w:cs="Calibri"/>
                <w:lang w:eastAsia="fr-FR"/>
              </w:rPr>
            </w:pPr>
          </w:p>
        </w:tc>
        <w:tc>
          <w:tcPr>
            <w:tcW w:w="2056" w:type="dxa"/>
            <w:gridSpan w:val="3"/>
            <w:tcBorders>
              <w:top w:val="nil"/>
              <w:left w:val="nil"/>
              <w:bottom w:val="single" w:sz="4" w:space="0" w:color="auto"/>
              <w:right w:val="single" w:sz="4" w:space="0" w:color="auto"/>
            </w:tcBorders>
            <w:shd w:val="clear" w:color="auto" w:fill="auto"/>
            <w:noWrap/>
            <w:vAlign w:val="center"/>
          </w:tcPr>
          <w:p w14:paraId="33A3E55D" w14:textId="77777777" w:rsidR="00402DDE" w:rsidRPr="00294337" w:rsidRDefault="00402DDE" w:rsidP="00F12682">
            <w:pPr>
              <w:spacing w:after="0" w:line="240" w:lineRule="auto"/>
              <w:jc w:val="center"/>
              <w:rPr>
                <w:rFonts w:ascii="Calibri" w:eastAsia="Times New Roman" w:hAnsi="Calibri" w:cs="Calibri"/>
                <w:lang w:eastAsia="fr-FR"/>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54CBD9EB" w14:textId="77777777" w:rsidR="00402DDE" w:rsidRPr="00294337" w:rsidRDefault="00402DDE"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7</w:t>
            </w:r>
          </w:p>
        </w:tc>
      </w:tr>
      <w:tr w:rsidR="00402DDE" w:rsidRPr="00650E40" w14:paraId="38F40BFA" w14:textId="77777777" w:rsidTr="00293F27">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76075252" w14:textId="77777777" w:rsidR="00402DDE" w:rsidRPr="00650E40" w:rsidRDefault="00402DDE"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Ingénieurs</w:t>
            </w:r>
          </w:p>
        </w:tc>
        <w:tc>
          <w:tcPr>
            <w:tcW w:w="2055" w:type="dxa"/>
            <w:gridSpan w:val="3"/>
            <w:tcBorders>
              <w:top w:val="nil"/>
              <w:left w:val="nil"/>
              <w:bottom w:val="single" w:sz="4" w:space="0" w:color="auto"/>
              <w:right w:val="single" w:sz="4" w:space="0" w:color="auto"/>
            </w:tcBorders>
            <w:shd w:val="clear" w:color="auto" w:fill="auto"/>
            <w:noWrap/>
            <w:vAlign w:val="center"/>
          </w:tcPr>
          <w:p w14:paraId="11EE0682" w14:textId="77777777" w:rsidR="00402DDE" w:rsidRPr="00294337" w:rsidRDefault="00402DDE"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1</w:t>
            </w:r>
          </w:p>
        </w:tc>
        <w:tc>
          <w:tcPr>
            <w:tcW w:w="2056" w:type="dxa"/>
            <w:gridSpan w:val="2"/>
            <w:tcBorders>
              <w:top w:val="nil"/>
              <w:left w:val="nil"/>
              <w:bottom w:val="single" w:sz="4" w:space="0" w:color="auto"/>
              <w:right w:val="single" w:sz="4" w:space="0" w:color="auto"/>
            </w:tcBorders>
            <w:shd w:val="clear" w:color="auto" w:fill="auto"/>
            <w:noWrap/>
            <w:vAlign w:val="center"/>
          </w:tcPr>
          <w:p w14:paraId="737C604C" w14:textId="77777777" w:rsidR="00402DDE" w:rsidRPr="00294337" w:rsidRDefault="00402DDE" w:rsidP="00F12682">
            <w:pPr>
              <w:spacing w:after="0" w:line="240" w:lineRule="auto"/>
              <w:jc w:val="center"/>
              <w:rPr>
                <w:rFonts w:ascii="Calibri" w:eastAsia="Times New Roman" w:hAnsi="Calibri" w:cs="Calibri"/>
                <w:lang w:eastAsia="fr-FR"/>
              </w:rPr>
            </w:pPr>
          </w:p>
        </w:tc>
        <w:tc>
          <w:tcPr>
            <w:tcW w:w="2056" w:type="dxa"/>
            <w:gridSpan w:val="3"/>
            <w:tcBorders>
              <w:top w:val="nil"/>
              <w:left w:val="nil"/>
              <w:bottom w:val="single" w:sz="4" w:space="0" w:color="auto"/>
              <w:right w:val="single" w:sz="4" w:space="0" w:color="auto"/>
            </w:tcBorders>
            <w:shd w:val="clear" w:color="auto" w:fill="auto"/>
            <w:noWrap/>
            <w:vAlign w:val="center"/>
          </w:tcPr>
          <w:p w14:paraId="058730DC" w14:textId="77777777" w:rsidR="00402DDE" w:rsidRPr="00294337" w:rsidRDefault="00402DDE" w:rsidP="00F12682">
            <w:pPr>
              <w:spacing w:after="0" w:line="240" w:lineRule="auto"/>
              <w:jc w:val="center"/>
              <w:rPr>
                <w:rFonts w:ascii="Calibri" w:eastAsia="Times New Roman" w:hAnsi="Calibri" w:cs="Calibri"/>
                <w:lang w:eastAsia="fr-FR"/>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36B87497" w14:textId="77777777" w:rsidR="00402DDE" w:rsidRPr="00294337" w:rsidRDefault="00402DDE"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1</w:t>
            </w:r>
          </w:p>
        </w:tc>
      </w:tr>
      <w:tr w:rsidR="00402DDE" w:rsidRPr="00650E40" w14:paraId="203126C8" w14:textId="77777777" w:rsidTr="00293F27">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57C465F" w14:textId="77777777" w:rsidR="00402DDE" w:rsidRPr="00650E40" w:rsidRDefault="00402DDE"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Ingénieur techn</w:t>
            </w:r>
            <w:r>
              <w:rPr>
                <w:rFonts w:ascii="Calibri" w:eastAsia="Times New Roman" w:hAnsi="Calibri" w:cs="Calibri"/>
                <w:lang w:eastAsia="fr-FR"/>
              </w:rPr>
              <w:t>iciens</w:t>
            </w:r>
          </w:p>
        </w:tc>
        <w:tc>
          <w:tcPr>
            <w:tcW w:w="2055" w:type="dxa"/>
            <w:gridSpan w:val="3"/>
            <w:tcBorders>
              <w:top w:val="nil"/>
              <w:left w:val="nil"/>
              <w:bottom w:val="single" w:sz="4" w:space="0" w:color="auto"/>
              <w:right w:val="single" w:sz="4" w:space="0" w:color="auto"/>
            </w:tcBorders>
            <w:shd w:val="clear" w:color="auto" w:fill="auto"/>
            <w:noWrap/>
            <w:vAlign w:val="center"/>
          </w:tcPr>
          <w:p w14:paraId="0BA4681B" w14:textId="77777777" w:rsidR="00402DDE" w:rsidRPr="00294337" w:rsidRDefault="00402DDE" w:rsidP="00F12682">
            <w:pPr>
              <w:spacing w:after="0" w:line="240" w:lineRule="auto"/>
              <w:jc w:val="center"/>
              <w:rPr>
                <w:rFonts w:ascii="Calibri" w:eastAsia="Times New Roman" w:hAnsi="Calibri" w:cs="Calibri"/>
                <w:lang w:eastAsia="fr-FR"/>
              </w:rPr>
            </w:pPr>
          </w:p>
        </w:tc>
        <w:tc>
          <w:tcPr>
            <w:tcW w:w="2056" w:type="dxa"/>
            <w:gridSpan w:val="2"/>
            <w:tcBorders>
              <w:top w:val="nil"/>
              <w:left w:val="nil"/>
              <w:bottom w:val="single" w:sz="4" w:space="0" w:color="auto"/>
              <w:right w:val="single" w:sz="4" w:space="0" w:color="auto"/>
            </w:tcBorders>
            <w:shd w:val="clear" w:color="auto" w:fill="auto"/>
            <w:noWrap/>
            <w:vAlign w:val="center"/>
          </w:tcPr>
          <w:p w14:paraId="3D3A9320" w14:textId="77777777" w:rsidR="00402DDE" w:rsidRPr="00294337" w:rsidRDefault="00402DDE" w:rsidP="00F12682">
            <w:pPr>
              <w:spacing w:after="0" w:line="240" w:lineRule="auto"/>
              <w:jc w:val="center"/>
              <w:rPr>
                <w:rFonts w:ascii="Calibri" w:eastAsia="Times New Roman" w:hAnsi="Calibri" w:cs="Calibri"/>
                <w:lang w:eastAsia="fr-FR"/>
              </w:rPr>
            </w:pPr>
          </w:p>
        </w:tc>
        <w:tc>
          <w:tcPr>
            <w:tcW w:w="2056" w:type="dxa"/>
            <w:gridSpan w:val="3"/>
            <w:tcBorders>
              <w:top w:val="nil"/>
              <w:left w:val="nil"/>
              <w:bottom w:val="single" w:sz="4" w:space="0" w:color="auto"/>
              <w:right w:val="single" w:sz="4" w:space="0" w:color="auto"/>
            </w:tcBorders>
            <w:shd w:val="clear" w:color="auto" w:fill="auto"/>
            <w:noWrap/>
            <w:vAlign w:val="center"/>
          </w:tcPr>
          <w:p w14:paraId="0B2AF8C3" w14:textId="77777777" w:rsidR="00402DDE" w:rsidRPr="00294337" w:rsidRDefault="00402DDE" w:rsidP="00F12682">
            <w:pPr>
              <w:spacing w:after="0" w:line="240" w:lineRule="auto"/>
              <w:jc w:val="center"/>
              <w:rPr>
                <w:rFonts w:ascii="Calibri" w:eastAsia="Times New Roman" w:hAnsi="Calibri" w:cs="Calibri"/>
                <w:lang w:eastAsia="fr-FR"/>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38476810" w14:textId="77777777" w:rsidR="00402DDE" w:rsidRPr="00294337" w:rsidRDefault="00402DDE" w:rsidP="00F12682">
            <w:pPr>
              <w:spacing w:after="0" w:line="240" w:lineRule="auto"/>
              <w:jc w:val="center"/>
              <w:rPr>
                <w:rFonts w:ascii="Calibri" w:eastAsia="Times New Roman" w:hAnsi="Calibri" w:cs="Calibri"/>
                <w:b/>
                <w:bCs/>
                <w:lang w:eastAsia="fr-FR"/>
              </w:rPr>
            </w:pPr>
          </w:p>
        </w:tc>
      </w:tr>
      <w:tr w:rsidR="00402DDE" w:rsidRPr="00650E40" w14:paraId="33AC5A43" w14:textId="77777777" w:rsidTr="00293F27">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8A9873F" w14:textId="77777777" w:rsidR="00402DDE" w:rsidRPr="00650E40" w:rsidRDefault="00402DDE"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 xml:space="preserve">Techniciens supérieurs </w:t>
            </w:r>
          </w:p>
        </w:tc>
        <w:tc>
          <w:tcPr>
            <w:tcW w:w="2055" w:type="dxa"/>
            <w:gridSpan w:val="3"/>
            <w:tcBorders>
              <w:top w:val="nil"/>
              <w:left w:val="nil"/>
              <w:bottom w:val="single" w:sz="4" w:space="0" w:color="auto"/>
              <w:right w:val="single" w:sz="4" w:space="0" w:color="auto"/>
            </w:tcBorders>
            <w:shd w:val="clear" w:color="auto" w:fill="auto"/>
            <w:noWrap/>
            <w:vAlign w:val="center"/>
          </w:tcPr>
          <w:p w14:paraId="3AB64564" w14:textId="77777777" w:rsidR="00402DDE" w:rsidRPr="00294337" w:rsidRDefault="00402DDE"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1</w:t>
            </w:r>
          </w:p>
        </w:tc>
        <w:tc>
          <w:tcPr>
            <w:tcW w:w="2056" w:type="dxa"/>
            <w:gridSpan w:val="2"/>
            <w:tcBorders>
              <w:top w:val="nil"/>
              <w:left w:val="nil"/>
              <w:bottom w:val="single" w:sz="4" w:space="0" w:color="auto"/>
              <w:right w:val="single" w:sz="4" w:space="0" w:color="auto"/>
            </w:tcBorders>
            <w:shd w:val="clear" w:color="auto" w:fill="auto"/>
            <w:noWrap/>
            <w:vAlign w:val="center"/>
          </w:tcPr>
          <w:p w14:paraId="7D90EE6F" w14:textId="77777777" w:rsidR="00402DDE" w:rsidRPr="00294337" w:rsidRDefault="00402DDE" w:rsidP="00F12682">
            <w:pPr>
              <w:spacing w:after="0" w:line="240" w:lineRule="auto"/>
              <w:jc w:val="center"/>
              <w:rPr>
                <w:rFonts w:ascii="Calibri" w:eastAsia="Times New Roman" w:hAnsi="Calibri" w:cs="Calibri"/>
                <w:lang w:eastAsia="fr-FR"/>
              </w:rPr>
            </w:pPr>
          </w:p>
        </w:tc>
        <w:tc>
          <w:tcPr>
            <w:tcW w:w="2056" w:type="dxa"/>
            <w:gridSpan w:val="3"/>
            <w:tcBorders>
              <w:top w:val="nil"/>
              <w:left w:val="nil"/>
              <w:bottom w:val="single" w:sz="4" w:space="0" w:color="auto"/>
              <w:right w:val="single" w:sz="4" w:space="0" w:color="auto"/>
            </w:tcBorders>
            <w:shd w:val="clear" w:color="auto" w:fill="auto"/>
            <w:noWrap/>
            <w:vAlign w:val="center"/>
          </w:tcPr>
          <w:p w14:paraId="3C1801C0" w14:textId="77777777" w:rsidR="00402DDE" w:rsidRPr="00294337" w:rsidRDefault="00402DDE" w:rsidP="00F12682">
            <w:pPr>
              <w:spacing w:after="0" w:line="240" w:lineRule="auto"/>
              <w:jc w:val="center"/>
              <w:rPr>
                <w:rFonts w:ascii="Calibri" w:eastAsia="Times New Roman" w:hAnsi="Calibri" w:cs="Calibri"/>
                <w:lang w:eastAsia="fr-FR"/>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4AF99AFB" w14:textId="77777777" w:rsidR="00402DDE" w:rsidRPr="00294337" w:rsidRDefault="00402DDE"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1</w:t>
            </w:r>
          </w:p>
        </w:tc>
      </w:tr>
      <w:tr w:rsidR="00402DDE" w:rsidRPr="00650E40" w14:paraId="23871A7D" w14:textId="77777777" w:rsidTr="00293F27">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760F797B" w14:textId="77777777" w:rsidR="00402DDE" w:rsidRPr="00650E40" w:rsidRDefault="00402DDE" w:rsidP="00F12682">
            <w:pPr>
              <w:spacing w:after="0" w:line="240" w:lineRule="auto"/>
              <w:rPr>
                <w:rFonts w:ascii="Calibri" w:eastAsia="Times New Roman" w:hAnsi="Calibri" w:cs="Calibri"/>
                <w:lang w:eastAsia="fr-FR"/>
              </w:rPr>
            </w:pPr>
            <w:r w:rsidRPr="00650E40">
              <w:rPr>
                <w:rFonts w:ascii="Calibri" w:eastAsia="Times New Roman" w:hAnsi="Calibri" w:cs="Calibri"/>
                <w:lang w:eastAsia="fr-FR"/>
              </w:rPr>
              <w:t>Conseillers</w:t>
            </w:r>
          </w:p>
        </w:tc>
        <w:tc>
          <w:tcPr>
            <w:tcW w:w="2055" w:type="dxa"/>
            <w:gridSpan w:val="3"/>
            <w:tcBorders>
              <w:top w:val="nil"/>
              <w:left w:val="nil"/>
              <w:bottom w:val="single" w:sz="4" w:space="0" w:color="auto"/>
              <w:right w:val="single" w:sz="4" w:space="0" w:color="auto"/>
            </w:tcBorders>
            <w:shd w:val="clear" w:color="auto" w:fill="auto"/>
            <w:noWrap/>
            <w:vAlign w:val="center"/>
          </w:tcPr>
          <w:p w14:paraId="4AB45CEB" w14:textId="77777777" w:rsidR="00402DDE" w:rsidRPr="00294337" w:rsidRDefault="00402DDE" w:rsidP="00F12682">
            <w:pPr>
              <w:spacing w:after="0" w:line="240" w:lineRule="auto"/>
              <w:jc w:val="center"/>
              <w:rPr>
                <w:rFonts w:ascii="Calibri" w:eastAsia="Times New Roman" w:hAnsi="Calibri" w:cs="Calibri"/>
                <w:lang w:eastAsia="fr-FR"/>
              </w:rPr>
            </w:pPr>
            <w:r w:rsidRPr="00294337">
              <w:rPr>
                <w:rFonts w:ascii="Calibri" w:eastAsia="Times New Roman" w:hAnsi="Calibri" w:cs="Calibri"/>
                <w:lang w:eastAsia="fr-FR"/>
              </w:rPr>
              <w:t>1</w:t>
            </w:r>
          </w:p>
        </w:tc>
        <w:tc>
          <w:tcPr>
            <w:tcW w:w="2056" w:type="dxa"/>
            <w:gridSpan w:val="2"/>
            <w:tcBorders>
              <w:top w:val="nil"/>
              <w:left w:val="nil"/>
              <w:bottom w:val="single" w:sz="4" w:space="0" w:color="auto"/>
              <w:right w:val="single" w:sz="4" w:space="0" w:color="auto"/>
            </w:tcBorders>
            <w:shd w:val="clear" w:color="auto" w:fill="auto"/>
            <w:noWrap/>
            <w:vAlign w:val="center"/>
          </w:tcPr>
          <w:p w14:paraId="045D7951" w14:textId="77777777" w:rsidR="00402DDE" w:rsidRPr="00294337" w:rsidRDefault="00402DDE" w:rsidP="00F12682">
            <w:pPr>
              <w:spacing w:after="0" w:line="240" w:lineRule="auto"/>
              <w:jc w:val="center"/>
              <w:rPr>
                <w:rFonts w:ascii="Calibri" w:eastAsia="Times New Roman" w:hAnsi="Calibri" w:cs="Calibri"/>
                <w:lang w:eastAsia="fr-FR"/>
              </w:rPr>
            </w:pPr>
          </w:p>
        </w:tc>
        <w:tc>
          <w:tcPr>
            <w:tcW w:w="2056" w:type="dxa"/>
            <w:gridSpan w:val="3"/>
            <w:tcBorders>
              <w:top w:val="nil"/>
              <w:left w:val="nil"/>
              <w:bottom w:val="single" w:sz="4" w:space="0" w:color="auto"/>
              <w:right w:val="single" w:sz="4" w:space="0" w:color="auto"/>
            </w:tcBorders>
            <w:shd w:val="clear" w:color="auto" w:fill="auto"/>
            <w:noWrap/>
            <w:vAlign w:val="center"/>
          </w:tcPr>
          <w:p w14:paraId="1103D904" w14:textId="77777777" w:rsidR="00402DDE" w:rsidRPr="00294337" w:rsidRDefault="00402DDE" w:rsidP="00F12682">
            <w:pPr>
              <w:spacing w:after="0" w:line="240" w:lineRule="auto"/>
              <w:jc w:val="center"/>
              <w:rPr>
                <w:rFonts w:ascii="Calibri" w:eastAsia="Times New Roman" w:hAnsi="Calibri" w:cs="Calibri"/>
                <w:lang w:eastAsia="fr-FR"/>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05D4931D" w14:textId="77777777" w:rsidR="00402DDE" w:rsidRPr="00294337" w:rsidRDefault="00402DDE"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1</w:t>
            </w:r>
          </w:p>
        </w:tc>
      </w:tr>
      <w:tr w:rsidR="00402DDE" w:rsidRPr="00650E40" w14:paraId="2852F7AB" w14:textId="77777777" w:rsidTr="00293F27">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10FFCD6" w14:textId="77777777" w:rsidR="00402DDE" w:rsidRPr="00650E40" w:rsidRDefault="00402DDE" w:rsidP="00F12682">
            <w:pPr>
              <w:spacing w:after="0" w:line="240" w:lineRule="auto"/>
              <w:rPr>
                <w:rFonts w:ascii="Calibri" w:eastAsia="Times New Roman" w:hAnsi="Calibri" w:cs="Calibri"/>
                <w:b/>
                <w:bCs/>
                <w:i/>
                <w:iCs/>
                <w:lang w:eastAsia="fr-FR"/>
              </w:rPr>
            </w:pPr>
            <w:r w:rsidRPr="00650E40">
              <w:rPr>
                <w:rFonts w:ascii="Calibri" w:eastAsia="Times New Roman" w:hAnsi="Calibri" w:cs="Calibri"/>
                <w:b/>
                <w:bCs/>
                <w:i/>
                <w:iCs/>
                <w:lang w:eastAsia="fr-FR"/>
              </w:rPr>
              <w:t>Total</w:t>
            </w:r>
          </w:p>
        </w:tc>
        <w:tc>
          <w:tcPr>
            <w:tcW w:w="2055" w:type="dxa"/>
            <w:gridSpan w:val="3"/>
            <w:tcBorders>
              <w:top w:val="nil"/>
              <w:left w:val="nil"/>
              <w:bottom w:val="single" w:sz="4" w:space="0" w:color="auto"/>
              <w:right w:val="single" w:sz="4" w:space="0" w:color="auto"/>
            </w:tcBorders>
            <w:shd w:val="clear" w:color="auto" w:fill="auto"/>
            <w:noWrap/>
            <w:vAlign w:val="center"/>
          </w:tcPr>
          <w:p w14:paraId="2D6365E6" w14:textId="77777777" w:rsidR="00402DDE" w:rsidRPr="00294337" w:rsidRDefault="00402DDE"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10</w:t>
            </w:r>
          </w:p>
        </w:tc>
        <w:tc>
          <w:tcPr>
            <w:tcW w:w="2056" w:type="dxa"/>
            <w:gridSpan w:val="2"/>
            <w:tcBorders>
              <w:top w:val="nil"/>
              <w:left w:val="nil"/>
              <w:bottom w:val="single" w:sz="4" w:space="0" w:color="auto"/>
              <w:right w:val="single" w:sz="4" w:space="0" w:color="auto"/>
            </w:tcBorders>
            <w:shd w:val="clear" w:color="auto" w:fill="auto"/>
            <w:noWrap/>
            <w:vAlign w:val="center"/>
          </w:tcPr>
          <w:p w14:paraId="5948FF52" w14:textId="77777777" w:rsidR="00402DDE" w:rsidRPr="00294337" w:rsidRDefault="00402DDE" w:rsidP="00F12682">
            <w:pPr>
              <w:spacing w:after="0" w:line="240" w:lineRule="auto"/>
              <w:jc w:val="center"/>
              <w:rPr>
                <w:rFonts w:ascii="Calibri" w:eastAsia="Times New Roman" w:hAnsi="Calibri" w:cs="Calibri"/>
                <w:b/>
                <w:bCs/>
                <w:lang w:eastAsia="fr-FR"/>
              </w:rPr>
            </w:pPr>
          </w:p>
        </w:tc>
        <w:tc>
          <w:tcPr>
            <w:tcW w:w="2056" w:type="dxa"/>
            <w:gridSpan w:val="3"/>
            <w:tcBorders>
              <w:top w:val="nil"/>
              <w:left w:val="nil"/>
              <w:bottom w:val="single" w:sz="4" w:space="0" w:color="auto"/>
              <w:right w:val="single" w:sz="4" w:space="0" w:color="auto"/>
            </w:tcBorders>
            <w:shd w:val="clear" w:color="auto" w:fill="auto"/>
            <w:noWrap/>
            <w:vAlign w:val="center"/>
          </w:tcPr>
          <w:p w14:paraId="6077D3AA" w14:textId="77777777" w:rsidR="00402DDE" w:rsidRPr="00294337" w:rsidRDefault="00402DDE" w:rsidP="00F12682">
            <w:pPr>
              <w:spacing w:after="0" w:line="240" w:lineRule="auto"/>
              <w:jc w:val="center"/>
              <w:rPr>
                <w:rFonts w:ascii="Calibri" w:eastAsia="Times New Roman" w:hAnsi="Calibri" w:cs="Calibri"/>
                <w:b/>
                <w:bCs/>
                <w:lang w:eastAsia="fr-FR"/>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4C7F5742" w14:textId="77777777" w:rsidR="00402DDE" w:rsidRPr="00294337" w:rsidRDefault="00402DDE" w:rsidP="00F12682">
            <w:pPr>
              <w:spacing w:after="0" w:line="240" w:lineRule="auto"/>
              <w:jc w:val="center"/>
              <w:rPr>
                <w:rFonts w:ascii="Calibri" w:eastAsia="Times New Roman" w:hAnsi="Calibri" w:cs="Calibri"/>
                <w:b/>
                <w:bCs/>
                <w:lang w:eastAsia="fr-FR"/>
              </w:rPr>
            </w:pPr>
            <w:r w:rsidRPr="00294337">
              <w:rPr>
                <w:rFonts w:ascii="Calibri" w:eastAsia="Times New Roman" w:hAnsi="Calibri" w:cs="Calibri"/>
                <w:b/>
                <w:bCs/>
                <w:lang w:eastAsia="fr-FR"/>
              </w:rPr>
              <w:t>10</w:t>
            </w:r>
          </w:p>
        </w:tc>
      </w:tr>
    </w:tbl>
    <w:p w14:paraId="5ED7879A" w14:textId="77777777" w:rsidR="0018799A" w:rsidRPr="00ED0E3B" w:rsidRDefault="0018799A" w:rsidP="00F12682">
      <w:pPr>
        <w:spacing w:after="120" w:line="276" w:lineRule="auto"/>
        <w:jc w:val="both"/>
        <w:rPr>
          <w:rFonts w:ascii="Calibri" w:eastAsiaTheme="majorEastAsia" w:hAnsi="Calibri" w:cs="Calibri"/>
          <w:iCs/>
          <w:sz w:val="20"/>
        </w:rPr>
      </w:pPr>
      <w:r w:rsidRPr="00ED0E3B">
        <w:rPr>
          <w:rFonts w:ascii="Calibri" w:eastAsiaTheme="majorEastAsia" w:hAnsi="Calibri" w:cs="Calibri"/>
          <w:iCs/>
          <w:sz w:val="20"/>
          <w:u w:val="single"/>
        </w:rPr>
        <w:t>Source</w:t>
      </w:r>
      <w:r w:rsidRPr="00ED0E3B">
        <w:rPr>
          <w:rFonts w:ascii="Calibri" w:eastAsiaTheme="majorEastAsia" w:hAnsi="Calibri" w:cs="Calibri"/>
          <w:iCs/>
          <w:sz w:val="20"/>
        </w:rPr>
        <w:t> : DRH/MAH/GC</w:t>
      </w:r>
    </w:p>
    <w:p w14:paraId="2FB40F58" w14:textId="77777777" w:rsidR="00402DDE" w:rsidRDefault="00402DDE" w:rsidP="00F12682">
      <w:pPr>
        <w:spacing w:after="120" w:line="276" w:lineRule="auto"/>
        <w:jc w:val="both"/>
        <w:rPr>
          <w:rFonts w:ascii="Calibri" w:eastAsiaTheme="majorEastAsia" w:hAnsi="Calibri" w:cs="Calibri"/>
          <w:iCs/>
          <w:sz w:val="24"/>
        </w:rPr>
      </w:pPr>
    </w:p>
    <w:p w14:paraId="0D79FB69" w14:textId="77777777" w:rsidR="0018799A" w:rsidRPr="0018799A" w:rsidRDefault="0018799A" w:rsidP="00F12682">
      <w:pPr>
        <w:spacing w:after="120" w:line="276" w:lineRule="auto"/>
        <w:jc w:val="both"/>
        <w:rPr>
          <w:rFonts w:ascii="Calibri" w:eastAsiaTheme="majorEastAsia" w:hAnsi="Calibri" w:cs="Calibri"/>
          <w:iCs/>
          <w:sz w:val="24"/>
        </w:rPr>
      </w:pPr>
      <w:r w:rsidRPr="0018799A">
        <w:rPr>
          <w:rFonts w:ascii="Calibri" w:eastAsiaTheme="majorEastAsia" w:hAnsi="Calibri" w:cs="Calibri"/>
          <w:iCs/>
          <w:sz w:val="24"/>
        </w:rPr>
        <w:t>Le tableau enseigne que les agents, avec un effectif très restreint, sont principalement des cardes de conception et représente  près des trois quarts (3/4) du personnel utilisé par le MAH/GC. Plus de la moitié des personnes cadres utilisées par le MAH/GC en 2016, se retrouve au cabinet ; ce qui permettra pas une mise œuvre conséquente des activités du Ministère.</w:t>
      </w:r>
    </w:p>
    <w:p w14:paraId="1BAEA42B" w14:textId="13313542" w:rsidR="0018799A" w:rsidRPr="0018799A" w:rsidRDefault="0018799A" w:rsidP="00F12682">
      <w:pPr>
        <w:spacing w:after="120" w:line="276" w:lineRule="auto"/>
        <w:jc w:val="both"/>
        <w:rPr>
          <w:rFonts w:ascii="Calibri" w:eastAsiaTheme="majorEastAsia" w:hAnsi="Calibri" w:cs="Calibri"/>
          <w:iCs/>
          <w:sz w:val="24"/>
        </w:rPr>
      </w:pPr>
      <w:r w:rsidRPr="0018799A">
        <w:rPr>
          <w:rFonts w:ascii="Calibri" w:eastAsiaTheme="majorEastAsia" w:hAnsi="Calibri" w:cs="Calibri"/>
          <w:iCs/>
          <w:sz w:val="24"/>
        </w:rPr>
        <w:t>C’est pour combler le déficit en personnel que le MAH/GC a fait recours aux appelés du service civique national qui ont permis de pouvoir conduire certaines acti</w:t>
      </w:r>
      <w:r>
        <w:rPr>
          <w:rFonts w:ascii="Calibri" w:eastAsiaTheme="majorEastAsia" w:hAnsi="Calibri" w:cs="Calibri"/>
          <w:iCs/>
          <w:sz w:val="24"/>
        </w:rPr>
        <w:t>vités au cours de l’année 2016.</w:t>
      </w:r>
    </w:p>
    <w:p w14:paraId="15DCC1DE" w14:textId="77777777" w:rsidR="0018799A" w:rsidRPr="0018799A" w:rsidRDefault="0018799A" w:rsidP="00F12682">
      <w:pPr>
        <w:spacing w:after="120" w:line="276" w:lineRule="auto"/>
        <w:jc w:val="both"/>
        <w:rPr>
          <w:rFonts w:ascii="Calibri" w:eastAsiaTheme="majorEastAsia" w:hAnsi="Calibri" w:cs="Calibri"/>
          <w:iCs/>
          <w:sz w:val="24"/>
        </w:rPr>
      </w:pPr>
      <w:r w:rsidRPr="0018799A">
        <w:rPr>
          <w:rFonts w:ascii="Calibri" w:eastAsiaTheme="majorEastAsia" w:hAnsi="Calibri" w:cs="Calibri"/>
          <w:iCs/>
          <w:sz w:val="24"/>
        </w:rPr>
        <w:t xml:space="preserve">Du point de vue compétence, on peut noter que, si globalement il y’a adéquation profil emploi, il n’en demeure pas moins que certains postes méritent que l’on revoie leurs titulaires.  </w:t>
      </w:r>
    </w:p>
    <w:p w14:paraId="5106169F" w14:textId="77777777" w:rsidR="0018799A" w:rsidRPr="0018799A" w:rsidRDefault="0018799A" w:rsidP="00F12682">
      <w:pPr>
        <w:spacing w:after="120" w:line="276" w:lineRule="auto"/>
        <w:jc w:val="both"/>
        <w:rPr>
          <w:rFonts w:ascii="Calibri" w:eastAsiaTheme="majorEastAsia" w:hAnsi="Calibri" w:cs="Calibri"/>
          <w:iCs/>
          <w:sz w:val="24"/>
        </w:rPr>
      </w:pPr>
      <w:r w:rsidRPr="0018799A">
        <w:rPr>
          <w:rFonts w:ascii="Calibri" w:eastAsiaTheme="majorEastAsia" w:hAnsi="Calibri" w:cs="Calibri"/>
          <w:iCs/>
          <w:sz w:val="24"/>
        </w:rPr>
        <w:t>La remarque importante est que le MAH/GC n’avait aucun cadre au niveau déconcentré ; ce qui l’obligeait à faire appel aux services déconcentrés d’autres structures.</w:t>
      </w:r>
    </w:p>
    <w:p w14:paraId="29B8FE6E" w14:textId="77777777" w:rsidR="0015471F" w:rsidRPr="00ED1AF5" w:rsidRDefault="0015471F" w:rsidP="00F12682">
      <w:pPr>
        <w:spacing w:after="120" w:line="276" w:lineRule="auto"/>
        <w:jc w:val="both"/>
        <w:rPr>
          <w:rFonts w:ascii="Calibri" w:eastAsiaTheme="majorEastAsia" w:hAnsi="Calibri" w:cs="Calibri"/>
          <w:iCs/>
          <w:strike/>
          <w:sz w:val="24"/>
        </w:rPr>
      </w:pPr>
    </w:p>
    <w:p w14:paraId="4194A215" w14:textId="77777777" w:rsidR="00542CF1" w:rsidRPr="00B539EB" w:rsidRDefault="00542CF1" w:rsidP="00F12682">
      <w:pPr>
        <w:pStyle w:val="Titre4"/>
        <w:rPr>
          <w:rFonts w:asciiTheme="minorHAnsi" w:hAnsiTheme="minorHAnsi" w:cstheme="minorHAnsi"/>
        </w:rPr>
      </w:pPr>
      <w:r w:rsidRPr="00B539EB">
        <w:rPr>
          <w:rFonts w:asciiTheme="minorHAnsi" w:hAnsiTheme="minorHAnsi" w:cstheme="minorHAnsi"/>
        </w:rPr>
        <w:t>Synthèse et perspective en matière de GFP</w:t>
      </w:r>
    </w:p>
    <w:p w14:paraId="7E1AC4C9" w14:textId="0198BDCF" w:rsidR="00542CF1" w:rsidRDefault="00542CF1" w:rsidP="00F12682">
      <w:pPr>
        <w:spacing w:after="120" w:line="276" w:lineRule="auto"/>
        <w:jc w:val="both"/>
        <w:rPr>
          <w:rFonts w:ascii="Calibri" w:eastAsiaTheme="majorEastAsia" w:hAnsi="Calibri" w:cs="Calibri"/>
          <w:iCs/>
          <w:sz w:val="24"/>
        </w:rPr>
      </w:pPr>
      <w:r w:rsidRPr="00B539EB">
        <w:rPr>
          <w:rFonts w:ascii="Calibri" w:eastAsiaTheme="majorEastAsia" w:hAnsi="Calibri" w:cs="Calibri"/>
          <w:iCs/>
          <w:sz w:val="24"/>
        </w:rPr>
        <w:t>A peine créé, le MAH</w:t>
      </w:r>
      <w:r w:rsidR="009B1D5C">
        <w:rPr>
          <w:rFonts w:ascii="Calibri" w:eastAsiaTheme="majorEastAsia" w:hAnsi="Calibri" w:cs="Calibri"/>
          <w:iCs/>
          <w:sz w:val="24"/>
        </w:rPr>
        <w:t>/</w:t>
      </w:r>
      <w:r w:rsidRPr="00B539EB">
        <w:rPr>
          <w:rFonts w:ascii="Calibri" w:eastAsiaTheme="majorEastAsia" w:hAnsi="Calibri" w:cs="Calibri"/>
          <w:iCs/>
          <w:sz w:val="24"/>
        </w:rPr>
        <w:t>GC dispose de potentiels en matière de capital pour préparer et exécuter dans des bonnes conditions un budget. Toutefois, le MAH/GC a un besoin de renforcement des capacités dans le domai</w:t>
      </w:r>
      <w:r w:rsidR="00B539EB">
        <w:rPr>
          <w:rFonts w:ascii="Calibri" w:eastAsiaTheme="majorEastAsia" w:hAnsi="Calibri" w:cs="Calibri"/>
          <w:iCs/>
          <w:sz w:val="24"/>
        </w:rPr>
        <w:t>ne de la passation des marchés.</w:t>
      </w:r>
    </w:p>
    <w:p w14:paraId="76B673BF" w14:textId="77777777" w:rsidR="00DB747C" w:rsidRPr="00B539EB" w:rsidRDefault="00DB747C" w:rsidP="00F12682">
      <w:pPr>
        <w:spacing w:after="120" w:line="276" w:lineRule="auto"/>
        <w:jc w:val="both"/>
        <w:rPr>
          <w:rFonts w:ascii="Calibri" w:eastAsiaTheme="majorEastAsia" w:hAnsi="Calibri" w:cs="Calibri"/>
          <w:iCs/>
          <w:sz w:val="24"/>
        </w:rPr>
      </w:pPr>
    </w:p>
    <w:p w14:paraId="34212D51" w14:textId="0E4BEB99" w:rsidR="00073CD1" w:rsidRDefault="00073CD1" w:rsidP="00F12682">
      <w:pPr>
        <w:pStyle w:val="Titre3"/>
        <w:numPr>
          <w:ilvl w:val="2"/>
          <w:numId w:val="21"/>
        </w:numPr>
        <w:rPr>
          <w:rFonts w:asciiTheme="minorHAnsi" w:hAnsiTheme="minorHAnsi" w:cstheme="minorHAnsi"/>
        </w:rPr>
      </w:pPr>
      <w:bookmarkStart w:id="93" w:name="_Toc529305023"/>
      <w:r w:rsidRPr="004A5122">
        <w:rPr>
          <w:rFonts w:asciiTheme="minorHAnsi" w:hAnsiTheme="minorHAnsi" w:cstheme="minorHAnsi"/>
        </w:rPr>
        <w:t>Direction de la Nutrition du Ministère de la Santé Publique (DN/MSP)</w:t>
      </w:r>
      <w:bookmarkEnd w:id="93"/>
    </w:p>
    <w:p w14:paraId="0B1D451A" w14:textId="38BBA546" w:rsidR="00B539EB" w:rsidRPr="007574D7" w:rsidRDefault="00B539EB" w:rsidP="00F12682">
      <w:pPr>
        <w:pStyle w:val="Titre4"/>
        <w:rPr>
          <w:rFonts w:asciiTheme="minorHAnsi" w:hAnsiTheme="minorHAnsi" w:cstheme="minorHAnsi"/>
        </w:rPr>
      </w:pPr>
      <w:r w:rsidRPr="007574D7">
        <w:rPr>
          <w:rFonts w:asciiTheme="minorHAnsi" w:hAnsiTheme="minorHAnsi" w:cstheme="minorHAnsi"/>
        </w:rPr>
        <w:t>Analyse de la planification/programmation</w:t>
      </w:r>
      <w:r w:rsidR="002C1594">
        <w:rPr>
          <w:rFonts w:asciiTheme="minorHAnsi" w:hAnsiTheme="minorHAnsi" w:cstheme="minorHAnsi"/>
        </w:rPr>
        <w:t>,</w:t>
      </w:r>
      <w:r w:rsidRPr="007574D7">
        <w:rPr>
          <w:rFonts w:asciiTheme="minorHAnsi" w:hAnsiTheme="minorHAnsi" w:cstheme="minorHAnsi"/>
        </w:rPr>
        <w:t xml:space="preserve"> de la budgétisation des dépenses</w:t>
      </w:r>
      <w:r w:rsidR="002C1594" w:rsidRPr="002C1594">
        <w:rPr>
          <w:rFonts w:asciiTheme="minorHAnsi" w:hAnsiTheme="minorHAnsi" w:cstheme="minorHAnsi"/>
        </w:rPr>
        <w:t xml:space="preserve"> </w:t>
      </w:r>
      <w:r w:rsidR="002C1594" w:rsidRPr="00B539EB">
        <w:rPr>
          <w:rFonts w:asciiTheme="minorHAnsi" w:hAnsiTheme="minorHAnsi" w:cstheme="minorHAnsi"/>
        </w:rPr>
        <w:t>et de reddition des comptes</w:t>
      </w:r>
    </w:p>
    <w:p w14:paraId="3C21D2D0" w14:textId="35B142F4" w:rsidR="00517003" w:rsidRPr="00517003" w:rsidRDefault="00517003" w:rsidP="00F12682">
      <w:pPr>
        <w:spacing w:after="120" w:line="276" w:lineRule="auto"/>
        <w:jc w:val="both"/>
        <w:rPr>
          <w:rFonts w:ascii="Calibri" w:eastAsiaTheme="majorEastAsia" w:hAnsi="Calibri" w:cs="Calibri"/>
          <w:iCs/>
          <w:sz w:val="24"/>
        </w:rPr>
      </w:pPr>
      <w:r w:rsidRPr="00517003">
        <w:rPr>
          <w:rFonts w:ascii="Calibri" w:eastAsiaTheme="majorEastAsia" w:hAnsi="Calibri" w:cs="Calibri"/>
          <w:iCs/>
          <w:sz w:val="24"/>
        </w:rPr>
        <w:t>Le Ministère de la Santé Publique (MSP) fait partie du cercle très restreint des ministères qui avaient une excellente culture de budget programme. En effet</w:t>
      </w:r>
      <w:r w:rsidR="005E416D">
        <w:rPr>
          <w:rFonts w:ascii="Calibri" w:eastAsiaTheme="majorEastAsia" w:hAnsi="Calibri" w:cs="Calibri"/>
          <w:iCs/>
          <w:sz w:val="24"/>
        </w:rPr>
        <w:t>,</w:t>
      </w:r>
      <w:r w:rsidRPr="00517003">
        <w:rPr>
          <w:rFonts w:ascii="Calibri" w:eastAsiaTheme="majorEastAsia" w:hAnsi="Calibri" w:cs="Calibri"/>
          <w:iCs/>
          <w:sz w:val="24"/>
        </w:rPr>
        <w:t xml:space="preserve"> aussitôt la Déclaration de Parais et le Plan d’Action d’Accra, sous l’impulsion et l’appui technique et financier de certains PTF, le MSP s’inscrit dans l’élaboration des Cadres de Dépenses à Moyen Terme (CDMT). </w:t>
      </w:r>
    </w:p>
    <w:p w14:paraId="78A14941" w14:textId="77777777" w:rsidR="00517003" w:rsidRPr="00517003" w:rsidRDefault="00517003" w:rsidP="00F12682">
      <w:pPr>
        <w:spacing w:after="120" w:line="276" w:lineRule="auto"/>
        <w:jc w:val="both"/>
        <w:rPr>
          <w:rFonts w:ascii="Calibri" w:eastAsiaTheme="majorEastAsia" w:hAnsi="Calibri" w:cs="Calibri"/>
          <w:iCs/>
          <w:sz w:val="24"/>
        </w:rPr>
      </w:pPr>
      <w:r w:rsidRPr="00517003">
        <w:rPr>
          <w:rFonts w:ascii="Calibri" w:eastAsiaTheme="majorEastAsia" w:hAnsi="Calibri" w:cs="Calibri"/>
          <w:iCs/>
          <w:sz w:val="24"/>
        </w:rPr>
        <w:t>Les CDMT, élaborés par le MSP, constituent la déclinaison opérationnelle de la politique adossées du secteur qui est adossée sur des stratégies qui sont pour la période en revue :</w:t>
      </w:r>
    </w:p>
    <w:p w14:paraId="5E843EB1" w14:textId="1BC9C766" w:rsidR="00517003" w:rsidRPr="00517003" w:rsidRDefault="00517003" w:rsidP="00F12682">
      <w:pPr>
        <w:spacing w:after="120" w:line="276" w:lineRule="auto"/>
        <w:jc w:val="both"/>
        <w:rPr>
          <w:rFonts w:ascii="Calibri" w:eastAsiaTheme="majorEastAsia" w:hAnsi="Calibri" w:cs="Calibri"/>
          <w:iCs/>
          <w:sz w:val="24"/>
        </w:rPr>
      </w:pPr>
      <w:r w:rsidRPr="00517003">
        <w:rPr>
          <w:rFonts w:ascii="Calibri" w:eastAsiaTheme="majorEastAsia" w:hAnsi="Calibri" w:cs="Calibri"/>
          <w:iCs/>
          <w:sz w:val="24"/>
        </w:rPr>
        <w:t>Le Plan de Développement Sanitaire (PDS) 2011-2015</w:t>
      </w:r>
      <w:r w:rsidR="00204370">
        <w:rPr>
          <w:rFonts w:ascii="Calibri" w:eastAsiaTheme="majorEastAsia" w:hAnsi="Calibri" w:cs="Calibri"/>
          <w:iCs/>
          <w:sz w:val="24"/>
        </w:rPr>
        <w:t xml:space="preserve"> </w:t>
      </w:r>
      <w:r w:rsidRPr="00517003">
        <w:rPr>
          <w:rFonts w:ascii="Calibri" w:eastAsiaTheme="majorEastAsia" w:hAnsi="Calibri" w:cs="Calibri"/>
          <w:iCs/>
          <w:sz w:val="24"/>
        </w:rPr>
        <w:t xml:space="preserve">qui s’inscrit dans l’optique de réponse aux défis des OMD et des différentes politiques nationales en matière de santé. Le PDS 2011-2015 est bâti sur huit (8) programmes sectoriels dont principalement le Programme sectoriel qui englobe en son sein les stratégies en matière de nutrition. </w:t>
      </w:r>
    </w:p>
    <w:p w14:paraId="126604B7" w14:textId="44DBA36D" w:rsidR="00517003" w:rsidRPr="00517003" w:rsidRDefault="00517003" w:rsidP="00F12682">
      <w:pPr>
        <w:spacing w:after="120" w:line="276" w:lineRule="auto"/>
        <w:jc w:val="both"/>
        <w:rPr>
          <w:rFonts w:ascii="Calibri" w:eastAsiaTheme="majorEastAsia" w:hAnsi="Calibri" w:cs="Calibri"/>
          <w:iCs/>
          <w:sz w:val="24"/>
        </w:rPr>
      </w:pPr>
      <w:r w:rsidRPr="00517003">
        <w:rPr>
          <w:rFonts w:ascii="Calibri" w:eastAsiaTheme="majorEastAsia" w:hAnsi="Calibri" w:cs="Calibri"/>
          <w:iCs/>
          <w:sz w:val="24"/>
        </w:rPr>
        <w:lastRenderedPageBreak/>
        <w:t>La nutrition se retrouve au Sous-Produit 2.3 : ‘Prise en charge de l'enfant améliorée’ du Produit 2</w:t>
      </w:r>
      <w:r w:rsidR="002D78EE">
        <w:rPr>
          <w:rFonts w:ascii="Calibri" w:eastAsiaTheme="majorEastAsia" w:hAnsi="Calibri" w:cs="Calibri"/>
          <w:iCs/>
          <w:sz w:val="24"/>
        </w:rPr>
        <w:t> :</w:t>
      </w:r>
      <w:r w:rsidRPr="00517003">
        <w:rPr>
          <w:rFonts w:ascii="Calibri" w:eastAsiaTheme="majorEastAsia" w:hAnsi="Calibri" w:cs="Calibri"/>
          <w:iCs/>
          <w:sz w:val="24"/>
        </w:rPr>
        <w:t xml:space="preserve"> ‘Services de la santé de la reproduction de qualité offerts.’ </w:t>
      </w:r>
    </w:p>
    <w:p w14:paraId="6ECF8FFC" w14:textId="57BC1118" w:rsidR="00517003" w:rsidRPr="00517003" w:rsidRDefault="00517003" w:rsidP="00F12682">
      <w:pPr>
        <w:spacing w:after="120" w:line="276" w:lineRule="auto"/>
        <w:jc w:val="both"/>
        <w:rPr>
          <w:rFonts w:ascii="Calibri" w:eastAsiaTheme="majorEastAsia" w:hAnsi="Calibri" w:cs="Calibri"/>
          <w:iCs/>
          <w:sz w:val="24"/>
        </w:rPr>
      </w:pPr>
      <w:r w:rsidRPr="00517003">
        <w:rPr>
          <w:rFonts w:ascii="Calibri" w:eastAsiaTheme="majorEastAsia" w:hAnsi="Calibri" w:cs="Calibri"/>
          <w:iCs/>
          <w:sz w:val="24"/>
        </w:rPr>
        <w:t>Il faut signaler que le PDS</w:t>
      </w:r>
      <w:r w:rsidR="009B1D5C">
        <w:rPr>
          <w:rFonts w:ascii="Calibri" w:eastAsiaTheme="majorEastAsia" w:hAnsi="Calibri" w:cs="Calibri"/>
          <w:iCs/>
          <w:sz w:val="24"/>
        </w:rPr>
        <w:t xml:space="preserve"> </w:t>
      </w:r>
      <w:r w:rsidRPr="00517003">
        <w:rPr>
          <w:rFonts w:ascii="Calibri" w:eastAsiaTheme="majorEastAsia" w:hAnsi="Calibri" w:cs="Calibri"/>
          <w:iCs/>
          <w:sz w:val="24"/>
        </w:rPr>
        <w:t>2011-2015</w:t>
      </w:r>
      <w:r w:rsidR="00402DDE">
        <w:rPr>
          <w:rFonts w:ascii="Calibri" w:eastAsiaTheme="majorEastAsia" w:hAnsi="Calibri" w:cs="Calibri"/>
          <w:iCs/>
          <w:sz w:val="24"/>
        </w:rPr>
        <w:t xml:space="preserve"> </w:t>
      </w:r>
      <w:r w:rsidRPr="00517003">
        <w:rPr>
          <w:rFonts w:ascii="Calibri" w:eastAsiaTheme="majorEastAsia" w:hAnsi="Calibri" w:cs="Calibri"/>
          <w:iCs/>
          <w:sz w:val="24"/>
        </w:rPr>
        <w:t xml:space="preserve">qui a connu une prolongation pour couvrir l’année 2016, est accompagné d’un Plan de Travail Quinquennal (PTQ) qui fixe les Produits et les Sous-Produits attendus sur les cinq (5) années de sa validité ainsi que les financements requis. </w:t>
      </w:r>
    </w:p>
    <w:p w14:paraId="3786BCEB" w14:textId="000C722A" w:rsidR="00517003" w:rsidRPr="00EC2039" w:rsidRDefault="00517003" w:rsidP="00F12682">
      <w:pPr>
        <w:spacing w:after="120" w:line="276" w:lineRule="auto"/>
        <w:jc w:val="both"/>
        <w:rPr>
          <w:rFonts w:ascii="Calibri" w:eastAsiaTheme="majorEastAsia" w:hAnsi="Calibri" w:cs="Calibri"/>
          <w:iCs/>
          <w:sz w:val="24"/>
        </w:rPr>
      </w:pPr>
      <w:r w:rsidRPr="00EC2039">
        <w:rPr>
          <w:rFonts w:ascii="Calibri" w:eastAsiaTheme="majorEastAsia" w:hAnsi="Calibri" w:cs="Calibri"/>
          <w:iCs/>
          <w:sz w:val="24"/>
        </w:rPr>
        <w:t xml:space="preserve">Selon le Rapport d’Exécution du Programme (REP), sur une prévision globale de 178,6 milliards de francs CFA, 127,7 milliards ont été mobilisés et 121,3 milliards ont étés dépensés, soit un taux national de réalisation financière de 67,94% en 2016 contre 67,12% en 2015. </w:t>
      </w:r>
    </w:p>
    <w:p w14:paraId="470A62AE" w14:textId="00F2EACD" w:rsidR="00517003" w:rsidRDefault="00517003" w:rsidP="00F12682">
      <w:pPr>
        <w:spacing w:after="120" w:line="276" w:lineRule="auto"/>
        <w:jc w:val="both"/>
        <w:rPr>
          <w:rFonts w:ascii="Calibri" w:eastAsiaTheme="majorEastAsia" w:hAnsi="Calibri" w:cs="Calibri"/>
          <w:iCs/>
          <w:sz w:val="24"/>
        </w:rPr>
      </w:pPr>
      <w:r w:rsidRPr="00EC2039">
        <w:rPr>
          <w:rFonts w:ascii="Calibri" w:eastAsiaTheme="majorEastAsia" w:hAnsi="Calibri" w:cs="Calibri"/>
          <w:iCs/>
          <w:sz w:val="24"/>
        </w:rPr>
        <w:t xml:space="preserve">En 2016, la prévision globale a baissé de 41 milliards </w:t>
      </w:r>
      <w:r w:rsidR="009B1D5C">
        <w:rPr>
          <w:rFonts w:ascii="Calibri" w:eastAsiaTheme="majorEastAsia" w:hAnsi="Calibri" w:cs="Calibri"/>
          <w:iCs/>
          <w:sz w:val="24"/>
        </w:rPr>
        <w:t>F</w:t>
      </w:r>
      <w:r w:rsidRPr="00EC2039">
        <w:rPr>
          <w:rFonts w:ascii="Calibri" w:eastAsiaTheme="majorEastAsia" w:hAnsi="Calibri" w:cs="Calibri"/>
          <w:iCs/>
          <w:sz w:val="24"/>
        </w:rPr>
        <w:t>CFA, et la mobilisation de 40 milliards par rapport en 2015. Toutefois, la dépense effective a augmenté de 65 milliards FCFA en 2016.</w:t>
      </w:r>
    </w:p>
    <w:p w14:paraId="747888D8" w14:textId="77777777" w:rsidR="00517003" w:rsidRDefault="00517003" w:rsidP="00F12682">
      <w:pPr>
        <w:spacing w:after="120" w:line="276" w:lineRule="auto"/>
        <w:jc w:val="both"/>
        <w:rPr>
          <w:rFonts w:ascii="Calibri" w:eastAsiaTheme="majorEastAsia" w:hAnsi="Calibri" w:cs="Calibri"/>
          <w:iCs/>
          <w:sz w:val="24"/>
        </w:rPr>
      </w:pPr>
      <w:r w:rsidRPr="00EC2039">
        <w:rPr>
          <w:rFonts w:ascii="Calibri" w:eastAsiaTheme="majorEastAsia" w:hAnsi="Calibri" w:cs="Calibri"/>
          <w:iCs/>
          <w:sz w:val="24"/>
        </w:rPr>
        <w:t>Le graphique ci-dessous montre la réalisation financière par produit du PDS en 2016.</w:t>
      </w:r>
    </w:p>
    <w:p w14:paraId="09ED2547" w14:textId="77777777" w:rsidR="00B539EB" w:rsidRPr="007574D7" w:rsidRDefault="00B539EB" w:rsidP="00F12682">
      <w:pPr>
        <w:spacing w:after="120" w:line="276" w:lineRule="auto"/>
        <w:jc w:val="both"/>
        <w:rPr>
          <w:rFonts w:ascii="Calibri" w:eastAsiaTheme="majorEastAsia" w:hAnsi="Calibri" w:cs="Calibri"/>
          <w:iCs/>
          <w:sz w:val="24"/>
        </w:rPr>
      </w:pPr>
    </w:p>
    <w:p w14:paraId="69BBBC94" w14:textId="77777777" w:rsidR="00B539EB" w:rsidRPr="00B539EB" w:rsidRDefault="00B539EB" w:rsidP="00F12682">
      <w:pPr>
        <w:pStyle w:val="Titre4"/>
        <w:rPr>
          <w:rFonts w:asciiTheme="minorHAnsi" w:hAnsiTheme="minorHAnsi" w:cstheme="minorHAnsi"/>
        </w:rPr>
      </w:pPr>
      <w:r w:rsidRPr="00B539EB">
        <w:rPr>
          <w:rFonts w:asciiTheme="minorHAnsi" w:hAnsiTheme="minorHAnsi" w:cstheme="minorHAnsi"/>
        </w:rPr>
        <w:t>Analyse de la Gestion des Ressources Humaines</w:t>
      </w:r>
    </w:p>
    <w:p w14:paraId="14427395" w14:textId="7003AF7B" w:rsidR="00843E0F" w:rsidRP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 xml:space="preserve">Les ressources humaines du secteur </w:t>
      </w:r>
      <w:r w:rsidR="00EF74B8">
        <w:rPr>
          <w:rFonts w:ascii="Calibri" w:eastAsiaTheme="majorEastAsia" w:hAnsi="Calibri" w:cs="Calibri"/>
          <w:iCs/>
          <w:sz w:val="24"/>
        </w:rPr>
        <w:t xml:space="preserve">à titre indicatif </w:t>
      </w:r>
      <w:r w:rsidRPr="00843E0F">
        <w:rPr>
          <w:rFonts w:ascii="Calibri" w:eastAsiaTheme="majorEastAsia" w:hAnsi="Calibri" w:cs="Calibri"/>
          <w:iCs/>
          <w:sz w:val="24"/>
        </w:rPr>
        <w:t>sont récapitulées dans le tableau qui suit.</w:t>
      </w:r>
    </w:p>
    <w:p w14:paraId="70060A71" w14:textId="4587302D" w:rsidR="00843E0F" w:rsidRPr="005B1222" w:rsidRDefault="005B1222" w:rsidP="00F12682">
      <w:pPr>
        <w:pStyle w:val="Lgende"/>
        <w:rPr>
          <w:rFonts w:eastAsiaTheme="majorEastAsia" w:cs="Calibri"/>
          <w:iCs w:val="0"/>
        </w:rPr>
      </w:pPr>
      <w:bookmarkStart w:id="94" w:name="_Toc437711607"/>
      <w:bookmarkStart w:id="95" w:name="_Toc529305065"/>
      <w:r>
        <w:t xml:space="preserve">Tableau </w:t>
      </w:r>
      <w:r w:rsidR="00FA3679">
        <w:rPr>
          <w:noProof/>
        </w:rPr>
        <w:fldChar w:fldCharType="begin"/>
      </w:r>
      <w:r w:rsidR="00FA3679">
        <w:rPr>
          <w:noProof/>
        </w:rPr>
        <w:instrText xml:space="preserve"> SEQ Tableau \* ARABIC </w:instrText>
      </w:r>
      <w:r w:rsidR="00FA3679">
        <w:rPr>
          <w:noProof/>
        </w:rPr>
        <w:fldChar w:fldCharType="separate"/>
      </w:r>
      <w:r w:rsidR="001C37F0">
        <w:rPr>
          <w:noProof/>
        </w:rPr>
        <w:t>11</w:t>
      </w:r>
      <w:r w:rsidR="00FA3679">
        <w:rPr>
          <w:noProof/>
        </w:rPr>
        <w:fldChar w:fldCharType="end"/>
      </w:r>
      <w:r w:rsidR="00843E0F" w:rsidRPr="005B1222">
        <w:rPr>
          <w:rFonts w:eastAsiaTheme="majorEastAsia" w:cs="Calibri"/>
          <w:iCs w:val="0"/>
        </w:rPr>
        <w:t> : Composition des ressources humaines en santé</w:t>
      </w:r>
      <w:bookmarkEnd w:id="94"/>
      <w:bookmarkEnd w:id="95"/>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3"/>
        <w:gridCol w:w="2651"/>
      </w:tblGrid>
      <w:tr w:rsidR="00843E0F" w:rsidRPr="005B1222" w14:paraId="17315546" w14:textId="77777777" w:rsidTr="005B1222">
        <w:tc>
          <w:tcPr>
            <w:tcW w:w="3571" w:type="pct"/>
            <w:shd w:val="clear" w:color="000000" w:fill="F2F2F2"/>
            <w:vAlign w:val="center"/>
            <w:hideMark/>
          </w:tcPr>
          <w:p w14:paraId="32CB7BAD" w14:textId="77777777" w:rsidR="00843E0F" w:rsidRPr="005B1222" w:rsidRDefault="00843E0F" w:rsidP="00F12682">
            <w:pPr>
              <w:spacing w:after="0"/>
              <w:ind w:firstLineChars="200" w:firstLine="442"/>
              <w:rPr>
                <w:rFonts w:ascii="Calibri" w:hAnsi="Calibri" w:cs="Calibri"/>
                <w:b/>
                <w:bCs/>
                <w:lang w:eastAsia="fr-FR"/>
              </w:rPr>
            </w:pPr>
            <w:r w:rsidRPr="005B1222">
              <w:rPr>
                <w:rFonts w:ascii="Calibri" w:hAnsi="Calibri" w:cs="Calibri"/>
                <w:b/>
                <w:bCs/>
                <w:lang w:eastAsia="fr-FR"/>
              </w:rPr>
              <w:t>Statuts</w:t>
            </w:r>
          </w:p>
        </w:tc>
        <w:tc>
          <w:tcPr>
            <w:tcW w:w="1429" w:type="pct"/>
            <w:shd w:val="clear" w:color="000000" w:fill="F2F2F2"/>
            <w:vAlign w:val="center"/>
            <w:hideMark/>
          </w:tcPr>
          <w:p w14:paraId="4354619B" w14:textId="77777777" w:rsidR="00843E0F" w:rsidRPr="005B1222" w:rsidRDefault="00843E0F" w:rsidP="00F12682">
            <w:pPr>
              <w:spacing w:after="0"/>
              <w:jc w:val="right"/>
              <w:rPr>
                <w:rFonts w:ascii="Calibri" w:hAnsi="Calibri" w:cs="Calibri"/>
                <w:b/>
                <w:bCs/>
                <w:lang w:eastAsia="fr-FR"/>
              </w:rPr>
            </w:pPr>
            <w:r w:rsidRPr="005B1222">
              <w:rPr>
                <w:rFonts w:ascii="Calibri" w:hAnsi="Calibri" w:cs="Calibri"/>
                <w:b/>
                <w:bCs/>
                <w:lang w:eastAsia="fr-FR"/>
              </w:rPr>
              <w:t>Effectifs</w:t>
            </w:r>
          </w:p>
        </w:tc>
      </w:tr>
      <w:tr w:rsidR="00843E0F" w:rsidRPr="005B1222" w14:paraId="3140BC7F" w14:textId="77777777" w:rsidTr="005B1222">
        <w:tc>
          <w:tcPr>
            <w:tcW w:w="3571" w:type="pct"/>
            <w:shd w:val="clear" w:color="auto" w:fill="auto"/>
            <w:vAlign w:val="center"/>
            <w:hideMark/>
          </w:tcPr>
          <w:p w14:paraId="5AA1095D" w14:textId="77777777" w:rsidR="00843E0F" w:rsidRPr="005B1222" w:rsidRDefault="00843E0F" w:rsidP="00F12682">
            <w:pPr>
              <w:spacing w:after="0"/>
              <w:rPr>
                <w:rFonts w:ascii="Calibri" w:hAnsi="Calibri" w:cs="Calibri"/>
                <w:bCs/>
                <w:lang w:eastAsia="fr-FR"/>
              </w:rPr>
            </w:pPr>
            <w:r w:rsidRPr="005B1222">
              <w:rPr>
                <w:rFonts w:ascii="Calibri" w:hAnsi="Calibri" w:cs="Calibri"/>
                <w:bCs/>
                <w:lang w:eastAsia="fr-FR"/>
              </w:rPr>
              <w:t>Fonctionnaires  en activité</w:t>
            </w:r>
          </w:p>
        </w:tc>
        <w:tc>
          <w:tcPr>
            <w:tcW w:w="1429" w:type="pct"/>
            <w:shd w:val="clear" w:color="auto" w:fill="auto"/>
            <w:vAlign w:val="center"/>
            <w:hideMark/>
          </w:tcPr>
          <w:p w14:paraId="6EF111B2" w14:textId="632FA1A0" w:rsidR="00843E0F" w:rsidRPr="005B1222" w:rsidRDefault="00843E0F" w:rsidP="00F12682">
            <w:pPr>
              <w:spacing w:after="0"/>
              <w:jc w:val="right"/>
              <w:rPr>
                <w:rFonts w:ascii="Calibri" w:hAnsi="Calibri" w:cs="Calibri"/>
                <w:bCs/>
                <w:lang w:eastAsia="fr-FR"/>
              </w:rPr>
            </w:pPr>
            <w:r w:rsidRPr="005B1222">
              <w:rPr>
                <w:rFonts w:ascii="Calibri" w:hAnsi="Calibri" w:cs="Calibri"/>
                <w:bCs/>
                <w:lang w:eastAsia="fr-FR"/>
              </w:rPr>
              <w:t>7</w:t>
            </w:r>
            <w:r w:rsidR="005B1222">
              <w:rPr>
                <w:rFonts w:ascii="Calibri" w:hAnsi="Calibri" w:cs="Calibri"/>
                <w:bCs/>
                <w:lang w:eastAsia="fr-FR"/>
              </w:rPr>
              <w:t xml:space="preserve"> </w:t>
            </w:r>
            <w:r w:rsidRPr="005B1222">
              <w:rPr>
                <w:rFonts w:ascii="Calibri" w:hAnsi="Calibri" w:cs="Calibri"/>
                <w:bCs/>
                <w:lang w:eastAsia="fr-FR"/>
              </w:rPr>
              <w:t>725</w:t>
            </w:r>
          </w:p>
        </w:tc>
      </w:tr>
      <w:tr w:rsidR="00843E0F" w:rsidRPr="005B1222" w14:paraId="520C8757" w14:textId="77777777" w:rsidTr="005B1222">
        <w:tc>
          <w:tcPr>
            <w:tcW w:w="3571" w:type="pct"/>
            <w:shd w:val="clear" w:color="auto" w:fill="auto"/>
            <w:vAlign w:val="center"/>
            <w:hideMark/>
          </w:tcPr>
          <w:p w14:paraId="1B8C1E18" w14:textId="77777777" w:rsidR="00843E0F" w:rsidRPr="005B1222" w:rsidRDefault="00843E0F" w:rsidP="00F12682">
            <w:pPr>
              <w:spacing w:after="0"/>
              <w:rPr>
                <w:rFonts w:ascii="Calibri" w:hAnsi="Calibri" w:cs="Calibri"/>
                <w:bCs/>
                <w:lang w:eastAsia="fr-FR"/>
              </w:rPr>
            </w:pPr>
            <w:r w:rsidRPr="005B1222">
              <w:rPr>
                <w:rFonts w:ascii="Calibri" w:hAnsi="Calibri" w:cs="Calibri"/>
                <w:bCs/>
                <w:lang w:eastAsia="fr-FR"/>
              </w:rPr>
              <w:t xml:space="preserve">Agents auxiliaires </w:t>
            </w:r>
          </w:p>
        </w:tc>
        <w:tc>
          <w:tcPr>
            <w:tcW w:w="1429" w:type="pct"/>
            <w:shd w:val="clear" w:color="auto" w:fill="auto"/>
            <w:vAlign w:val="center"/>
          </w:tcPr>
          <w:p w14:paraId="696B3CE8" w14:textId="35585310" w:rsidR="00843E0F" w:rsidRPr="005B1222" w:rsidRDefault="00843E0F" w:rsidP="00F12682">
            <w:pPr>
              <w:spacing w:after="0"/>
              <w:jc w:val="right"/>
              <w:rPr>
                <w:rFonts w:ascii="Calibri" w:hAnsi="Calibri" w:cs="Calibri"/>
                <w:bCs/>
                <w:lang w:eastAsia="fr-FR"/>
              </w:rPr>
            </w:pPr>
            <w:r w:rsidRPr="005B1222">
              <w:rPr>
                <w:rFonts w:ascii="Calibri" w:hAnsi="Calibri" w:cs="Calibri"/>
                <w:bCs/>
                <w:lang w:eastAsia="fr-FR"/>
              </w:rPr>
              <w:t>1</w:t>
            </w:r>
            <w:r w:rsidR="005B1222">
              <w:rPr>
                <w:rFonts w:ascii="Calibri" w:hAnsi="Calibri" w:cs="Calibri"/>
                <w:bCs/>
                <w:lang w:eastAsia="fr-FR"/>
              </w:rPr>
              <w:t xml:space="preserve"> </w:t>
            </w:r>
            <w:r w:rsidRPr="005B1222">
              <w:rPr>
                <w:rFonts w:ascii="Calibri" w:hAnsi="Calibri" w:cs="Calibri"/>
                <w:bCs/>
                <w:lang w:eastAsia="fr-FR"/>
              </w:rPr>
              <w:t>394</w:t>
            </w:r>
          </w:p>
        </w:tc>
      </w:tr>
      <w:tr w:rsidR="00843E0F" w:rsidRPr="005B1222" w14:paraId="1522B54A" w14:textId="77777777" w:rsidTr="005B1222">
        <w:tc>
          <w:tcPr>
            <w:tcW w:w="3571" w:type="pct"/>
            <w:shd w:val="clear" w:color="auto" w:fill="auto"/>
            <w:vAlign w:val="center"/>
            <w:hideMark/>
          </w:tcPr>
          <w:p w14:paraId="45B1067F" w14:textId="77777777" w:rsidR="00843E0F" w:rsidRPr="005B1222" w:rsidRDefault="00843E0F" w:rsidP="00F12682">
            <w:pPr>
              <w:spacing w:after="0"/>
              <w:rPr>
                <w:rFonts w:ascii="Calibri" w:hAnsi="Calibri" w:cs="Calibri"/>
                <w:bCs/>
                <w:lang w:eastAsia="fr-FR"/>
              </w:rPr>
            </w:pPr>
            <w:r w:rsidRPr="005B1222">
              <w:rPr>
                <w:rFonts w:ascii="Calibri" w:hAnsi="Calibri" w:cs="Calibri"/>
                <w:bCs/>
                <w:lang w:eastAsia="fr-FR"/>
              </w:rPr>
              <w:t xml:space="preserve">Agents contractuels </w:t>
            </w:r>
          </w:p>
        </w:tc>
        <w:tc>
          <w:tcPr>
            <w:tcW w:w="1429" w:type="pct"/>
            <w:shd w:val="clear" w:color="auto" w:fill="auto"/>
            <w:vAlign w:val="center"/>
            <w:hideMark/>
          </w:tcPr>
          <w:p w14:paraId="33531393" w14:textId="77777777" w:rsidR="00843E0F" w:rsidRPr="005B1222" w:rsidRDefault="00843E0F" w:rsidP="00F12682">
            <w:pPr>
              <w:spacing w:after="0"/>
              <w:jc w:val="right"/>
              <w:rPr>
                <w:rFonts w:ascii="Calibri" w:hAnsi="Calibri" w:cs="Calibri"/>
                <w:bCs/>
                <w:lang w:eastAsia="fr-FR"/>
              </w:rPr>
            </w:pPr>
            <w:r w:rsidRPr="005B1222">
              <w:rPr>
                <w:rFonts w:ascii="Calibri" w:hAnsi="Calibri" w:cs="Calibri"/>
                <w:bCs/>
                <w:lang w:eastAsia="fr-FR"/>
              </w:rPr>
              <w:t>5</w:t>
            </w:r>
          </w:p>
        </w:tc>
      </w:tr>
      <w:tr w:rsidR="00843E0F" w:rsidRPr="005B1222" w14:paraId="1CFA5183" w14:textId="77777777" w:rsidTr="005B1222">
        <w:tc>
          <w:tcPr>
            <w:tcW w:w="3571" w:type="pct"/>
            <w:shd w:val="clear" w:color="auto" w:fill="auto"/>
            <w:vAlign w:val="center"/>
            <w:hideMark/>
          </w:tcPr>
          <w:p w14:paraId="6F9184EA" w14:textId="77777777" w:rsidR="00843E0F" w:rsidRPr="005B1222" w:rsidRDefault="00843E0F" w:rsidP="00F12682">
            <w:pPr>
              <w:spacing w:after="0"/>
              <w:rPr>
                <w:rFonts w:ascii="Calibri" w:hAnsi="Calibri" w:cs="Calibri"/>
                <w:bCs/>
                <w:lang w:eastAsia="fr-FR"/>
              </w:rPr>
            </w:pPr>
            <w:r w:rsidRPr="005B1222">
              <w:rPr>
                <w:rFonts w:ascii="Calibri" w:hAnsi="Calibri" w:cs="Calibri"/>
                <w:bCs/>
                <w:lang w:eastAsia="fr-FR"/>
              </w:rPr>
              <w:t xml:space="preserve">Agents en position de stage </w:t>
            </w:r>
          </w:p>
        </w:tc>
        <w:tc>
          <w:tcPr>
            <w:tcW w:w="1429" w:type="pct"/>
            <w:shd w:val="clear" w:color="auto" w:fill="auto"/>
            <w:vAlign w:val="center"/>
            <w:hideMark/>
          </w:tcPr>
          <w:p w14:paraId="3CA4E537" w14:textId="77777777" w:rsidR="00843E0F" w:rsidRPr="005B1222" w:rsidRDefault="00843E0F" w:rsidP="00F12682">
            <w:pPr>
              <w:spacing w:after="0"/>
              <w:jc w:val="right"/>
              <w:rPr>
                <w:rFonts w:ascii="Calibri" w:hAnsi="Calibri" w:cs="Calibri"/>
                <w:bCs/>
                <w:lang w:eastAsia="fr-FR"/>
              </w:rPr>
            </w:pPr>
            <w:r w:rsidRPr="005B1222">
              <w:rPr>
                <w:rFonts w:ascii="Calibri" w:hAnsi="Calibri" w:cs="Calibri"/>
                <w:bCs/>
                <w:lang w:eastAsia="fr-FR"/>
              </w:rPr>
              <w:t>372</w:t>
            </w:r>
          </w:p>
        </w:tc>
      </w:tr>
      <w:tr w:rsidR="00843E0F" w:rsidRPr="005B1222" w14:paraId="4B9F0F39" w14:textId="77777777" w:rsidTr="005B1222">
        <w:tc>
          <w:tcPr>
            <w:tcW w:w="3571" w:type="pct"/>
            <w:shd w:val="clear" w:color="auto" w:fill="auto"/>
            <w:vAlign w:val="center"/>
            <w:hideMark/>
          </w:tcPr>
          <w:p w14:paraId="4A15E2F5" w14:textId="77777777" w:rsidR="00843E0F" w:rsidRPr="005B1222" w:rsidRDefault="00843E0F" w:rsidP="00F12682">
            <w:pPr>
              <w:spacing w:after="0"/>
              <w:rPr>
                <w:rFonts w:ascii="Calibri" w:hAnsi="Calibri" w:cs="Calibri"/>
                <w:bCs/>
                <w:lang w:eastAsia="fr-FR"/>
              </w:rPr>
            </w:pPr>
            <w:r w:rsidRPr="005B1222">
              <w:rPr>
                <w:rFonts w:ascii="Calibri" w:hAnsi="Calibri" w:cs="Calibri"/>
                <w:bCs/>
                <w:lang w:eastAsia="fr-FR"/>
              </w:rPr>
              <w:t xml:space="preserve">Agents en détachement/disponibilité/congés sans traitement </w:t>
            </w:r>
          </w:p>
        </w:tc>
        <w:tc>
          <w:tcPr>
            <w:tcW w:w="1429" w:type="pct"/>
            <w:shd w:val="clear" w:color="auto" w:fill="auto"/>
            <w:vAlign w:val="center"/>
            <w:hideMark/>
          </w:tcPr>
          <w:p w14:paraId="44B0BF13" w14:textId="77777777" w:rsidR="00843E0F" w:rsidRPr="005B1222" w:rsidRDefault="00843E0F" w:rsidP="00F12682">
            <w:pPr>
              <w:spacing w:after="0"/>
              <w:jc w:val="right"/>
              <w:rPr>
                <w:rFonts w:ascii="Calibri" w:hAnsi="Calibri" w:cs="Calibri"/>
                <w:bCs/>
                <w:lang w:eastAsia="fr-FR"/>
              </w:rPr>
            </w:pPr>
            <w:r w:rsidRPr="005B1222">
              <w:rPr>
                <w:rFonts w:ascii="Calibri" w:hAnsi="Calibri" w:cs="Calibri"/>
                <w:bCs/>
                <w:lang w:eastAsia="fr-FR"/>
              </w:rPr>
              <w:t>542</w:t>
            </w:r>
          </w:p>
        </w:tc>
      </w:tr>
      <w:tr w:rsidR="00843E0F" w:rsidRPr="005B1222" w14:paraId="4DEFD6AB" w14:textId="77777777" w:rsidTr="005B1222">
        <w:tc>
          <w:tcPr>
            <w:tcW w:w="3571" w:type="pct"/>
            <w:shd w:val="clear" w:color="auto" w:fill="auto"/>
            <w:vAlign w:val="center"/>
          </w:tcPr>
          <w:p w14:paraId="3017D6F3" w14:textId="77777777" w:rsidR="00843E0F" w:rsidRPr="005B1222" w:rsidRDefault="00843E0F" w:rsidP="00F12682">
            <w:pPr>
              <w:spacing w:after="0"/>
              <w:rPr>
                <w:rFonts w:ascii="Calibri" w:hAnsi="Calibri" w:cs="Calibri"/>
                <w:bCs/>
                <w:lang w:eastAsia="fr-FR"/>
              </w:rPr>
            </w:pPr>
            <w:r w:rsidRPr="005B1222">
              <w:rPr>
                <w:rFonts w:ascii="Calibri" w:hAnsi="Calibri" w:cs="Calibri"/>
                <w:bCs/>
                <w:lang w:eastAsia="fr-FR"/>
              </w:rPr>
              <w:t>Appelés du Service Civique National</w:t>
            </w:r>
          </w:p>
        </w:tc>
        <w:tc>
          <w:tcPr>
            <w:tcW w:w="1429" w:type="pct"/>
            <w:shd w:val="clear" w:color="auto" w:fill="auto"/>
            <w:vAlign w:val="center"/>
          </w:tcPr>
          <w:p w14:paraId="1D9DE891" w14:textId="77777777" w:rsidR="00843E0F" w:rsidRPr="005B1222" w:rsidRDefault="00843E0F" w:rsidP="00F12682">
            <w:pPr>
              <w:spacing w:after="0"/>
              <w:jc w:val="right"/>
              <w:rPr>
                <w:rFonts w:ascii="Calibri" w:hAnsi="Calibri" w:cs="Calibri"/>
                <w:bCs/>
                <w:lang w:eastAsia="fr-FR"/>
              </w:rPr>
            </w:pPr>
            <w:r w:rsidRPr="005B1222">
              <w:rPr>
                <w:rFonts w:ascii="Calibri" w:hAnsi="Calibri" w:cs="Calibri"/>
                <w:bCs/>
                <w:lang w:eastAsia="fr-FR"/>
              </w:rPr>
              <w:t>546</w:t>
            </w:r>
          </w:p>
        </w:tc>
      </w:tr>
      <w:tr w:rsidR="00843E0F" w:rsidRPr="005B1222" w14:paraId="2FAF3A5D" w14:textId="77777777" w:rsidTr="005B1222">
        <w:tc>
          <w:tcPr>
            <w:tcW w:w="3571" w:type="pct"/>
            <w:shd w:val="clear" w:color="auto" w:fill="auto"/>
            <w:hideMark/>
          </w:tcPr>
          <w:p w14:paraId="050B4FB7" w14:textId="77777777" w:rsidR="00843E0F" w:rsidRPr="005B1222" w:rsidRDefault="00843E0F" w:rsidP="00F12682">
            <w:pPr>
              <w:spacing w:after="0"/>
              <w:jc w:val="center"/>
              <w:rPr>
                <w:rFonts w:ascii="Calibri" w:hAnsi="Calibri" w:cs="Calibri"/>
                <w:b/>
                <w:bCs/>
                <w:lang w:eastAsia="fr-FR"/>
              </w:rPr>
            </w:pPr>
            <w:r w:rsidRPr="005B1222">
              <w:rPr>
                <w:rFonts w:ascii="Calibri" w:hAnsi="Calibri" w:cs="Calibri"/>
                <w:b/>
                <w:bCs/>
                <w:lang w:eastAsia="fr-FR"/>
              </w:rPr>
              <w:t>Total</w:t>
            </w:r>
          </w:p>
        </w:tc>
        <w:tc>
          <w:tcPr>
            <w:tcW w:w="1429" w:type="pct"/>
            <w:shd w:val="clear" w:color="auto" w:fill="auto"/>
            <w:hideMark/>
          </w:tcPr>
          <w:p w14:paraId="1DFDE10C" w14:textId="77777777" w:rsidR="00843E0F" w:rsidRPr="005B1222" w:rsidRDefault="00843E0F" w:rsidP="00F12682">
            <w:pPr>
              <w:spacing w:after="0"/>
              <w:jc w:val="right"/>
              <w:rPr>
                <w:rFonts w:ascii="Calibri" w:hAnsi="Calibri" w:cs="Calibri"/>
                <w:bCs/>
                <w:lang w:eastAsia="fr-FR"/>
              </w:rPr>
            </w:pPr>
            <w:r w:rsidRPr="005B1222">
              <w:rPr>
                <w:rFonts w:ascii="Calibri" w:hAnsi="Calibri" w:cs="Calibri"/>
                <w:b/>
              </w:rPr>
              <w:t>10 584</w:t>
            </w:r>
          </w:p>
        </w:tc>
      </w:tr>
    </w:tbl>
    <w:p w14:paraId="705ED3AE" w14:textId="05816D1A" w:rsidR="00843E0F" w:rsidRPr="00843E0F" w:rsidRDefault="00843E0F" w:rsidP="00F12682">
      <w:pPr>
        <w:spacing w:after="120" w:line="276" w:lineRule="auto"/>
        <w:jc w:val="both"/>
        <w:rPr>
          <w:rFonts w:ascii="Calibri" w:eastAsiaTheme="majorEastAsia" w:hAnsi="Calibri" w:cs="Calibri"/>
          <w:iCs/>
        </w:rPr>
      </w:pPr>
      <w:r w:rsidRPr="00843E0F">
        <w:rPr>
          <w:rFonts w:ascii="Calibri" w:eastAsiaTheme="majorEastAsia" w:hAnsi="Calibri" w:cs="Calibri"/>
          <w:iCs/>
          <w:u w:val="single"/>
        </w:rPr>
        <w:t>Source</w:t>
      </w:r>
      <w:r w:rsidRPr="00843E0F">
        <w:rPr>
          <w:rFonts w:ascii="Calibri" w:eastAsiaTheme="majorEastAsia" w:hAnsi="Calibri" w:cs="Calibri"/>
          <w:iCs/>
        </w:rPr>
        <w:t> : REP 2016 MSP</w:t>
      </w:r>
    </w:p>
    <w:p w14:paraId="00EBA882" w14:textId="53D0CDDC" w:rsidR="00843E0F" w:rsidRP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 xml:space="preserve">L’effectif utilisé par la </w:t>
      </w:r>
      <w:r w:rsidR="00035FF3" w:rsidRPr="00843E0F">
        <w:rPr>
          <w:rFonts w:ascii="Calibri" w:eastAsiaTheme="majorEastAsia" w:hAnsi="Calibri" w:cs="Calibri"/>
          <w:iCs/>
          <w:sz w:val="24"/>
        </w:rPr>
        <w:t xml:space="preserve">Direction de la Nutrition </w:t>
      </w:r>
      <w:r w:rsidRPr="00843E0F">
        <w:rPr>
          <w:rFonts w:ascii="Calibri" w:eastAsiaTheme="majorEastAsia" w:hAnsi="Calibri" w:cs="Calibri"/>
          <w:iCs/>
          <w:sz w:val="24"/>
        </w:rPr>
        <w:t xml:space="preserve">est constitué en grande parte de cadres supérieurs dont des Médecins nutritionnistes et des cadres de profils divers permettant d’avoir les ressources humaines suffisantes pour conduire la </w:t>
      </w:r>
      <w:r w:rsidR="00035FF3">
        <w:rPr>
          <w:rFonts w:ascii="Calibri" w:eastAsiaTheme="majorEastAsia" w:hAnsi="Calibri" w:cs="Calibri"/>
          <w:iCs/>
          <w:sz w:val="24"/>
        </w:rPr>
        <w:t>mission de la structure.</w:t>
      </w:r>
    </w:p>
    <w:p w14:paraId="6BAC4516" w14:textId="335AF2C7" w:rsidR="00843E0F" w:rsidRP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Toutefois, il faut signaler qu’il n’existe pas à tous les niveaux des points focaux nutrition au ni</w:t>
      </w:r>
      <w:r w:rsidR="00035FF3">
        <w:rPr>
          <w:rFonts w:ascii="Calibri" w:eastAsiaTheme="majorEastAsia" w:hAnsi="Calibri" w:cs="Calibri"/>
          <w:iCs/>
          <w:sz w:val="24"/>
        </w:rPr>
        <w:t>veau des services déconcentrés.</w:t>
      </w:r>
    </w:p>
    <w:p w14:paraId="6B17860F" w14:textId="77777777" w:rsidR="00B539EB" w:rsidRPr="007574D7" w:rsidRDefault="00B539EB" w:rsidP="00F12682">
      <w:pPr>
        <w:spacing w:after="120" w:line="276" w:lineRule="auto"/>
        <w:jc w:val="both"/>
        <w:rPr>
          <w:rFonts w:ascii="Calibri" w:eastAsiaTheme="majorEastAsia" w:hAnsi="Calibri" w:cs="Calibri"/>
          <w:iCs/>
          <w:sz w:val="24"/>
        </w:rPr>
      </w:pPr>
    </w:p>
    <w:p w14:paraId="007EE75D" w14:textId="77777777" w:rsidR="00B539EB" w:rsidRPr="00B539EB" w:rsidRDefault="00B539EB" w:rsidP="00F12682">
      <w:pPr>
        <w:pStyle w:val="Titre4"/>
        <w:rPr>
          <w:rFonts w:asciiTheme="minorHAnsi" w:hAnsiTheme="minorHAnsi" w:cstheme="minorHAnsi"/>
        </w:rPr>
      </w:pPr>
      <w:r w:rsidRPr="00B539EB">
        <w:rPr>
          <w:rFonts w:asciiTheme="minorHAnsi" w:hAnsiTheme="minorHAnsi" w:cstheme="minorHAnsi"/>
        </w:rPr>
        <w:t>Synthèse et perspective en matière de GFP</w:t>
      </w:r>
    </w:p>
    <w:p w14:paraId="1BB347B6" w14:textId="70C9A244" w:rsidR="00843E0F" w:rsidRP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La D</w:t>
      </w:r>
      <w:r w:rsidR="0049108E">
        <w:rPr>
          <w:rFonts w:ascii="Calibri" w:eastAsiaTheme="majorEastAsia" w:hAnsi="Calibri" w:cs="Calibri"/>
          <w:iCs/>
          <w:sz w:val="24"/>
        </w:rPr>
        <w:t xml:space="preserve">irection de la </w:t>
      </w:r>
      <w:r w:rsidRPr="00843E0F">
        <w:rPr>
          <w:rFonts w:ascii="Calibri" w:eastAsiaTheme="majorEastAsia" w:hAnsi="Calibri" w:cs="Calibri"/>
          <w:iCs/>
          <w:sz w:val="24"/>
        </w:rPr>
        <w:t>N</w:t>
      </w:r>
      <w:r w:rsidR="0049108E">
        <w:rPr>
          <w:rFonts w:ascii="Calibri" w:eastAsiaTheme="majorEastAsia" w:hAnsi="Calibri" w:cs="Calibri"/>
          <w:iCs/>
          <w:sz w:val="24"/>
        </w:rPr>
        <w:t xml:space="preserve">utrition </w:t>
      </w:r>
      <w:r w:rsidRPr="00843E0F">
        <w:rPr>
          <w:rFonts w:ascii="Calibri" w:eastAsiaTheme="majorEastAsia" w:hAnsi="Calibri" w:cs="Calibri"/>
          <w:iCs/>
          <w:sz w:val="24"/>
        </w:rPr>
        <w:t>jouit d’une longue et riche tradition de budgétisation par programme et dispose d’un arsenal d’outils de programmation et reddition des comptes conçus par le MSP grâce au concours des PTF.</w:t>
      </w:r>
    </w:p>
    <w:p w14:paraId="47D2E290" w14:textId="40A12435" w:rsidR="00843E0F" w:rsidRP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Toutefois, l’évaluation porte sur les trois trimestres de l’année, ce qui ne permet pas d’avoir une réelle appréciation de l’exécution des dépenses, surtout quand on sait que certaines dépenses importantes s’effectuent pendant le dernier trimestre de l’année.</w:t>
      </w:r>
    </w:p>
    <w:p w14:paraId="0262F2C8" w14:textId="77777777" w:rsidR="0049108E" w:rsidRPr="00D73A12" w:rsidRDefault="0049108E" w:rsidP="00F12682">
      <w:pPr>
        <w:rPr>
          <w:rFonts w:cstheme="minorHAnsi"/>
        </w:rPr>
      </w:pPr>
    </w:p>
    <w:p w14:paraId="5CB9C172" w14:textId="26C40BFD" w:rsidR="00290DAE" w:rsidRDefault="00B539EB" w:rsidP="00F12682">
      <w:pPr>
        <w:pStyle w:val="Titre3"/>
        <w:numPr>
          <w:ilvl w:val="2"/>
          <w:numId w:val="21"/>
        </w:numPr>
        <w:rPr>
          <w:rFonts w:asciiTheme="minorHAnsi" w:hAnsiTheme="minorHAnsi" w:cstheme="minorHAnsi"/>
        </w:rPr>
      </w:pPr>
      <w:bookmarkStart w:id="96" w:name="_Toc529305024"/>
      <w:r>
        <w:rPr>
          <w:rFonts w:asciiTheme="minorHAnsi" w:hAnsiTheme="minorHAnsi" w:cstheme="minorHAnsi"/>
        </w:rPr>
        <w:lastRenderedPageBreak/>
        <w:t>Haut-Commissariat à l’Initiative 3N (</w:t>
      </w:r>
      <w:r w:rsidR="00290DAE" w:rsidRPr="004A5122">
        <w:rPr>
          <w:rFonts w:asciiTheme="minorHAnsi" w:hAnsiTheme="minorHAnsi" w:cstheme="minorHAnsi"/>
        </w:rPr>
        <w:t>HC3N</w:t>
      </w:r>
      <w:r>
        <w:rPr>
          <w:rFonts w:asciiTheme="minorHAnsi" w:hAnsiTheme="minorHAnsi" w:cstheme="minorHAnsi"/>
        </w:rPr>
        <w:t>)</w:t>
      </w:r>
      <w:bookmarkEnd w:id="96"/>
    </w:p>
    <w:p w14:paraId="12C8BBC8" w14:textId="1993F3F4" w:rsidR="00B539EB" w:rsidRPr="007574D7" w:rsidRDefault="00B539EB" w:rsidP="00F12682">
      <w:pPr>
        <w:pStyle w:val="Titre4"/>
        <w:rPr>
          <w:rFonts w:asciiTheme="minorHAnsi" w:hAnsiTheme="minorHAnsi" w:cstheme="minorHAnsi"/>
        </w:rPr>
      </w:pPr>
      <w:r w:rsidRPr="007574D7">
        <w:rPr>
          <w:rFonts w:asciiTheme="minorHAnsi" w:hAnsiTheme="minorHAnsi" w:cstheme="minorHAnsi"/>
        </w:rPr>
        <w:t>Analyse de la planification/programmation et de la budgétisation des dépenses</w:t>
      </w:r>
      <w:r w:rsidR="002C1594">
        <w:rPr>
          <w:rFonts w:asciiTheme="minorHAnsi" w:hAnsiTheme="minorHAnsi" w:cstheme="minorHAnsi"/>
        </w:rPr>
        <w:t xml:space="preserve"> </w:t>
      </w:r>
      <w:r w:rsidR="002C1594" w:rsidRPr="00B539EB">
        <w:rPr>
          <w:rFonts w:asciiTheme="minorHAnsi" w:hAnsiTheme="minorHAnsi" w:cstheme="minorHAnsi"/>
        </w:rPr>
        <w:t>et de reddition des comptes</w:t>
      </w:r>
    </w:p>
    <w:p w14:paraId="2CE2A473" w14:textId="1ACAE288" w:rsidR="00A6602E" w:rsidRPr="005E416D" w:rsidRDefault="00A6602E" w:rsidP="00F12682">
      <w:pPr>
        <w:spacing w:after="120" w:line="276" w:lineRule="auto"/>
        <w:jc w:val="both"/>
        <w:rPr>
          <w:rFonts w:cs="Calibri"/>
          <w:bCs/>
          <w:sz w:val="24"/>
        </w:rPr>
      </w:pPr>
      <w:r w:rsidRPr="005E416D">
        <w:rPr>
          <w:rFonts w:cs="Calibri"/>
          <w:sz w:val="24"/>
        </w:rPr>
        <w:t xml:space="preserve">La Stratégie de l’Initiative 3N est le principal cadre de référence pour les interventions actuelles et futures en matière de sécurité alimentaire et nutritionnelle des administrations publiques, des collectivités territoriales et des acteurs non étatiques à l’horizon 2035. A ce titre, elle constitue une référence pour la collaboration entre l’Etat, les Partenaires Techniques et Financiers, les Organisations des Producteurs, les ONG/AD, le </w:t>
      </w:r>
      <w:r w:rsidR="00035FF3" w:rsidRPr="005E416D">
        <w:rPr>
          <w:rFonts w:cs="Calibri"/>
          <w:sz w:val="24"/>
        </w:rPr>
        <w:t>Secteur Privé</w:t>
      </w:r>
      <w:r w:rsidRPr="005E416D">
        <w:rPr>
          <w:rFonts w:cs="Calibri"/>
          <w:sz w:val="24"/>
        </w:rPr>
        <w:t xml:space="preserve">, etc. </w:t>
      </w:r>
    </w:p>
    <w:p w14:paraId="58456EEF" w14:textId="779B5179" w:rsidR="00A6602E" w:rsidRPr="005E416D" w:rsidRDefault="00A6602E" w:rsidP="00F12682">
      <w:pPr>
        <w:spacing w:after="120" w:line="276" w:lineRule="auto"/>
        <w:jc w:val="both"/>
        <w:rPr>
          <w:rFonts w:cs="Calibri"/>
          <w:sz w:val="24"/>
        </w:rPr>
      </w:pPr>
      <w:r w:rsidRPr="005E416D">
        <w:rPr>
          <w:rFonts w:cs="Calibri"/>
          <w:sz w:val="24"/>
        </w:rPr>
        <w:t>Des résultats significatifs ont été obtenus sous la coordination du HC3N, contribuant ainsi à la satisfaction des besoins essentiels des populations. C’est pourquoi, il faut conforter cette coordination.</w:t>
      </w:r>
      <w:r w:rsidR="00C81AA4">
        <w:rPr>
          <w:rFonts w:cs="Calibri"/>
          <w:sz w:val="24"/>
        </w:rPr>
        <w:t xml:space="preserve"> </w:t>
      </w:r>
      <w:r w:rsidRPr="005E416D">
        <w:rPr>
          <w:rFonts w:cs="Calibri"/>
          <w:sz w:val="24"/>
        </w:rPr>
        <w:t xml:space="preserve">Tenant compte de cet état de fait, l’objectif global du PTBA 2016 est de </w:t>
      </w:r>
      <w:r w:rsidRPr="005E416D">
        <w:rPr>
          <w:rFonts w:cs="Calibri"/>
          <w:b/>
          <w:sz w:val="24"/>
        </w:rPr>
        <w:t>doter le HC3N d’un outil de gouvernance et de plaidoyer pour une mise en œuvre efficace de la stratégie</w:t>
      </w:r>
      <w:r w:rsidRPr="005E416D">
        <w:rPr>
          <w:rFonts w:cs="Calibri"/>
          <w:sz w:val="24"/>
        </w:rPr>
        <w:t>. Plus spécifiquement, il s’agit de :</w:t>
      </w:r>
    </w:p>
    <w:p w14:paraId="7ABDA11C" w14:textId="77777777" w:rsidR="00A6602E" w:rsidRPr="00476E01" w:rsidRDefault="00A6602E" w:rsidP="00F12682">
      <w:pPr>
        <w:pStyle w:val="Paragraphedeliste"/>
        <w:numPr>
          <w:ilvl w:val="0"/>
          <w:numId w:val="24"/>
        </w:numPr>
        <w:spacing w:after="120" w:line="276" w:lineRule="auto"/>
        <w:ind w:left="567" w:hanging="207"/>
        <w:contextualSpacing w:val="0"/>
        <w:jc w:val="both"/>
        <w:rPr>
          <w:rFonts w:cs="Calibri"/>
          <w:bCs/>
          <w:sz w:val="24"/>
          <w:szCs w:val="24"/>
        </w:rPr>
      </w:pPr>
      <w:r w:rsidRPr="00476E01">
        <w:rPr>
          <w:rFonts w:cs="Calibri"/>
          <w:bCs/>
          <w:sz w:val="24"/>
          <w:szCs w:val="24"/>
        </w:rPr>
        <w:t>Inscrire les actions du HC3N dans une démarche de gestion axée sur les résultats ;</w:t>
      </w:r>
    </w:p>
    <w:p w14:paraId="57DAAAA7" w14:textId="77777777" w:rsidR="00A6602E" w:rsidRPr="00476E01" w:rsidRDefault="00A6602E" w:rsidP="00F12682">
      <w:pPr>
        <w:pStyle w:val="Paragraphedeliste"/>
        <w:numPr>
          <w:ilvl w:val="0"/>
          <w:numId w:val="24"/>
        </w:numPr>
        <w:spacing w:after="120" w:line="276" w:lineRule="auto"/>
        <w:ind w:left="567" w:hanging="207"/>
        <w:contextualSpacing w:val="0"/>
        <w:jc w:val="both"/>
        <w:rPr>
          <w:rFonts w:cs="Calibri"/>
          <w:bCs/>
          <w:sz w:val="24"/>
          <w:szCs w:val="24"/>
        </w:rPr>
      </w:pPr>
      <w:r w:rsidRPr="00476E01">
        <w:rPr>
          <w:rFonts w:cs="Calibri"/>
          <w:bCs/>
          <w:sz w:val="24"/>
          <w:szCs w:val="24"/>
        </w:rPr>
        <w:t>Disposer d’une programmation à court terme des actions conformément aux missions ;</w:t>
      </w:r>
    </w:p>
    <w:p w14:paraId="7AD1AFB1" w14:textId="77777777" w:rsidR="00A6602E" w:rsidRPr="00476E01" w:rsidRDefault="00A6602E" w:rsidP="00F12682">
      <w:pPr>
        <w:pStyle w:val="Paragraphedeliste"/>
        <w:numPr>
          <w:ilvl w:val="0"/>
          <w:numId w:val="24"/>
        </w:numPr>
        <w:spacing w:after="120" w:line="276" w:lineRule="auto"/>
        <w:ind w:left="567" w:hanging="207"/>
        <w:contextualSpacing w:val="0"/>
        <w:jc w:val="both"/>
        <w:rPr>
          <w:rFonts w:cs="Calibri"/>
          <w:bCs/>
          <w:sz w:val="24"/>
          <w:szCs w:val="24"/>
        </w:rPr>
      </w:pPr>
      <w:r w:rsidRPr="00476E01">
        <w:rPr>
          <w:rFonts w:cs="Calibri"/>
          <w:bCs/>
          <w:sz w:val="24"/>
          <w:szCs w:val="24"/>
        </w:rPr>
        <w:t>Doter le HC3N d’outil privilégié de dialogue avec l’Etat et les partenaires.</w:t>
      </w:r>
    </w:p>
    <w:p w14:paraId="39D8A626" w14:textId="47FDA51C" w:rsidR="00B539EB" w:rsidRPr="005E416D" w:rsidRDefault="001E7405" w:rsidP="00F12682">
      <w:pPr>
        <w:spacing w:after="120" w:line="276" w:lineRule="auto"/>
        <w:jc w:val="both"/>
        <w:rPr>
          <w:rFonts w:ascii="Calibri" w:eastAsiaTheme="majorEastAsia" w:hAnsi="Calibri" w:cs="Calibri"/>
          <w:iCs/>
          <w:sz w:val="28"/>
        </w:rPr>
      </w:pPr>
      <w:r w:rsidRPr="005E416D">
        <w:rPr>
          <w:rFonts w:cs="Calibri"/>
          <w:sz w:val="24"/>
        </w:rPr>
        <w:t>Le PTBA 2016 du HC3N couvre la période de janvier à décembre 2016, il est bâti sur la gestion axé sur les résultats et traduit la mise en œuvre opérationnelle de l’axe n°5 : « </w:t>
      </w:r>
      <w:r w:rsidRPr="005E416D">
        <w:rPr>
          <w:rFonts w:cs="Calibri"/>
          <w:b/>
          <w:i/>
          <w:sz w:val="24"/>
        </w:rPr>
        <w:t>création d’un environnement favorable à la mise en œuvre de l’Initiative 3N</w:t>
      </w:r>
      <w:r w:rsidRPr="005E416D">
        <w:rPr>
          <w:rFonts w:cs="Calibri"/>
          <w:sz w:val="24"/>
        </w:rPr>
        <w:t xml:space="preserve"> ». Il traduit les missions de chaque département et les fonctions transversales. Son élaboration a tenu compte de l’identification des actions propres et des actions d’appuis du HC3N, ainsi que des financements mobilisables/disponibles. Pour chaque action/activité, il est déterminé le responsable et le responsable associé, la période d’exécution et les financements disponibles. </w:t>
      </w:r>
    </w:p>
    <w:p w14:paraId="301BF5D1" w14:textId="46009892" w:rsidR="00C06476" w:rsidRDefault="00E15533"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Cette question de rapportage se pose aussi au niveau de la coordination de la SANDAD, le Haut-Commissariat à l’I</w:t>
      </w:r>
      <w:r w:rsidR="00C81AA4">
        <w:rPr>
          <w:rFonts w:ascii="Calibri" w:eastAsiaTheme="majorEastAsia" w:hAnsi="Calibri" w:cs="Calibri"/>
          <w:iCs/>
          <w:sz w:val="24"/>
        </w:rPr>
        <w:t xml:space="preserve">nitiative </w:t>
      </w:r>
      <w:r>
        <w:rPr>
          <w:rFonts w:ascii="Calibri" w:eastAsiaTheme="majorEastAsia" w:hAnsi="Calibri" w:cs="Calibri"/>
          <w:iCs/>
          <w:sz w:val="24"/>
        </w:rPr>
        <w:t>3N</w:t>
      </w:r>
      <w:r w:rsidR="00C06476">
        <w:rPr>
          <w:rFonts w:ascii="Calibri" w:eastAsiaTheme="majorEastAsia" w:hAnsi="Calibri" w:cs="Calibri"/>
          <w:iCs/>
          <w:sz w:val="24"/>
        </w:rPr>
        <w:t>. En</w:t>
      </w:r>
      <w:r>
        <w:rPr>
          <w:rFonts w:ascii="Calibri" w:eastAsiaTheme="majorEastAsia" w:hAnsi="Calibri" w:cs="Calibri"/>
          <w:iCs/>
          <w:sz w:val="24"/>
        </w:rPr>
        <w:t xml:space="preserve"> effet, b</w:t>
      </w:r>
      <w:r w:rsidR="001E7405">
        <w:rPr>
          <w:rFonts w:ascii="Calibri" w:eastAsiaTheme="majorEastAsia" w:hAnsi="Calibri" w:cs="Calibri"/>
          <w:iCs/>
          <w:sz w:val="24"/>
        </w:rPr>
        <w:t>ien qu’il y ait un PTBA pour l’année 2016, il n’existe cependant pas de rapport de mise en œuvre de cette année.</w:t>
      </w:r>
      <w:r w:rsidR="00D50CD3">
        <w:rPr>
          <w:rFonts w:ascii="Calibri" w:eastAsiaTheme="majorEastAsia" w:hAnsi="Calibri" w:cs="Calibri"/>
          <w:iCs/>
          <w:sz w:val="24"/>
        </w:rPr>
        <w:t xml:space="preserve"> </w:t>
      </w:r>
      <w:r w:rsidR="00C06476">
        <w:rPr>
          <w:rFonts w:ascii="Calibri" w:eastAsiaTheme="majorEastAsia" w:hAnsi="Calibri" w:cs="Calibri"/>
          <w:iCs/>
          <w:sz w:val="24"/>
        </w:rPr>
        <w:t>Les données spécif</w:t>
      </w:r>
      <w:r w:rsidR="00C81AA4">
        <w:rPr>
          <w:rFonts w:ascii="Calibri" w:eastAsiaTheme="majorEastAsia" w:hAnsi="Calibri" w:cs="Calibri"/>
          <w:iCs/>
          <w:sz w:val="24"/>
        </w:rPr>
        <w:t>iques à la gestion propre du HC</w:t>
      </w:r>
      <w:r w:rsidR="00C06476">
        <w:rPr>
          <w:rFonts w:ascii="Calibri" w:eastAsiaTheme="majorEastAsia" w:hAnsi="Calibri" w:cs="Calibri"/>
          <w:iCs/>
          <w:sz w:val="24"/>
        </w:rPr>
        <w:t xml:space="preserve">3N ne sont pas consolidées dans une base des données unifiées. La seule base accessible est celle relative au suivi du plan d’action </w:t>
      </w:r>
      <w:r w:rsidR="002D78EE">
        <w:rPr>
          <w:rFonts w:ascii="Calibri" w:eastAsiaTheme="majorEastAsia" w:hAnsi="Calibri" w:cs="Calibri"/>
          <w:iCs/>
          <w:sz w:val="24"/>
        </w:rPr>
        <w:t>2016-2020 de l’Initiative 3N</w:t>
      </w:r>
      <w:r w:rsidR="00C06476">
        <w:rPr>
          <w:rFonts w:ascii="Calibri" w:eastAsiaTheme="majorEastAsia" w:hAnsi="Calibri" w:cs="Calibri"/>
          <w:iCs/>
          <w:sz w:val="24"/>
        </w:rPr>
        <w:t>.</w:t>
      </w:r>
    </w:p>
    <w:p w14:paraId="5899ACFF" w14:textId="77777777" w:rsidR="008C0967" w:rsidRDefault="008C0967" w:rsidP="00F12682">
      <w:pPr>
        <w:spacing w:after="0" w:line="240" w:lineRule="auto"/>
        <w:jc w:val="both"/>
        <w:rPr>
          <w:rFonts w:ascii="Calibri" w:eastAsiaTheme="majorEastAsia" w:hAnsi="Calibri" w:cs="Calibri"/>
          <w:iCs/>
          <w:sz w:val="24"/>
        </w:rPr>
      </w:pPr>
    </w:p>
    <w:p w14:paraId="0D9790C4" w14:textId="77777777" w:rsidR="00B539EB" w:rsidRPr="00B539EB" w:rsidRDefault="00B539EB" w:rsidP="00F12682">
      <w:pPr>
        <w:pStyle w:val="Titre4"/>
        <w:rPr>
          <w:rFonts w:asciiTheme="minorHAnsi" w:hAnsiTheme="minorHAnsi" w:cstheme="minorHAnsi"/>
        </w:rPr>
      </w:pPr>
      <w:r w:rsidRPr="00B539EB">
        <w:rPr>
          <w:rFonts w:asciiTheme="minorHAnsi" w:hAnsiTheme="minorHAnsi" w:cstheme="minorHAnsi"/>
        </w:rPr>
        <w:t>Analyse de la Gestion des Ressources Humaines</w:t>
      </w:r>
    </w:p>
    <w:p w14:paraId="66874EFF" w14:textId="0407D38A" w:rsidR="006A2B58" w:rsidRPr="00BA46E2" w:rsidRDefault="00BA46E2" w:rsidP="00F12682">
      <w:pPr>
        <w:pStyle w:val="Lgende"/>
        <w:rPr>
          <w:rFonts w:eastAsiaTheme="majorEastAsia" w:cs="Calibri"/>
          <w:iCs w:val="0"/>
          <w:sz w:val="24"/>
        </w:rPr>
      </w:pPr>
      <w:bookmarkStart w:id="97" w:name="_Toc529305066"/>
      <w:r>
        <w:t xml:space="preserve">Tableau </w:t>
      </w:r>
      <w:r w:rsidR="00343562">
        <w:rPr>
          <w:noProof/>
        </w:rPr>
        <w:fldChar w:fldCharType="begin"/>
      </w:r>
      <w:r w:rsidR="00343562">
        <w:rPr>
          <w:noProof/>
        </w:rPr>
        <w:instrText xml:space="preserve"> SEQ Tableau \* ARABIC </w:instrText>
      </w:r>
      <w:r w:rsidR="00343562">
        <w:rPr>
          <w:noProof/>
        </w:rPr>
        <w:fldChar w:fldCharType="separate"/>
      </w:r>
      <w:r w:rsidR="001C37F0">
        <w:rPr>
          <w:noProof/>
        </w:rPr>
        <w:t>12</w:t>
      </w:r>
      <w:r w:rsidR="00343562">
        <w:rPr>
          <w:noProof/>
        </w:rPr>
        <w:fldChar w:fldCharType="end"/>
      </w:r>
      <w:r>
        <w:rPr>
          <w:rFonts w:eastAsiaTheme="majorEastAsia" w:cs="Calibri"/>
          <w:iCs w:val="0"/>
          <w:sz w:val="24"/>
        </w:rPr>
        <w:t> : Situation du personnel du HC3N en 2016</w:t>
      </w:r>
      <w:bookmarkEnd w:id="9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6"/>
        <w:gridCol w:w="3982"/>
      </w:tblGrid>
      <w:tr w:rsidR="00A718DE" w:rsidRPr="002D78EE" w14:paraId="1006C41B" w14:textId="77777777" w:rsidTr="00A718DE">
        <w:tc>
          <w:tcPr>
            <w:tcW w:w="2932" w:type="pct"/>
            <w:shd w:val="clear" w:color="auto" w:fill="D5DCE4" w:themeFill="text2" w:themeFillTint="33"/>
            <w:vAlign w:val="center"/>
          </w:tcPr>
          <w:p w14:paraId="6FEE833F" w14:textId="77777777" w:rsidR="00A718DE" w:rsidRPr="002D78EE" w:rsidRDefault="00A718DE" w:rsidP="00F12682">
            <w:pPr>
              <w:spacing w:after="0" w:line="240" w:lineRule="auto"/>
              <w:jc w:val="center"/>
              <w:rPr>
                <w:rFonts w:ascii="Calibri" w:eastAsiaTheme="majorEastAsia" w:hAnsi="Calibri" w:cs="Calibri"/>
                <w:b/>
                <w:iCs/>
              </w:rPr>
            </w:pPr>
            <w:r w:rsidRPr="002D78EE">
              <w:rPr>
                <w:rFonts w:ascii="Calibri" w:eastAsiaTheme="majorEastAsia" w:hAnsi="Calibri" w:cs="Calibri"/>
                <w:b/>
                <w:iCs/>
              </w:rPr>
              <w:t>Nombre /Effectifs</w:t>
            </w:r>
          </w:p>
        </w:tc>
        <w:tc>
          <w:tcPr>
            <w:tcW w:w="2068" w:type="pct"/>
            <w:shd w:val="clear" w:color="auto" w:fill="D5DCE4" w:themeFill="text2" w:themeFillTint="33"/>
          </w:tcPr>
          <w:p w14:paraId="3740EFED" w14:textId="06C387A5" w:rsidR="00A718DE" w:rsidRPr="002D78EE" w:rsidRDefault="00A718DE" w:rsidP="00F12682">
            <w:pPr>
              <w:spacing w:after="0" w:line="240" w:lineRule="auto"/>
              <w:jc w:val="center"/>
              <w:rPr>
                <w:rFonts w:ascii="Calibri" w:eastAsiaTheme="majorEastAsia" w:hAnsi="Calibri" w:cs="Calibri"/>
                <w:b/>
                <w:iCs/>
              </w:rPr>
            </w:pPr>
            <w:r w:rsidRPr="002D78EE">
              <w:rPr>
                <w:rFonts w:ascii="Calibri" w:eastAsiaTheme="majorEastAsia" w:hAnsi="Calibri" w:cs="Calibri"/>
                <w:b/>
                <w:iCs/>
              </w:rPr>
              <w:t>2016</w:t>
            </w:r>
          </w:p>
        </w:tc>
      </w:tr>
      <w:tr w:rsidR="00A718DE" w:rsidRPr="002D78EE" w14:paraId="0BE90B83" w14:textId="77777777" w:rsidTr="00A718DE">
        <w:tc>
          <w:tcPr>
            <w:tcW w:w="2932" w:type="pct"/>
          </w:tcPr>
          <w:p w14:paraId="00E8A580" w14:textId="77777777" w:rsidR="00A718DE" w:rsidRPr="002D78EE" w:rsidRDefault="00A718DE" w:rsidP="00F12682">
            <w:pPr>
              <w:spacing w:after="0" w:line="240" w:lineRule="auto"/>
              <w:jc w:val="both"/>
              <w:rPr>
                <w:rFonts w:ascii="Calibri" w:eastAsiaTheme="majorEastAsia" w:hAnsi="Calibri" w:cs="Calibri"/>
                <w:iCs/>
              </w:rPr>
            </w:pPr>
            <w:r w:rsidRPr="002D78EE">
              <w:rPr>
                <w:rFonts w:ascii="Calibri" w:eastAsiaTheme="majorEastAsia" w:hAnsi="Calibri" w:cs="Calibri"/>
                <w:iCs/>
              </w:rPr>
              <w:t>Catégorie A</w:t>
            </w:r>
          </w:p>
        </w:tc>
        <w:tc>
          <w:tcPr>
            <w:tcW w:w="2068" w:type="pct"/>
            <w:vAlign w:val="center"/>
          </w:tcPr>
          <w:p w14:paraId="44EF6F43" w14:textId="50B02F88" w:rsidR="00A718DE" w:rsidRPr="002D78EE" w:rsidRDefault="00A718DE" w:rsidP="00F12682">
            <w:pPr>
              <w:spacing w:after="0" w:line="240" w:lineRule="auto"/>
              <w:jc w:val="center"/>
              <w:rPr>
                <w:rFonts w:ascii="Calibri" w:eastAsiaTheme="majorEastAsia" w:hAnsi="Calibri" w:cs="Calibri"/>
                <w:iCs/>
              </w:rPr>
            </w:pPr>
            <w:r w:rsidRPr="002D78EE">
              <w:rPr>
                <w:rFonts w:ascii="Calibri" w:eastAsiaTheme="majorEastAsia" w:hAnsi="Calibri" w:cs="Calibri"/>
                <w:iCs/>
              </w:rPr>
              <w:t>51</w:t>
            </w:r>
          </w:p>
        </w:tc>
      </w:tr>
      <w:tr w:rsidR="00A718DE" w:rsidRPr="002D78EE" w14:paraId="0AE02C8A" w14:textId="77777777" w:rsidTr="00A718DE">
        <w:tc>
          <w:tcPr>
            <w:tcW w:w="2932" w:type="pct"/>
          </w:tcPr>
          <w:p w14:paraId="066B4815" w14:textId="77777777" w:rsidR="00A718DE" w:rsidRPr="002D78EE" w:rsidRDefault="00A718DE" w:rsidP="00F12682">
            <w:pPr>
              <w:spacing w:after="0" w:line="240" w:lineRule="auto"/>
              <w:jc w:val="both"/>
              <w:rPr>
                <w:rFonts w:ascii="Calibri" w:eastAsiaTheme="majorEastAsia" w:hAnsi="Calibri" w:cs="Calibri"/>
                <w:iCs/>
              </w:rPr>
            </w:pPr>
            <w:r w:rsidRPr="002D78EE">
              <w:rPr>
                <w:rFonts w:ascii="Calibri" w:eastAsiaTheme="majorEastAsia" w:hAnsi="Calibri" w:cs="Calibri"/>
                <w:iCs/>
              </w:rPr>
              <w:t>Catégorie B</w:t>
            </w:r>
          </w:p>
        </w:tc>
        <w:tc>
          <w:tcPr>
            <w:tcW w:w="2068" w:type="pct"/>
            <w:vAlign w:val="center"/>
          </w:tcPr>
          <w:p w14:paraId="3ED6ECB7" w14:textId="77777777" w:rsidR="00A718DE" w:rsidRPr="002D78EE" w:rsidRDefault="00A718DE" w:rsidP="00F12682">
            <w:pPr>
              <w:spacing w:after="0" w:line="240" w:lineRule="auto"/>
              <w:jc w:val="center"/>
              <w:rPr>
                <w:rFonts w:ascii="Calibri" w:eastAsiaTheme="majorEastAsia" w:hAnsi="Calibri" w:cs="Calibri"/>
                <w:iCs/>
              </w:rPr>
            </w:pPr>
            <w:r w:rsidRPr="002D78EE">
              <w:rPr>
                <w:rFonts w:ascii="Calibri" w:eastAsiaTheme="majorEastAsia" w:hAnsi="Calibri" w:cs="Calibri"/>
                <w:iCs/>
              </w:rPr>
              <w:t>3</w:t>
            </w:r>
          </w:p>
        </w:tc>
      </w:tr>
      <w:tr w:rsidR="00A718DE" w:rsidRPr="002D78EE" w14:paraId="138BACEA" w14:textId="77777777" w:rsidTr="00A718DE">
        <w:tc>
          <w:tcPr>
            <w:tcW w:w="2932" w:type="pct"/>
          </w:tcPr>
          <w:p w14:paraId="551973B6" w14:textId="77777777" w:rsidR="00A718DE" w:rsidRPr="002D78EE" w:rsidRDefault="00A718DE" w:rsidP="00F12682">
            <w:pPr>
              <w:spacing w:after="0" w:line="240" w:lineRule="auto"/>
              <w:jc w:val="both"/>
              <w:rPr>
                <w:rFonts w:ascii="Calibri" w:eastAsiaTheme="majorEastAsia" w:hAnsi="Calibri" w:cs="Calibri"/>
                <w:iCs/>
              </w:rPr>
            </w:pPr>
            <w:r w:rsidRPr="002D78EE">
              <w:rPr>
                <w:rFonts w:ascii="Calibri" w:eastAsiaTheme="majorEastAsia" w:hAnsi="Calibri" w:cs="Calibri"/>
                <w:iCs/>
              </w:rPr>
              <w:t>Auxiliaires</w:t>
            </w:r>
          </w:p>
        </w:tc>
        <w:tc>
          <w:tcPr>
            <w:tcW w:w="2068" w:type="pct"/>
            <w:vAlign w:val="center"/>
          </w:tcPr>
          <w:p w14:paraId="57633E1A" w14:textId="77777777" w:rsidR="00A718DE" w:rsidRPr="002D78EE" w:rsidRDefault="00A718DE" w:rsidP="00F12682">
            <w:pPr>
              <w:spacing w:after="0" w:line="240" w:lineRule="auto"/>
              <w:jc w:val="center"/>
              <w:rPr>
                <w:rFonts w:ascii="Calibri" w:eastAsiaTheme="majorEastAsia" w:hAnsi="Calibri" w:cs="Calibri"/>
                <w:iCs/>
              </w:rPr>
            </w:pPr>
            <w:r w:rsidRPr="002D78EE">
              <w:rPr>
                <w:rFonts w:ascii="Calibri" w:eastAsiaTheme="majorEastAsia" w:hAnsi="Calibri" w:cs="Calibri"/>
                <w:iCs/>
              </w:rPr>
              <w:t>11</w:t>
            </w:r>
          </w:p>
        </w:tc>
      </w:tr>
      <w:tr w:rsidR="00A718DE" w:rsidRPr="002D78EE" w14:paraId="14124A3F" w14:textId="77777777" w:rsidTr="00A718DE">
        <w:tc>
          <w:tcPr>
            <w:tcW w:w="2932" w:type="pct"/>
          </w:tcPr>
          <w:p w14:paraId="707547D3" w14:textId="2DF4DDBB" w:rsidR="00A718DE" w:rsidRPr="002D78EE" w:rsidRDefault="00A718DE" w:rsidP="00F12682">
            <w:pPr>
              <w:spacing w:after="0" w:line="240" w:lineRule="auto"/>
              <w:jc w:val="both"/>
              <w:rPr>
                <w:rFonts w:ascii="Calibri" w:eastAsiaTheme="majorEastAsia" w:hAnsi="Calibri" w:cs="Calibri"/>
                <w:iCs/>
              </w:rPr>
            </w:pPr>
            <w:r w:rsidRPr="002D78EE">
              <w:rPr>
                <w:rFonts w:ascii="Calibri" w:eastAsiaTheme="majorEastAsia" w:hAnsi="Calibri" w:cs="Calibri"/>
                <w:iCs/>
              </w:rPr>
              <w:t>Autre</w:t>
            </w:r>
            <w:r w:rsidR="002D78EE">
              <w:rPr>
                <w:rFonts w:ascii="Calibri" w:eastAsiaTheme="majorEastAsia" w:hAnsi="Calibri" w:cs="Calibri"/>
                <w:iCs/>
              </w:rPr>
              <w:t>s</w:t>
            </w:r>
          </w:p>
        </w:tc>
        <w:tc>
          <w:tcPr>
            <w:tcW w:w="2068" w:type="pct"/>
            <w:vAlign w:val="center"/>
          </w:tcPr>
          <w:p w14:paraId="71F84384" w14:textId="77777777" w:rsidR="00A718DE" w:rsidRPr="002D78EE" w:rsidRDefault="00A718DE" w:rsidP="00F12682">
            <w:pPr>
              <w:spacing w:after="0" w:line="240" w:lineRule="auto"/>
              <w:jc w:val="center"/>
              <w:rPr>
                <w:rFonts w:ascii="Calibri" w:eastAsiaTheme="majorEastAsia" w:hAnsi="Calibri" w:cs="Calibri"/>
                <w:iCs/>
              </w:rPr>
            </w:pPr>
            <w:r w:rsidRPr="002D78EE">
              <w:rPr>
                <w:rFonts w:ascii="Calibri" w:eastAsiaTheme="majorEastAsia" w:hAnsi="Calibri" w:cs="Calibri"/>
                <w:iCs/>
              </w:rPr>
              <w:t>2</w:t>
            </w:r>
          </w:p>
        </w:tc>
      </w:tr>
      <w:tr w:rsidR="00A718DE" w:rsidRPr="002D78EE" w14:paraId="37932042" w14:textId="77777777" w:rsidTr="00A718DE">
        <w:tc>
          <w:tcPr>
            <w:tcW w:w="2932" w:type="pct"/>
          </w:tcPr>
          <w:p w14:paraId="41D0A922" w14:textId="4A2BDE3B" w:rsidR="00A718DE" w:rsidRPr="002D78EE" w:rsidRDefault="002D78EE" w:rsidP="00F12682">
            <w:pPr>
              <w:spacing w:after="0" w:line="240" w:lineRule="auto"/>
              <w:jc w:val="both"/>
              <w:rPr>
                <w:rFonts w:ascii="Calibri" w:eastAsiaTheme="majorEastAsia" w:hAnsi="Calibri" w:cs="Calibri"/>
                <w:b/>
                <w:iCs/>
              </w:rPr>
            </w:pPr>
            <w:r w:rsidRPr="002D78EE">
              <w:rPr>
                <w:rFonts w:ascii="Calibri" w:eastAsiaTheme="majorEastAsia" w:hAnsi="Calibri" w:cs="Calibri"/>
                <w:b/>
                <w:iCs/>
              </w:rPr>
              <w:t>Total</w:t>
            </w:r>
          </w:p>
        </w:tc>
        <w:tc>
          <w:tcPr>
            <w:tcW w:w="2068" w:type="pct"/>
            <w:vAlign w:val="center"/>
          </w:tcPr>
          <w:p w14:paraId="7CF562F3" w14:textId="0059AB76" w:rsidR="00A718DE" w:rsidRPr="002D78EE" w:rsidRDefault="00A718DE" w:rsidP="00F12682">
            <w:pPr>
              <w:spacing w:after="0" w:line="240" w:lineRule="auto"/>
              <w:jc w:val="center"/>
              <w:rPr>
                <w:rFonts w:ascii="Calibri" w:eastAsiaTheme="majorEastAsia" w:hAnsi="Calibri" w:cs="Calibri"/>
                <w:b/>
                <w:iCs/>
              </w:rPr>
            </w:pPr>
            <w:r w:rsidRPr="002D78EE">
              <w:rPr>
                <w:rFonts w:ascii="Calibri" w:eastAsiaTheme="majorEastAsia" w:hAnsi="Calibri" w:cs="Calibri"/>
                <w:b/>
                <w:iCs/>
              </w:rPr>
              <w:t>67</w:t>
            </w:r>
          </w:p>
        </w:tc>
      </w:tr>
    </w:tbl>
    <w:p w14:paraId="7D0BD6FB" w14:textId="77777777" w:rsidR="008C0967" w:rsidRDefault="008C0967" w:rsidP="00F12682">
      <w:pPr>
        <w:spacing w:after="120" w:line="276" w:lineRule="auto"/>
        <w:jc w:val="both"/>
        <w:rPr>
          <w:rFonts w:ascii="Calibri" w:eastAsiaTheme="majorEastAsia" w:hAnsi="Calibri" w:cs="Calibri"/>
          <w:iCs/>
          <w:sz w:val="24"/>
        </w:rPr>
      </w:pPr>
      <w:bookmarkStart w:id="98" w:name="_Toc520736959"/>
      <w:bookmarkStart w:id="99" w:name="_Toc523405236"/>
      <w:bookmarkStart w:id="100" w:name="_Toc523405328"/>
      <w:bookmarkStart w:id="101" w:name="_Toc523577363"/>
      <w:bookmarkStart w:id="102" w:name="_Toc520736960"/>
      <w:bookmarkStart w:id="103" w:name="_Toc523405237"/>
      <w:bookmarkStart w:id="104" w:name="_Toc523405329"/>
      <w:bookmarkStart w:id="105" w:name="_Toc523577364"/>
      <w:bookmarkEnd w:id="98"/>
      <w:bookmarkEnd w:id="99"/>
      <w:bookmarkEnd w:id="100"/>
      <w:bookmarkEnd w:id="101"/>
      <w:bookmarkEnd w:id="102"/>
      <w:bookmarkEnd w:id="103"/>
      <w:bookmarkEnd w:id="104"/>
      <w:bookmarkEnd w:id="105"/>
    </w:p>
    <w:p w14:paraId="58B45F2A" w14:textId="77777777" w:rsidR="00C21B85" w:rsidRPr="00C81AA4" w:rsidRDefault="00C21B85" w:rsidP="00F12682">
      <w:pPr>
        <w:spacing w:after="120" w:line="276" w:lineRule="auto"/>
        <w:jc w:val="both"/>
        <w:rPr>
          <w:rFonts w:ascii="Calibri" w:eastAsiaTheme="majorEastAsia" w:hAnsi="Calibri" w:cs="Calibri"/>
          <w:iCs/>
          <w:sz w:val="24"/>
        </w:rPr>
      </w:pPr>
      <w:r w:rsidRPr="00C81AA4">
        <w:rPr>
          <w:rFonts w:ascii="Calibri" w:eastAsiaTheme="majorEastAsia" w:hAnsi="Calibri" w:cs="Calibri"/>
          <w:iCs/>
          <w:sz w:val="24"/>
        </w:rPr>
        <w:br w:type="page"/>
      </w:r>
    </w:p>
    <w:p w14:paraId="464C0D4A" w14:textId="3E5186FD" w:rsidR="009401A4" w:rsidRDefault="007A379C" w:rsidP="00F12682">
      <w:pPr>
        <w:pStyle w:val="Titre1"/>
        <w:numPr>
          <w:ilvl w:val="0"/>
          <w:numId w:val="0"/>
        </w:numPr>
        <w:ind w:left="432" w:hanging="432"/>
        <w:jc w:val="both"/>
        <w:rPr>
          <w:rFonts w:asciiTheme="minorHAnsi" w:hAnsiTheme="minorHAnsi" w:cstheme="minorHAnsi"/>
        </w:rPr>
      </w:pPr>
      <w:bookmarkStart w:id="106" w:name="_Toc529305025"/>
      <w:r w:rsidRPr="004A5122">
        <w:rPr>
          <w:rFonts w:asciiTheme="minorHAnsi" w:hAnsiTheme="minorHAnsi" w:cstheme="minorHAnsi"/>
        </w:rPr>
        <w:lastRenderedPageBreak/>
        <w:t xml:space="preserve">Chapitre 4 : </w:t>
      </w:r>
      <w:r w:rsidR="00E9557A" w:rsidRPr="004A5122">
        <w:rPr>
          <w:rFonts w:asciiTheme="minorHAnsi" w:hAnsiTheme="minorHAnsi" w:cstheme="minorHAnsi"/>
        </w:rPr>
        <w:t>Prévision et exécution des</w:t>
      </w:r>
      <w:r w:rsidR="00AA1F94" w:rsidRPr="004A5122">
        <w:rPr>
          <w:rFonts w:asciiTheme="minorHAnsi" w:hAnsiTheme="minorHAnsi" w:cstheme="minorHAnsi"/>
        </w:rPr>
        <w:t xml:space="preserve"> dépenses publiques</w:t>
      </w:r>
      <w:bookmarkEnd w:id="106"/>
    </w:p>
    <w:p w14:paraId="6EA69C02" w14:textId="44FEF3C2" w:rsidR="00361D61" w:rsidRDefault="00E9557A" w:rsidP="00F12682">
      <w:pPr>
        <w:pStyle w:val="Titre2"/>
        <w:numPr>
          <w:ilvl w:val="1"/>
          <w:numId w:val="3"/>
        </w:numPr>
        <w:rPr>
          <w:rFonts w:asciiTheme="minorHAnsi" w:hAnsiTheme="minorHAnsi" w:cstheme="minorHAnsi"/>
        </w:rPr>
      </w:pPr>
      <w:bookmarkStart w:id="107" w:name="_Toc529305026"/>
      <w:r w:rsidRPr="004A5122">
        <w:rPr>
          <w:rFonts w:asciiTheme="minorHAnsi" w:hAnsiTheme="minorHAnsi" w:cstheme="minorHAnsi"/>
        </w:rPr>
        <w:t xml:space="preserve">Analyse globale du </w:t>
      </w:r>
      <w:r w:rsidR="00F6115A" w:rsidRPr="004A5122">
        <w:rPr>
          <w:rFonts w:asciiTheme="minorHAnsi" w:hAnsiTheme="minorHAnsi" w:cstheme="minorHAnsi"/>
        </w:rPr>
        <w:t xml:space="preserve">financement du </w:t>
      </w:r>
      <w:r w:rsidRPr="004A5122">
        <w:rPr>
          <w:rFonts w:asciiTheme="minorHAnsi" w:hAnsiTheme="minorHAnsi" w:cstheme="minorHAnsi"/>
        </w:rPr>
        <w:t>secteur</w:t>
      </w:r>
      <w:bookmarkEnd w:id="107"/>
    </w:p>
    <w:p w14:paraId="2558D11F" w14:textId="61B1BB88" w:rsidR="00E9557A" w:rsidRDefault="00AC4433" w:rsidP="00F12682">
      <w:pPr>
        <w:pStyle w:val="Titre3"/>
        <w:numPr>
          <w:ilvl w:val="2"/>
          <w:numId w:val="3"/>
        </w:numPr>
        <w:rPr>
          <w:rFonts w:asciiTheme="minorHAnsi" w:hAnsiTheme="minorHAnsi" w:cstheme="minorHAnsi"/>
        </w:rPr>
      </w:pPr>
      <w:bookmarkStart w:id="108" w:name="_Toc529305027"/>
      <w:r w:rsidRPr="004A5122">
        <w:rPr>
          <w:rFonts w:asciiTheme="minorHAnsi" w:hAnsiTheme="minorHAnsi" w:cstheme="minorHAnsi"/>
        </w:rPr>
        <w:t xml:space="preserve">Analyse </w:t>
      </w:r>
      <w:r w:rsidR="00784875" w:rsidRPr="004A5122">
        <w:rPr>
          <w:rFonts w:asciiTheme="minorHAnsi" w:hAnsiTheme="minorHAnsi" w:cstheme="minorHAnsi"/>
        </w:rPr>
        <w:t xml:space="preserve">de l’évolution et </w:t>
      </w:r>
      <w:r w:rsidRPr="004A5122">
        <w:rPr>
          <w:rFonts w:asciiTheme="minorHAnsi" w:hAnsiTheme="minorHAnsi" w:cstheme="minorHAnsi"/>
        </w:rPr>
        <w:t>de la pertinence des</w:t>
      </w:r>
      <w:r w:rsidR="00E9557A" w:rsidRPr="004A5122">
        <w:rPr>
          <w:rFonts w:asciiTheme="minorHAnsi" w:hAnsiTheme="minorHAnsi" w:cstheme="minorHAnsi"/>
        </w:rPr>
        <w:t xml:space="preserve"> allocations budgétaires</w:t>
      </w:r>
      <w:r w:rsidR="00C33EEC" w:rsidRPr="004A5122">
        <w:rPr>
          <w:rFonts w:asciiTheme="minorHAnsi" w:hAnsiTheme="minorHAnsi" w:cstheme="minorHAnsi"/>
        </w:rPr>
        <w:t xml:space="preserve"> du secteur (financement global)</w:t>
      </w:r>
      <w:r w:rsidRPr="004A5122">
        <w:rPr>
          <w:rFonts w:asciiTheme="minorHAnsi" w:hAnsiTheme="minorHAnsi" w:cstheme="minorHAnsi"/>
        </w:rPr>
        <w:t xml:space="preserve"> </w:t>
      </w:r>
      <w:r w:rsidR="00784875" w:rsidRPr="004A5122">
        <w:rPr>
          <w:rFonts w:asciiTheme="minorHAnsi" w:hAnsiTheme="minorHAnsi" w:cstheme="minorHAnsi"/>
        </w:rPr>
        <w:t>par rapport aux priorités</w:t>
      </w:r>
      <w:bookmarkEnd w:id="108"/>
    </w:p>
    <w:p w14:paraId="09A1A22D" w14:textId="73867A9C" w:rsidR="00E21785" w:rsidRDefault="00E21785" w:rsidP="00F12682">
      <w:pPr>
        <w:spacing w:after="120" w:line="276" w:lineRule="auto"/>
        <w:jc w:val="both"/>
        <w:rPr>
          <w:rFonts w:ascii="Calibri" w:eastAsiaTheme="majorEastAsia" w:hAnsi="Calibri" w:cs="Calibri"/>
          <w:iCs/>
          <w:sz w:val="24"/>
        </w:rPr>
      </w:pPr>
      <w:r w:rsidRPr="00634B7E">
        <w:rPr>
          <w:rFonts w:ascii="Calibri" w:eastAsiaTheme="majorEastAsia" w:hAnsi="Calibri" w:cs="Calibri"/>
          <w:iCs/>
          <w:sz w:val="24"/>
        </w:rPr>
        <w:t xml:space="preserve">Le </w:t>
      </w:r>
      <w:r w:rsidR="002328F6" w:rsidRPr="00634B7E">
        <w:rPr>
          <w:rFonts w:ascii="Calibri" w:eastAsiaTheme="majorEastAsia" w:hAnsi="Calibri" w:cs="Calibri"/>
          <w:iCs/>
          <w:sz w:val="24"/>
        </w:rPr>
        <w:t xml:space="preserve">tableau </w:t>
      </w:r>
      <w:r w:rsidR="00196702">
        <w:rPr>
          <w:rFonts w:ascii="Calibri" w:eastAsiaTheme="majorEastAsia" w:hAnsi="Calibri" w:cs="Calibri"/>
          <w:iCs/>
          <w:sz w:val="24"/>
        </w:rPr>
        <w:t>ci-dessous</w:t>
      </w:r>
      <w:r w:rsidR="002328F6" w:rsidRPr="00634B7E">
        <w:rPr>
          <w:rFonts w:ascii="Calibri" w:eastAsiaTheme="majorEastAsia" w:hAnsi="Calibri" w:cs="Calibri"/>
          <w:iCs/>
          <w:sz w:val="24"/>
        </w:rPr>
        <w:t xml:space="preserve"> </w:t>
      </w:r>
      <w:r w:rsidRPr="00634B7E">
        <w:rPr>
          <w:rFonts w:ascii="Calibri" w:eastAsiaTheme="majorEastAsia" w:hAnsi="Calibri" w:cs="Calibri"/>
          <w:iCs/>
          <w:sz w:val="24"/>
        </w:rPr>
        <w:t xml:space="preserve">présente </w:t>
      </w:r>
      <w:r w:rsidR="008F5582" w:rsidRPr="00634B7E">
        <w:rPr>
          <w:rFonts w:ascii="Calibri" w:eastAsiaTheme="majorEastAsia" w:hAnsi="Calibri" w:cs="Calibri"/>
          <w:iCs/>
          <w:sz w:val="24"/>
        </w:rPr>
        <w:t>la part du secteur et sous-secteurs de la SANDAD dans l</w:t>
      </w:r>
      <w:r w:rsidRPr="00634B7E">
        <w:rPr>
          <w:rFonts w:ascii="Calibri" w:eastAsiaTheme="majorEastAsia" w:hAnsi="Calibri" w:cs="Calibri"/>
          <w:iCs/>
          <w:sz w:val="24"/>
        </w:rPr>
        <w:t xml:space="preserve">es dotations budgétaires </w:t>
      </w:r>
      <w:r w:rsidR="008F5582" w:rsidRPr="00634B7E">
        <w:rPr>
          <w:rFonts w:ascii="Calibri" w:eastAsiaTheme="majorEastAsia" w:hAnsi="Calibri" w:cs="Calibri"/>
          <w:iCs/>
          <w:sz w:val="24"/>
        </w:rPr>
        <w:t>du Niger en 2016</w:t>
      </w:r>
      <w:r w:rsidRPr="00634B7E">
        <w:rPr>
          <w:rFonts w:ascii="Calibri" w:eastAsiaTheme="majorEastAsia" w:hAnsi="Calibri" w:cs="Calibri"/>
          <w:iCs/>
          <w:sz w:val="24"/>
        </w:rPr>
        <w:t xml:space="preserve">. </w:t>
      </w:r>
      <w:r w:rsidR="005A38D6" w:rsidRPr="00634B7E">
        <w:rPr>
          <w:rFonts w:ascii="Calibri" w:eastAsiaTheme="majorEastAsia" w:hAnsi="Calibri" w:cs="Calibri"/>
          <w:iCs/>
          <w:sz w:val="24"/>
        </w:rPr>
        <w:t>Pour un montant global de</w:t>
      </w:r>
      <w:r w:rsidR="00BD261D" w:rsidRPr="00634B7E">
        <w:rPr>
          <w:rFonts w:ascii="Calibri" w:eastAsiaTheme="majorEastAsia" w:hAnsi="Calibri" w:cs="Calibri"/>
          <w:iCs/>
          <w:sz w:val="24"/>
        </w:rPr>
        <w:t>s crédits consommés de</w:t>
      </w:r>
      <w:r w:rsidR="005A38D6" w:rsidRPr="00634B7E">
        <w:rPr>
          <w:rFonts w:ascii="Calibri" w:eastAsiaTheme="majorEastAsia" w:hAnsi="Calibri" w:cs="Calibri"/>
          <w:iCs/>
          <w:sz w:val="24"/>
        </w:rPr>
        <w:t xml:space="preserve"> </w:t>
      </w:r>
      <w:r w:rsidR="00BD261D" w:rsidRPr="00634B7E">
        <w:rPr>
          <w:rFonts w:ascii="Calibri" w:eastAsiaTheme="majorEastAsia" w:hAnsi="Calibri" w:cs="Calibri"/>
          <w:iCs/>
          <w:sz w:val="24"/>
        </w:rPr>
        <w:t>1</w:t>
      </w:r>
      <w:r w:rsidR="00196702">
        <w:rPr>
          <w:rFonts w:ascii="Calibri" w:eastAsiaTheme="majorEastAsia" w:hAnsi="Calibri" w:cs="Calibri"/>
          <w:iCs/>
          <w:sz w:val="24"/>
        </w:rPr>
        <w:t> </w:t>
      </w:r>
      <w:r w:rsidR="00BD261D" w:rsidRPr="00634B7E">
        <w:rPr>
          <w:rFonts w:ascii="Calibri" w:eastAsiaTheme="majorEastAsia" w:hAnsi="Calibri" w:cs="Calibri"/>
          <w:iCs/>
          <w:sz w:val="24"/>
        </w:rPr>
        <w:t>251</w:t>
      </w:r>
      <w:r w:rsidR="00196702">
        <w:rPr>
          <w:rFonts w:ascii="Calibri" w:eastAsiaTheme="majorEastAsia" w:hAnsi="Calibri" w:cs="Calibri"/>
          <w:iCs/>
          <w:sz w:val="24"/>
        </w:rPr>
        <w:t> </w:t>
      </w:r>
      <w:r w:rsidR="00BD261D" w:rsidRPr="00634B7E">
        <w:rPr>
          <w:rFonts w:ascii="Calibri" w:eastAsiaTheme="majorEastAsia" w:hAnsi="Calibri" w:cs="Calibri"/>
          <w:iCs/>
          <w:sz w:val="24"/>
        </w:rPr>
        <w:t>523</w:t>
      </w:r>
      <w:r w:rsidR="00196702">
        <w:rPr>
          <w:rFonts w:ascii="Calibri" w:eastAsiaTheme="majorEastAsia" w:hAnsi="Calibri" w:cs="Calibri"/>
          <w:iCs/>
          <w:sz w:val="24"/>
        </w:rPr>
        <w:t> </w:t>
      </w:r>
      <w:r w:rsidR="00BD261D" w:rsidRPr="00634B7E">
        <w:rPr>
          <w:rFonts w:ascii="Calibri" w:eastAsiaTheme="majorEastAsia" w:hAnsi="Calibri" w:cs="Calibri"/>
          <w:iCs/>
          <w:sz w:val="24"/>
        </w:rPr>
        <w:t>790</w:t>
      </w:r>
      <w:r w:rsidR="00196702">
        <w:rPr>
          <w:rFonts w:ascii="Calibri" w:eastAsiaTheme="majorEastAsia" w:hAnsi="Calibri" w:cs="Calibri"/>
          <w:iCs/>
          <w:sz w:val="24"/>
        </w:rPr>
        <w:t> </w:t>
      </w:r>
      <w:r w:rsidR="00BD261D" w:rsidRPr="00634B7E">
        <w:rPr>
          <w:rFonts w:ascii="Calibri" w:eastAsiaTheme="majorEastAsia" w:hAnsi="Calibri" w:cs="Calibri"/>
          <w:iCs/>
          <w:sz w:val="24"/>
        </w:rPr>
        <w:t>153</w:t>
      </w:r>
      <w:r w:rsidR="00196702">
        <w:rPr>
          <w:rFonts w:ascii="Calibri" w:eastAsiaTheme="majorEastAsia" w:hAnsi="Calibri" w:cs="Calibri"/>
          <w:iCs/>
          <w:sz w:val="24"/>
        </w:rPr>
        <w:t xml:space="preserve"> </w:t>
      </w:r>
      <w:r w:rsidR="005A38D6" w:rsidRPr="00634B7E">
        <w:rPr>
          <w:rFonts w:ascii="Calibri" w:eastAsiaTheme="majorEastAsia" w:hAnsi="Calibri" w:cs="Calibri"/>
          <w:iCs/>
          <w:sz w:val="24"/>
        </w:rPr>
        <w:t>FCFA, le secteur rural n’a bénéficié que d</w:t>
      </w:r>
      <w:r w:rsidR="00BD261D" w:rsidRPr="00634B7E">
        <w:rPr>
          <w:rFonts w:ascii="Calibri" w:eastAsiaTheme="majorEastAsia" w:hAnsi="Calibri" w:cs="Calibri"/>
          <w:iCs/>
          <w:sz w:val="24"/>
        </w:rPr>
        <w:t xml:space="preserve">e </w:t>
      </w:r>
      <w:r w:rsidR="00665E42" w:rsidRPr="00665E42">
        <w:rPr>
          <w:rFonts w:ascii="Calibri" w:eastAsiaTheme="majorEastAsia" w:hAnsi="Calibri" w:cs="Calibri"/>
          <w:iCs/>
          <w:sz w:val="24"/>
        </w:rPr>
        <w:t>61</w:t>
      </w:r>
      <w:r w:rsidR="00665E42">
        <w:rPr>
          <w:rFonts w:ascii="Calibri" w:eastAsiaTheme="majorEastAsia" w:hAnsi="Calibri" w:cs="Calibri"/>
          <w:iCs/>
          <w:sz w:val="24"/>
        </w:rPr>
        <w:t> </w:t>
      </w:r>
      <w:r w:rsidR="00665E42" w:rsidRPr="00665E42">
        <w:rPr>
          <w:rFonts w:ascii="Calibri" w:eastAsiaTheme="majorEastAsia" w:hAnsi="Calibri" w:cs="Calibri"/>
          <w:iCs/>
          <w:sz w:val="24"/>
        </w:rPr>
        <w:t>333</w:t>
      </w:r>
      <w:r w:rsidR="00665E42">
        <w:rPr>
          <w:rFonts w:ascii="Calibri" w:eastAsiaTheme="majorEastAsia" w:hAnsi="Calibri" w:cs="Calibri"/>
          <w:iCs/>
          <w:sz w:val="24"/>
        </w:rPr>
        <w:t> </w:t>
      </w:r>
      <w:r w:rsidR="00665E42" w:rsidRPr="00665E42">
        <w:rPr>
          <w:rFonts w:ascii="Calibri" w:eastAsiaTheme="majorEastAsia" w:hAnsi="Calibri" w:cs="Calibri"/>
          <w:iCs/>
          <w:sz w:val="24"/>
        </w:rPr>
        <w:t>954</w:t>
      </w:r>
      <w:r w:rsidR="00665E42">
        <w:rPr>
          <w:rFonts w:ascii="Calibri" w:eastAsiaTheme="majorEastAsia" w:hAnsi="Calibri" w:cs="Calibri"/>
          <w:iCs/>
          <w:sz w:val="24"/>
        </w:rPr>
        <w:t> </w:t>
      </w:r>
      <w:r w:rsidR="00665E42" w:rsidRPr="00665E42">
        <w:rPr>
          <w:rFonts w:ascii="Calibri" w:eastAsiaTheme="majorEastAsia" w:hAnsi="Calibri" w:cs="Calibri"/>
          <w:iCs/>
          <w:sz w:val="24"/>
        </w:rPr>
        <w:t>935</w:t>
      </w:r>
      <w:r w:rsidR="00665E42">
        <w:rPr>
          <w:rFonts w:ascii="Calibri" w:eastAsiaTheme="majorEastAsia" w:hAnsi="Calibri" w:cs="Calibri"/>
          <w:iCs/>
          <w:sz w:val="24"/>
        </w:rPr>
        <w:t xml:space="preserve"> </w:t>
      </w:r>
      <w:r w:rsidR="00F4076F" w:rsidRPr="00634B7E">
        <w:rPr>
          <w:rFonts w:ascii="Calibri" w:eastAsiaTheme="majorEastAsia" w:hAnsi="Calibri" w:cs="Calibri"/>
          <w:iCs/>
          <w:sz w:val="24"/>
        </w:rPr>
        <w:t xml:space="preserve">FCFA soit </w:t>
      </w:r>
      <w:r w:rsidR="00665E42">
        <w:rPr>
          <w:rFonts w:ascii="Calibri" w:eastAsiaTheme="majorEastAsia" w:hAnsi="Calibri" w:cs="Calibri"/>
          <w:iCs/>
          <w:sz w:val="24"/>
        </w:rPr>
        <w:t>5</w:t>
      </w:r>
      <w:r w:rsidR="00F4076F" w:rsidRPr="00634B7E">
        <w:rPr>
          <w:rFonts w:ascii="Calibri" w:eastAsiaTheme="majorEastAsia" w:hAnsi="Calibri" w:cs="Calibri"/>
          <w:iCs/>
          <w:sz w:val="24"/>
        </w:rPr>
        <w:t>%. Le taux de consommation du secteur rural est à peine la moitié du taux de consommation du budget global de l’Etat</w:t>
      </w:r>
      <w:r w:rsidR="00C30F68" w:rsidRPr="00634B7E">
        <w:rPr>
          <w:rFonts w:ascii="Calibri" w:eastAsiaTheme="majorEastAsia" w:hAnsi="Calibri" w:cs="Calibri"/>
          <w:iCs/>
          <w:sz w:val="24"/>
        </w:rPr>
        <w:t>.</w:t>
      </w:r>
    </w:p>
    <w:p w14:paraId="324D2C8F" w14:textId="77777777" w:rsidR="005E416D" w:rsidRDefault="005E416D" w:rsidP="00F12682">
      <w:pPr>
        <w:spacing w:after="120" w:line="276" w:lineRule="auto"/>
        <w:jc w:val="both"/>
        <w:rPr>
          <w:rFonts w:ascii="Calibri" w:eastAsiaTheme="majorEastAsia" w:hAnsi="Calibri" w:cs="Calibri"/>
          <w:iCs/>
          <w:sz w:val="24"/>
        </w:rPr>
      </w:pPr>
    </w:p>
    <w:p w14:paraId="18D73BF1" w14:textId="4D5EFE6B" w:rsidR="00E21785" w:rsidRDefault="00522678" w:rsidP="00F12682">
      <w:pPr>
        <w:pStyle w:val="Lgende"/>
        <w:rPr>
          <w:rFonts w:eastAsiaTheme="majorEastAsia" w:cs="Calibri"/>
          <w:iCs w:val="0"/>
        </w:rPr>
      </w:pPr>
      <w:bookmarkStart w:id="109" w:name="_Toc529305067"/>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13</w:t>
      </w:r>
      <w:r w:rsidR="00A773EB">
        <w:rPr>
          <w:noProof/>
        </w:rPr>
        <w:fldChar w:fldCharType="end"/>
      </w:r>
      <w:r w:rsidR="002328F6" w:rsidRPr="00522678">
        <w:rPr>
          <w:rFonts w:eastAsiaTheme="majorEastAsia" w:cs="Calibri"/>
          <w:iCs w:val="0"/>
        </w:rPr>
        <w:t> : Part du secteur rural dans le budget global de l’Etat</w:t>
      </w:r>
      <w:bookmarkEnd w:id="109"/>
    </w:p>
    <w:tbl>
      <w:tblPr>
        <w:tblW w:w="5000" w:type="pct"/>
        <w:tblCellMar>
          <w:left w:w="70" w:type="dxa"/>
          <w:right w:w="70" w:type="dxa"/>
        </w:tblCellMar>
        <w:tblLook w:val="04A0" w:firstRow="1" w:lastRow="0" w:firstColumn="1" w:lastColumn="0" w:noHBand="0" w:noVBand="1"/>
      </w:tblPr>
      <w:tblGrid>
        <w:gridCol w:w="2756"/>
        <w:gridCol w:w="2410"/>
        <w:gridCol w:w="2189"/>
        <w:gridCol w:w="2273"/>
      </w:tblGrid>
      <w:tr w:rsidR="00D9677C" w:rsidRPr="00035FF3" w14:paraId="5F1C03DE" w14:textId="77777777" w:rsidTr="00D9677C">
        <w:trPr>
          <w:trHeight w:val="300"/>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D71BB" w14:textId="77777777" w:rsidR="00D9677C" w:rsidRPr="00035FF3" w:rsidRDefault="00D9677C" w:rsidP="00F12682">
            <w:pPr>
              <w:spacing w:after="0" w:line="240" w:lineRule="auto"/>
              <w:jc w:val="center"/>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Institution</w:t>
            </w:r>
          </w:p>
        </w:tc>
        <w:tc>
          <w:tcPr>
            <w:tcW w:w="1366" w:type="pct"/>
            <w:tcBorders>
              <w:top w:val="single" w:sz="4" w:space="0" w:color="auto"/>
              <w:left w:val="nil"/>
              <w:bottom w:val="single" w:sz="4" w:space="0" w:color="auto"/>
              <w:right w:val="single" w:sz="4" w:space="0" w:color="auto"/>
            </w:tcBorders>
            <w:shd w:val="clear" w:color="auto" w:fill="auto"/>
            <w:noWrap/>
            <w:vAlign w:val="center"/>
            <w:hideMark/>
          </w:tcPr>
          <w:p w14:paraId="1901038E" w14:textId="77777777" w:rsidR="00D9677C" w:rsidRPr="00035FF3" w:rsidRDefault="00D9677C" w:rsidP="00F12682">
            <w:pPr>
              <w:spacing w:after="0" w:line="240" w:lineRule="auto"/>
              <w:jc w:val="center"/>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Crédits votés</w:t>
            </w:r>
          </w:p>
        </w:tc>
        <w:tc>
          <w:tcPr>
            <w:tcW w:w="1251" w:type="pct"/>
            <w:tcBorders>
              <w:top w:val="single" w:sz="4" w:space="0" w:color="auto"/>
              <w:left w:val="nil"/>
              <w:bottom w:val="single" w:sz="4" w:space="0" w:color="auto"/>
              <w:right w:val="single" w:sz="4" w:space="0" w:color="auto"/>
            </w:tcBorders>
            <w:shd w:val="clear" w:color="auto" w:fill="auto"/>
            <w:noWrap/>
            <w:vAlign w:val="center"/>
            <w:hideMark/>
          </w:tcPr>
          <w:p w14:paraId="1FB46119" w14:textId="77777777" w:rsidR="00D9677C" w:rsidRPr="00035FF3" w:rsidRDefault="00D9677C" w:rsidP="00F12682">
            <w:pPr>
              <w:spacing w:after="0" w:line="240" w:lineRule="auto"/>
              <w:jc w:val="center"/>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Crédits consommés</w:t>
            </w:r>
          </w:p>
        </w:tc>
        <w:tc>
          <w:tcPr>
            <w:tcW w:w="1137" w:type="pct"/>
            <w:tcBorders>
              <w:top w:val="single" w:sz="4" w:space="0" w:color="auto"/>
              <w:left w:val="nil"/>
              <w:bottom w:val="single" w:sz="4" w:space="0" w:color="auto"/>
              <w:right w:val="single" w:sz="4" w:space="0" w:color="auto"/>
            </w:tcBorders>
            <w:shd w:val="clear" w:color="auto" w:fill="auto"/>
            <w:noWrap/>
            <w:vAlign w:val="center"/>
            <w:hideMark/>
          </w:tcPr>
          <w:p w14:paraId="65FDC91B" w14:textId="77777777" w:rsidR="00D9677C" w:rsidRPr="00035FF3" w:rsidRDefault="00D9677C" w:rsidP="00F12682">
            <w:pPr>
              <w:spacing w:after="0" w:line="240" w:lineRule="auto"/>
              <w:jc w:val="center"/>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Taux de consommation</w:t>
            </w:r>
          </w:p>
        </w:tc>
      </w:tr>
      <w:tr w:rsidR="00D9677C" w:rsidRPr="00035FF3" w14:paraId="6FB2A3D1"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50CD3689"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MAG</w:t>
            </w:r>
          </w:p>
        </w:tc>
        <w:tc>
          <w:tcPr>
            <w:tcW w:w="1366" w:type="pct"/>
            <w:tcBorders>
              <w:top w:val="nil"/>
              <w:left w:val="nil"/>
              <w:bottom w:val="single" w:sz="4" w:space="0" w:color="auto"/>
              <w:right w:val="single" w:sz="4" w:space="0" w:color="auto"/>
            </w:tcBorders>
            <w:shd w:val="clear" w:color="auto" w:fill="auto"/>
            <w:noWrap/>
            <w:vAlign w:val="center"/>
            <w:hideMark/>
          </w:tcPr>
          <w:p w14:paraId="6BB20C45"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78 463 782 892</w:t>
            </w:r>
          </w:p>
        </w:tc>
        <w:tc>
          <w:tcPr>
            <w:tcW w:w="1251" w:type="pct"/>
            <w:tcBorders>
              <w:top w:val="nil"/>
              <w:left w:val="nil"/>
              <w:bottom w:val="single" w:sz="4" w:space="0" w:color="auto"/>
              <w:right w:val="single" w:sz="4" w:space="0" w:color="auto"/>
            </w:tcBorders>
            <w:shd w:val="clear" w:color="auto" w:fill="auto"/>
            <w:noWrap/>
            <w:vAlign w:val="center"/>
            <w:hideMark/>
          </w:tcPr>
          <w:p w14:paraId="5C2C51F4"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27 357 525 647</w:t>
            </w:r>
          </w:p>
        </w:tc>
        <w:tc>
          <w:tcPr>
            <w:tcW w:w="1137" w:type="pct"/>
            <w:tcBorders>
              <w:top w:val="nil"/>
              <w:left w:val="nil"/>
              <w:bottom w:val="single" w:sz="4" w:space="0" w:color="auto"/>
              <w:right w:val="single" w:sz="4" w:space="0" w:color="auto"/>
            </w:tcBorders>
            <w:shd w:val="clear" w:color="auto" w:fill="auto"/>
            <w:noWrap/>
            <w:vAlign w:val="center"/>
            <w:hideMark/>
          </w:tcPr>
          <w:p w14:paraId="2B50EBC9"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35%</w:t>
            </w:r>
          </w:p>
        </w:tc>
      </w:tr>
      <w:tr w:rsidR="00D9677C" w:rsidRPr="00035FF3" w14:paraId="54254B7A"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33436FF4"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MEL</w:t>
            </w:r>
          </w:p>
        </w:tc>
        <w:tc>
          <w:tcPr>
            <w:tcW w:w="1366" w:type="pct"/>
            <w:tcBorders>
              <w:top w:val="nil"/>
              <w:left w:val="nil"/>
              <w:bottom w:val="single" w:sz="4" w:space="0" w:color="auto"/>
              <w:right w:val="single" w:sz="4" w:space="0" w:color="auto"/>
            </w:tcBorders>
            <w:shd w:val="clear" w:color="auto" w:fill="auto"/>
            <w:noWrap/>
            <w:vAlign w:val="center"/>
            <w:hideMark/>
          </w:tcPr>
          <w:p w14:paraId="3D2AB430"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12 215 945 477</w:t>
            </w:r>
          </w:p>
        </w:tc>
        <w:tc>
          <w:tcPr>
            <w:tcW w:w="1251" w:type="pct"/>
            <w:tcBorders>
              <w:top w:val="nil"/>
              <w:left w:val="nil"/>
              <w:bottom w:val="single" w:sz="4" w:space="0" w:color="auto"/>
              <w:right w:val="single" w:sz="4" w:space="0" w:color="auto"/>
            </w:tcBorders>
            <w:shd w:val="clear" w:color="auto" w:fill="auto"/>
            <w:noWrap/>
            <w:vAlign w:val="center"/>
            <w:hideMark/>
          </w:tcPr>
          <w:p w14:paraId="45F0D701"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5 896 374 883</w:t>
            </w:r>
          </w:p>
        </w:tc>
        <w:tc>
          <w:tcPr>
            <w:tcW w:w="1137" w:type="pct"/>
            <w:tcBorders>
              <w:top w:val="nil"/>
              <w:left w:val="nil"/>
              <w:bottom w:val="single" w:sz="4" w:space="0" w:color="auto"/>
              <w:right w:val="single" w:sz="4" w:space="0" w:color="auto"/>
            </w:tcBorders>
            <w:shd w:val="clear" w:color="auto" w:fill="auto"/>
            <w:noWrap/>
            <w:vAlign w:val="center"/>
            <w:hideMark/>
          </w:tcPr>
          <w:p w14:paraId="43752DDC"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48%</w:t>
            </w:r>
          </w:p>
        </w:tc>
      </w:tr>
      <w:tr w:rsidR="00D9677C" w:rsidRPr="00035FF3" w14:paraId="60DDC62B"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35CD661B"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MEDD</w:t>
            </w:r>
          </w:p>
        </w:tc>
        <w:tc>
          <w:tcPr>
            <w:tcW w:w="1366" w:type="pct"/>
            <w:tcBorders>
              <w:top w:val="nil"/>
              <w:left w:val="nil"/>
              <w:bottom w:val="single" w:sz="4" w:space="0" w:color="auto"/>
              <w:right w:val="single" w:sz="4" w:space="0" w:color="auto"/>
            </w:tcBorders>
            <w:shd w:val="clear" w:color="auto" w:fill="auto"/>
            <w:noWrap/>
            <w:vAlign w:val="center"/>
            <w:hideMark/>
          </w:tcPr>
          <w:p w14:paraId="23D2F67F"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15 270 643 494</w:t>
            </w:r>
          </w:p>
        </w:tc>
        <w:tc>
          <w:tcPr>
            <w:tcW w:w="1251" w:type="pct"/>
            <w:tcBorders>
              <w:top w:val="nil"/>
              <w:left w:val="nil"/>
              <w:bottom w:val="single" w:sz="4" w:space="0" w:color="auto"/>
              <w:right w:val="single" w:sz="4" w:space="0" w:color="auto"/>
            </w:tcBorders>
            <w:shd w:val="clear" w:color="auto" w:fill="auto"/>
            <w:noWrap/>
            <w:vAlign w:val="center"/>
            <w:hideMark/>
          </w:tcPr>
          <w:p w14:paraId="19A5200F"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5 767 893 617</w:t>
            </w:r>
          </w:p>
        </w:tc>
        <w:tc>
          <w:tcPr>
            <w:tcW w:w="1137" w:type="pct"/>
            <w:tcBorders>
              <w:top w:val="nil"/>
              <w:left w:val="nil"/>
              <w:bottom w:val="single" w:sz="4" w:space="0" w:color="auto"/>
              <w:right w:val="single" w:sz="4" w:space="0" w:color="auto"/>
            </w:tcBorders>
            <w:shd w:val="clear" w:color="auto" w:fill="auto"/>
            <w:noWrap/>
            <w:vAlign w:val="center"/>
            <w:hideMark/>
          </w:tcPr>
          <w:p w14:paraId="6ECB959F"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38%</w:t>
            </w:r>
          </w:p>
        </w:tc>
      </w:tr>
      <w:tr w:rsidR="00D9677C" w:rsidRPr="00035FF3" w14:paraId="0EBEA51B"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37084945"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MHA (Hydraulique pastorale)</w:t>
            </w:r>
          </w:p>
        </w:tc>
        <w:tc>
          <w:tcPr>
            <w:tcW w:w="1366" w:type="pct"/>
            <w:tcBorders>
              <w:top w:val="nil"/>
              <w:left w:val="nil"/>
              <w:bottom w:val="single" w:sz="4" w:space="0" w:color="auto"/>
              <w:right w:val="single" w:sz="4" w:space="0" w:color="auto"/>
            </w:tcBorders>
            <w:shd w:val="clear" w:color="auto" w:fill="auto"/>
            <w:noWrap/>
            <w:vAlign w:val="center"/>
            <w:hideMark/>
          </w:tcPr>
          <w:p w14:paraId="53EFBA40"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3 465 161 110</w:t>
            </w:r>
          </w:p>
        </w:tc>
        <w:tc>
          <w:tcPr>
            <w:tcW w:w="1251" w:type="pct"/>
            <w:tcBorders>
              <w:top w:val="nil"/>
              <w:left w:val="nil"/>
              <w:bottom w:val="single" w:sz="4" w:space="0" w:color="auto"/>
              <w:right w:val="single" w:sz="4" w:space="0" w:color="auto"/>
            </w:tcBorders>
            <w:shd w:val="clear" w:color="auto" w:fill="auto"/>
            <w:noWrap/>
            <w:vAlign w:val="center"/>
            <w:hideMark/>
          </w:tcPr>
          <w:p w14:paraId="7262A5B0"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2 330 752 264</w:t>
            </w:r>
          </w:p>
        </w:tc>
        <w:tc>
          <w:tcPr>
            <w:tcW w:w="1137" w:type="pct"/>
            <w:tcBorders>
              <w:top w:val="nil"/>
              <w:left w:val="nil"/>
              <w:bottom w:val="single" w:sz="4" w:space="0" w:color="auto"/>
              <w:right w:val="single" w:sz="4" w:space="0" w:color="auto"/>
            </w:tcBorders>
            <w:shd w:val="clear" w:color="auto" w:fill="auto"/>
            <w:noWrap/>
            <w:vAlign w:val="center"/>
            <w:hideMark/>
          </w:tcPr>
          <w:p w14:paraId="4D7B34E4"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67%</w:t>
            </w:r>
          </w:p>
        </w:tc>
      </w:tr>
      <w:tr w:rsidR="00D9677C" w:rsidRPr="00035FF3" w14:paraId="7917FF9E"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42D0A8A4"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Commerce</w:t>
            </w:r>
          </w:p>
        </w:tc>
        <w:tc>
          <w:tcPr>
            <w:tcW w:w="1366" w:type="pct"/>
            <w:tcBorders>
              <w:top w:val="nil"/>
              <w:left w:val="nil"/>
              <w:bottom w:val="single" w:sz="4" w:space="0" w:color="auto"/>
              <w:right w:val="single" w:sz="4" w:space="0" w:color="auto"/>
            </w:tcBorders>
            <w:shd w:val="clear" w:color="auto" w:fill="auto"/>
            <w:noWrap/>
            <w:vAlign w:val="center"/>
            <w:hideMark/>
          </w:tcPr>
          <w:p w14:paraId="59E27F62"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10 595 453 500</w:t>
            </w:r>
          </w:p>
        </w:tc>
        <w:tc>
          <w:tcPr>
            <w:tcW w:w="1251" w:type="pct"/>
            <w:tcBorders>
              <w:top w:val="nil"/>
              <w:left w:val="nil"/>
              <w:bottom w:val="single" w:sz="4" w:space="0" w:color="auto"/>
              <w:right w:val="single" w:sz="4" w:space="0" w:color="auto"/>
            </w:tcBorders>
            <w:shd w:val="clear" w:color="auto" w:fill="auto"/>
            <w:noWrap/>
            <w:vAlign w:val="center"/>
            <w:hideMark/>
          </w:tcPr>
          <w:p w14:paraId="15BCC059"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8 292 257 779</w:t>
            </w:r>
          </w:p>
        </w:tc>
        <w:tc>
          <w:tcPr>
            <w:tcW w:w="1137" w:type="pct"/>
            <w:tcBorders>
              <w:top w:val="nil"/>
              <w:left w:val="nil"/>
              <w:bottom w:val="single" w:sz="4" w:space="0" w:color="auto"/>
              <w:right w:val="single" w:sz="4" w:space="0" w:color="auto"/>
            </w:tcBorders>
            <w:shd w:val="clear" w:color="auto" w:fill="auto"/>
            <w:noWrap/>
            <w:vAlign w:val="center"/>
            <w:hideMark/>
          </w:tcPr>
          <w:p w14:paraId="052BC9A9"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78%</w:t>
            </w:r>
          </w:p>
        </w:tc>
      </w:tr>
      <w:tr w:rsidR="00D9677C" w:rsidRPr="00035FF3" w14:paraId="54D3D144"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28B64450"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Nutrition</w:t>
            </w:r>
          </w:p>
        </w:tc>
        <w:tc>
          <w:tcPr>
            <w:tcW w:w="1366" w:type="pct"/>
            <w:tcBorders>
              <w:top w:val="nil"/>
              <w:left w:val="nil"/>
              <w:bottom w:val="single" w:sz="4" w:space="0" w:color="auto"/>
              <w:right w:val="single" w:sz="4" w:space="0" w:color="auto"/>
            </w:tcBorders>
            <w:shd w:val="clear" w:color="auto" w:fill="auto"/>
            <w:noWrap/>
            <w:vAlign w:val="center"/>
            <w:hideMark/>
          </w:tcPr>
          <w:p w14:paraId="73678AE6"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1 423 073 361</w:t>
            </w:r>
          </w:p>
        </w:tc>
        <w:tc>
          <w:tcPr>
            <w:tcW w:w="1251" w:type="pct"/>
            <w:tcBorders>
              <w:top w:val="nil"/>
              <w:left w:val="nil"/>
              <w:bottom w:val="single" w:sz="4" w:space="0" w:color="auto"/>
              <w:right w:val="single" w:sz="4" w:space="0" w:color="auto"/>
            </w:tcBorders>
            <w:shd w:val="clear" w:color="auto" w:fill="auto"/>
            <w:noWrap/>
            <w:vAlign w:val="center"/>
            <w:hideMark/>
          </w:tcPr>
          <w:p w14:paraId="09062766"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1 280 766 025</w:t>
            </w:r>
          </w:p>
        </w:tc>
        <w:tc>
          <w:tcPr>
            <w:tcW w:w="1137" w:type="pct"/>
            <w:tcBorders>
              <w:top w:val="nil"/>
              <w:left w:val="nil"/>
              <w:bottom w:val="single" w:sz="4" w:space="0" w:color="auto"/>
              <w:right w:val="single" w:sz="4" w:space="0" w:color="auto"/>
            </w:tcBorders>
            <w:shd w:val="clear" w:color="auto" w:fill="auto"/>
            <w:noWrap/>
            <w:vAlign w:val="center"/>
            <w:hideMark/>
          </w:tcPr>
          <w:p w14:paraId="4C2229DA"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90%</w:t>
            </w:r>
          </w:p>
        </w:tc>
      </w:tr>
      <w:tr w:rsidR="00D9677C" w:rsidRPr="00035FF3" w14:paraId="1ABA24D3"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5D0FF78A"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DNPGCA</w:t>
            </w:r>
          </w:p>
        </w:tc>
        <w:tc>
          <w:tcPr>
            <w:tcW w:w="1366" w:type="pct"/>
            <w:tcBorders>
              <w:top w:val="nil"/>
              <w:left w:val="nil"/>
              <w:bottom w:val="single" w:sz="4" w:space="0" w:color="auto"/>
              <w:right w:val="single" w:sz="4" w:space="0" w:color="auto"/>
            </w:tcBorders>
            <w:shd w:val="clear" w:color="auto" w:fill="auto"/>
            <w:noWrap/>
            <w:vAlign w:val="center"/>
            <w:hideMark/>
          </w:tcPr>
          <w:p w14:paraId="4898612B"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20 418 525 249</w:t>
            </w:r>
          </w:p>
        </w:tc>
        <w:tc>
          <w:tcPr>
            <w:tcW w:w="1251" w:type="pct"/>
            <w:tcBorders>
              <w:top w:val="nil"/>
              <w:left w:val="nil"/>
              <w:bottom w:val="single" w:sz="4" w:space="0" w:color="auto"/>
              <w:right w:val="single" w:sz="4" w:space="0" w:color="auto"/>
            </w:tcBorders>
            <w:shd w:val="clear" w:color="auto" w:fill="auto"/>
            <w:noWrap/>
            <w:vAlign w:val="center"/>
            <w:hideMark/>
          </w:tcPr>
          <w:p w14:paraId="2C72A951"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8 115 975 442</w:t>
            </w:r>
          </w:p>
        </w:tc>
        <w:tc>
          <w:tcPr>
            <w:tcW w:w="1137" w:type="pct"/>
            <w:tcBorders>
              <w:top w:val="nil"/>
              <w:left w:val="nil"/>
              <w:bottom w:val="single" w:sz="4" w:space="0" w:color="auto"/>
              <w:right w:val="single" w:sz="4" w:space="0" w:color="auto"/>
            </w:tcBorders>
            <w:shd w:val="clear" w:color="auto" w:fill="auto"/>
            <w:noWrap/>
            <w:vAlign w:val="center"/>
            <w:hideMark/>
          </w:tcPr>
          <w:p w14:paraId="45D6542E"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40%</w:t>
            </w:r>
          </w:p>
        </w:tc>
      </w:tr>
      <w:tr w:rsidR="00D9677C" w:rsidRPr="00035FF3" w14:paraId="53475DDF"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722360CE"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MAH/GC</w:t>
            </w:r>
          </w:p>
        </w:tc>
        <w:tc>
          <w:tcPr>
            <w:tcW w:w="1366" w:type="pct"/>
            <w:tcBorders>
              <w:top w:val="nil"/>
              <w:left w:val="nil"/>
              <w:bottom w:val="single" w:sz="4" w:space="0" w:color="auto"/>
              <w:right w:val="single" w:sz="4" w:space="0" w:color="auto"/>
            </w:tcBorders>
            <w:shd w:val="clear" w:color="auto" w:fill="auto"/>
            <w:noWrap/>
            <w:vAlign w:val="center"/>
            <w:hideMark/>
          </w:tcPr>
          <w:p w14:paraId="5245BAD7"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100 000 000</w:t>
            </w:r>
          </w:p>
        </w:tc>
        <w:tc>
          <w:tcPr>
            <w:tcW w:w="1251" w:type="pct"/>
            <w:tcBorders>
              <w:top w:val="nil"/>
              <w:left w:val="nil"/>
              <w:bottom w:val="single" w:sz="4" w:space="0" w:color="auto"/>
              <w:right w:val="single" w:sz="4" w:space="0" w:color="auto"/>
            </w:tcBorders>
            <w:shd w:val="clear" w:color="auto" w:fill="auto"/>
            <w:noWrap/>
            <w:vAlign w:val="center"/>
            <w:hideMark/>
          </w:tcPr>
          <w:p w14:paraId="07B3A3B9"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58 211 534</w:t>
            </w:r>
          </w:p>
        </w:tc>
        <w:tc>
          <w:tcPr>
            <w:tcW w:w="1137" w:type="pct"/>
            <w:tcBorders>
              <w:top w:val="nil"/>
              <w:left w:val="nil"/>
              <w:bottom w:val="single" w:sz="4" w:space="0" w:color="auto"/>
              <w:right w:val="single" w:sz="4" w:space="0" w:color="auto"/>
            </w:tcBorders>
            <w:shd w:val="clear" w:color="auto" w:fill="auto"/>
            <w:noWrap/>
            <w:vAlign w:val="center"/>
            <w:hideMark/>
          </w:tcPr>
          <w:p w14:paraId="119CA556"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58%</w:t>
            </w:r>
          </w:p>
        </w:tc>
      </w:tr>
      <w:tr w:rsidR="00D9677C" w:rsidRPr="00035FF3" w14:paraId="271392F4"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73E90A7A"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HC3N</w:t>
            </w:r>
          </w:p>
        </w:tc>
        <w:tc>
          <w:tcPr>
            <w:tcW w:w="1366" w:type="pct"/>
            <w:tcBorders>
              <w:top w:val="nil"/>
              <w:left w:val="nil"/>
              <w:bottom w:val="single" w:sz="4" w:space="0" w:color="auto"/>
              <w:right w:val="single" w:sz="4" w:space="0" w:color="auto"/>
            </w:tcBorders>
            <w:shd w:val="clear" w:color="auto" w:fill="auto"/>
            <w:noWrap/>
            <w:vAlign w:val="center"/>
            <w:hideMark/>
          </w:tcPr>
          <w:p w14:paraId="4E43DBB0"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4 940 012 160</w:t>
            </w:r>
          </w:p>
        </w:tc>
        <w:tc>
          <w:tcPr>
            <w:tcW w:w="1251" w:type="pct"/>
            <w:tcBorders>
              <w:top w:val="nil"/>
              <w:left w:val="nil"/>
              <w:bottom w:val="single" w:sz="4" w:space="0" w:color="auto"/>
              <w:right w:val="single" w:sz="4" w:space="0" w:color="auto"/>
            </w:tcBorders>
            <w:shd w:val="clear" w:color="auto" w:fill="auto"/>
            <w:noWrap/>
            <w:vAlign w:val="center"/>
            <w:hideMark/>
          </w:tcPr>
          <w:p w14:paraId="3AD3979B"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1 124 089 929</w:t>
            </w:r>
          </w:p>
        </w:tc>
        <w:tc>
          <w:tcPr>
            <w:tcW w:w="1137" w:type="pct"/>
            <w:tcBorders>
              <w:top w:val="nil"/>
              <w:left w:val="nil"/>
              <w:bottom w:val="single" w:sz="4" w:space="0" w:color="auto"/>
              <w:right w:val="single" w:sz="4" w:space="0" w:color="auto"/>
            </w:tcBorders>
            <w:shd w:val="clear" w:color="auto" w:fill="auto"/>
            <w:noWrap/>
            <w:vAlign w:val="center"/>
            <w:hideMark/>
          </w:tcPr>
          <w:p w14:paraId="626BE1F5"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23%</w:t>
            </w:r>
          </w:p>
        </w:tc>
      </w:tr>
      <w:tr w:rsidR="00D9677C" w:rsidRPr="00035FF3" w14:paraId="44D6168F"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34F973A8" w14:textId="77777777" w:rsidR="00D9677C" w:rsidRPr="00035FF3" w:rsidRDefault="00D9677C" w:rsidP="00F12682">
            <w:pPr>
              <w:spacing w:after="0" w:line="240" w:lineRule="auto"/>
              <w:rPr>
                <w:rFonts w:ascii="Calibri" w:eastAsia="Times New Roman" w:hAnsi="Calibri" w:cs="Calibri"/>
                <w:color w:val="000000"/>
                <w:lang w:eastAsia="fr-FR"/>
              </w:rPr>
            </w:pPr>
            <w:r w:rsidRPr="00035FF3">
              <w:rPr>
                <w:rFonts w:ascii="Calibri" w:eastAsia="Times New Roman" w:hAnsi="Calibri" w:cs="Calibri"/>
                <w:color w:val="000000"/>
                <w:lang w:eastAsia="fr-FR"/>
              </w:rPr>
              <w:t xml:space="preserve">Programme </w:t>
            </w:r>
            <w:proofErr w:type="spellStart"/>
            <w:r w:rsidRPr="00035FF3">
              <w:rPr>
                <w:rFonts w:ascii="Calibri" w:eastAsia="Times New Roman" w:hAnsi="Calibri" w:cs="Calibri"/>
                <w:color w:val="000000"/>
                <w:lang w:eastAsia="fr-FR"/>
              </w:rPr>
              <w:t>Kandadji</w:t>
            </w:r>
            <w:proofErr w:type="spellEnd"/>
          </w:p>
        </w:tc>
        <w:tc>
          <w:tcPr>
            <w:tcW w:w="1366" w:type="pct"/>
            <w:tcBorders>
              <w:top w:val="nil"/>
              <w:left w:val="nil"/>
              <w:bottom w:val="single" w:sz="4" w:space="0" w:color="auto"/>
              <w:right w:val="single" w:sz="4" w:space="0" w:color="auto"/>
            </w:tcBorders>
            <w:shd w:val="clear" w:color="auto" w:fill="auto"/>
            <w:noWrap/>
            <w:vAlign w:val="center"/>
            <w:hideMark/>
          </w:tcPr>
          <w:p w14:paraId="60D6C5C7"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16 363 177 000</w:t>
            </w:r>
          </w:p>
        </w:tc>
        <w:tc>
          <w:tcPr>
            <w:tcW w:w="1251" w:type="pct"/>
            <w:tcBorders>
              <w:top w:val="nil"/>
              <w:left w:val="nil"/>
              <w:bottom w:val="single" w:sz="4" w:space="0" w:color="auto"/>
              <w:right w:val="single" w:sz="4" w:space="0" w:color="auto"/>
            </w:tcBorders>
            <w:shd w:val="clear" w:color="auto" w:fill="auto"/>
            <w:noWrap/>
            <w:vAlign w:val="center"/>
            <w:hideMark/>
          </w:tcPr>
          <w:p w14:paraId="632627C5"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1 110 107 815</w:t>
            </w:r>
          </w:p>
        </w:tc>
        <w:tc>
          <w:tcPr>
            <w:tcW w:w="1137" w:type="pct"/>
            <w:tcBorders>
              <w:top w:val="nil"/>
              <w:left w:val="nil"/>
              <w:bottom w:val="single" w:sz="4" w:space="0" w:color="auto"/>
              <w:right w:val="single" w:sz="4" w:space="0" w:color="auto"/>
            </w:tcBorders>
            <w:shd w:val="clear" w:color="auto" w:fill="auto"/>
            <w:noWrap/>
            <w:vAlign w:val="center"/>
            <w:hideMark/>
          </w:tcPr>
          <w:p w14:paraId="49D0A30E"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7%</w:t>
            </w:r>
          </w:p>
        </w:tc>
      </w:tr>
      <w:tr w:rsidR="00D9677C" w:rsidRPr="00035FF3" w14:paraId="091171DF"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642C4257" w14:textId="77777777" w:rsidR="00D9677C" w:rsidRPr="00035FF3" w:rsidRDefault="00D9677C" w:rsidP="00F12682">
            <w:pPr>
              <w:spacing w:after="0" w:line="240" w:lineRule="auto"/>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Total Initiative 3N</w:t>
            </w:r>
          </w:p>
        </w:tc>
        <w:tc>
          <w:tcPr>
            <w:tcW w:w="1366" w:type="pct"/>
            <w:tcBorders>
              <w:top w:val="nil"/>
              <w:left w:val="nil"/>
              <w:bottom w:val="single" w:sz="4" w:space="0" w:color="auto"/>
              <w:right w:val="single" w:sz="4" w:space="0" w:color="auto"/>
            </w:tcBorders>
            <w:shd w:val="clear" w:color="auto" w:fill="auto"/>
            <w:noWrap/>
            <w:vAlign w:val="center"/>
            <w:hideMark/>
          </w:tcPr>
          <w:p w14:paraId="10F9EE02" w14:textId="77777777" w:rsidR="00D9677C" w:rsidRPr="00035FF3" w:rsidRDefault="00D9677C" w:rsidP="00F12682">
            <w:pPr>
              <w:spacing w:after="0" w:line="240" w:lineRule="auto"/>
              <w:jc w:val="right"/>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163 255 774 243</w:t>
            </w:r>
          </w:p>
        </w:tc>
        <w:tc>
          <w:tcPr>
            <w:tcW w:w="1251" w:type="pct"/>
            <w:tcBorders>
              <w:top w:val="nil"/>
              <w:left w:val="nil"/>
              <w:bottom w:val="single" w:sz="4" w:space="0" w:color="auto"/>
              <w:right w:val="single" w:sz="4" w:space="0" w:color="auto"/>
            </w:tcBorders>
            <w:shd w:val="clear" w:color="auto" w:fill="auto"/>
            <w:noWrap/>
            <w:vAlign w:val="center"/>
            <w:hideMark/>
          </w:tcPr>
          <w:p w14:paraId="4757FF38" w14:textId="77777777" w:rsidR="00D9677C" w:rsidRPr="00035FF3" w:rsidRDefault="00D9677C" w:rsidP="00F12682">
            <w:pPr>
              <w:spacing w:after="0" w:line="240" w:lineRule="auto"/>
              <w:jc w:val="right"/>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61 333 954 935</w:t>
            </w:r>
          </w:p>
        </w:tc>
        <w:tc>
          <w:tcPr>
            <w:tcW w:w="1137" w:type="pct"/>
            <w:tcBorders>
              <w:top w:val="nil"/>
              <w:left w:val="nil"/>
              <w:bottom w:val="single" w:sz="4" w:space="0" w:color="auto"/>
              <w:right w:val="single" w:sz="4" w:space="0" w:color="auto"/>
            </w:tcBorders>
            <w:shd w:val="clear" w:color="auto" w:fill="auto"/>
            <w:noWrap/>
            <w:vAlign w:val="center"/>
            <w:hideMark/>
          </w:tcPr>
          <w:p w14:paraId="15E6DBA4"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38%</w:t>
            </w:r>
          </w:p>
        </w:tc>
      </w:tr>
      <w:tr w:rsidR="00D9677C" w:rsidRPr="00035FF3" w14:paraId="25EAECD1"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7D4A2A83" w14:textId="77777777" w:rsidR="00D9677C" w:rsidRPr="00035FF3" w:rsidRDefault="00D9677C" w:rsidP="00F12682">
            <w:pPr>
              <w:spacing w:after="0" w:line="240" w:lineRule="auto"/>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Total Budget</w:t>
            </w:r>
          </w:p>
        </w:tc>
        <w:tc>
          <w:tcPr>
            <w:tcW w:w="1366" w:type="pct"/>
            <w:tcBorders>
              <w:top w:val="nil"/>
              <w:left w:val="nil"/>
              <w:bottom w:val="single" w:sz="4" w:space="0" w:color="auto"/>
              <w:right w:val="single" w:sz="4" w:space="0" w:color="auto"/>
            </w:tcBorders>
            <w:shd w:val="clear" w:color="auto" w:fill="auto"/>
            <w:noWrap/>
            <w:vAlign w:val="center"/>
            <w:hideMark/>
          </w:tcPr>
          <w:p w14:paraId="214DCDC4" w14:textId="77777777" w:rsidR="00D9677C" w:rsidRPr="00035FF3" w:rsidRDefault="00D9677C" w:rsidP="00F12682">
            <w:pPr>
              <w:spacing w:after="0" w:line="240" w:lineRule="auto"/>
              <w:jc w:val="right"/>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1 810 896 349 428</w:t>
            </w:r>
          </w:p>
        </w:tc>
        <w:tc>
          <w:tcPr>
            <w:tcW w:w="1251" w:type="pct"/>
            <w:tcBorders>
              <w:top w:val="nil"/>
              <w:left w:val="nil"/>
              <w:bottom w:val="single" w:sz="4" w:space="0" w:color="auto"/>
              <w:right w:val="single" w:sz="4" w:space="0" w:color="auto"/>
            </w:tcBorders>
            <w:shd w:val="clear" w:color="auto" w:fill="auto"/>
            <w:noWrap/>
            <w:vAlign w:val="center"/>
            <w:hideMark/>
          </w:tcPr>
          <w:p w14:paraId="43C38A47" w14:textId="77777777" w:rsidR="00D9677C" w:rsidRPr="00035FF3" w:rsidRDefault="00D9677C" w:rsidP="00F12682">
            <w:pPr>
              <w:spacing w:after="0" w:line="240" w:lineRule="auto"/>
              <w:jc w:val="right"/>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1 251 523 790 153</w:t>
            </w:r>
          </w:p>
        </w:tc>
        <w:tc>
          <w:tcPr>
            <w:tcW w:w="1137" w:type="pct"/>
            <w:tcBorders>
              <w:top w:val="nil"/>
              <w:left w:val="nil"/>
              <w:bottom w:val="single" w:sz="4" w:space="0" w:color="auto"/>
              <w:right w:val="single" w:sz="4" w:space="0" w:color="auto"/>
            </w:tcBorders>
            <w:shd w:val="clear" w:color="auto" w:fill="auto"/>
            <w:noWrap/>
            <w:vAlign w:val="center"/>
            <w:hideMark/>
          </w:tcPr>
          <w:p w14:paraId="3F9C94D8" w14:textId="77777777" w:rsidR="00D9677C" w:rsidRPr="00035FF3" w:rsidRDefault="00D9677C" w:rsidP="00F12682">
            <w:pPr>
              <w:spacing w:after="0" w:line="240" w:lineRule="auto"/>
              <w:jc w:val="right"/>
              <w:rPr>
                <w:rFonts w:ascii="Calibri" w:eastAsia="Times New Roman" w:hAnsi="Calibri" w:cs="Calibri"/>
                <w:color w:val="000000"/>
                <w:lang w:eastAsia="fr-FR"/>
              </w:rPr>
            </w:pPr>
            <w:r w:rsidRPr="00035FF3">
              <w:rPr>
                <w:rFonts w:ascii="Calibri" w:eastAsia="Times New Roman" w:hAnsi="Calibri" w:cs="Calibri"/>
                <w:color w:val="000000"/>
                <w:lang w:eastAsia="fr-FR"/>
              </w:rPr>
              <w:t>69%</w:t>
            </w:r>
          </w:p>
        </w:tc>
      </w:tr>
      <w:tr w:rsidR="00D9677C" w:rsidRPr="00035FF3" w14:paraId="334B126B" w14:textId="77777777" w:rsidTr="00D9677C">
        <w:trPr>
          <w:trHeight w:val="300"/>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408BCCA4" w14:textId="77777777" w:rsidR="00D9677C" w:rsidRPr="00035FF3" w:rsidRDefault="00D9677C" w:rsidP="00F12682">
            <w:pPr>
              <w:spacing w:after="0" w:line="240" w:lineRule="auto"/>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Part du Budget Initiative 3N</w:t>
            </w:r>
          </w:p>
        </w:tc>
        <w:tc>
          <w:tcPr>
            <w:tcW w:w="1366" w:type="pct"/>
            <w:tcBorders>
              <w:top w:val="nil"/>
              <w:left w:val="nil"/>
              <w:bottom w:val="single" w:sz="4" w:space="0" w:color="auto"/>
              <w:right w:val="single" w:sz="4" w:space="0" w:color="auto"/>
            </w:tcBorders>
            <w:shd w:val="clear" w:color="auto" w:fill="auto"/>
            <w:noWrap/>
            <w:vAlign w:val="center"/>
            <w:hideMark/>
          </w:tcPr>
          <w:p w14:paraId="4E368AB1" w14:textId="77777777" w:rsidR="00D9677C" w:rsidRPr="00035FF3" w:rsidRDefault="00D9677C" w:rsidP="00F12682">
            <w:pPr>
              <w:spacing w:after="0" w:line="240" w:lineRule="auto"/>
              <w:jc w:val="right"/>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9%</w:t>
            </w:r>
          </w:p>
        </w:tc>
        <w:tc>
          <w:tcPr>
            <w:tcW w:w="1251" w:type="pct"/>
            <w:tcBorders>
              <w:top w:val="nil"/>
              <w:left w:val="nil"/>
              <w:bottom w:val="single" w:sz="4" w:space="0" w:color="auto"/>
              <w:right w:val="single" w:sz="4" w:space="0" w:color="auto"/>
            </w:tcBorders>
            <w:shd w:val="clear" w:color="auto" w:fill="auto"/>
            <w:noWrap/>
            <w:vAlign w:val="center"/>
            <w:hideMark/>
          </w:tcPr>
          <w:p w14:paraId="729C7906" w14:textId="77777777" w:rsidR="00D9677C" w:rsidRPr="00035FF3" w:rsidRDefault="00D9677C" w:rsidP="00F12682">
            <w:pPr>
              <w:spacing w:after="0" w:line="240" w:lineRule="auto"/>
              <w:jc w:val="right"/>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5%</w:t>
            </w:r>
          </w:p>
        </w:tc>
        <w:tc>
          <w:tcPr>
            <w:tcW w:w="1137" w:type="pct"/>
            <w:tcBorders>
              <w:top w:val="nil"/>
              <w:left w:val="nil"/>
              <w:bottom w:val="single" w:sz="4" w:space="0" w:color="auto"/>
              <w:right w:val="single" w:sz="4" w:space="0" w:color="auto"/>
            </w:tcBorders>
            <w:shd w:val="clear" w:color="auto" w:fill="auto"/>
            <w:noWrap/>
            <w:vAlign w:val="center"/>
            <w:hideMark/>
          </w:tcPr>
          <w:p w14:paraId="77DBD622" w14:textId="77777777" w:rsidR="00D9677C" w:rsidRPr="00035FF3" w:rsidRDefault="00D9677C" w:rsidP="00F12682">
            <w:pPr>
              <w:spacing w:after="0" w:line="240" w:lineRule="auto"/>
              <w:jc w:val="right"/>
              <w:rPr>
                <w:rFonts w:ascii="Calibri" w:eastAsia="Times New Roman" w:hAnsi="Calibri" w:cs="Calibri"/>
                <w:b/>
                <w:bCs/>
                <w:color w:val="000000"/>
                <w:lang w:eastAsia="fr-FR"/>
              </w:rPr>
            </w:pPr>
            <w:r w:rsidRPr="00035FF3">
              <w:rPr>
                <w:rFonts w:ascii="Calibri" w:eastAsia="Times New Roman" w:hAnsi="Calibri" w:cs="Calibri"/>
                <w:b/>
                <w:bCs/>
                <w:color w:val="000000"/>
                <w:lang w:eastAsia="fr-FR"/>
              </w:rPr>
              <w:t> </w:t>
            </w:r>
          </w:p>
        </w:tc>
      </w:tr>
    </w:tbl>
    <w:p w14:paraId="569F2C1E" w14:textId="77777777" w:rsidR="00D1167F" w:rsidRPr="00D1167F" w:rsidRDefault="00D1167F" w:rsidP="00F12682"/>
    <w:p w14:paraId="05B41DD0" w14:textId="65CC6909" w:rsidR="00784875" w:rsidRDefault="00AC4433" w:rsidP="00F12682">
      <w:pPr>
        <w:pStyle w:val="Titre3"/>
        <w:numPr>
          <w:ilvl w:val="2"/>
          <w:numId w:val="3"/>
        </w:numPr>
        <w:rPr>
          <w:rFonts w:asciiTheme="minorHAnsi" w:hAnsiTheme="minorHAnsi" w:cstheme="minorHAnsi"/>
        </w:rPr>
      </w:pPr>
      <w:bookmarkStart w:id="110" w:name="_Toc529305028"/>
      <w:r w:rsidRPr="004A5122">
        <w:rPr>
          <w:rFonts w:asciiTheme="minorHAnsi" w:hAnsiTheme="minorHAnsi" w:cstheme="minorHAnsi"/>
        </w:rPr>
        <w:t>Analyse de</w:t>
      </w:r>
      <w:r w:rsidR="00BB2061" w:rsidRPr="004A5122">
        <w:rPr>
          <w:rFonts w:asciiTheme="minorHAnsi" w:hAnsiTheme="minorHAnsi" w:cstheme="minorHAnsi"/>
        </w:rPr>
        <w:t xml:space="preserve">s niveaux </w:t>
      </w:r>
      <w:r w:rsidRPr="004A5122">
        <w:rPr>
          <w:rFonts w:asciiTheme="minorHAnsi" w:hAnsiTheme="minorHAnsi" w:cstheme="minorHAnsi"/>
        </w:rPr>
        <w:t>l’</w:t>
      </w:r>
      <w:r w:rsidR="005750A4" w:rsidRPr="004A5122">
        <w:rPr>
          <w:rFonts w:asciiTheme="minorHAnsi" w:hAnsiTheme="minorHAnsi" w:cstheme="minorHAnsi"/>
        </w:rPr>
        <w:t>exécution</w:t>
      </w:r>
      <w:r w:rsidR="00784875" w:rsidRPr="004A5122">
        <w:rPr>
          <w:rFonts w:asciiTheme="minorHAnsi" w:hAnsiTheme="minorHAnsi" w:cstheme="minorHAnsi"/>
        </w:rPr>
        <w:t xml:space="preserve"> </w:t>
      </w:r>
      <w:r w:rsidR="00BB2061" w:rsidRPr="004A5122">
        <w:rPr>
          <w:rFonts w:asciiTheme="minorHAnsi" w:hAnsiTheme="minorHAnsi" w:cstheme="minorHAnsi"/>
        </w:rPr>
        <w:t>des dépenses par rapport aux prévisions</w:t>
      </w:r>
      <w:bookmarkEnd w:id="110"/>
    </w:p>
    <w:p w14:paraId="5C3E1439" w14:textId="77777777" w:rsidR="004512A3" w:rsidRPr="007D32CA" w:rsidRDefault="004512A3" w:rsidP="00F12682">
      <w:pPr>
        <w:pStyle w:val="Lgende"/>
        <w:jc w:val="both"/>
        <w:rPr>
          <w:sz w:val="24"/>
        </w:rPr>
      </w:pPr>
      <w:r w:rsidRPr="007D32CA">
        <w:rPr>
          <w:sz w:val="24"/>
        </w:rPr>
        <w:t>Le budget du secteur de la SNADAD est globalement exécuté à hauteur de 38% en 2016, soit un montant global dépensé de 61 333 954 935.</w:t>
      </w:r>
    </w:p>
    <w:p w14:paraId="53C2D65D" w14:textId="4CACE668" w:rsidR="00665E42" w:rsidRPr="00DB747C" w:rsidRDefault="00665E42" w:rsidP="00F12682">
      <w:pPr>
        <w:spacing w:after="0" w:line="240" w:lineRule="auto"/>
        <w:jc w:val="both"/>
        <w:rPr>
          <w:rFonts w:ascii="Calibri" w:eastAsiaTheme="majorEastAsia" w:hAnsi="Calibri" w:cs="Calibri"/>
          <w:iCs/>
          <w:sz w:val="24"/>
        </w:rPr>
      </w:pPr>
      <w:r>
        <w:rPr>
          <w:noProof/>
          <w:lang w:eastAsia="fr-FR"/>
        </w:rPr>
        <w:drawing>
          <wp:inline distT="0" distB="0" distL="0" distR="0" wp14:anchorId="12754313" wp14:editId="36D6BD95">
            <wp:extent cx="4762500" cy="1971675"/>
            <wp:effectExtent l="0" t="0" r="0" b="9525"/>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381D39" w14:textId="7BC541DE" w:rsidR="00DB747C" w:rsidRPr="00C21B85" w:rsidRDefault="00DB747C" w:rsidP="00F12682">
      <w:pPr>
        <w:pStyle w:val="Lgende"/>
        <w:rPr>
          <w:rFonts w:eastAsiaTheme="majorEastAsia" w:cs="Calibri"/>
          <w:iCs w:val="0"/>
        </w:rPr>
      </w:pPr>
      <w:bookmarkStart w:id="111" w:name="_Toc529305105"/>
      <w:r>
        <w:t xml:space="preserve">Graphique </w:t>
      </w:r>
      <w:r w:rsidR="0092517C">
        <w:rPr>
          <w:noProof/>
        </w:rPr>
        <w:fldChar w:fldCharType="begin"/>
      </w:r>
      <w:r w:rsidR="0092517C">
        <w:rPr>
          <w:noProof/>
        </w:rPr>
        <w:instrText xml:space="preserve"> SEQ Graphique \* ARABIC </w:instrText>
      </w:r>
      <w:r w:rsidR="0092517C">
        <w:rPr>
          <w:noProof/>
        </w:rPr>
        <w:fldChar w:fldCharType="separate"/>
      </w:r>
      <w:r w:rsidR="001C37F0">
        <w:rPr>
          <w:noProof/>
        </w:rPr>
        <w:t>1</w:t>
      </w:r>
      <w:r w:rsidR="0092517C">
        <w:rPr>
          <w:noProof/>
        </w:rPr>
        <w:fldChar w:fldCharType="end"/>
      </w:r>
      <w:r w:rsidRPr="00C21B85">
        <w:rPr>
          <w:rFonts w:eastAsiaTheme="majorEastAsia" w:cs="Calibri"/>
          <w:iCs w:val="0"/>
        </w:rPr>
        <w:t> : Taux d'exécution du secteur rural</w:t>
      </w:r>
      <w:bookmarkEnd w:id="111"/>
    </w:p>
    <w:p w14:paraId="6FD5F47E" w14:textId="7904F439" w:rsidR="008E47C1" w:rsidRDefault="00784875" w:rsidP="00F12682">
      <w:pPr>
        <w:pStyle w:val="Titre3"/>
        <w:numPr>
          <w:ilvl w:val="2"/>
          <w:numId w:val="3"/>
        </w:numPr>
        <w:rPr>
          <w:rFonts w:asciiTheme="minorHAnsi" w:hAnsiTheme="minorHAnsi" w:cstheme="minorHAnsi"/>
        </w:rPr>
      </w:pPr>
      <w:bookmarkStart w:id="112" w:name="_Toc529305029"/>
      <w:r w:rsidRPr="004A5122">
        <w:rPr>
          <w:rFonts w:asciiTheme="minorHAnsi" w:hAnsiTheme="minorHAnsi" w:cstheme="minorHAnsi"/>
        </w:rPr>
        <w:lastRenderedPageBreak/>
        <w:t>Analyse de la capacité d’absorption des financements</w:t>
      </w:r>
      <w:bookmarkEnd w:id="112"/>
    </w:p>
    <w:p w14:paraId="09F31093" w14:textId="11447FC4" w:rsidR="00B61AC2" w:rsidRDefault="00A41CBC" w:rsidP="00F12682">
      <w:pPr>
        <w:pStyle w:val="Lgende"/>
        <w:jc w:val="both"/>
        <w:rPr>
          <w:sz w:val="24"/>
        </w:rPr>
      </w:pPr>
      <w:r w:rsidRPr="00AD5A25">
        <w:rPr>
          <w:sz w:val="24"/>
        </w:rPr>
        <w:t xml:space="preserve">Le taux d’absorption du secteur </w:t>
      </w:r>
      <w:r w:rsidR="00933B09" w:rsidRPr="00AD5A25">
        <w:rPr>
          <w:sz w:val="24"/>
        </w:rPr>
        <w:t xml:space="preserve">rural est </w:t>
      </w:r>
      <w:r w:rsidRPr="00AD5A25">
        <w:rPr>
          <w:sz w:val="24"/>
        </w:rPr>
        <w:t xml:space="preserve">de 57% en 2016, </w:t>
      </w:r>
      <w:r w:rsidR="00933B09" w:rsidRPr="00AD5A25">
        <w:rPr>
          <w:sz w:val="24"/>
        </w:rPr>
        <w:t xml:space="preserve">principalement dû aux faibles taux </w:t>
      </w:r>
      <w:r w:rsidR="00AD5A25">
        <w:rPr>
          <w:sz w:val="24"/>
        </w:rPr>
        <w:t>d’absorption du MAG et du MEDD.</w:t>
      </w:r>
    </w:p>
    <w:p w14:paraId="1D6A4778" w14:textId="77777777" w:rsidR="00AD5A25" w:rsidRPr="00AD5A25" w:rsidRDefault="00AD5A25" w:rsidP="00F12682"/>
    <w:p w14:paraId="6E718CC1" w14:textId="0FB766E5" w:rsidR="001756DA" w:rsidRPr="00522678" w:rsidRDefault="001756DA" w:rsidP="00F12682">
      <w:pPr>
        <w:pStyle w:val="Lgende"/>
        <w:rPr>
          <w:rFonts w:eastAsiaTheme="majorEastAsia" w:cs="Calibri"/>
          <w:iCs w:val="0"/>
        </w:rPr>
      </w:pPr>
      <w:bookmarkStart w:id="113" w:name="_Toc529305068"/>
      <w:r w:rsidRPr="00C21B85">
        <w:t xml:space="preserve">Tableau </w:t>
      </w:r>
      <w:r w:rsidR="00FA3679">
        <w:rPr>
          <w:noProof/>
        </w:rPr>
        <w:fldChar w:fldCharType="begin"/>
      </w:r>
      <w:r w:rsidR="00FA3679">
        <w:rPr>
          <w:noProof/>
        </w:rPr>
        <w:instrText xml:space="preserve"> SEQ Tableau \* ARABIC </w:instrText>
      </w:r>
      <w:r w:rsidR="00FA3679">
        <w:rPr>
          <w:noProof/>
        </w:rPr>
        <w:fldChar w:fldCharType="separate"/>
      </w:r>
      <w:r w:rsidR="001C37F0">
        <w:rPr>
          <w:noProof/>
        </w:rPr>
        <w:t>14</w:t>
      </w:r>
      <w:r w:rsidR="00FA3679">
        <w:rPr>
          <w:noProof/>
        </w:rPr>
        <w:fldChar w:fldCharType="end"/>
      </w:r>
      <w:r w:rsidRPr="00C21B85">
        <w:rPr>
          <w:rFonts w:eastAsiaTheme="majorEastAsia" w:cs="Calibri"/>
          <w:iCs w:val="0"/>
        </w:rPr>
        <w:t xml:space="preserve"> : </w:t>
      </w:r>
      <w:r w:rsidR="00B61AC2">
        <w:rPr>
          <w:rFonts w:eastAsiaTheme="majorEastAsia" w:cs="Calibri"/>
          <w:iCs w:val="0"/>
        </w:rPr>
        <w:t>Capacité d’absorption du</w:t>
      </w:r>
      <w:r w:rsidRPr="00C21B85">
        <w:rPr>
          <w:rFonts w:eastAsiaTheme="majorEastAsia" w:cs="Calibri"/>
          <w:iCs w:val="0"/>
        </w:rPr>
        <w:t xml:space="preserve"> secteur rural</w:t>
      </w:r>
      <w:bookmarkEnd w:id="113"/>
    </w:p>
    <w:tbl>
      <w:tblPr>
        <w:tblW w:w="5000" w:type="pct"/>
        <w:tblCellMar>
          <w:left w:w="70" w:type="dxa"/>
          <w:right w:w="70" w:type="dxa"/>
        </w:tblCellMar>
        <w:tblLook w:val="04A0" w:firstRow="1" w:lastRow="0" w:firstColumn="1" w:lastColumn="0" w:noHBand="0" w:noVBand="1"/>
      </w:tblPr>
      <w:tblGrid>
        <w:gridCol w:w="2756"/>
        <w:gridCol w:w="2652"/>
        <w:gridCol w:w="2423"/>
        <w:gridCol w:w="1797"/>
      </w:tblGrid>
      <w:tr w:rsidR="00B61AC2" w:rsidRPr="00AD5A25" w14:paraId="37F96487" w14:textId="77777777" w:rsidTr="00B61AC2">
        <w:trPr>
          <w:trHeight w:val="300"/>
        </w:trPr>
        <w:tc>
          <w:tcPr>
            <w:tcW w:w="1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775D1" w14:textId="77777777" w:rsidR="00B61AC2" w:rsidRPr="00AD5A25" w:rsidRDefault="00B61AC2" w:rsidP="00F12682">
            <w:pPr>
              <w:spacing w:after="0" w:line="240" w:lineRule="auto"/>
              <w:jc w:val="center"/>
              <w:rPr>
                <w:rFonts w:ascii="Calibri" w:eastAsia="Times New Roman" w:hAnsi="Calibri" w:cs="Calibri"/>
                <w:b/>
                <w:bCs/>
                <w:color w:val="000000"/>
                <w:lang w:eastAsia="fr-FR"/>
              </w:rPr>
            </w:pPr>
            <w:r w:rsidRPr="00AD5A25">
              <w:rPr>
                <w:rFonts w:ascii="Calibri" w:eastAsia="Times New Roman" w:hAnsi="Calibri" w:cs="Calibri"/>
                <w:b/>
                <w:bCs/>
                <w:color w:val="000000"/>
                <w:lang w:eastAsia="fr-FR"/>
              </w:rPr>
              <w:t>Institution</w:t>
            </w:r>
          </w:p>
        </w:tc>
        <w:tc>
          <w:tcPr>
            <w:tcW w:w="1432" w:type="pct"/>
            <w:tcBorders>
              <w:top w:val="single" w:sz="4" w:space="0" w:color="auto"/>
              <w:left w:val="nil"/>
              <w:bottom w:val="single" w:sz="4" w:space="0" w:color="auto"/>
              <w:right w:val="single" w:sz="4" w:space="0" w:color="auto"/>
            </w:tcBorders>
            <w:shd w:val="clear" w:color="auto" w:fill="auto"/>
            <w:vAlign w:val="center"/>
            <w:hideMark/>
          </w:tcPr>
          <w:p w14:paraId="3C014ED9" w14:textId="77777777" w:rsidR="00B61AC2" w:rsidRPr="00AD5A25" w:rsidRDefault="00B61AC2" w:rsidP="00F12682">
            <w:pPr>
              <w:spacing w:after="0" w:line="240" w:lineRule="auto"/>
              <w:jc w:val="center"/>
              <w:rPr>
                <w:rFonts w:ascii="Calibri" w:eastAsia="Times New Roman" w:hAnsi="Calibri" w:cs="Calibri"/>
                <w:b/>
                <w:bCs/>
                <w:color w:val="000000"/>
                <w:lang w:eastAsia="fr-FR"/>
              </w:rPr>
            </w:pPr>
            <w:r w:rsidRPr="00AD5A25">
              <w:rPr>
                <w:rFonts w:ascii="Calibri" w:eastAsia="Times New Roman" w:hAnsi="Calibri" w:cs="Calibri"/>
                <w:b/>
                <w:bCs/>
                <w:color w:val="000000"/>
                <w:lang w:eastAsia="fr-FR"/>
              </w:rPr>
              <w:t>Crédits libérés</w:t>
            </w:r>
          </w:p>
        </w:tc>
        <w:tc>
          <w:tcPr>
            <w:tcW w:w="1312" w:type="pct"/>
            <w:tcBorders>
              <w:top w:val="single" w:sz="4" w:space="0" w:color="auto"/>
              <w:left w:val="nil"/>
              <w:bottom w:val="single" w:sz="4" w:space="0" w:color="auto"/>
              <w:right w:val="single" w:sz="4" w:space="0" w:color="auto"/>
            </w:tcBorders>
            <w:shd w:val="clear" w:color="auto" w:fill="auto"/>
            <w:noWrap/>
            <w:vAlign w:val="center"/>
            <w:hideMark/>
          </w:tcPr>
          <w:p w14:paraId="193AA384" w14:textId="77777777" w:rsidR="00B61AC2" w:rsidRPr="00AD5A25" w:rsidRDefault="00B61AC2" w:rsidP="00F12682">
            <w:pPr>
              <w:spacing w:after="0" w:line="240" w:lineRule="auto"/>
              <w:jc w:val="center"/>
              <w:rPr>
                <w:rFonts w:ascii="Calibri" w:eastAsia="Times New Roman" w:hAnsi="Calibri" w:cs="Calibri"/>
                <w:b/>
                <w:bCs/>
                <w:color w:val="000000"/>
                <w:lang w:eastAsia="fr-FR"/>
              </w:rPr>
            </w:pPr>
            <w:r w:rsidRPr="00AD5A25">
              <w:rPr>
                <w:rFonts w:ascii="Calibri" w:eastAsia="Times New Roman" w:hAnsi="Calibri" w:cs="Calibri"/>
                <w:b/>
                <w:bCs/>
                <w:color w:val="000000"/>
                <w:lang w:eastAsia="fr-FR"/>
              </w:rPr>
              <w:t>Crédits consommés</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14:paraId="7FA6AAF5" w14:textId="77777777" w:rsidR="00B61AC2" w:rsidRPr="00AD5A25" w:rsidRDefault="00B61AC2" w:rsidP="00F12682">
            <w:pPr>
              <w:spacing w:after="0" w:line="240" w:lineRule="auto"/>
              <w:jc w:val="center"/>
              <w:rPr>
                <w:rFonts w:ascii="Calibri" w:eastAsia="Times New Roman" w:hAnsi="Calibri" w:cs="Calibri"/>
                <w:b/>
                <w:bCs/>
                <w:color w:val="000000"/>
                <w:lang w:eastAsia="fr-FR"/>
              </w:rPr>
            </w:pPr>
            <w:r w:rsidRPr="00AD5A25">
              <w:rPr>
                <w:rFonts w:ascii="Calibri" w:eastAsia="Times New Roman" w:hAnsi="Calibri" w:cs="Calibri"/>
                <w:b/>
                <w:bCs/>
                <w:color w:val="000000"/>
                <w:lang w:eastAsia="fr-FR"/>
              </w:rPr>
              <w:t>Taux d’absorption</w:t>
            </w:r>
          </w:p>
        </w:tc>
      </w:tr>
      <w:tr w:rsidR="00B61AC2" w:rsidRPr="004512A3" w14:paraId="20BE79DF" w14:textId="77777777" w:rsidTr="00B61AC2">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75925BB1"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MAG</w:t>
            </w:r>
          </w:p>
        </w:tc>
        <w:tc>
          <w:tcPr>
            <w:tcW w:w="1432" w:type="pct"/>
            <w:tcBorders>
              <w:top w:val="nil"/>
              <w:left w:val="nil"/>
              <w:bottom w:val="single" w:sz="4" w:space="0" w:color="auto"/>
              <w:right w:val="single" w:sz="4" w:space="0" w:color="auto"/>
            </w:tcBorders>
            <w:shd w:val="clear" w:color="auto" w:fill="auto"/>
            <w:vAlign w:val="center"/>
            <w:hideMark/>
          </w:tcPr>
          <w:p w14:paraId="176CF3B7"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66 161 276 606</w:t>
            </w:r>
          </w:p>
        </w:tc>
        <w:tc>
          <w:tcPr>
            <w:tcW w:w="1312" w:type="pct"/>
            <w:tcBorders>
              <w:top w:val="nil"/>
              <w:left w:val="nil"/>
              <w:bottom w:val="single" w:sz="4" w:space="0" w:color="auto"/>
              <w:right w:val="single" w:sz="4" w:space="0" w:color="auto"/>
            </w:tcBorders>
            <w:shd w:val="clear" w:color="auto" w:fill="auto"/>
            <w:noWrap/>
            <w:vAlign w:val="center"/>
            <w:hideMark/>
          </w:tcPr>
          <w:p w14:paraId="49CE7412"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27 357 525 647</w:t>
            </w:r>
          </w:p>
        </w:tc>
        <w:tc>
          <w:tcPr>
            <w:tcW w:w="949" w:type="pct"/>
            <w:tcBorders>
              <w:top w:val="nil"/>
              <w:left w:val="nil"/>
              <w:bottom w:val="single" w:sz="4" w:space="0" w:color="auto"/>
              <w:right w:val="single" w:sz="4" w:space="0" w:color="auto"/>
            </w:tcBorders>
            <w:shd w:val="clear" w:color="auto" w:fill="auto"/>
            <w:noWrap/>
            <w:vAlign w:val="center"/>
            <w:hideMark/>
          </w:tcPr>
          <w:p w14:paraId="26D3A71B"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41%</w:t>
            </w:r>
          </w:p>
        </w:tc>
      </w:tr>
      <w:tr w:rsidR="00B61AC2" w:rsidRPr="004512A3" w14:paraId="0CDE564B" w14:textId="77777777" w:rsidTr="00B61AC2">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4656294B"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MEL</w:t>
            </w:r>
          </w:p>
        </w:tc>
        <w:tc>
          <w:tcPr>
            <w:tcW w:w="1432" w:type="pct"/>
            <w:tcBorders>
              <w:top w:val="nil"/>
              <w:left w:val="nil"/>
              <w:bottom w:val="single" w:sz="4" w:space="0" w:color="auto"/>
              <w:right w:val="single" w:sz="4" w:space="0" w:color="auto"/>
            </w:tcBorders>
            <w:shd w:val="clear" w:color="auto" w:fill="auto"/>
            <w:vAlign w:val="center"/>
            <w:hideMark/>
          </w:tcPr>
          <w:p w14:paraId="711A8133"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5 088 670 127</w:t>
            </w:r>
          </w:p>
        </w:tc>
        <w:tc>
          <w:tcPr>
            <w:tcW w:w="1312" w:type="pct"/>
            <w:tcBorders>
              <w:top w:val="nil"/>
              <w:left w:val="nil"/>
              <w:bottom w:val="single" w:sz="4" w:space="0" w:color="auto"/>
              <w:right w:val="single" w:sz="4" w:space="0" w:color="auto"/>
            </w:tcBorders>
            <w:shd w:val="clear" w:color="auto" w:fill="auto"/>
            <w:noWrap/>
            <w:vAlign w:val="center"/>
            <w:hideMark/>
          </w:tcPr>
          <w:p w14:paraId="20DB700C"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5 896 374 883</w:t>
            </w:r>
          </w:p>
        </w:tc>
        <w:tc>
          <w:tcPr>
            <w:tcW w:w="949" w:type="pct"/>
            <w:tcBorders>
              <w:top w:val="nil"/>
              <w:left w:val="nil"/>
              <w:bottom w:val="single" w:sz="4" w:space="0" w:color="auto"/>
              <w:right w:val="single" w:sz="4" w:space="0" w:color="auto"/>
            </w:tcBorders>
            <w:shd w:val="clear" w:color="auto" w:fill="auto"/>
            <w:noWrap/>
            <w:vAlign w:val="center"/>
            <w:hideMark/>
          </w:tcPr>
          <w:p w14:paraId="7992B95E"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116%</w:t>
            </w:r>
          </w:p>
        </w:tc>
      </w:tr>
      <w:tr w:rsidR="00B61AC2" w:rsidRPr="00AD5A25" w14:paraId="65BED0EB" w14:textId="77777777" w:rsidTr="00B61AC2">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48A13A8F"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MEDD</w:t>
            </w:r>
          </w:p>
        </w:tc>
        <w:tc>
          <w:tcPr>
            <w:tcW w:w="1432" w:type="pct"/>
            <w:tcBorders>
              <w:top w:val="nil"/>
              <w:left w:val="nil"/>
              <w:bottom w:val="single" w:sz="4" w:space="0" w:color="auto"/>
              <w:right w:val="single" w:sz="4" w:space="0" w:color="auto"/>
            </w:tcBorders>
            <w:shd w:val="clear" w:color="auto" w:fill="auto"/>
            <w:vAlign w:val="center"/>
            <w:hideMark/>
          </w:tcPr>
          <w:p w14:paraId="645D2BDA"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14 609 299 531</w:t>
            </w:r>
          </w:p>
        </w:tc>
        <w:tc>
          <w:tcPr>
            <w:tcW w:w="1312" w:type="pct"/>
            <w:tcBorders>
              <w:top w:val="nil"/>
              <w:left w:val="nil"/>
              <w:bottom w:val="single" w:sz="4" w:space="0" w:color="auto"/>
              <w:right w:val="single" w:sz="4" w:space="0" w:color="auto"/>
            </w:tcBorders>
            <w:shd w:val="clear" w:color="auto" w:fill="auto"/>
            <w:noWrap/>
            <w:vAlign w:val="center"/>
            <w:hideMark/>
          </w:tcPr>
          <w:p w14:paraId="65682D53"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5 767 893 617</w:t>
            </w:r>
          </w:p>
        </w:tc>
        <w:tc>
          <w:tcPr>
            <w:tcW w:w="949" w:type="pct"/>
            <w:tcBorders>
              <w:top w:val="nil"/>
              <w:left w:val="nil"/>
              <w:bottom w:val="single" w:sz="4" w:space="0" w:color="auto"/>
              <w:right w:val="single" w:sz="4" w:space="0" w:color="auto"/>
            </w:tcBorders>
            <w:shd w:val="clear" w:color="auto" w:fill="auto"/>
            <w:noWrap/>
            <w:vAlign w:val="center"/>
            <w:hideMark/>
          </w:tcPr>
          <w:p w14:paraId="5105C762"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39%</w:t>
            </w:r>
          </w:p>
        </w:tc>
      </w:tr>
      <w:tr w:rsidR="00B61AC2" w:rsidRPr="00AD5A25" w14:paraId="1FC5BA71" w14:textId="77777777" w:rsidTr="00B61AC2">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6461AACD"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MHA (Hydraulique pastorale)</w:t>
            </w:r>
          </w:p>
        </w:tc>
        <w:tc>
          <w:tcPr>
            <w:tcW w:w="1432" w:type="pct"/>
            <w:tcBorders>
              <w:top w:val="nil"/>
              <w:left w:val="nil"/>
              <w:bottom w:val="single" w:sz="4" w:space="0" w:color="auto"/>
              <w:right w:val="single" w:sz="4" w:space="0" w:color="auto"/>
            </w:tcBorders>
            <w:shd w:val="clear" w:color="auto" w:fill="auto"/>
            <w:vAlign w:val="center"/>
            <w:hideMark/>
          </w:tcPr>
          <w:p w14:paraId="32FFF047"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2 330 752 264</w:t>
            </w:r>
          </w:p>
        </w:tc>
        <w:tc>
          <w:tcPr>
            <w:tcW w:w="1312" w:type="pct"/>
            <w:tcBorders>
              <w:top w:val="nil"/>
              <w:left w:val="nil"/>
              <w:bottom w:val="single" w:sz="4" w:space="0" w:color="auto"/>
              <w:right w:val="single" w:sz="4" w:space="0" w:color="auto"/>
            </w:tcBorders>
            <w:shd w:val="clear" w:color="auto" w:fill="auto"/>
            <w:noWrap/>
            <w:vAlign w:val="center"/>
            <w:hideMark/>
          </w:tcPr>
          <w:p w14:paraId="1FB1AB9C"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2 330 752 264</w:t>
            </w:r>
          </w:p>
        </w:tc>
        <w:tc>
          <w:tcPr>
            <w:tcW w:w="949" w:type="pct"/>
            <w:tcBorders>
              <w:top w:val="nil"/>
              <w:left w:val="nil"/>
              <w:bottom w:val="single" w:sz="4" w:space="0" w:color="auto"/>
              <w:right w:val="single" w:sz="4" w:space="0" w:color="auto"/>
            </w:tcBorders>
            <w:shd w:val="clear" w:color="auto" w:fill="auto"/>
            <w:noWrap/>
            <w:vAlign w:val="center"/>
            <w:hideMark/>
          </w:tcPr>
          <w:p w14:paraId="79F75005"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100%</w:t>
            </w:r>
          </w:p>
        </w:tc>
      </w:tr>
      <w:tr w:rsidR="00B61AC2" w:rsidRPr="00AD5A25" w14:paraId="668FADDA" w14:textId="77777777" w:rsidTr="00B61AC2">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7F8E46CE"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Commerce</w:t>
            </w:r>
          </w:p>
        </w:tc>
        <w:tc>
          <w:tcPr>
            <w:tcW w:w="1432" w:type="pct"/>
            <w:tcBorders>
              <w:top w:val="nil"/>
              <w:left w:val="nil"/>
              <w:bottom w:val="single" w:sz="4" w:space="0" w:color="auto"/>
              <w:right w:val="single" w:sz="4" w:space="0" w:color="auto"/>
            </w:tcBorders>
            <w:shd w:val="clear" w:color="auto" w:fill="auto"/>
            <w:vAlign w:val="center"/>
            <w:hideMark/>
          </w:tcPr>
          <w:p w14:paraId="68196357"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8 602 278 819</w:t>
            </w:r>
          </w:p>
        </w:tc>
        <w:tc>
          <w:tcPr>
            <w:tcW w:w="1312" w:type="pct"/>
            <w:tcBorders>
              <w:top w:val="nil"/>
              <w:left w:val="nil"/>
              <w:bottom w:val="single" w:sz="4" w:space="0" w:color="auto"/>
              <w:right w:val="single" w:sz="4" w:space="0" w:color="auto"/>
            </w:tcBorders>
            <w:shd w:val="clear" w:color="auto" w:fill="auto"/>
            <w:noWrap/>
            <w:vAlign w:val="center"/>
            <w:hideMark/>
          </w:tcPr>
          <w:p w14:paraId="3104EB74"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8 292 257 779</w:t>
            </w:r>
          </w:p>
        </w:tc>
        <w:tc>
          <w:tcPr>
            <w:tcW w:w="949" w:type="pct"/>
            <w:tcBorders>
              <w:top w:val="nil"/>
              <w:left w:val="nil"/>
              <w:bottom w:val="single" w:sz="4" w:space="0" w:color="auto"/>
              <w:right w:val="single" w:sz="4" w:space="0" w:color="auto"/>
            </w:tcBorders>
            <w:shd w:val="clear" w:color="auto" w:fill="auto"/>
            <w:noWrap/>
            <w:vAlign w:val="center"/>
            <w:hideMark/>
          </w:tcPr>
          <w:p w14:paraId="65681F8F"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96%</w:t>
            </w:r>
          </w:p>
        </w:tc>
      </w:tr>
      <w:tr w:rsidR="00B61AC2" w:rsidRPr="00AD5A25" w14:paraId="073305FE" w14:textId="77777777" w:rsidTr="00B61AC2">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310D7C88"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Nutrition</w:t>
            </w:r>
          </w:p>
        </w:tc>
        <w:tc>
          <w:tcPr>
            <w:tcW w:w="1432" w:type="pct"/>
            <w:tcBorders>
              <w:top w:val="nil"/>
              <w:left w:val="nil"/>
              <w:bottom w:val="single" w:sz="4" w:space="0" w:color="auto"/>
              <w:right w:val="single" w:sz="4" w:space="0" w:color="auto"/>
            </w:tcBorders>
            <w:shd w:val="clear" w:color="auto" w:fill="auto"/>
            <w:vAlign w:val="center"/>
            <w:hideMark/>
          </w:tcPr>
          <w:p w14:paraId="5F696070"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1 423 073 361</w:t>
            </w:r>
          </w:p>
        </w:tc>
        <w:tc>
          <w:tcPr>
            <w:tcW w:w="1312" w:type="pct"/>
            <w:tcBorders>
              <w:top w:val="nil"/>
              <w:left w:val="nil"/>
              <w:bottom w:val="single" w:sz="4" w:space="0" w:color="auto"/>
              <w:right w:val="single" w:sz="4" w:space="0" w:color="auto"/>
            </w:tcBorders>
            <w:shd w:val="clear" w:color="auto" w:fill="auto"/>
            <w:noWrap/>
            <w:vAlign w:val="center"/>
            <w:hideMark/>
          </w:tcPr>
          <w:p w14:paraId="68A59C4D"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1 280 766 025</w:t>
            </w:r>
          </w:p>
        </w:tc>
        <w:tc>
          <w:tcPr>
            <w:tcW w:w="949" w:type="pct"/>
            <w:tcBorders>
              <w:top w:val="nil"/>
              <w:left w:val="nil"/>
              <w:bottom w:val="single" w:sz="4" w:space="0" w:color="auto"/>
              <w:right w:val="single" w:sz="4" w:space="0" w:color="auto"/>
            </w:tcBorders>
            <w:shd w:val="clear" w:color="auto" w:fill="auto"/>
            <w:noWrap/>
            <w:vAlign w:val="center"/>
            <w:hideMark/>
          </w:tcPr>
          <w:p w14:paraId="657CFE42"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90%</w:t>
            </w:r>
          </w:p>
        </w:tc>
      </w:tr>
      <w:tr w:rsidR="00B61AC2" w:rsidRPr="00AD5A25" w14:paraId="11939353" w14:textId="77777777" w:rsidTr="00B61AC2">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4B7996D9"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DNPGCA</w:t>
            </w:r>
          </w:p>
        </w:tc>
        <w:tc>
          <w:tcPr>
            <w:tcW w:w="1432" w:type="pct"/>
            <w:tcBorders>
              <w:top w:val="nil"/>
              <w:left w:val="nil"/>
              <w:bottom w:val="single" w:sz="4" w:space="0" w:color="auto"/>
              <w:right w:val="single" w:sz="4" w:space="0" w:color="auto"/>
            </w:tcBorders>
            <w:shd w:val="clear" w:color="auto" w:fill="auto"/>
            <w:vAlign w:val="center"/>
            <w:hideMark/>
          </w:tcPr>
          <w:p w14:paraId="260FAC90"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8 543 132 044</w:t>
            </w:r>
          </w:p>
        </w:tc>
        <w:tc>
          <w:tcPr>
            <w:tcW w:w="1312" w:type="pct"/>
            <w:tcBorders>
              <w:top w:val="nil"/>
              <w:left w:val="nil"/>
              <w:bottom w:val="single" w:sz="4" w:space="0" w:color="auto"/>
              <w:right w:val="single" w:sz="4" w:space="0" w:color="auto"/>
            </w:tcBorders>
            <w:shd w:val="clear" w:color="auto" w:fill="auto"/>
            <w:noWrap/>
            <w:vAlign w:val="center"/>
            <w:hideMark/>
          </w:tcPr>
          <w:p w14:paraId="425BE907"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8 115 975 442</w:t>
            </w:r>
          </w:p>
        </w:tc>
        <w:tc>
          <w:tcPr>
            <w:tcW w:w="949" w:type="pct"/>
            <w:tcBorders>
              <w:top w:val="nil"/>
              <w:left w:val="nil"/>
              <w:bottom w:val="single" w:sz="4" w:space="0" w:color="auto"/>
              <w:right w:val="single" w:sz="4" w:space="0" w:color="auto"/>
            </w:tcBorders>
            <w:shd w:val="clear" w:color="auto" w:fill="auto"/>
            <w:noWrap/>
            <w:vAlign w:val="center"/>
            <w:hideMark/>
          </w:tcPr>
          <w:p w14:paraId="4BD6FC22"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95%</w:t>
            </w:r>
          </w:p>
        </w:tc>
      </w:tr>
      <w:tr w:rsidR="00B61AC2" w:rsidRPr="00AD5A25" w14:paraId="6FBF22BD" w14:textId="77777777" w:rsidTr="00B61AC2">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65878B00"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MAH/GC</w:t>
            </w:r>
          </w:p>
        </w:tc>
        <w:tc>
          <w:tcPr>
            <w:tcW w:w="1432" w:type="pct"/>
            <w:tcBorders>
              <w:top w:val="nil"/>
              <w:left w:val="nil"/>
              <w:bottom w:val="single" w:sz="4" w:space="0" w:color="auto"/>
              <w:right w:val="single" w:sz="4" w:space="0" w:color="auto"/>
            </w:tcBorders>
            <w:shd w:val="clear" w:color="auto" w:fill="auto"/>
            <w:vAlign w:val="center"/>
            <w:hideMark/>
          </w:tcPr>
          <w:p w14:paraId="591853BC"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60 000 000</w:t>
            </w:r>
          </w:p>
        </w:tc>
        <w:tc>
          <w:tcPr>
            <w:tcW w:w="1312" w:type="pct"/>
            <w:tcBorders>
              <w:top w:val="nil"/>
              <w:left w:val="nil"/>
              <w:bottom w:val="single" w:sz="4" w:space="0" w:color="auto"/>
              <w:right w:val="single" w:sz="4" w:space="0" w:color="auto"/>
            </w:tcBorders>
            <w:shd w:val="clear" w:color="auto" w:fill="auto"/>
            <w:noWrap/>
            <w:vAlign w:val="center"/>
            <w:hideMark/>
          </w:tcPr>
          <w:p w14:paraId="155149C3"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58 211 534</w:t>
            </w:r>
          </w:p>
        </w:tc>
        <w:tc>
          <w:tcPr>
            <w:tcW w:w="949" w:type="pct"/>
            <w:tcBorders>
              <w:top w:val="nil"/>
              <w:left w:val="nil"/>
              <w:bottom w:val="single" w:sz="4" w:space="0" w:color="auto"/>
              <w:right w:val="single" w:sz="4" w:space="0" w:color="auto"/>
            </w:tcBorders>
            <w:shd w:val="clear" w:color="auto" w:fill="auto"/>
            <w:noWrap/>
            <w:vAlign w:val="center"/>
            <w:hideMark/>
          </w:tcPr>
          <w:p w14:paraId="6A12D696"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97%</w:t>
            </w:r>
          </w:p>
        </w:tc>
      </w:tr>
      <w:tr w:rsidR="00B61AC2" w:rsidRPr="00AD5A25" w14:paraId="41941A72" w14:textId="77777777" w:rsidTr="00FB7BFC">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12A49C3B"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HC3N</w:t>
            </w:r>
          </w:p>
        </w:tc>
        <w:tc>
          <w:tcPr>
            <w:tcW w:w="1432" w:type="pct"/>
            <w:tcBorders>
              <w:top w:val="nil"/>
              <w:left w:val="nil"/>
              <w:bottom w:val="single" w:sz="4" w:space="0" w:color="auto"/>
              <w:right w:val="single" w:sz="4" w:space="0" w:color="auto"/>
            </w:tcBorders>
            <w:shd w:val="clear" w:color="auto" w:fill="auto"/>
            <w:vAlign w:val="center"/>
          </w:tcPr>
          <w:p w14:paraId="35957B8A" w14:textId="593711FF" w:rsidR="00B61AC2" w:rsidRPr="00AD5A25" w:rsidRDefault="00B61AC2" w:rsidP="00F12682">
            <w:pPr>
              <w:spacing w:after="0" w:line="240" w:lineRule="auto"/>
              <w:jc w:val="right"/>
              <w:rPr>
                <w:rFonts w:ascii="Calibri" w:eastAsia="Times New Roman" w:hAnsi="Calibri" w:cs="Calibri"/>
                <w:color w:val="000000"/>
                <w:lang w:eastAsia="fr-FR"/>
              </w:rPr>
            </w:pPr>
          </w:p>
        </w:tc>
        <w:tc>
          <w:tcPr>
            <w:tcW w:w="1312" w:type="pct"/>
            <w:tcBorders>
              <w:top w:val="nil"/>
              <w:left w:val="nil"/>
              <w:bottom w:val="single" w:sz="4" w:space="0" w:color="auto"/>
              <w:right w:val="single" w:sz="4" w:space="0" w:color="auto"/>
            </w:tcBorders>
            <w:shd w:val="clear" w:color="auto" w:fill="auto"/>
            <w:noWrap/>
            <w:vAlign w:val="center"/>
            <w:hideMark/>
          </w:tcPr>
          <w:p w14:paraId="42B120CB"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1 124 089 929</w:t>
            </w:r>
          </w:p>
        </w:tc>
        <w:tc>
          <w:tcPr>
            <w:tcW w:w="949" w:type="pct"/>
            <w:tcBorders>
              <w:top w:val="nil"/>
              <w:left w:val="nil"/>
              <w:bottom w:val="single" w:sz="4" w:space="0" w:color="auto"/>
              <w:right w:val="single" w:sz="4" w:space="0" w:color="auto"/>
            </w:tcBorders>
            <w:shd w:val="clear" w:color="auto" w:fill="auto"/>
            <w:noWrap/>
            <w:vAlign w:val="center"/>
          </w:tcPr>
          <w:p w14:paraId="67EB1BBD" w14:textId="51B506D3" w:rsidR="00B61AC2" w:rsidRPr="00AD5A25" w:rsidRDefault="00B61AC2" w:rsidP="00F12682">
            <w:pPr>
              <w:spacing w:after="0" w:line="240" w:lineRule="auto"/>
              <w:jc w:val="right"/>
              <w:rPr>
                <w:rFonts w:ascii="Calibri" w:eastAsia="Times New Roman" w:hAnsi="Calibri" w:cs="Calibri"/>
                <w:color w:val="000000"/>
                <w:lang w:eastAsia="fr-FR"/>
              </w:rPr>
            </w:pPr>
          </w:p>
        </w:tc>
      </w:tr>
      <w:tr w:rsidR="00B61AC2" w:rsidRPr="00AD5A25" w14:paraId="3DFA484C" w14:textId="77777777" w:rsidTr="00FB7BFC">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69C759C2" w14:textId="77777777" w:rsidR="00B61AC2" w:rsidRPr="00AD5A25" w:rsidRDefault="00B61AC2" w:rsidP="00F12682">
            <w:pPr>
              <w:spacing w:after="0" w:line="240" w:lineRule="auto"/>
              <w:rPr>
                <w:rFonts w:ascii="Calibri" w:eastAsia="Times New Roman" w:hAnsi="Calibri" w:cs="Calibri"/>
                <w:color w:val="000000"/>
                <w:lang w:eastAsia="fr-FR"/>
              </w:rPr>
            </w:pPr>
            <w:r w:rsidRPr="00AD5A25">
              <w:rPr>
                <w:rFonts w:ascii="Calibri" w:eastAsia="Times New Roman" w:hAnsi="Calibri" w:cs="Calibri"/>
                <w:color w:val="000000"/>
                <w:lang w:eastAsia="fr-FR"/>
              </w:rPr>
              <w:t xml:space="preserve">Programme </w:t>
            </w:r>
            <w:proofErr w:type="spellStart"/>
            <w:r w:rsidRPr="00AD5A25">
              <w:rPr>
                <w:rFonts w:ascii="Calibri" w:eastAsia="Times New Roman" w:hAnsi="Calibri" w:cs="Calibri"/>
                <w:color w:val="000000"/>
                <w:lang w:eastAsia="fr-FR"/>
              </w:rPr>
              <w:t>Kandadji</w:t>
            </w:r>
            <w:proofErr w:type="spellEnd"/>
          </w:p>
        </w:tc>
        <w:tc>
          <w:tcPr>
            <w:tcW w:w="1432" w:type="pct"/>
            <w:tcBorders>
              <w:top w:val="nil"/>
              <w:left w:val="nil"/>
              <w:bottom w:val="single" w:sz="4" w:space="0" w:color="auto"/>
              <w:right w:val="single" w:sz="4" w:space="0" w:color="auto"/>
            </w:tcBorders>
            <w:shd w:val="clear" w:color="auto" w:fill="auto"/>
            <w:vAlign w:val="center"/>
          </w:tcPr>
          <w:p w14:paraId="572A88D7" w14:textId="30BA59CD" w:rsidR="00B61AC2" w:rsidRPr="00AD5A25" w:rsidRDefault="00B61AC2" w:rsidP="00F12682">
            <w:pPr>
              <w:spacing w:after="0" w:line="240" w:lineRule="auto"/>
              <w:jc w:val="right"/>
              <w:rPr>
                <w:rFonts w:ascii="Calibri" w:eastAsia="Times New Roman" w:hAnsi="Calibri" w:cs="Calibri"/>
                <w:color w:val="000000"/>
                <w:lang w:eastAsia="fr-FR"/>
              </w:rPr>
            </w:pPr>
          </w:p>
        </w:tc>
        <w:tc>
          <w:tcPr>
            <w:tcW w:w="1312" w:type="pct"/>
            <w:tcBorders>
              <w:top w:val="nil"/>
              <w:left w:val="nil"/>
              <w:bottom w:val="single" w:sz="4" w:space="0" w:color="auto"/>
              <w:right w:val="single" w:sz="4" w:space="0" w:color="auto"/>
            </w:tcBorders>
            <w:shd w:val="clear" w:color="auto" w:fill="auto"/>
            <w:noWrap/>
            <w:vAlign w:val="center"/>
            <w:hideMark/>
          </w:tcPr>
          <w:p w14:paraId="15D09599" w14:textId="77777777" w:rsidR="00B61AC2" w:rsidRPr="00AD5A25" w:rsidRDefault="00B61AC2" w:rsidP="00F12682">
            <w:pPr>
              <w:spacing w:after="0" w:line="240" w:lineRule="auto"/>
              <w:jc w:val="right"/>
              <w:rPr>
                <w:rFonts w:ascii="Calibri" w:eastAsia="Times New Roman" w:hAnsi="Calibri" w:cs="Calibri"/>
                <w:color w:val="000000"/>
                <w:lang w:eastAsia="fr-FR"/>
              </w:rPr>
            </w:pPr>
            <w:r w:rsidRPr="00AD5A25">
              <w:rPr>
                <w:rFonts w:ascii="Calibri" w:eastAsia="Times New Roman" w:hAnsi="Calibri" w:cs="Calibri"/>
                <w:color w:val="000000"/>
                <w:lang w:eastAsia="fr-FR"/>
              </w:rPr>
              <w:t>1 110 107 815</w:t>
            </w:r>
          </w:p>
        </w:tc>
        <w:tc>
          <w:tcPr>
            <w:tcW w:w="949" w:type="pct"/>
            <w:tcBorders>
              <w:top w:val="nil"/>
              <w:left w:val="nil"/>
              <w:bottom w:val="single" w:sz="4" w:space="0" w:color="auto"/>
              <w:right w:val="single" w:sz="4" w:space="0" w:color="auto"/>
            </w:tcBorders>
            <w:shd w:val="clear" w:color="auto" w:fill="auto"/>
            <w:noWrap/>
            <w:vAlign w:val="center"/>
          </w:tcPr>
          <w:p w14:paraId="0998978A" w14:textId="28D39CE7" w:rsidR="00B61AC2" w:rsidRPr="00AD5A25" w:rsidRDefault="00B61AC2" w:rsidP="00F12682">
            <w:pPr>
              <w:spacing w:after="0" w:line="240" w:lineRule="auto"/>
              <w:jc w:val="right"/>
              <w:rPr>
                <w:rFonts w:ascii="Calibri" w:eastAsia="Times New Roman" w:hAnsi="Calibri" w:cs="Calibri"/>
                <w:color w:val="000000"/>
                <w:lang w:eastAsia="fr-FR"/>
              </w:rPr>
            </w:pPr>
          </w:p>
        </w:tc>
      </w:tr>
      <w:tr w:rsidR="00B61AC2" w:rsidRPr="00AD5A25" w14:paraId="2FBE6A06" w14:textId="77777777" w:rsidTr="00B61AC2">
        <w:trPr>
          <w:trHeight w:val="30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14:paraId="45B46A2B" w14:textId="77777777" w:rsidR="00B61AC2" w:rsidRPr="00AD5A25" w:rsidRDefault="00B61AC2" w:rsidP="00F12682">
            <w:pPr>
              <w:spacing w:after="0" w:line="240" w:lineRule="auto"/>
              <w:rPr>
                <w:rFonts w:ascii="Calibri" w:eastAsia="Times New Roman" w:hAnsi="Calibri" w:cs="Calibri"/>
                <w:b/>
                <w:bCs/>
                <w:color w:val="000000"/>
                <w:lang w:eastAsia="fr-FR"/>
              </w:rPr>
            </w:pPr>
            <w:r w:rsidRPr="00AD5A25">
              <w:rPr>
                <w:rFonts w:ascii="Calibri" w:eastAsia="Times New Roman" w:hAnsi="Calibri" w:cs="Calibri"/>
                <w:b/>
                <w:bCs/>
                <w:color w:val="000000"/>
                <w:lang w:eastAsia="fr-FR"/>
              </w:rPr>
              <w:t>Total Initiative 3N</w:t>
            </w:r>
          </w:p>
        </w:tc>
        <w:tc>
          <w:tcPr>
            <w:tcW w:w="1432" w:type="pct"/>
            <w:tcBorders>
              <w:top w:val="nil"/>
              <w:left w:val="nil"/>
              <w:bottom w:val="single" w:sz="4" w:space="0" w:color="auto"/>
              <w:right w:val="single" w:sz="4" w:space="0" w:color="auto"/>
            </w:tcBorders>
            <w:shd w:val="clear" w:color="auto" w:fill="auto"/>
            <w:noWrap/>
            <w:vAlign w:val="center"/>
            <w:hideMark/>
          </w:tcPr>
          <w:p w14:paraId="527F2A47" w14:textId="77777777" w:rsidR="00B61AC2" w:rsidRPr="00AD5A25" w:rsidRDefault="00B61AC2" w:rsidP="00F12682">
            <w:pPr>
              <w:spacing w:after="0" w:line="240" w:lineRule="auto"/>
              <w:jc w:val="right"/>
              <w:rPr>
                <w:rFonts w:ascii="Calibri" w:eastAsia="Times New Roman" w:hAnsi="Calibri" w:cs="Calibri"/>
                <w:b/>
                <w:bCs/>
                <w:color w:val="000000"/>
                <w:lang w:eastAsia="fr-FR"/>
              </w:rPr>
            </w:pPr>
            <w:r w:rsidRPr="00AD5A25">
              <w:rPr>
                <w:rFonts w:ascii="Calibri" w:eastAsia="Times New Roman" w:hAnsi="Calibri" w:cs="Calibri"/>
                <w:b/>
                <w:bCs/>
                <w:color w:val="000000"/>
                <w:lang w:eastAsia="fr-FR"/>
              </w:rPr>
              <w:t>106 818 482 752</w:t>
            </w:r>
          </w:p>
        </w:tc>
        <w:tc>
          <w:tcPr>
            <w:tcW w:w="1312" w:type="pct"/>
            <w:tcBorders>
              <w:top w:val="nil"/>
              <w:left w:val="nil"/>
              <w:bottom w:val="single" w:sz="4" w:space="0" w:color="auto"/>
              <w:right w:val="single" w:sz="4" w:space="0" w:color="auto"/>
            </w:tcBorders>
            <w:shd w:val="clear" w:color="auto" w:fill="auto"/>
            <w:noWrap/>
            <w:vAlign w:val="center"/>
            <w:hideMark/>
          </w:tcPr>
          <w:p w14:paraId="7385CB9E" w14:textId="77777777" w:rsidR="00B61AC2" w:rsidRPr="00AD5A25" w:rsidRDefault="00B61AC2" w:rsidP="00F12682">
            <w:pPr>
              <w:spacing w:after="0" w:line="240" w:lineRule="auto"/>
              <w:jc w:val="right"/>
              <w:rPr>
                <w:rFonts w:ascii="Calibri" w:eastAsia="Times New Roman" w:hAnsi="Calibri" w:cs="Calibri"/>
                <w:b/>
                <w:bCs/>
                <w:color w:val="000000"/>
                <w:lang w:eastAsia="fr-FR"/>
              </w:rPr>
            </w:pPr>
            <w:r w:rsidRPr="00AD5A25">
              <w:rPr>
                <w:rFonts w:ascii="Calibri" w:eastAsia="Times New Roman" w:hAnsi="Calibri" w:cs="Calibri"/>
                <w:b/>
                <w:bCs/>
                <w:color w:val="000000"/>
                <w:lang w:eastAsia="fr-FR"/>
              </w:rPr>
              <w:t>61 333 954 935</w:t>
            </w:r>
          </w:p>
        </w:tc>
        <w:tc>
          <w:tcPr>
            <w:tcW w:w="949" w:type="pct"/>
            <w:tcBorders>
              <w:top w:val="nil"/>
              <w:left w:val="nil"/>
              <w:bottom w:val="single" w:sz="4" w:space="0" w:color="auto"/>
              <w:right w:val="single" w:sz="4" w:space="0" w:color="auto"/>
            </w:tcBorders>
            <w:shd w:val="clear" w:color="auto" w:fill="auto"/>
            <w:noWrap/>
            <w:vAlign w:val="center"/>
            <w:hideMark/>
          </w:tcPr>
          <w:p w14:paraId="5832CBB9" w14:textId="77777777" w:rsidR="00B61AC2" w:rsidRPr="00AD5A25" w:rsidRDefault="00B61AC2" w:rsidP="00F12682">
            <w:pPr>
              <w:spacing w:after="0" w:line="240" w:lineRule="auto"/>
              <w:jc w:val="right"/>
              <w:rPr>
                <w:rFonts w:ascii="Calibri" w:eastAsia="Times New Roman" w:hAnsi="Calibri" w:cs="Calibri"/>
                <w:b/>
                <w:color w:val="000000"/>
                <w:lang w:eastAsia="fr-FR"/>
              </w:rPr>
            </w:pPr>
            <w:r w:rsidRPr="00AD5A25">
              <w:rPr>
                <w:rFonts w:ascii="Calibri" w:eastAsia="Times New Roman" w:hAnsi="Calibri" w:cs="Calibri"/>
                <w:b/>
                <w:color w:val="000000"/>
                <w:lang w:eastAsia="fr-FR"/>
              </w:rPr>
              <w:t>57%</w:t>
            </w:r>
          </w:p>
        </w:tc>
      </w:tr>
    </w:tbl>
    <w:p w14:paraId="31DD81F4" w14:textId="77777777" w:rsidR="00CC49BC" w:rsidRDefault="00CC49BC" w:rsidP="00F12682">
      <w:pPr>
        <w:spacing w:after="0" w:line="276" w:lineRule="auto"/>
        <w:jc w:val="both"/>
        <w:rPr>
          <w:rFonts w:ascii="Calibri" w:eastAsiaTheme="majorEastAsia" w:hAnsi="Calibri" w:cs="Calibri"/>
          <w:iCs/>
          <w:sz w:val="24"/>
        </w:rPr>
      </w:pPr>
    </w:p>
    <w:p w14:paraId="074842DC" w14:textId="77777777" w:rsidR="00AD5A25" w:rsidRPr="00CC49BC" w:rsidRDefault="00AD5A25" w:rsidP="00F12682">
      <w:pPr>
        <w:spacing w:after="0" w:line="276" w:lineRule="auto"/>
        <w:jc w:val="both"/>
        <w:rPr>
          <w:rFonts w:ascii="Calibri" w:eastAsiaTheme="majorEastAsia" w:hAnsi="Calibri" w:cs="Calibri"/>
          <w:iCs/>
          <w:sz w:val="24"/>
        </w:rPr>
      </w:pPr>
    </w:p>
    <w:p w14:paraId="6AC666F9" w14:textId="233398A0" w:rsidR="00F73C71" w:rsidRDefault="00F73C71" w:rsidP="00F12682">
      <w:pPr>
        <w:pStyle w:val="Titre2"/>
        <w:numPr>
          <w:ilvl w:val="1"/>
          <w:numId w:val="3"/>
        </w:numPr>
        <w:rPr>
          <w:rFonts w:asciiTheme="minorHAnsi" w:hAnsiTheme="minorHAnsi" w:cstheme="minorHAnsi"/>
        </w:rPr>
      </w:pPr>
      <w:bookmarkStart w:id="114" w:name="_Toc529305030"/>
      <w:r w:rsidRPr="004A5122">
        <w:rPr>
          <w:rFonts w:asciiTheme="minorHAnsi" w:hAnsiTheme="minorHAnsi" w:cstheme="minorHAnsi"/>
        </w:rPr>
        <w:t>Analyse des spécificités de chaque acteur institutionnel</w:t>
      </w:r>
      <w:bookmarkEnd w:id="114"/>
    </w:p>
    <w:p w14:paraId="6424949A" w14:textId="55FFDACD" w:rsidR="00F73C71" w:rsidRDefault="00CC49BC" w:rsidP="00F12682">
      <w:pPr>
        <w:pStyle w:val="Titre3"/>
        <w:numPr>
          <w:ilvl w:val="2"/>
          <w:numId w:val="3"/>
        </w:numPr>
        <w:rPr>
          <w:rFonts w:asciiTheme="minorHAnsi" w:hAnsiTheme="minorHAnsi" w:cstheme="minorHAnsi"/>
        </w:rPr>
      </w:pPr>
      <w:bookmarkStart w:id="115" w:name="_Toc520652808"/>
      <w:bookmarkStart w:id="116" w:name="_Toc520736969"/>
      <w:bookmarkStart w:id="117" w:name="_Toc523405246"/>
      <w:bookmarkStart w:id="118" w:name="_Toc523405338"/>
      <w:bookmarkStart w:id="119" w:name="_Toc523577373"/>
      <w:bookmarkStart w:id="120" w:name="_Toc529305031"/>
      <w:bookmarkEnd w:id="115"/>
      <w:bookmarkEnd w:id="116"/>
      <w:bookmarkEnd w:id="117"/>
      <w:bookmarkEnd w:id="118"/>
      <w:bookmarkEnd w:id="119"/>
      <w:r>
        <w:rPr>
          <w:rFonts w:asciiTheme="minorHAnsi" w:hAnsiTheme="minorHAnsi" w:cstheme="minorHAnsi"/>
        </w:rPr>
        <w:t>Ministère de l’Agriculture (</w:t>
      </w:r>
      <w:r w:rsidR="00361D61" w:rsidRPr="004A5122">
        <w:rPr>
          <w:rFonts w:asciiTheme="minorHAnsi" w:hAnsiTheme="minorHAnsi" w:cstheme="minorHAnsi"/>
        </w:rPr>
        <w:t>MAG</w:t>
      </w:r>
      <w:r>
        <w:rPr>
          <w:rFonts w:asciiTheme="minorHAnsi" w:hAnsiTheme="minorHAnsi" w:cstheme="minorHAnsi"/>
        </w:rPr>
        <w:t>)</w:t>
      </w:r>
      <w:bookmarkEnd w:id="120"/>
    </w:p>
    <w:p w14:paraId="79718CDA" w14:textId="77777777" w:rsidR="00D24EAC" w:rsidRPr="004A5122" w:rsidRDefault="00D24EAC" w:rsidP="00F12682">
      <w:pPr>
        <w:pStyle w:val="Titre4"/>
        <w:rPr>
          <w:rFonts w:asciiTheme="minorHAnsi" w:hAnsiTheme="minorHAnsi" w:cstheme="minorHAnsi"/>
        </w:rPr>
      </w:pPr>
      <w:r w:rsidRPr="004A5122">
        <w:rPr>
          <w:rFonts w:asciiTheme="minorHAnsi" w:hAnsiTheme="minorHAnsi" w:cstheme="minorHAnsi"/>
        </w:rPr>
        <w:t>Analyse de l’évolution et de la pertinence des allocations budgétaires du secteur (financement global) par rapport aux priorités</w:t>
      </w:r>
    </w:p>
    <w:p w14:paraId="1A3E482C" w14:textId="77777777" w:rsidR="004512A3" w:rsidRDefault="004512A3" w:rsidP="00F12682">
      <w:pPr>
        <w:jc w:val="both"/>
      </w:pPr>
      <w:bookmarkStart w:id="121" w:name="_Toc479343561"/>
      <w:r>
        <w:t>De 2011 à 2015, les dépenses du secteur ont connu une tendance à la hausse. Mais en 2016, bien que les crédits votés aient suivis la même tendance que la période 2011-2015, lors de la libration et de la consommation, ces dépenses ont connu une chute considérable.</w:t>
      </w:r>
    </w:p>
    <w:p w14:paraId="3F1CA472" w14:textId="5DB38CB3" w:rsidR="001A56E6" w:rsidRPr="00C21B85" w:rsidRDefault="001A56E6" w:rsidP="00F12682">
      <w:pPr>
        <w:pStyle w:val="Lgende"/>
        <w:rPr>
          <w:rFonts w:cs="Calibri"/>
        </w:rPr>
      </w:pPr>
      <w:bookmarkStart w:id="122" w:name="_Toc529305069"/>
      <w:r w:rsidRPr="00C21B85">
        <w:rPr>
          <w:rFonts w:cs="Calibri"/>
        </w:rPr>
        <w:t xml:space="preserve">Tableau </w:t>
      </w:r>
      <w:r w:rsidRPr="00C21B85">
        <w:rPr>
          <w:rFonts w:cs="Calibri"/>
        </w:rPr>
        <w:fldChar w:fldCharType="begin"/>
      </w:r>
      <w:r w:rsidRPr="00C21B85">
        <w:rPr>
          <w:rFonts w:cs="Calibri"/>
        </w:rPr>
        <w:instrText xml:space="preserve"> SEQ Tableau \* ARABIC </w:instrText>
      </w:r>
      <w:r w:rsidRPr="00C21B85">
        <w:rPr>
          <w:rFonts w:cs="Calibri"/>
        </w:rPr>
        <w:fldChar w:fldCharType="separate"/>
      </w:r>
      <w:r w:rsidR="001C37F0">
        <w:rPr>
          <w:rFonts w:cs="Calibri"/>
          <w:noProof/>
        </w:rPr>
        <w:t>15</w:t>
      </w:r>
      <w:r w:rsidRPr="00C21B85">
        <w:rPr>
          <w:rFonts w:cs="Calibri"/>
        </w:rPr>
        <w:fldChar w:fldCharType="end"/>
      </w:r>
      <w:r w:rsidR="00293F27">
        <w:rPr>
          <w:rFonts w:cs="Calibri"/>
        </w:rPr>
        <w:t xml:space="preserve"> </w:t>
      </w:r>
      <w:r w:rsidRPr="00C21B85">
        <w:rPr>
          <w:rFonts w:cs="Calibri"/>
        </w:rPr>
        <w:t xml:space="preserve">: </w:t>
      </w:r>
      <w:r w:rsidR="0070055A" w:rsidRPr="00C21B85">
        <w:rPr>
          <w:rFonts w:cs="Calibri"/>
        </w:rPr>
        <w:t xml:space="preserve">Evolution des </w:t>
      </w:r>
      <w:r w:rsidRPr="00C21B85">
        <w:rPr>
          <w:rFonts w:cs="Calibri"/>
        </w:rPr>
        <w:t>Dépens</w:t>
      </w:r>
      <w:r w:rsidR="00C21D46" w:rsidRPr="00C21B85">
        <w:rPr>
          <w:rFonts w:cs="Calibri"/>
        </w:rPr>
        <w:t>es volet Agricole de 2011 à 2016</w:t>
      </w:r>
      <w:r w:rsidRPr="00C21B85">
        <w:rPr>
          <w:rFonts w:cs="Calibri"/>
        </w:rPr>
        <w:t xml:space="preserve"> (millions de FCFA)</w:t>
      </w:r>
      <w:bookmarkEnd w:id="121"/>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0"/>
        <w:gridCol w:w="2328"/>
        <w:gridCol w:w="2114"/>
        <w:gridCol w:w="2856"/>
      </w:tblGrid>
      <w:tr w:rsidR="000B1B3B" w:rsidRPr="008C0967" w14:paraId="7761359D" w14:textId="77777777" w:rsidTr="00870868">
        <w:trPr>
          <w:trHeight w:val="170"/>
        </w:trPr>
        <w:tc>
          <w:tcPr>
            <w:tcW w:w="1210" w:type="pct"/>
            <w:shd w:val="clear" w:color="auto" w:fill="auto"/>
            <w:vAlign w:val="center"/>
          </w:tcPr>
          <w:p w14:paraId="1C4C4526" w14:textId="04144962" w:rsidR="000B1B3B" w:rsidRPr="008C0967" w:rsidRDefault="003D618B" w:rsidP="00F12682">
            <w:pPr>
              <w:spacing w:after="0"/>
              <w:jc w:val="center"/>
              <w:rPr>
                <w:b/>
                <w:sz w:val="20"/>
                <w:lang w:eastAsia="fr-FR"/>
              </w:rPr>
            </w:pPr>
            <w:r w:rsidRPr="008C0967">
              <w:rPr>
                <w:b/>
                <w:sz w:val="20"/>
                <w:lang w:eastAsia="fr-FR"/>
              </w:rPr>
              <w:t>Année</w:t>
            </w:r>
          </w:p>
        </w:tc>
        <w:tc>
          <w:tcPr>
            <w:tcW w:w="1209" w:type="pct"/>
            <w:shd w:val="clear" w:color="auto" w:fill="auto"/>
            <w:vAlign w:val="center"/>
          </w:tcPr>
          <w:p w14:paraId="0D21FE23" w14:textId="6752C3F7" w:rsidR="000B1B3B" w:rsidRPr="008C0967" w:rsidRDefault="000B1B3B" w:rsidP="00F12682">
            <w:pPr>
              <w:spacing w:after="0" w:line="240" w:lineRule="auto"/>
              <w:jc w:val="center"/>
              <w:rPr>
                <w:b/>
                <w:sz w:val="20"/>
                <w:lang w:eastAsia="fr-FR"/>
              </w:rPr>
            </w:pPr>
            <w:r w:rsidRPr="008C0967">
              <w:rPr>
                <w:b/>
                <w:sz w:val="20"/>
                <w:lang w:eastAsia="fr-FR"/>
              </w:rPr>
              <w:t>Voté</w:t>
            </w:r>
          </w:p>
        </w:tc>
        <w:tc>
          <w:tcPr>
            <w:tcW w:w="1098" w:type="pct"/>
            <w:shd w:val="clear" w:color="auto" w:fill="auto"/>
            <w:vAlign w:val="center"/>
          </w:tcPr>
          <w:p w14:paraId="6C1F2F32" w14:textId="6D34C55A" w:rsidR="000B1B3B" w:rsidRPr="008C0967" w:rsidRDefault="000B1B3B" w:rsidP="00F12682">
            <w:pPr>
              <w:spacing w:after="0" w:line="240" w:lineRule="auto"/>
              <w:jc w:val="center"/>
              <w:rPr>
                <w:b/>
                <w:sz w:val="20"/>
                <w:lang w:eastAsia="fr-FR"/>
              </w:rPr>
            </w:pPr>
            <w:r w:rsidRPr="008C0967">
              <w:rPr>
                <w:b/>
                <w:sz w:val="20"/>
                <w:lang w:eastAsia="fr-FR"/>
              </w:rPr>
              <w:t>Consommé</w:t>
            </w:r>
          </w:p>
        </w:tc>
        <w:tc>
          <w:tcPr>
            <w:tcW w:w="1483" w:type="pct"/>
            <w:shd w:val="clear" w:color="auto" w:fill="auto"/>
            <w:vAlign w:val="center"/>
          </w:tcPr>
          <w:p w14:paraId="036290FF" w14:textId="08C4E1BA" w:rsidR="000B1B3B" w:rsidRPr="008C0967" w:rsidRDefault="003D618B" w:rsidP="00F12682">
            <w:pPr>
              <w:spacing w:after="0" w:line="240" w:lineRule="auto"/>
              <w:jc w:val="center"/>
              <w:rPr>
                <w:b/>
                <w:sz w:val="20"/>
                <w:lang w:eastAsia="fr-FR"/>
              </w:rPr>
            </w:pPr>
            <w:r w:rsidRPr="008C0967">
              <w:rPr>
                <w:b/>
                <w:sz w:val="20"/>
                <w:lang w:eastAsia="fr-FR"/>
              </w:rPr>
              <w:t>Taux de consommation</w:t>
            </w:r>
          </w:p>
        </w:tc>
      </w:tr>
      <w:tr w:rsidR="000B1B3B" w:rsidRPr="008C0967" w14:paraId="33CDD948" w14:textId="77777777" w:rsidTr="00870868">
        <w:trPr>
          <w:trHeight w:val="170"/>
        </w:trPr>
        <w:tc>
          <w:tcPr>
            <w:tcW w:w="1210" w:type="pct"/>
            <w:shd w:val="clear" w:color="auto" w:fill="auto"/>
            <w:hideMark/>
          </w:tcPr>
          <w:p w14:paraId="1682CD69" w14:textId="77777777" w:rsidR="000B1B3B" w:rsidRPr="008C0967" w:rsidRDefault="000B1B3B" w:rsidP="00F12682">
            <w:pPr>
              <w:spacing w:after="0" w:line="240" w:lineRule="auto"/>
              <w:rPr>
                <w:sz w:val="20"/>
                <w:lang w:eastAsia="fr-FR"/>
              </w:rPr>
            </w:pPr>
            <w:r w:rsidRPr="008C0967">
              <w:rPr>
                <w:sz w:val="20"/>
                <w:lang w:eastAsia="fr-FR"/>
              </w:rPr>
              <w:t>2011</w:t>
            </w:r>
          </w:p>
        </w:tc>
        <w:tc>
          <w:tcPr>
            <w:tcW w:w="1209" w:type="pct"/>
            <w:shd w:val="clear" w:color="auto" w:fill="auto"/>
            <w:vAlign w:val="center"/>
            <w:hideMark/>
          </w:tcPr>
          <w:p w14:paraId="6867FD6B" w14:textId="77777777" w:rsidR="000B1B3B" w:rsidRPr="008C0967" w:rsidRDefault="000B1B3B" w:rsidP="00F12682">
            <w:pPr>
              <w:spacing w:after="0" w:line="240" w:lineRule="auto"/>
              <w:ind w:right="491"/>
              <w:jc w:val="right"/>
              <w:rPr>
                <w:sz w:val="20"/>
                <w:lang w:eastAsia="fr-FR"/>
              </w:rPr>
            </w:pPr>
            <w:r w:rsidRPr="008C0967">
              <w:rPr>
                <w:sz w:val="20"/>
                <w:lang w:eastAsia="fr-FR"/>
              </w:rPr>
              <w:t>64 517</w:t>
            </w:r>
          </w:p>
        </w:tc>
        <w:tc>
          <w:tcPr>
            <w:tcW w:w="1098" w:type="pct"/>
            <w:shd w:val="clear" w:color="auto" w:fill="auto"/>
            <w:vAlign w:val="center"/>
            <w:hideMark/>
          </w:tcPr>
          <w:p w14:paraId="7871E2B6" w14:textId="77777777" w:rsidR="000B1B3B" w:rsidRPr="008C0967" w:rsidRDefault="000B1B3B" w:rsidP="00F12682">
            <w:pPr>
              <w:spacing w:after="0" w:line="240" w:lineRule="auto"/>
              <w:ind w:right="491"/>
              <w:jc w:val="right"/>
              <w:rPr>
                <w:sz w:val="20"/>
                <w:lang w:eastAsia="fr-FR"/>
              </w:rPr>
            </w:pPr>
            <w:r w:rsidRPr="008C0967">
              <w:rPr>
                <w:sz w:val="20"/>
                <w:lang w:eastAsia="fr-FR"/>
              </w:rPr>
              <w:t>35 251</w:t>
            </w:r>
          </w:p>
        </w:tc>
        <w:tc>
          <w:tcPr>
            <w:tcW w:w="1483" w:type="pct"/>
            <w:shd w:val="clear" w:color="auto" w:fill="auto"/>
            <w:vAlign w:val="center"/>
            <w:hideMark/>
          </w:tcPr>
          <w:p w14:paraId="44134F16" w14:textId="77777777" w:rsidR="000B1B3B" w:rsidRPr="008C0967" w:rsidRDefault="000B1B3B" w:rsidP="00F12682">
            <w:pPr>
              <w:spacing w:after="0" w:line="240" w:lineRule="auto"/>
              <w:jc w:val="center"/>
              <w:rPr>
                <w:sz w:val="20"/>
                <w:lang w:eastAsia="fr-FR"/>
              </w:rPr>
            </w:pPr>
            <w:r w:rsidRPr="008C0967">
              <w:rPr>
                <w:sz w:val="20"/>
                <w:lang w:eastAsia="fr-FR"/>
              </w:rPr>
              <w:t>55%</w:t>
            </w:r>
          </w:p>
        </w:tc>
      </w:tr>
      <w:tr w:rsidR="000B1B3B" w:rsidRPr="008C0967" w14:paraId="5323F109" w14:textId="77777777" w:rsidTr="00870868">
        <w:trPr>
          <w:trHeight w:val="170"/>
        </w:trPr>
        <w:tc>
          <w:tcPr>
            <w:tcW w:w="1210" w:type="pct"/>
            <w:shd w:val="clear" w:color="auto" w:fill="auto"/>
            <w:hideMark/>
          </w:tcPr>
          <w:p w14:paraId="7B157446" w14:textId="77777777" w:rsidR="000B1B3B" w:rsidRPr="008C0967" w:rsidRDefault="000B1B3B" w:rsidP="00F12682">
            <w:pPr>
              <w:spacing w:after="0" w:line="240" w:lineRule="auto"/>
              <w:rPr>
                <w:sz w:val="20"/>
                <w:lang w:eastAsia="fr-FR"/>
              </w:rPr>
            </w:pPr>
            <w:r w:rsidRPr="008C0967">
              <w:rPr>
                <w:sz w:val="20"/>
                <w:lang w:eastAsia="fr-FR"/>
              </w:rPr>
              <w:t>2012</w:t>
            </w:r>
          </w:p>
        </w:tc>
        <w:tc>
          <w:tcPr>
            <w:tcW w:w="1209" w:type="pct"/>
            <w:shd w:val="clear" w:color="auto" w:fill="auto"/>
            <w:vAlign w:val="center"/>
            <w:hideMark/>
          </w:tcPr>
          <w:p w14:paraId="46236BC0" w14:textId="77777777" w:rsidR="000B1B3B" w:rsidRPr="008C0967" w:rsidRDefault="000B1B3B" w:rsidP="00F12682">
            <w:pPr>
              <w:spacing w:after="0" w:line="240" w:lineRule="auto"/>
              <w:ind w:right="491"/>
              <w:jc w:val="right"/>
              <w:rPr>
                <w:sz w:val="20"/>
                <w:lang w:eastAsia="fr-FR"/>
              </w:rPr>
            </w:pPr>
            <w:r w:rsidRPr="008C0967">
              <w:rPr>
                <w:sz w:val="20"/>
                <w:lang w:eastAsia="fr-FR"/>
              </w:rPr>
              <w:t>93 435</w:t>
            </w:r>
          </w:p>
        </w:tc>
        <w:tc>
          <w:tcPr>
            <w:tcW w:w="1098" w:type="pct"/>
            <w:shd w:val="clear" w:color="auto" w:fill="auto"/>
            <w:vAlign w:val="center"/>
            <w:hideMark/>
          </w:tcPr>
          <w:p w14:paraId="57E98E9F" w14:textId="77777777" w:rsidR="000B1B3B" w:rsidRPr="008C0967" w:rsidRDefault="000B1B3B" w:rsidP="00F12682">
            <w:pPr>
              <w:spacing w:after="0" w:line="240" w:lineRule="auto"/>
              <w:ind w:right="491"/>
              <w:jc w:val="right"/>
              <w:rPr>
                <w:sz w:val="20"/>
                <w:lang w:eastAsia="fr-FR"/>
              </w:rPr>
            </w:pPr>
            <w:r w:rsidRPr="008C0967">
              <w:rPr>
                <w:sz w:val="20"/>
                <w:lang w:eastAsia="fr-FR"/>
              </w:rPr>
              <w:t>56 397</w:t>
            </w:r>
          </w:p>
        </w:tc>
        <w:tc>
          <w:tcPr>
            <w:tcW w:w="1483" w:type="pct"/>
            <w:shd w:val="clear" w:color="auto" w:fill="auto"/>
            <w:vAlign w:val="center"/>
            <w:hideMark/>
          </w:tcPr>
          <w:p w14:paraId="36115CDA" w14:textId="77777777" w:rsidR="000B1B3B" w:rsidRPr="008C0967" w:rsidRDefault="000B1B3B" w:rsidP="00F12682">
            <w:pPr>
              <w:spacing w:after="0" w:line="240" w:lineRule="auto"/>
              <w:jc w:val="center"/>
              <w:rPr>
                <w:sz w:val="20"/>
                <w:lang w:eastAsia="fr-FR"/>
              </w:rPr>
            </w:pPr>
            <w:r w:rsidRPr="008C0967">
              <w:rPr>
                <w:sz w:val="20"/>
                <w:lang w:eastAsia="fr-FR"/>
              </w:rPr>
              <w:t>60%</w:t>
            </w:r>
          </w:p>
        </w:tc>
      </w:tr>
      <w:tr w:rsidR="000B1B3B" w:rsidRPr="008C0967" w14:paraId="52CB79BF" w14:textId="77777777" w:rsidTr="00870868">
        <w:trPr>
          <w:trHeight w:val="170"/>
        </w:trPr>
        <w:tc>
          <w:tcPr>
            <w:tcW w:w="1210" w:type="pct"/>
            <w:shd w:val="clear" w:color="auto" w:fill="auto"/>
            <w:hideMark/>
          </w:tcPr>
          <w:p w14:paraId="24E2B7F1" w14:textId="77777777" w:rsidR="000B1B3B" w:rsidRPr="008C0967" w:rsidRDefault="000B1B3B" w:rsidP="00F12682">
            <w:pPr>
              <w:spacing w:after="0" w:line="240" w:lineRule="auto"/>
              <w:rPr>
                <w:sz w:val="20"/>
                <w:lang w:eastAsia="fr-FR"/>
              </w:rPr>
            </w:pPr>
            <w:r w:rsidRPr="008C0967">
              <w:rPr>
                <w:sz w:val="20"/>
                <w:lang w:eastAsia="fr-FR"/>
              </w:rPr>
              <w:t>2013</w:t>
            </w:r>
          </w:p>
        </w:tc>
        <w:tc>
          <w:tcPr>
            <w:tcW w:w="1209" w:type="pct"/>
            <w:shd w:val="clear" w:color="auto" w:fill="auto"/>
            <w:vAlign w:val="center"/>
            <w:hideMark/>
          </w:tcPr>
          <w:p w14:paraId="2DC66144" w14:textId="77777777" w:rsidR="000B1B3B" w:rsidRPr="008C0967" w:rsidRDefault="000B1B3B" w:rsidP="00F12682">
            <w:pPr>
              <w:spacing w:after="0" w:line="240" w:lineRule="auto"/>
              <w:ind w:right="491"/>
              <w:jc w:val="right"/>
              <w:rPr>
                <w:sz w:val="20"/>
                <w:lang w:eastAsia="fr-FR"/>
              </w:rPr>
            </w:pPr>
            <w:r w:rsidRPr="008C0967">
              <w:rPr>
                <w:sz w:val="20"/>
                <w:lang w:eastAsia="fr-FR"/>
              </w:rPr>
              <w:t>85 442</w:t>
            </w:r>
          </w:p>
        </w:tc>
        <w:tc>
          <w:tcPr>
            <w:tcW w:w="1098" w:type="pct"/>
            <w:shd w:val="clear" w:color="auto" w:fill="auto"/>
            <w:vAlign w:val="center"/>
            <w:hideMark/>
          </w:tcPr>
          <w:p w14:paraId="2E8E4A77" w14:textId="77777777" w:rsidR="000B1B3B" w:rsidRPr="008C0967" w:rsidRDefault="000B1B3B" w:rsidP="00F12682">
            <w:pPr>
              <w:spacing w:after="0" w:line="240" w:lineRule="auto"/>
              <w:ind w:right="491"/>
              <w:jc w:val="right"/>
              <w:rPr>
                <w:sz w:val="20"/>
                <w:lang w:eastAsia="fr-FR"/>
              </w:rPr>
            </w:pPr>
            <w:r w:rsidRPr="008C0967">
              <w:rPr>
                <w:sz w:val="20"/>
                <w:lang w:eastAsia="fr-FR"/>
              </w:rPr>
              <w:t>48 383</w:t>
            </w:r>
          </w:p>
        </w:tc>
        <w:tc>
          <w:tcPr>
            <w:tcW w:w="1483" w:type="pct"/>
            <w:shd w:val="clear" w:color="auto" w:fill="auto"/>
            <w:vAlign w:val="center"/>
            <w:hideMark/>
          </w:tcPr>
          <w:p w14:paraId="23CB8C20" w14:textId="77777777" w:rsidR="000B1B3B" w:rsidRPr="008C0967" w:rsidRDefault="000B1B3B" w:rsidP="00F12682">
            <w:pPr>
              <w:spacing w:after="0" w:line="240" w:lineRule="auto"/>
              <w:jc w:val="center"/>
              <w:rPr>
                <w:sz w:val="20"/>
                <w:lang w:eastAsia="fr-FR"/>
              </w:rPr>
            </w:pPr>
            <w:r w:rsidRPr="008C0967">
              <w:rPr>
                <w:sz w:val="20"/>
                <w:lang w:eastAsia="fr-FR"/>
              </w:rPr>
              <w:t>57%</w:t>
            </w:r>
          </w:p>
        </w:tc>
      </w:tr>
      <w:tr w:rsidR="000B1B3B" w:rsidRPr="008C0967" w14:paraId="0A2B93F7" w14:textId="77777777" w:rsidTr="00870868">
        <w:trPr>
          <w:trHeight w:val="170"/>
        </w:trPr>
        <w:tc>
          <w:tcPr>
            <w:tcW w:w="1210" w:type="pct"/>
            <w:shd w:val="clear" w:color="auto" w:fill="auto"/>
            <w:hideMark/>
          </w:tcPr>
          <w:p w14:paraId="630A7139" w14:textId="77777777" w:rsidR="000B1B3B" w:rsidRPr="008C0967" w:rsidRDefault="000B1B3B" w:rsidP="00F12682">
            <w:pPr>
              <w:spacing w:after="0" w:line="240" w:lineRule="auto"/>
              <w:rPr>
                <w:sz w:val="20"/>
                <w:lang w:eastAsia="fr-FR"/>
              </w:rPr>
            </w:pPr>
            <w:r w:rsidRPr="008C0967">
              <w:rPr>
                <w:sz w:val="20"/>
                <w:lang w:eastAsia="fr-FR"/>
              </w:rPr>
              <w:t>2014</w:t>
            </w:r>
          </w:p>
        </w:tc>
        <w:tc>
          <w:tcPr>
            <w:tcW w:w="1209" w:type="pct"/>
            <w:shd w:val="clear" w:color="auto" w:fill="auto"/>
            <w:vAlign w:val="center"/>
            <w:hideMark/>
          </w:tcPr>
          <w:p w14:paraId="6240A12C" w14:textId="77777777" w:rsidR="000B1B3B" w:rsidRPr="008C0967" w:rsidRDefault="000B1B3B" w:rsidP="00F12682">
            <w:pPr>
              <w:spacing w:after="0" w:line="240" w:lineRule="auto"/>
              <w:ind w:right="491"/>
              <w:jc w:val="right"/>
              <w:rPr>
                <w:sz w:val="20"/>
                <w:lang w:eastAsia="fr-FR"/>
              </w:rPr>
            </w:pPr>
            <w:r w:rsidRPr="008C0967">
              <w:rPr>
                <w:sz w:val="20"/>
                <w:lang w:eastAsia="fr-FR"/>
              </w:rPr>
              <w:t>97 011</w:t>
            </w:r>
          </w:p>
        </w:tc>
        <w:tc>
          <w:tcPr>
            <w:tcW w:w="1098" w:type="pct"/>
            <w:shd w:val="clear" w:color="auto" w:fill="auto"/>
            <w:vAlign w:val="center"/>
            <w:hideMark/>
          </w:tcPr>
          <w:p w14:paraId="647409F2" w14:textId="77777777" w:rsidR="000B1B3B" w:rsidRPr="008C0967" w:rsidRDefault="000B1B3B" w:rsidP="00F12682">
            <w:pPr>
              <w:spacing w:after="0" w:line="240" w:lineRule="auto"/>
              <w:ind w:right="491"/>
              <w:jc w:val="right"/>
              <w:rPr>
                <w:sz w:val="20"/>
                <w:lang w:eastAsia="fr-FR"/>
              </w:rPr>
            </w:pPr>
            <w:r w:rsidRPr="008C0967">
              <w:rPr>
                <w:sz w:val="20"/>
                <w:lang w:eastAsia="fr-FR"/>
              </w:rPr>
              <w:t>81 457</w:t>
            </w:r>
          </w:p>
        </w:tc>
        <w:tc>
          <w:tcPr>
            <w:tcW w:w="1483" w:type="pct"/>
            <w:shd w:val="clear" w:color="auto" w:fill="auto"/>
            <w:vAlign w:val="center"/>
            <w:hideMark/>
          </w:tcPr>
          <w:p w14:paraId="52AE7782" w14:textId="77777777" w:rsidR="000B1B3B" w:rsidRPr="008C0967" w:rsidRDefault="000B1B3B" w:rsidP="00F12682">
            <w:pPr>
              <w:spacing w:after="0" w:line="240" w:lineRule="auto"/>
              <w:jc w:val="center"/>
              <w:rPr>
                <w:sz w:val="20"/>
                <w:lang w:eastAsia="fr-FR"/>
              </w:rPr>
            </w:pPr>
            <w:r w:rsidRPr="008C0967">
              <w:rPr>
                <w:sz w:val="20"/>
                <w:lang w:eastAsia="fr-FR"/>
              </w:rPr>
              <w:t>84%</w:t>
            </w:r>
          </w:p>
        </w:tc>
      </w:tr>
      <w:tr w:rsidR="000B1B3B" w:rsidRPr="008C0967" w14:paraId="14E18621" w14:textId="77777777" w:rsidTr="00870868">
        <w:trPr>
          <w:trHeight w:val="170"/>
        </w:trPr>
        <w:tc>
          <w:tcPr>
            <w:tcW w:w="1210" w:type="pct"/>
            <w:shd w:val="clear" w:color="auto" w:fill="auto"/>
            <w:hideMark/>
          </w:tcPr>
          <w:p w14:paraId="44D8271F" w14:textId="77777777" w:rsidR="000B1B3B" w:rsidRPr="008C0967" w:rsidRDefault="000B1B3B" w:rsidP="00F12682">
            <w:pPr>
              <w:spacing w:after="0" w:line="240" w:lineRule="auto"/>
              <w:rPr>
                <w:sz w:val="20"/>
                <w:lang w:eastAsia="fr-FR"/>
              </w:rPr>
            </w:pPr>
            <w:r w:rsidRPr="008C0967">
              <w:rPr>
                <w:sz w:val="20"/>
                <w:lang w:eastAsia="fr-FR"/>
              </w:rPr>
              <w:t>2015</w:t>
            </w:r>
          </w:p>
        </w:tc>
        <w:tc>
          <w:tcPr>
            <w:tcW w:w="1209" w:type="pct"/>
            <w:shd w:val="clear" w:color="auto" w:fill="auto"/>
            <w:vAlign w:val="center"/>
            <w:hideMark/>
          </w:tcPr>
          <w:p w14:paraId="73961BA5" w14:textId="77777777" w:rsidR="000B1B3B" w:rsidRPr="008C0967" w:rsidRDefault="000B1B3B" w:rsidP="00F12682">
            <w:pPr>
              <w:spacing w:after="0" w:line="240" w:lineRule="auto"/>
              <w:ind w:right="491"/>
              <w:jc w:val="right"/>
              <w:rPr>
                <w:sz w:val="20"/>
                <w:lang w:eastAsia="fr-FR"/>
              </w:rPr>
            </w:pPr>
            <w:r w:rsidRPr="008C0967">
              <w:rPr>
                <w:sz w:val="20"/>
                <w:lang w:eastAsia="fr-FR"/>
              </w:rPr>
              <w:t>80 390</w:t>
            </w:r>
          </w:p>
        </w:tc>
        <w:tc>
          <w:tcPr>
            <w:tcW w:w="1098" w:type="pct"/>
            <w:shd w:val="clear" w:color="auto" w:fill="auto"/>
            <w:vAlign w:val="center"/>
            <w:hideMark/>
          </w:tcPr>
          <w:p w14:paraId="60AF8386" w14:textId="77777777" w:rsidR="000B1B3B" w:rsidRPr="008C0967" w:rsidRDefault="000B1B3B" w:rsidP="00F12682">
            <w:pPr>
              <w:spacing w:after="0" w:line="240" w:lineRule="auto"/>
              <w:ind w:right="491"/>
              <w:jc w:val="right"/>
              <w:rPr>
                <w:sz w:val="20"/>
                <w:lang w:eastAsia="fr-FR"/>
              </w:rPr>
            </w:pPr>
            <w:r w:rsidRPr="008C0967">
              <w:rPr>
                <w:sz w:val="20"/>
                <w:lang w:eastAsia="fr-FR"/>
              </w:rPr>
              <w:t>55 114</w:t>
            </w:r>
          </w:p>
        </w:tc>
        <w:tc>
          <w:tcPr>
            <w:tcW w:w="1483" w:type="pct"/>
            <w:shd w:val="clear" w:color="auto" w:fill="auto"/>
            <w:vAlign w:val="center"/>
            <w:hideMark/>
          </w:tcPr>
          <w:p w14:paraId="48558BD0" w14:textId="77777777" w:rsidR="000B1B3B" w:rsidRPr="008C0967" w:rsidRDefault="000B1B3B" w:rsidP="00F12682">
            <w:pPr>
              <w:spacing w:after="0" w:line="240" w:lineRule="auto"/>
              <w:jc w:val="center"/>
              <w:rPr>
                <w:sz w:val="20"/>
                <w:lang w:eastAsia="fr-FR"/>
              </w:rPr>
            </w:pPr>
            <w:r w:rsidRPr="008C0967">
              <w:rPr>
                <w:sz w:val="20"/>
                <w:lang w:eastAsia="fr-FR"/>
              </w:rPr>
              <w:t>69%</w:t>
            </w:r>
          </w:p>
        </w:tc>
      </w:tr>
      <w:tr w:rsidR="0078335F" w:rsidRPr="008C0967" w14:paraId="2156BC19" w14:textId="77777777" w:rsidTr="00870868">
        <w:trPr>
          <w:trHeight w:val="170"/>
        </w:trPr>
        <w:tc>
          <w:tcPr>
            <w:tcW w:w="1210" w:type="pct"/>
            <w:shd w:val="clear" w:color="auto" w:fill="auto"/>
          </w:tcPr>
          <w:p w14:paraId="6829D9A4" w14:textId="177AD2F1" w:rsidR="0078335F" w:rsidRPr="008C0967" w:rsidRDefault="0078335F" w:rsidP="00F12682">
            <w:pPr>
              <w:spacing w:after="0" w:line="240" w:lineRule="auto"/>
              <w:rPr>
                <w:sz w:val="20"/>
                <w:lang w:eastAsia="fr-FR"/>
              </w:rPr>
            </w:pPr>
            <w:r w:rsidRPr="008C0967">
              <w:rPr>
                <w:sz w:val="20"/>
                <w:lang w:eastAsia="fr-FR"/>
              </w:rPr>
              <w:t>2016</w:t>
            </w:r>
          </w:p>
        </w:tc>
        <w:tc>
          <w:tcPr>
            <w:tcW w:w="1209" w:type="pct"/>
            <w:shd w:val="clear" w:color="auto" w:fill="auto"/>
            <w:vAlign w:val="center"/>
          </w:tcPr>
          <w:p w14:paraId="288F52D4" w14:textId="0608C26D" w:rsidR="0078335F" w:rsidRPr="008C0967" w:rsidRDefault="00AE78B3" w:rsidP="00F12682">
            <w:pPr>
              <w:spacing w:after="0" w:line="240" w:lineRule="auto"/>
              <w:ind w:right="491"/>
              <w:jc w:val="right"/>
              <w:rPr>
                <w:sz w:val="20"/>
                <w:lang w:eastAsia="fr-FR"/>
              </w:rPr>
            </w:pPr>
            <w:r w:rsidRPr="008C0967">
              <w:rPr>
                <w:sz w:val="20"/>
                <w:lang w:eastAsia="fr-FR"/>
              </w:rPr>
              <w:t>78 463</w:t>
            </w:r>
          </w:p>
        </w:tc>
        <w:tc>
          <w:tcPr>
            <w:tcW w:w="1098" w:type="pct"/>
            <w:shd w:val="clear" w:color="auto" w:fill="auto"/>
            <w:vAlign w:val="center"/>
          </w:tcPr>
          <w:p w14:paraId="1D695839" w14:textId="5B24A70E" w:rsidR="0078335F" w:rsidRPr="008C0967" w:rsidRDefault="00AE78B3" w:rsidP="00F12682">
            <w:pPr>
              <w:spacing w:after="0" w:line="240" w:lineRule="auto"/>
              <w:ind w:right="491"/>
              <w:jc w:val="right"/>
              <w:rPr>
                <w:sz w:val="20"/>
                <w:lang w:eastAsia="fr-FR"/>
              </w:rPr>
            </w:pPr>
            <w:r w:rsidRPr="008C0967">
              <w:rPr>
                <w:sz w:val="20"/>
                <w:lang w:eastAsia="fr-FR"/>
              </w:rPr>
              <w:t>27 357</w:t>
            </w:r>
          </w:p>
        </w:tc>
        <w:tc>
          <w:tcPr>
            <w:tcW w:w="1483" w:type="pct"/>
            <w:shd w:val="clear" w:color="auto" w:fill="auto"/>
            <w:vAlign w:val="center"/>
          </w:tcPr>
          <w:p w14:paraId="6D6A47F0" w14:textId="78A6A74B" w:rsidR="0078335F" w:rsidRPr="008C0967" w:rsidRDefault="00AE78B3" w:rsidP="00F12682">
            <w:pPr>
              <w:spacing w:after="0" w:line="240" w:lineRule="auto"/>
              <w:jc w:val="center"/>
              <w:rPr>
                <w:sz w:val="20"/>
                <w:lang w:eastAsia="fr-FR"/>
              </w:rPr>
            </w:pPr>
            <w:r w:rsidRPr="008C0967">
              <w:rPr>
                <w:sz w:val="20"/>
                <w:lang w:eastAsia="fr-FR"/>
              </w:rPr>
              <w:t>35%</w:t>
            </w:r>
          </w:p>
        </w:tc>
      </w:tr>
    </w:tbl>
    <w:p w14:paraId="21828855" w14:textId="5CB0237A" w:rsidR="001A56E6" w:rsidRPr="00C21B85" w:rsidRDefault="001A56E6" w:rsidP="00F12682">
      <w:pPr>
        <w:rPr>
          <w:sz w:val="20"/>
        </w:rPr>
      </w:pPr>
      <w:r w:rsidRPr="00C21B85">
        <w:rPr>
          <w:sz w:val="20"/>
          <w:u w:val="single"/>
        </w:rPr>
        <w:t>Source</w:t>
      </w:r>
      <w:r w:rsidRPr="00C21B85">
        <w:rPr>
          <w:sz w:val="20"/>
        </w:rPr>
        <w:t xml:space="preserve"> : </w:t>
      </w:r>
      <w:r w:rsidR="0078335F" w:rsidRPr="00C21B85">
        <w:rPr>
          <w:sz w:val="20"/>
        </w:rPr>
        <w:t>RDP 2011-2015 et n</w:t>
      </w:r>
      <w:r w:rsidRPr="00C21B85">
        <w:rPr>
          <w:sz w:val="20"/>
        </w:rPr>
        <w:t>os calculs à partir des données budgétaires</w:t>
      </w:r>
      <w:r w:rsidR="00AD5A25">
        <w:rPr>
          <w:sz w:val="20"/>
        </w:rPr>
        <w:t xml:space="preserve"> 2016</w:t>
      </w:r>
    </w:p>
    <w:p w14:paraId="77B98516" w14:textId="77777777" w:rsidR="00CC49BC" w:rsidRPr="00D73A12" w:rsidRDefault="00CC49BC" w:rsidP="00F12682">
      <w:pPr>
        <w:spacing w:after="0" w:line="240" w:lineRule="auto"/>
        <w:rPr>
          <w:rFonts w:cstheme="minorHAnsi"/>
        </w:rPr>
      </w:pPr>
    </w:p>
    <w:p w14:paraId="336650BC" w14:textId="77777777" w:rsidR="00752577" w:rsidRPr="004A5122" w:rsidRDefault="00752577" w:rsidP="00F12682">
      <w:pPr>
        <w:pStyle w:val="Titre4"/>
        <w:rPr>
          <w:rFonts w:asciiTheme="minorHAnsi" w:hAnsiTheme="minorHAnsi" w:cstheme="minorHAnsi"/>
        </w:rPr>
      </w:pPr>
      <w:r w:rsidRPr="004A5122">
        <w:rPr>
          <w:rFonts w:asciiTheme="minorHAnsi" w:hAnsiTheme="minorHAnsi" w:cstheme="minorHAnsi"/>
        </w:rPr>
        <w:t>Analyse de l’exécution des dépenses par rapports aux prévisions</w:t>
      </w:r>
    </w:p>
    <w:p w14:paraId="24E4A162" w14:textId="3819EF8D" w:rsidR="005A19F3" w:rsidRDefault="00C94937" w:rsidP="00F12682">
      <w:pPr>
        <w:spacing w:after="120" w:line="276" w:lineRule="auto"/>
        <w:jc w:val="both"/>
        <w:rPr>
          <w:rFonts w:ascii="Calibri" w:eastAsiaTheme="majorEastAsia" w:hAnsi="Calibri" w:cs="Calibri"/>
          <w:iCs/>
          <w:sz w:val="24"/>
        </w:rPr>
      </w:pPr>
      <w:r w:rsidRPr="00CC49BC">
        <w:rPr>
          <w:rFonts w:ascii="Calibri" w:eastAsiaTheme="majorEastAsia" w:hAnsi="Calibri" w:cs="Calibri"/>
          <w:iCs/>
          <w:sz w:val="24"/>
        </w:rPr>
        <w:t xml:space="preserve">Pour une prévision initiale de </w:t>
      </w:r>
      <w:r w:rsidR="00510CCC" w:rsidRPr="00CC49BC">
        <w:rPr>
          <w:rFonts w:ascii="Calibri" w:eastAsiaTheme="majorEastAsia" w:hAnsi="Calibri" w:cs="Calibri"/>
          <w:iCs/>
          <w:sz w:val="24"/>
        </w:rPr>
        <w:t>78,467 milliards en 2016, l</w:t>
      </w:r>
      <w:r w:rsidRPr="00CC49BC">
        <w:rPr>
          <w:rFonts w:ascii="Calibri" w:eastAsiaTheme="majorEastAsia" w:hAnsi="Calibri" w:cs="Calibri"/>
          <w:iCs/>
          <w:sz w:val="24"/>
        </w:rPr>
        <w:t xml:space="preserve">e volet Agriculture </w:t>
      </w:r>
      <w:r w:rsidR="00510CCC" w:rsidRPr="00CC49BC">
        <w:rPr>
          <w:rFonts w:ascii="Calibri" w:eastAsiaTheme="majorEastAsia" w:hAnsi="Calibri" w:cs="Calibri"/>
          <w:iCs/>
          <w:sz w:val="24"/>
        </w:rPr>
        <w:t>n’</w:t>
      </w:r>
      <w:r w:rsidRPr="00CC49BC">
        <w:rPr>
          <w:rFonts w:ascii="Calibri" w:eastAsiaTheme="majorEastAsia" w:hAnsi="Calibri" w:cs="Calibri"/>
          <w:iCs/>
          <w:sz w:val="24"/>
        </w:rPr>
        <w:t xml:space="preserve">a </w:t>
      </w:r>
      <w:r w:rsidR="00510CCC" w:rsidRPr="00CC49BC">
        <w:rPr>
          <w:rFonts w:ascii="Calibri" w:eastAsiaTheme="majorEastAsia" w:hAnsi="Calibri" w:cs="Calibri"/>
          <w:iCs/>
          <w:sz w:val="24"/>
        </w:rPr>
        <w:t>pu exécuter que 27,358 milliards</w:t>
      </w:r>
      <w:r w:rsidRPr="00CC49BC">
        <w:rPr>
          <w:rFonts w:ascii="Calibri" w:eastAsiaTheme="majorEastAsia" w:hAnsi="Calibri" w:cs="Calibri"/>
          <w:iCs/>
          <w:sz w:val="24"/>
        </w:rPr>
        <w:t xml:space="preserve">, soit </w:t>
      </w:r>
      <w:r w:rsidR="004F2604" w:rsidRPr="00CC49BC">
        <w:rPr>
          <w:rFonts w:ascii="Calibri" w:eastAsiaTheme="majorEastAsia" w:hAnsi="Calibri" w:cs="Calibri"/>
          <w:iCs/>
          <w:sz w:val="24"/>
        </w:rPr>
        <w:t>35</w:t>
      </w:r>
      <w:r w:rsidRPr="00CC49BC">
        <w:rPr>
          <w:rFonts w:ascii="Calibri" w:eastAsiaTheme="majorEastAsia" w:hAnsi="Calibri" w:cs="Calibri"/>
          <w:iCs/>
          <w:sz w:val="24"/>
        </w:rPr>
        <w:t xml:space="preserve">%, ce qui est faible pour un domaine </w:t>
      </w:r>
      <w:r w:rsidR="004F2604" w:rsidRPr="00CC49BC">
        <w:rPr>
          <w:rFonts w:ascii="Calibri" w:eastAsiaTheme="majorEastAsia" w:hAnsi="Calibri" w:cs="Calibri"/>
          <w:iCs/>
          <w:sz w:val="24"/>
        </w:rPr>
        <w:t>qui représente la dorsale de la SANDAD</w:t>
      </w:r>
      <w:r w:rsidRPr="00CC49BC">
        <w:rPr>
          <w:rFonts w:ascii="Calibri" w:eastAsiaTheme="majorEastAsia" w:hAnsi="Calibri" w:cs="Calibri"/>
          <w:iCs/>
          <w:sz w:val="24"/>
        </w:rPr>
        <w:t xml:space="preserve">. Cette faiblesse est due principalement à la faible mise en œuvre des dépenses d’investissements </w:t>
      </w:r>
      <w:r w:rsidRPr="00CC49BC">
        <w:rPr>
          <w:rFonts w:ascii="Calibri" w:eastAsiaTheme="majorEastAsia" w:hAnsi="Calibri" w:cs="Calibri"/>
          <w:iCs/>
          <w:sz w:val="24"/>
        </w:rPr>
        <w:lastRenderedPageBreak/>
        <w:t xml:space="preserve">dont le taux d’exécution est seulement de </w:t>
      </w:r>
      <w:r w:rsidR="00107A96" w:rsidRPr="00CC49BC">
        <w:rPr>
          <w:rFonts w:ascii="Calibri" w:eastAsiaTheme="majorEastAsia" w:hAnsi="Calibri" w:cs="Calibri"/>
          <w:iCs/>
          <w:sz w:val="24"/>
        </w:rPr>
        <w:t>28</w:t>
      </w:r>
      <w:r w:rsidRPr="00CC49BC">
        <w:rPr>
          <w:rFonts w:ascii="Calibri" w:eastAsiaTheme="majorEastAsia" w:hAnsi="Calibri" w:cs="Calibri"/>
          <w:iCs/>
          <w:sz w:val="24"/>
        </w:rPr>
        <w:t>%. Les autres rubriques des dépenses que sont les salaires, le fonctionnement et les transferts ont connu des taux d’exécution respectif</w:t>
      </w:r>
      <w:r w:rsidR="00107A96" w:rsidRPr="00CC49BC">
        <w:rPr>
          <w:rFonts w:ascii="Calibri" w:eastAsiaTheme="majorEastAsia" w:hAnsi="Calibri" w:cs="Calibri"/>
          <w:iCs/>
          <w:sz w:val="24"/>
        </w:rPr>
        <w:t>s de 96</w:t>
      </w:r>
      <w:r w:rsidRPr="00CC49BC">
        <w:rPr>
          <w:rFonts w:ascii="Calibri" w:eastAsiaTheme="majorEastAsia" w:hAnsi="Calibri" w:cs="Calibri"/>
          <w:iCs/>
          <w:sz w:val="24"/>
        </w:rPr>
        <w:t xml:space="preserve">%, </w:t>
      </w:r>
      <w:r w:rsidR="00107A96" w:rsidRPr="00CC49BC">
        <w:rPr>
          <w:rFonts w:ascii="Calibri" w:eastAsiaTheme="majorEastAsia" w:hAnsi="Calibri" w:cs="Calibri"/>
          <w:iCs/>
          <w:sz w:val="24"/>
        </w:rPr>
        <w:t>3</w:t>
      </w:r>
      <w:r w:rsidRPr="00CC49BC">
        <w:rPr>
          <w:rFonts w:ascii="Calibri" w:eastAsiaTheme="majorEastAsia" w:hAnsi="Calibri" w:cs="Calibri"/>
          <w:iCs/>
          <w:sz w:val="24"/>
        </w:rPr>
        <w:t xml:space="preserve">8% et </w:t>
      </w:r>
      <w:r w:rsidR="00DA55B8" w:rsidRPr="00CC49BC">
        <w:rPr>
          <w:rFonts w:ascii="Calibri" w:eastAsiaTheme="majorEastAsia" w:hAnsi="Calibri" w:cs="Calibri"/>
          <w:iCs/>
          <w:sz w:val="24"/>
        </w:rPr>
        <w:t>88</w:t>
      </w:r>
      <w:r w:rsidRPr="00CC49BC">
        <w:rPr>
          <w:rFonts w:ascii="Calibri" w:eastAsiaTheme="majorEastAsia" w:hAnsi="Calibri" w:cs="Calibri"/>
          <w:iCs/>
          <w:sz w:val="24"/>
        </w:rPr>
        <w:t xml:space="preserve">%. </w:t>
      </w:r>
      <w:r w:rsidR="00DA55B8" w:rsidRPr="00CC49BC">
        <w:rPr>
          <w:rFonts w:ascii="Calibri" w:eastAsiaTheme="majorEastAsia" w:hAnsi="Calibri" w:cs="Calibri"/>
          <w:iCs/>
          <w:sz w:val="24"/>
        </w:rPr>
        <w:t>Sur toutes les dépenses effectuées, les investissements représentent 88% et le fonctionnement seulement 2%.</w:t>
      </w:r>
    </w:p>
    <w:p w14:paraId="6C4DEF7C" w14:textId="77777777" w:rsidR="00AD5A25" w:rsidRPr="00293F27" w:rsidRDefault="00AD5A25" w:rsidP="00F12682">
      <w:pPr>
        <w:spacing w:after="0" w:line="240" w:lineRule="auto"/>
        <w:rPr>
          <w:rFonts w:cstheme="minorHAnsi"/>
        </w:rPr>
      </w:pPr>
    </w:p>
    <w:p w14:paraId="58008C46" w14:textId="6225E927" w:rsidR="00FB38CA" w:rsidRPr="00522678" w:rsidRDefault="00522678" w:rsidP="00F12682">
      <w:pPr>
        <w:pStyle w:val="Lgende"/>
        <w:rPr>
          <w:rFonts w:eastAsiaTheme="majorEastAsia" w:cs="Calibri"/>
          <w:iCs w:val="0"/>
        </w:rPr>
      </w:pPr>
      <w:bookmarkStart w:id="123" w:name="_Toc529305070"/>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16</w:t>
      </w:r>
      <w:r w:rsidR="00A773EB">
        <w:rPr>
          <w:noProof/>
        </w:rPr>
        <w:fldChar w:fldCharType="end"/>
      </w:r>
      <w:r w:rsidR="00CC49BC" w:rsidRPr="00522678">
        <w:rPr>
          <w:rFonts w:eastAsiaTheme="majorEastAsia" w:cs="Calibri"/>
          <w:iCs w:val="0"/>
        </w:rPr>
        <w:t xml:space="preserve"> : </w:t>
      </w:r>
      <w:r w:rsidR="00FB38CA" w:rsidRPr="00522678">
        <w:rPr>
          <w:rFonts w:eastAsiaTheme="majorEastAsia" w:cs="Calibri"/>
          <w:iCs w:val="0"/>
        </w:rPr>
        <w:t>Exécution budgétaire par titre du MAG</w:t>
      </w:r>
      <w:r w:rsidR="00CC49BC" w:rsidRPr="00522678">
        <w:rPr>
          <w:rFonts w:eastAsiaTheme="majorEastAsia" w:cs="Calibri"/>
          <w:iCs w:val="0"/>
        </w:rPr>
        <w:t>, 2016</w:t>
      </w:r>
      <w:bookmarkEnd w:id="123"/>
    </w:p>
    <w:tbl>
      <w:tblPr>
        <w:tblW w:w="0" w:type="auto"/>
        <w:tblInd w:w="-10" w:type="dxa"/>
        <w:tblLayout w:type="fixed"/>
        <w:tblCellMar>
          <w:left w:w="70" w:type="dxa"/>
          <w:right w:w="70" w:type="dxa"/>
        </w:tblCellMar>
        <w:tblLook w:val="04A0" w:firstRow="1" w:lastRow="0" w:firstColumn="1" w:lastColumn="0" w:noHBand="0" w:noVBand="1"/>
      </w:tblPr>
      <w:tblGrid>
        <w:gridCol w:w="1487"/>
        <w:gridCol w:w="1391"/>
        <w:gridCol w:w="1658"/>
        <w:gridCol w:w="1560"/>
        <w:gridCol w:w="1366"/>
        <w:gridCol w:w="1178"/>
        <w:gridCol w:w="1126"/>
      </w:tblGrid>
      <w:tr w:rsidR="00CC5B82" w:rsidRPr="00CC49BC" w14:paraId="6F1FF504" w14:textId="77777777" w:rsidTr="00C21B85">
        <w:tc>
          <w:tcPr>
            <w:tcW w:w="14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A59D89" w14:textId="77777777" w:rsidR="00CC5B82" w:rsidRPr="00CC49BC" w:rsidRDefault="00CC5B82" w:rsidP="00F12682">
            <w:pPr>
              <w:spacing w:after="0" w:line="240" w:lineRule="auto"/>
              <w:jc w:val="center"/>
              <w:rPr>
                <w:rFonts w:ascii="Calibri" w:eastAsia="Times New Roman" w:hAnsi="Calibri" w:cs="Calibri"/>
                <w:b/>
                <w:color w:val="000000"/>
                <w:sz w:val="18"/>
                <w:szCs w:val="20"/>
                <w:lang w:eastAsia="fr-FR"/>
              </w:rPr>
            </w:pPr>
            <w:r w:rsidRPr="00CC49BC">
              <w:rPr>
                <w:rFonts w:ascii="Calibri" w:eastAsia="Times New Roman" w:hAnsi="Calibri" w:cs="Calibri"/>
                <w:b/>
                <w:color w:val="000000"/>
                <w:sz w:val="18"/>
                <w:szCs w:val="20"/>
                <w:lang w:eastAsia="fr-FR"/>
              </w:rPr>
              <w:t>Titre</w:t>
            </w:r>
          </w:p>
        </w:tc>
        <w:tc>
          <w:tcPr>
            <w:tcW w:w="1391" w:type="dxa"/>
            <w:tcBorders>
              <w:top w:val="single" w:sz="8" w:space="0" w:color="auto"/>
              <w:left w:val="nil"/>
              <w:bottom w:val="single" w:sz="8" w:space="0" w:color="auto"/>
              <w:right w:val="single" w:sz="8" w:space="0" w:color="auto"/>
            </w:tcBorders>
            <w:shd w:val="clear" w:color="auto" w:fill="auto"/>
            <w:noWrap/>
            <w:vAlign w:val="center"/>
            <w:hideMark/>
          </w:tcPr>
          <w:p w14:paraId="64996476" w14:textId="77777777" w:rsidR="00CC5B82" w:rsidRPr="00CC49BC" w:rsidRDefault="00CC5B82" w:rsidP="00F12682">
            <w:pPr>
              <w:spacing w:after="0" w:line="240" w:lineRule="auto"/>
              <w:jc w:val="center"/>
              <w:rPr>
                <w:rFonts w:ascii="Calibri" w:eastAsia="Times New Roman" w:hAnsi="Calibri" w:cs="Calibri"/>
                <w:b/>
                <w:color w:val="000000"/>
                <w:sz w:val="18"/>
                <w:szCs w:val="20"/>
                <w:lang w:eastAsia="fr-FR"/>
              </w:rPr>
            </w:pPr>
            <w:r w:rsidRPr="00CC49BC">
              <w:rPr>
                <w:rFonts w:ascii="Calibri" w:eastAsia="Times New Roman" w:hAnsi="Calibri" w:cs="Calibri"/>
                <w:b/>
                <w:color w:val="000000"/>
                <w:sz w:val="18"/>
                <w:szCs w:val="20"/>
                <w:lang w:eastAsia="fr-FR"/>
              </w:rPr>
              <w:t>Crédits votés</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14:paraId="6BAFFEF2" w14:textId="77777777" w:rsidR="00CC5B82" w:rsidRPr="00CC49BC" w:rsidRDefault="00CC5B82" w:rsidP="00F12682">
            <w:pPr>
              <w:spacing w:after="0" w:line="240" w:lineRule="auto"/>
              <w:jc w:val="center"/>
              <w:rPr>
                <w:rFonts w:ascii="Calibri" w:eastAsia="Times New Roman" w:hAnsi="Calibri" w:cs="Calibri"/>
                <w:b/>
                <w:color w:val="000000"/>
                <w:sz w:val="18"/>
                <w:szCs w:val="20"/>
                <w:lang w:eastAsia="fr-FR"/>
              </w:rPr>
            </w:pPr>
            <w:r w:rsidRPr="00CC49BC">
              <w:rPr>
                <w:rFonts w:ascii="Calibri" w:eastAsia="Times New Roman" w:hAnsi="Calibri" w:cs="Calibri"/>
                <w:b/>
                <w:color w:val="000000"/>
                <w:sz w:val="18"/>
                <w:szCs w:val="20"/>
                <w:lang w:eastAsia="fr-FR"/>
              </w:rPr>
              <w:t>Crédits libérés</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59D48253" w14:textId="77777777" w:rsidR="00CC5B82" w:rsidRPr="00CC49BC" w:rsidRDefault="00CC5B82" w:rsidP="00F12682">
            <w:pPr>
              <w:spacing w:after="0" w:line="240" w:lineRule="auto"/>
              <w:jc w:val="center"/>
              <w:rPr>
                <w:rFonts w:ascii="Calibri" w:eastAsia="Times New Roman" w:hAnsi="Calibri" w:cs="Calibri"/>
                <w:b/>
                <w:color w:val="000000"/>
                <w:sz w:val="18"/>
                <w:szCs w:val="20"/>
                <w:lang w:eastAsia="fr-FR"/>
              </w:rPr>
            </w:pPr>
            <w:r w:rsidRPr="00CC49BC">
              <w:rPr>
                <w:rFonts w:ascii="Calibri" w:eastAsia="Times New Roman" w:hAnsi="Calibri" w:cs="Calibri"/>
                <w:b/>
                <w:color w:val="000000"/>
                <w:sz w:val="18"/>
                <w:szCs w:val="20"/>
                <w:lang w:eastAsia="fr-FR"/>
              </w:rPr>
              <w:t>Crédits consommés</w:t>
            </w:r>
          </w:p>
        </w:tc>
        <w:tc>
          <w:tcPr>
            <w:tcW w:w="1366" w:type="dxa"/>
            <w:tcBorders>
              <w:top w:val="single" w:sz="8" w:space="0" w:color="auto"/>
              <w:left w:val="nil"/>
              <w:bottom w:val="single" w:sz="8" w:space="0" w:color="auto"/>
              <w:right w:val="single" w:sz="8" w:space="0" w:color="auto"/>
            </w:tcBorders>
            <w:shd w:val="clear" w:color="auto" w:fill="auto"/>
            <w:noWrap/>
            <w:vAlign w:val="center"/>
            <w:hideMark/>
          </w:tcPr>
          <w:p w14:paraId="48988018" w14:textId="77777777" w:rsidR="00CC5B82" w:rsidRPr="00CC49BC" w:rsidRDefault="00CC5B82" w:rsidP="00F12682">
            <w:pPr>
              <w:spacing w:after="0" w:line="240" w:lineRule="auto"/>
              <w:jc w:val="center"/>
              <w:rPr>
                <w:rFonts w:ascii="Calibri" w:eastAsia="Times New Roman" w:hAnsi="Calibri" w:cs="Calibri"/>
                <w:b/>
                <w:color w:val="000000"/>
                <w:sz w:val="18"/>
                <w:szCs w:val="20"/>
                <w:lang w:eastAsia="fr-FR"/>
              </w:rPr>
            </w:pPr>
            <w:r w:rsidRPr="00CC49BC">
              <w:rPr>
                <w:rFonts w:ascii="Calibri" w:eastAsia="Times New Roman" w:hAnsi="Calibri" w:cs="Calibri"/>
                <w:b/>
                <w:color w:val="000000"/>
                <w:sz w:val="18"/>
                <w:szCs w:val="20"/>
                <w:lang w:eastAsia="fr-FR"/>
              </w:rPr>
              <w:t>Taux de consommation</w:t>
            </w:r>
          </w:p>
        </w:tc>
        <w:tc>
          <w:tcPr>
            <w:tcW w:w="1178" w:type="dxa"/>
            <w:tcBorders>
              <w:top w:val="single" w:sz="8" w:space="0" w:color="auto"/>
              <w:left w:val="nil"/>
              <w:bottom w:val="single" w:sz="8" w:space="0" w:color="auto"/>
              <w:right w:val="single" w:sz="8" w:space="0" w:color="auto"/>
            </w:tcBorders>
            <w:shd w:val="clear" w:color="auto" w:fill="auto"/>
            <w:vAlign w:val="center"/>
            <w:hideMark/>
          </w:tcPr>
          <w:p w14:paraId="1D76FFAC" w14:textId="77777777" w:rsidR="00CC5B82" w:rsidRPr="00DB747C" w:rsidRDefault="00CC5B82" w:rsidP="00F12682">
            <w:pPr>
              <w:spacing w:after="0" w:line="240" w:lineRule="auto"/>
              <w:jc w:val="center"/>
              <w:rPr>
                <w:rFonts w:ascii="Calibri" w:eastAsia="Times New Roman" w:hAnsi="Calibri" w:cs="Calibri"/>
                <w:b/>
                <w:color w:val="000000"/>
                <w:sz w:val="18"/>
                <w:szCs w:val="20"/>
                <w:lang w:eastAsia="fr-FR"/>
              </w:rPr>
            </w:pPr>
            <w:r w:rsidRPr="00DB747C">
              <w:rPr>
                <w:rFonts w:ascii="Calibri" w:eastAsia="Times New Roman" w:hAnsi="Calibri" w:cs="Calibri"/>
                <w:b/>
                <w:color w:val="000000"/>
                <w:sz w:val="18"/>
                <w:szCs w:val="20"/>
                <w:lang w:eastAsia="fr-FR"/>
              </w:rPr>
              <w:t>Taux d’absorption</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14:paraId="793B32FC" w14:textId="7F21175F" w:rsidR="00CC5B82" w:rsidRPr="00CC49BC" w:rsidRDefault="00D95A55" w:rsidP="00F12682">
            <w:pPr>
              <w:spacing w:after="0" w:line="240" w:lineRule="auto"/>
              <w:jc w:val="center"/>
              <w:rPr>
                <w:rFonts w:ascii="Calibri" w:eastAsia="Times New Roman" w:hAnsi="Calibri" w:cs="Calibri"/>
                <w:b/>
                <w:color w:val="000000"/>
                <w:sz w:val="18"/>
                <w:szCs w:val="20"/>
                <w:lang w:eastAsia="fr-FR"/>
              </w:rPr>
            </w:pPr>
            <w:r w:rsidRPr="00CC49BC">
              <w:rPr>
                <w:rFonts w:ascii="Calibri" w:eastAsia="Times New Roman" w:hAnsi="Calibri" w:cs="Calibri"/>
                <w:b/>
                <w:color w:val="000000"/>
                <w:sz w:val="18"/>
                <w:szCs w:val="20"/>
                <w:lang w:eastAsia="fr-FR"/>
              </w:rPr>
              <w:t>Importance relative</w:t>
            </w:r>
          </w:p>
        </w:tc>
      </w:tr>
      <w:tr w:rsidR="00CC5B82" w:rsidRPr="00CC5B82" w14:paraId="5FC3FC96" w14:textId="77777777" w:rsidTr="00CC49BC">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380783E1" w14:textId="119E9766" w:rsidR="00CC5B82" w:rsidRPr="00CC5B82" w:rsidRDefault="008C0967" w:rsidP="00F12682">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Personnel</w:t>
            </w:r>
          </w:p>
        </w:tc>
        <w:tc>
          <w:tcPr>
            <w:tcW w:w="1391" w:type="dxa"/>
            <w:tcBorders>
              <w:top w:val="nil"/>
              <w:left w:val="nil"/>
              <w:bottom w:val="single" w:sz="8" w:space="0" w:color="auto"/>
              <w:right w:val="single" w:sz="8" w:space="0" w:color="auto"/>
            </w:tcBorders>
            <w:shd w:val="clear" w:color="auto" w:fill="auto"/>
            <w:noWrap/>
            <w:vAlign w:val="center"/>
            <w:hideMark/>
          </w:tcPr>
          <w:p w14:paraId="135B1819"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5 624 282 119</w:t>
            </w:r>
          </w:p>
        </w:tc>
        <w:tc>
          <w:tcPr>
            <w:tcW w:w="1658" w:type="dxa"/>
            <w:tcBorders>
              <w:top w:val="nil"/>
              <w:left w:val="nil"/>
              <w:bottom w:val="single" w:sz="8" w:space="0" w:color="auto"/>
              <w:right w:val="single" w:sz="8" w:space="0" w:color="auto"/>
            </w:tcBorders>
            <w:shd w:val="clear" w:color="auto" w:fill="auto"/>
            <w:vAlign w:val="center"/>
            <w:hideMark/>
          </w:tcPr>
          <w:p w14:paraId="28B823E4"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5 624 282 119</w:t>
            </w:r>
          </w:p>
        </w:tc>
        <w:tc>
          <w:tcPr>
            <w:tcW w:w="1560" w:type="dxa"/>
            <w:tcBorders>
              <w:top w:val="nil"/>
              <w:left w:val="nil"/>
              <w:bottom w:val="single" w:sz="8" w:space="0" w:color="auto"/>
              <w:right w:val="single" w:sz="8" w:space="0" w:color="auto"/>
            </w:tcBorders>
            <w:shd w:val="clear" w:color="auto" w:fill="auto"/>
            <w:noWrap/>
            <w:vAlign w:val="center"/>
            <w:hideMark/>
          </w:tcPr>
          <w:p w14:paraId="3B45AD22"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5 408 130 609</w:t>
            </w:r>
          </w:p>
        </w:tc>
        <w:tc>
          <w:tcPr>
            <w:tcW w:w="1366" w:type="dxa"/>
            <w:tcBorders>
              <w:top w:val="nil"/>
              <w:left w:val="nil"/>
              <w:bottom w:val="single" w:sz="8" w:space="0" w:color="auto"/>
              <w:right w:val="single" w:sz="8" w:space="0" w:color="auto"/>
            </w:tcBorders>
            <w:shd w:val="clear" w:color="auto" w:fill="auto"/>
            <w:noWrap/>
            <w:vAlign w:val="center"/>
            <w:hideMark/>
          </w:tcPr>
          <w:p w14:paraId="7B0FB9E1"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96%</w:t>
            </w:r>
          </w:p>
        </w:tc>
        <w:tc>
          <w:tcPr>
            <w:tcW w:w="1178" w:type="dxa"/>
            <w:tcBorders>
              <w:top w:val="nil"/>
              <w:left w:val="nil"/>
              <w:bottom w:val="single" w:sz="8" w:space="0" w:color="auto"/>
              <w:right w:val="single" w:sz="8" w:space="0" w:color="auto"/>
            </w:tcBorders>
            <w:shd w:val="clear" w:color="auto" w:fill="auto"/>
            <w:vAlign w:val="center"/>
            <w:hideMark/>
          </w:tcPr>
          <w:p w14:paraId="255AE659" w14:textId="77777777" w:rsidR="00CC5B82" w:rsidRPr="00DB747C" w:rsidRDefault="00CC5B82" w:rsidP="00F12682">
            <w:pPr>
              <w:spacing w:after="0" w:line="240" w:lineRule="auto"/>
              <w:jc w:val="right"/>
              <w:rPr>
                <w:rFonts w:ascii="Calibri" w:eastAsia="Times New Roman" w:hAnsi="Calibri" w:cs="Calibri"/>
                <w:color w:val="000000"/>
                <w:sz w:val="20"/>
                <w:szCs w:val="20"/>
                <w:lang w:eastAsia="fr-FR"/>
              </w:rPr>
            </w:pPr>
            <w:r w:rsidRPr="00DB747C">
              <w:rPr>
                <w:rFonts w:ascii="Calibri" w:eastAsia="Times New Roman" w:hAnsi="Calibri" w:cs="Calibri"/>
                <w:color w:val="000000"/>
                <w:sz w:val="20"/>
                <w:szCs w:val="20"/>
                <w:lang w:eastAsia="fr-FR"/>
              </w:rPr>
              <w:t>96%</w:t>
            </w:r>
          </w:p>
        </w:tc>
        <w:tc>
          <w:tcPr>
            <w:tcW w:w="1126" w:type="dxa"/>
            <w:tcBorders>
              <w:top w:val="nil"/>
              <w:left w:val="nil"/>
              <w:bottom w:val="single" w:sz="8" w:space="0" w:color="auto"/>
              <w:right w:val="single" w:sz="8" w:space="0" w:color="auto"/>
            </w:tcBorders>
            <w:shd w:val="clear" w:color="auto" w:fill="auto"/>
            <w:noWrap/>
            <w:vAlign w:val="center"/>
            <w:hideMark/>
          </w:tcPr>
          <w:p w14:paraId="2B43B6AE"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7%</w:t>
            </w:r>
          </w:p>
        </w:tc>
      </w:tr>
      <w:tr w:rsidR="00CC5B82" w:rsidRPr="00CC5B82" w14:paraId="1E24709F" w14:textId="77777777" w:rsidTr="00CC49BC">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7CBDFC5A" w14:textId="77777777" w:rsidR="00CC5B82" w:rsidRPr="00CC5B82" w:rsidRDefault="00CC5B82" w:rsidP="00F12682">
            <w:pPr>
              <w:spacing w:after="0" w:line="240" w:lineRule="auto"/>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Fonctionnement</w:t>
            </w:r>
          </w:p>
        </w:tc>
        <w:tc>
          <w:tcPr>
            <w:tcW w:w="1391" w:type="dxa"/>
            <w:tcBorders>
              <w:top w:val="nil"/>
              <w:left w:val="nil"/>
              <w:bottom w:val="single" w:sz="8" w:space="0" w:color="auto"/>
              <w:right w:val="single" w:sz="8" w:space="0" w:color="auto"/>
            </w:tcBorders>
            <w:shd w:val="clear" w:color="auto" w:fill="auto"/>
            <w:noWrap/>
            <w:vAlign w:val="center"/>
            <w:hideMark/>
          </w:tcPr>
          <w:p w14:paraId="1F86FE2F"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1 572 437 483</w:t>
            </w:r>
          </w:p>
        </w:tc>
        <w:tc>
          <w:tcPr>
            <w:tcW w:w="1658" w:type="dxa"/>
            <w:tcBorders>
              <w:top w:val="nil"/>
              <w:left w:val="nil"/>
              <w:bottom w:val="single" w:sz="8" w:space="0" w:color="auto"/>
              <w:right w:val="single" w:sz="8" w:space="0" w:color="auto"/>
            </w:tcBorders>
            <w:shd w:val="clear" w:color="auto" w:fill="auto"/>
            <w:vAlign w:val="center"/>
            <w:hideMark/>
          </w:tcPr>
          <w:p w14:paraId="18D223B9"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619 255 093</w:t>
            </w:r>
          </w:p>
        </w:tc>
        <w:tc>
          <w:tcPr>
            <w:tcW w:w="1560" w:type="dxa"/>
            <w:tcBorders>
              <w:top w:val="nil"/>
              <w:left w:val="nil"/>
              <w:bottom w:val="single" w:sz="8" w:space="0" w:color="auto"/>
              <w:right w:val="single" w:sz="8" w:space="0" w:color="auto"/>
            </w:tcBorders>
            <w:shd w:val="clear" w:color="auto" w:fill="auto"/>
            <w:noWrap/>
            <w:vAlign w:val="center"/>
            <w:hideMark/>
          </w:tcPr>
          <w:p w14:paraId="50B13118"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602 244 056</w:t>
            </w:r>
          </w:p>
        </w:tc>
        <w:tc>
          <w:tcPr>
            <w:tcW w:w="1366" w:type="dxa"/>
            <w:tcBorders>
              <w:top w:val="nil"/>
              <w:left w:val="nil"/>
              <w:bottom w:val="single" w:sz="8" w:space="0" w:color="auto"/>
              <w:right w:val="single" w:sz="8" w:space="0" w:color="auto"/>
            </w:tcBorders>
            <w:shd w:val="clear" w:color="auto" w:fill="auto"/>
            <w:noWrap/>
            <w:vAlign w:val="center"/>
            <w:hideMark/>
          </w:tcPr>
          <w:p w14:paraId="38B54B19"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38%</w:t>
            </w:r>
          </w:p>
        </w:tc>
        <w:tc>
          <w:tcPr>
            <w:tcW w:w="1178" w:type="dxa"/>
            <w:tcBorders>
              <w:top w:val="nil"/>
              <w:left w:val="nil"/>
              <w:bottom w:val="single" w:sz="8" w:space="0" w:color="auto"/>
              <w:right w:val="single" w:sz="8" w:space="0" w:color="auto"/>
            </w:tcBorders>
            <w:shd w:val="clear" w:color="auto" w:fill="auto"/>
            <w:vAlign w:val="center"/>
            <w:hideMark/>
          </w:tcPr>
          <w:p w14:paraId="1E0ECEB5" w14:textId="77777777" w:rsidR="00CC5B82" w:rsidRPr="00DB747C" w:rsidRDefault="00CC5B82" w:rsidP="00F12682">
            <w:pPr>
              <w:spacing w:after="0" w:line="240" w:lineRule="auto"/>
              <w:jc w:val="right"/>
              <w:rPr>
                <w:rFonts w:ascii="Calibri" w:eastAsia="Times New Roman" w:hAnsi="Calibri" w:cs="Calibri"/>
                <w:color w:val="000000"/>
                <w:sz w:val="20"/>
                <w:szCs w:val="20"/>
                <w:lang w:eastAsia="fr-FR"/>
              </w:rPr>
            </w:pPr>
            <w:r w:rsidRPr="00DB747C">
              <w:rPr>
                <w:rFonts w:ascii="Calibri" w:eastAsia="Times New Roman" w:hAnsi="Calibri" w:cs="Calibri"/>
                <w:color w:val="000000"/>
                <w:sz w:val="20"/>
                <w:szCs w:val="20"/>
                <w:lang w:eastAsia="fr-FR"/>
              </w:rPr>
              <w:t>97%</w:t>
            </w:r>
          </w:p>
        </w:tc>
        <w:tc>
          <w:tcPr>
            <w:tcW w:w="1126" w:type="dxa"/>
            <w:tcBorders>
              <w:top w:val="nil"/>
              <w:left w:val="nil"/>
              <w:bottom w:val="single" w:sz="8" w:space="0" w:color="auto"/>
              <w:right w:val="single" w:sz="8" w:space="0" w:color="auto"/>
            </w:tcBorders>
            <w:shd w:val="clear" w:color="auto" w:fill="auto"/>
            <w:noWrap/>
            <w:vAlign w:val="center"/>
            <w:hideMark/>
          </w:tcPr>
          <w:p w14:paraId="391CBA50"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2%</w:t>
            </w:r>
          </w:p>
        </w:tc>
      </w:tr>
      <w:tr w:rsidR="00CC5B82" w:rsidRPr="00CC5B82" w14:paraId="60BBBB48" w14:textId="77777777" w:rsidTr="00CC49BC">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77014A44" w14:textId="77777777" w:rsidR="00CC5B82" w:rsidRPr="00CC5B82" w:rsidRDefault="00CC5B82" w:rsidP="00F12682">
            <w:pPr>
              <w:spacing w:after="0" w:line="240" w:lineRule="auto"/>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Transfert</w:t>
            </w:r>
          </w:p>
        </w:tc>
        <w:tc>
          <w:tcPr>
            <w:tcW w:w="1391" w:type="dxa"/>
            <w:tcBorders>
              <w:top w:val="nil"/>
              <w:left w:val="nil"/>
              <w:bottom w:val="single" w:sz="8" w:space="0" w:color="auto"/>
              <w:right w:val="single" w:sz="8" w:space="0" w:color="auto"/>
            </w:tcBorders>
            <w:shd w:val="clear" w:color="auto" w:fill="auto"/>
            <w:noWrap/>
            <w:vAlign w:val="center"/>
            <w:hideMark/>
          </w:tcPr>
          <w:p w14:paraId="078B0FFD"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2 080 184 544</w:t>
            </w:r>
          </w:p>
        </w:tc>
        <w:tc>
          <w:tcPr>
            <w:tcW w:w="1658" w:type="dxa"/>
            <w:tcBorders>
              <w:top w:val="nil"/>
              <w:left w:val="nil"/>
              <w:bottom w:val="single" w:sz="8" w:space="0" w:color="auto"/>
              <w:right w:val="single" w:sz="8" w:space="0" w:color="auto"/>
            </w:tcBorders>
            <w:shd w:val="clear" w:color="auto" w:fill="auto"/>
            <w:vAlign w:val="center"/>
            <w:hideMark/>
          </w:tcPr>
          <w:p w14:paraId="7CF104FE"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1 837 930 626</w:t>
            </w:r>
          </w:p>
        </w:tc>
        <w:tc>
          <w:tcPr>
            <w:tcW w:w="1560" w:type="dxa"/>
            <w:tcBorders>
              <w:top w:val="nil"/>
              <w:left w:val="nil"/>
              <w:bottom w:val="single" w:sz="8" w:space="0" w:color="auto"/>
              <w:right w:val="single" w:sz="8" w:space="0" w:color="auto"/>
            </w:tcBorders>
            <w:shd w:val="clear" w:color="auto" w:fill="auto"/>
            <w:noWrap/>
            <w:vAlign w:val="center"/>
            <w:hideMark/>
          </w:tcPr>
          <w:p w14:paraId="45598B4B"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1 837 620 109</w:t>
            </w:r>
          </w:p>
        </w:tc>
        <w:tc>
          <w:tcPr>
            <w:tcW w:w="1366" w:type="dxa"/>
            <w:tcBorders>
              <w:top w:val="nil"/>
              <w:left w:val="nil"/>
              <w:bottom w:val="single" w:sz="8" w:space="0" w:color="auto"/>
              <w:right w:val="single" w:sz="8" w:space="0" w:color="auto"/>
            </w:tcBorders>
            <w:shd w:val="clear" w:color="auto" w:fill="auto"/>
            <w:noWrap/>
            <w:vAlign w:val="center"/>
            <w:hideMark/>
          </w:tcPr>
          <w:p w14:paraId="1741A260"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88%</w:t>
            </w:r>
          </w:p>
        </w:tc>
        <w:tc>
          <w:tcPr>
            <w:tcW w:w="1178" w:type="dxa"/>
            <w:tcBorders>
              <w:top w:val="nil"/>
              <w:left w:val="nil"/>
              <w:bottom w:val="single" w:sz="8" w:space="0" w:color="auto"/>
              <w:right w:val="single" w:sz="8" w:space="0" w:color="auto"/>
            </w:tcBorders>
            <w:shd w:val="clear" w:color="auto" w:fill="auto"/>
            <w:vAlign w:val="center"/>
            <w:hideMark/>
          </w:tcPr>
          <w:p w14:paraId="4BFF0674" w14:textId="77777777" w:rsidR="00CC5B82" w:rsidRPr="00DB747C" w:rsidRDefault="00CC5B82" w:rsidP="00F12682">
            <w:pPr>
              <w:spacing w:after="0" w:line="240" w:lineRule="auto"/>
              <w:jc w:val="right"/>
              <w:rPr>
                <w:rFonts w:ascii="Calibri" w:eastAsia="Times New Roman" w:hAnsi="Calibri" w:cs="Calibri"/>
                <w:color w:val="000000"/>
                <w:sz w:val="20"/>
                <w:szCs w:val="20"/>
                <w:lang w:eastAsia="fr-FR"/>
              </w:rPr>
            </w:pPr>
            <w:r w:rsidRPr="00DB747C">
              <w:rPr>
                <w:rFonts w:ascii="Calibri" w:eastAsia="Times New Roman" w:hAnsi="Calibri" w:cs="Calibri"/>
                <w:color w:val="000000"/>
                <w:sz w:val="20"/>
                <w:szCs w:val="20"/>
                <w:lang w:eastAsia="fr-FR"/>
              </w:rPr>
              <w:t>100%</w:t>
            </w:r>
          </w:p>
        </w:tc>
        <w:tc>
          <w:tcPr>
            <w:tcW w:w="1126" w:type="dxa"/>
            <w:tcBorders>
              <w:top w:val="nil"/>
              <w:left w:val="nil"/>
              <w:bottom w:val="single" w:sz="8" w:space="0" w:color="auto"/>
              <w:right w:val="single" w:sz="8" w:space="0" w:color="auto"/>
            </w:tcBorders>
            <w:shd w:val="clear" w:color="auto" w:fill="auto"/>
            <w:noWrap/>
            <w:vAlign w:val="center"/>
            <w:hideMark/>
          </w:tcPr>
          <w:p w14:paraId="11A77838"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3%</w:t>
            </w:r>
          </w:p>
        </w:tc>
      </w:tr>
      <w:tr w:rsidR="00CC5B82" w:rsidRPr="00CC5B82" w14:paraId="3DF4DE90" w14:textId="77777777" w:rsidTr="00CC49BC">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1D0CA92D" w14:textId="77777777" w:rsidR="00CC5B82" w:rsidRPr="00CC5B82" w:rsidRDefault="00CC5B82" w:rsidP="00F12682">
            <w:pPr>
              <w:spacing w:after="0" w:line="240" w:lineRule="auto"/>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Investissement</w:t>
            </w:r>
          </w:p>
        </w:tc>
        <w:tc>
          <w:tcPr>
            <w:tcW w:w="1391" w:type="dxa"/>
            <w:tcBorders>
              <w:top w:val="nil"/>
              <w:left w:val="nil"/>
              <w:bottom w:val="single" w:sz="8" w:space="0" w:color="auto"/>
              <w:right w:val="single" w:sz="8" w:space="0" w:color="auto"/>
            </w:tcBorders>
            <w:shd w:val="clear" w:color="auto" w:fill="auto"/>
            <w:noWrap/>
            <w:vAlign w:val="center"/>
            <w:hideMark/>
          </w:tcPr>
          <w:p w14:paraId="09C2EC08"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69 186 878 746</w:t>
            </w:r>
          </w:p>
        </w:tc>
        <w:tc>
          <w:tcPr>
            <w:tcW w:w="1658" w:type="dxa"/>
            <w:tcBorders>
              <w:top w:val="nil"/>
              <w:left w:val="nil"/>
              <w:bottom w:val="single" w:sz="8" w:space="0" w:color="auto"/>
              <w:right w:val="single" w:sz="8" w:space="0" w:color="auto"/>
            </w:tcBorders>
            <w:shd w:val="clear" w:color="auto" w:fill="auto"/>
            <w:vAlign w:val="center"/>
            <w:hideMark/>
          </w:tcPr>
          <w:p w14:paraId="15E5A9BA"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58 079 808 768</w:t>
            </w:r>
          </w:p>
        </w:tc>
        <w:tc>
          <w:tcPr>
            <w:tcW w:w="1560" w:type="dxa"/>
            <w:tcBorders>
              <w:top w:val="nil"/>
              <w:left w:val="nil"/>
              <w:bottom w:val="single" w:sz="8" w:space="0" w:color="auto"/>
              <w:right w:val="single" w:sz="8" w:space="0" w:color="auto"/>
            </w:tcBorders>
            <w:shd w:val="clear" w:color="auto" w:fill="auto"/>
            <w:noWrap/>
            <w:vAlign w:val="center"/>
            <w:hideMark/>
          </w:tcPr>
          <w:p w14:paraId="26AD0E9A"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19 509 530 873</w:t>
            </w:r>
          </w:p>
        </w:tc>
        <w:tc>
          <w:tcPr>
            <w:tcW w:w="1366" w:type="dxa"/>
            <w:tcBorders>
              <w:top w:val="nil"/>
              <w:left w:val="nil"/>
              <w:bottom w:val="single" w:sz="8" w:space="0" w:color="auto"/>
              <w:right w:val="single" w:sz="8" w:space="0" w:color="auto"/>
            </w:tcBorders>
            <w:shd w:val="clear" w:color="auto" w:fill="auto"/>
            <w:noWrap/>
            <w:vAlign w:val="center"/>
            <w:hideMark/>
          </w:tcPr>
          <w:p w14:paraId="5815EF1A"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28%</w:t>
            </w:r>
          </w:p>
        </w:tc>
        <w:tc>
          <w:tcPr>
            <w:tcW w:w="1178" w:type="dxa"/>
            <w:tcBorders>
              <w:top w:val="nil"/>
              <w:left w:val="nil"/>
              <w:bottom w:val="single" w:sz="8" w:space="0" w:color="auto"/>
              <w:right w:val="single" w:sz="8" w:space="0" w:color="auto"/>
            </w:tcBorders>
            <w:shd w:val="clear" w:color="auto" w:fill="auto"/>
            <w:vAlign w:val="center"/>
            <w:hideMark/>
          </w:tcPr>
          <w:p w14:paraId="5C82AB62" w14:textId="77777777" w:rsidR="00CC5B82" w:rsidRPr="00DB747C" w:rsidRDefault="00CC5B82" w:rsidP="00F12682">
            <w:pPr>
              <w:spacing w:after="0" w:line="240" w:lineRule="auto"/>
              <w:jc w:val="right"/>
              <w:rPr>
                <w:rFonts w:ascii="Calibri" w:eastAsia="Times New Roman" w:hAnsi="Calibri" w:cs="Calibri"/>
                <w:color w:val="000000"/>
                <w:sz w:val="20"/>
                <w:szCs w:val="20"/>
                <w:lang w:eastAsia="fr-FR"/>
              </w:rPr>
            </w:pPr>
            <w:r w:rsidRPr="00DB747C">
              <w:rPr>
                <w:rFonts w:ascii="Calibri" w:eastAsia="Times New Roman" w:hAnsi="Calibri" w:cs="Calibri"/>
                <w:color w:val="000000"/>
                <w:sz w:val="20"/>
                <w:szCs w:val="20"/>
                <w:lang w:eastAsia="fr-FR"/>
              </w:rPr>
              <w:t>34%</w:t>
            </w:r>
          </w:p>
        </w:tc>
        <w:tc>
          <w:tcPr>
            <w:tcW w:w="1126" w:type="dxa"/>
            <w:tcBorders>
              <w:top w:val="nil"/>
              <w:left w:val="nil"/>
              <w:bottom w:val="single" w:sz="8" w:space="0" w:color="auto"/>
              <w:right w:val="single" w:sz="8" w:space="0" w:color="auto"/>
            </w:tcBorders>
            <w:shd w:val="clear" w:color="auto" w:fill="auto"/>
            <w:noWrap/>
            <w:vAlign w:val="center"/>
            <w:hideMark/>
          </w:tcPr>
          <w:p w14:paraId="1BF5C0DF" w14:textId="77777777" w:rsidR="00CC5B82" w:rsidRPr="00CC5B82" w:rsidRDefault="00CC5B82" w:rsidP="00F12682">
            <w:pPr>
              <w:spacing w:after="0" w:line="240" w:lineRule="auto"/>
              <w:jc w:val="right"/>
              <w:rPr>
                <w:rFonts w:ascii="Calibri" w:eastAsia="Times New Roman" w:hAnsi="Calibri" w:cs="Calibri"/>
                <w:color w:val="000000"/>
                <w:sz w:val="20"/>
                <w:szCs w:val="20"/>
                <w:lang w:eastAsia="fr-FR"/>
              </w:rPr>
            </w:pPr>
            <w:r w:rsidRPr="00CC5B82">
              <w:rPr>
                <w:rFonts w:ascii="Calibri" w:eastAsia="Times New Roman" w:hAnsi="Calibri" w:cs="Calibri"/>
                <w:color w:val="000000"/>
                <w:sz w:val="20"/>
                <w:szCs w:val="20"/>
                <w:lang w:eastAsia="fr-FR"/>
              </w:rPr>
              <w:t>88%</w:t>
            </w:r>
          </w:p>
        </w:tc>
      </w:tr>
      <w:tr w:rsidR="00CC5B82" w:rsidRPr="00CC49BC" w14:paraId="266294A6" w14:textId="77777777" w:rsidTr="00CC49BC">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760B12F3" w14:textId="04FADDD4" w:rsidR="00CC5B82" w:rsidRPr="00CC49BC" w:rsidRDefault="00AD5A25" w:rsidP="00F12682">
            <w:pPr>
              <w:spacing w:after="0" w:line="240" w:lineRule="auto"/>
              <w:jc w:val="center"/>
              <w:rPr>
                <w:rFonts w:ascii="Calibri" w:eastAsia="Times New Roman" w:hAnsi="Calibri" w:cs="Calibri"/>
                <w:b/>
                <w:color w:val="000000"/>
                <w:sz w:val="20"/>
                <w:szCs w:val="20"/>
                <w:lang w:eastAsia="fr-FR"/>
              </w:rPr>
            </w:pPr>
            <w:r>
              <w:rPr>
                <w:rFonts w:ascii="Calibri" w:eastAsia="Times New Roman" w:hAnsi="Calibri" w:cs="Calibri"/>
                <w:b/>
                <w:color w:val="000000"/>
                <w:sz w:val="20"/>
                <w:szCs w:val="20"/>
                <w:lang w:eastAsia="fr-FR"/>
              </w:rPr>
              <w:t>Total</w:t>
            </w:r>
          </w:p>
        </w:tc>
        <w:tc>
          <w:tcPr>
            <w:tcW w:w="1391" w:type="dxa"/>
            <w:tcBorders>
              <w:top w:val="nil"/>
              <w:left w:val="nil"/>
              <w:bottom w:val="single" w:sz="8" w:space="0" w:color="auto"/>
              <w:right w:val="single" w:sz="8" w:space="0" w:color="auto"/>
            </w:tcBorders>
            <w:shd w:val="clear" w:color="auto" w:fill="auto"/>
            <w:noWrap/>
            <w:vAlign w:val="center"/>
            <w:hideMark/>
          </w:tcPr>
          <w:p w14:paraId="21E2EFE9" w14:textId="77777777" w:rsidR="00CC5B82" w:rsidRPr="00CC49BC" w:rsidRDefault="00CC5B82" w:rsidP="00F12682">
            <w:pPr>
              <w:spacing w:after="0" w:line="240" w:lineRule="auto"/>
              <w:jc w:val="right"/>
              <w:rPr>
                <w:rFonts w:ascii="Calibri" w:eastAsia="Times New Roman" w:hAnsi="Calibri" w:cs="Calibri"/>
                <w:b/>
                <w:color w:val="000000"/>
                <w:sz w:val="20"/>
                <w:szCs w:val="20"/>
                <w:lang w:eastAsia="fr-FR"/>
              </w:rPr>
            </w:pPr>
            <w:r w:rsidRPr="00CC49BC">
              <w:rPr>
                <w:rFonts w:ascii="Calibri" w:eastAsia="Times New Roman" w:hAnsi="Calibri" w:cs="Calibri"/>
                <w:b/>
                <w:color w:val="000000"/>
                <w:sz w:val="20"/>
                <w:szCs w:val="20"/>
                <w:lang w:eastAsia="fr-FR"/>
              </w:rPr>
              <w:t>78 463 782 892</w:t>
            </w:r>
          </w:p>
        </w:tc>
        <w:tc>
          <w:tcPr>
            <w:tcW w:w="1658" w:type="dxa"/>
            <w:tcBorders>
              <w:top w:val="nil"/>
              <w:left w:val="nil"/>
              <w:bottom w:val="single" w:sz="8" w:space="0" w:color="auto"/>
              <w:right w:val="single" w:sz="8" w:space="0" w:color="auto"/>
            </w:tcBorders>
            <w:shd w:val="clear" w:color="auto" w:fill="auto"/>
            <w:vAlign w:val="center"/>
            <w:hideMark/>
          </w:tcPr>
          <w:p w14:paraId="1A1A8C66" w14:textId="77777777" w:rsidR="00CC5B82" w:rsidRPr="00CC49BC" w:rsidRDefault="00CC5B82" w:rsidP="00F12682">
            <w:pPr>
              <w:spacing w:after="0" w:line="240" w:lineRule="auto"/>
              <w:jc w:val="right"/>
              <w:rPr>
                <w:rFonts w:ascii="Calibri" w:eastAsia="Times New Roman" w:hAnsi="Calibri" w:cs="Calibri"/>
                <w:b/>
                <w:color w:val="000000"/>
                <w:sz w:val="20"/>
                <w:szCs w:val="20"/>
                <w:lang w:eastAsia="fr-FR"/>
              </w:rPr>
            </w:pPr>
            <w:r w:rsidRPr="00CC49BC">
              <w:rPr>
                <w:rFonts w:ascii="Calibri" w:eastAsia="Times New Roman" w:hAnsi="Calibri" w:cs="Calibri"/>
                <w:b/>
                <w:color w:val="000000"/>
                <w:sz w:val="20"/>
                <w:szCs w:val="20"/>
                <w:lang w:eastAsia="fr-FR"/>
              </w:rPr>
              <w:t>66 161 276 606</w:t>
            </w:r>
          </w:p>
        </w:tc>
        <w:tc>
          <w:tcPr>
            <w:tcW w:w="1560" w:type="dxa"/>
            <w:tcBorders>
              <w:top w:val="nil"/>
              <w:left w:val="nil"/>
              <w:bottom w:val="single" w:sz="8" w:space="0" w:color="auto"/>
              <w:right w:val="single" w:sz="8" w:space="0" w:color="auto"/>
            </w:tcBorders>
            <w:shd w:val="clear" w:color="auto" w:fill="auto"/>
            <w:noWrap/>
            <w:vAlign w:val="center"/>
            <w:hideMark/>
          </w:tcPr>
          <w:p w14:paraId="0788D4DD" w14:textId="77777777" w:rsidR="00CC5B82" w:rsidRPr="00CC49BC" w:rsidRDefault="00CC5B82" w:rsidP="00F12682">
            <w:pPr>
              <w:spacing w:after="0" w:line="240" w:lineRule="auto"/>
              <w:jc w:val="right"/>
              <w:rPr>
                <w:rFonts w:ascii="Calibri" w:eastAsia="Times New Roman" w:hAnsi="Calibri" w:cs="Calibri"/>
                <w:b/>
                <w:color w:val="000000"/>
                <w:sz w:val="20"/>
                <w:szCs w:val="20"/>
                <w:lang w:eastAsia="fr-FR"/>
              </w:rPr>
            </w:pPr>
            <w:r w:rsidRPr="00CC49BC">
              <w:rPr>
                <w:rFonts w:ascii="Calibri" w:eastAsia="Times New Roman" w:hAnsi="Calibri" w:cs="Calibri"/>
                <w:b/>
                <w:color w:val="000000"/>
                <w:sz w:val="20"/>
                <w:szCs w:val="20"/>
                <w:lang w:eastAsia="fr-FR"/>
              </w:rPr>
              <w:t>27 357 525 647</w:t>
            </w:r>
          </w:p>
        </w:tc>
        <w:tc>
          <w:tcPr>
            <w:tcW w:w="1366" w:type="dxa"/>
            <w:tcBorders>
              <w:top w:val="nil"/>
              <w:left w:val="nil"/>
              <w:bottom w:val="single" w:sz="8" w:space="0" w:color="auto"/>
              <w:right w:val="single" w:sz="8" w:space="0" w:color="auto"/>
            </w:tcBorders>
            <w:shd w:val="clear" w:color="auto" w:fill="auto"/>
            <w:noWrap/>
            <w:vAlign w:val="center"/>
            <w:hideMark/>
          </w:tcPr>
          <w:p w14:paraId="275AD16B" w14:textId="77777777" w:rsidR="00CC5B82" w:rsidRPr="00CC49BC" w:rsidRDefault="00CC5B82" w:rsidP="00F12682">
            <w:pPr>
              <w:spacing w:after="0" w:line="240" w:lineRule="auto"/>
              <w:jc w:val="right"/>
              <w:rPr>
                <w:rFonts w:ascii="Calibri" w:eastAsia="Times New Roman" w:hAnsi="Calibri" w:cs="Calibri"/>
                <w:b/>
                <w:color w:val="000000"/>
                <w:sz w:val="20"/>
                <w:szCs w:val="20"/>
                <w:lang w:eastAsia="fr-FR"/>
              </w:rPr>
            </w:pPr>
            <w:r w:rsidRPr="00CC49BC">
              <w:rPr>
                <w:rFonts w:ascii="Calibri" w:eastAsia="Times New Roman" w:hAnsi="Calibri" w:cs="Calibri"/>
                <w:b/>
                <w:color w:val="000000"/>
                <w:sz w:val="20"/>
                <w:szCs w:val="20"/>
                <w:lang w:eastAsia="fr-FR"/>
              </w:rPr>
              <w:t>35%</w:t>
            </w:r>
          </w:p>
        </w:tc>
        <w:tc>
          <w:tcPr>
            <w:tcW w:w="1178" w:type="dxa"/>
            <w:tcBorders>
              <w:top w:val="nil"/>
              <w:left w:val="nil"/>
              <w:bottom w:val="single" w:sz="8" w:space="0" w:color="auto"/>
              <w:right w:val="single" w:sz="8" w:space="0" w:color="auto"/>
            </w:tcBorders>
            <w:shd w:val="clear" w:color="auto" w:fill="auto"/>
            <w:vAlign w:val="center"/>
            <w:hideMark/>
          </w:tcPr>
          <w:p w14:paraId="6220B303" w14:textId="77777777" w:rsidR="00CC5B82" w:rsidRPr="00DB747C" w:rsidRDefault="00CC5B82" w:rsidP="00F12682">
            <w:pPr>
              <w:spacing w:after="0" w:line="240" w:lineRule="auto"/>
              <w:jc w:val="right"/>
              <w:rPr>
                <w:rFonts w:ascii="Calibri" w:eastAsia="Times New Roman" w:hAnsi="Calibri" w:cs="Calibri"/>
                <w:b/>
                <w:color w:val="000000"/>
                <w:sz w:val="20"/>
                <w:szCs w:val="20"/>
                <w:lang w:eastAsia="fr-FR"/>
              </w:rPr>
            </w:pPr>
            <w:r w:rsidRPr="00DB747C">
              <w:rPr>
                <w:rFonts w:ascii="Calibri" w:eastAsia="Times New Roman" w:hAnsi="Calibri" w:cs="Calibri"/>
                <w:b/>
                <w:color w:val="000000"/>
                <w:sz w:val="20"/>
                <w:szCs w:val="20"/>
                <w:lang w:eastAsia="fr-FR"/>
              </w:rPr>
              <w:t>41%</w:t>
            </w:r>
          </w:p>
        </w:tc>
        <w:tc>
          <w:tcPr>
            <w:tcW w:w="1126" w:type="dxa"/>
            <w:tcBorders>
              <w:top w:val="nil"/>
              <w:left w:val="nil"/>
              <w:bottom w:val="single" w:sz="8" w:space="0" w:color="auto"/>
              <w:right w:val="single" w:sz="8" w:space="0" w:color="auto"/>
            </w:tcBorders>
            <w:shd w:val="clear" w:color="auto" w:fill="auto"/>
            <w:noWrap/>
            <w:vAlign w:val="center"/>
            <w:hideMark/>
          </w:tcPr>
          <w:p w14:paraId="1B805C53" w14:textId="77777777" w:rsidR="00CC5B82" w:rsidRPr="00CC49BC" w:rsidRDefault="00CC5B82" w:rsidP="00F12682">
            <w:pPr>
              <w:spacing w:after="0" w:line="240" w:lineRule="auto"/>
              <w:jc w:val="right"/>
              <w:rPr>
                <w:rFonts w:ascii="Calibri" w:eastAsia="Times New Roman" w:hAnsi="Calibri" w:cs="Calibri"/>
                <w:b/>
                <w:color w:val="000000"/>
                <w:sz w:val="20"/>
                <w:szCs w:val="20"/>
                <w:lang w:eastAsia="fr-FR"/>
              </w:rPr>
            </w:pPr>
            <w:r w:rsidRPr="00CC49BC">
              <w:rPr>
                <w:rFonts w:ascii="Calibri" w:eastAsia="Times New Roman" w:hAnsi="Calibri" w:cs="Calibri"/>
                <w:b/>
                <w:color w:val="000000"/>
                <w:sz w:val="20"/>
                <w:szCs w:val="20"/>
                <w:lang w:eastAsia="fr-FR"/>
              </w:rPr>
              <w:t>100%</w:t>
            </w:r>
          </w:p>
        </w:tc>
      </w:tr>
    </w:tbl>
    <w:p w14:paraId="213B64C5" w14:textId="4A6235F6" w:rsidR="008F6BEA" w:rsidRPr="00D73A12" w:rsidRDefault="008F6BEA" w:rsidP="00F12682">
      <w:pPr>
        <w:rPr>
          <w:rFonts w:cstheme="minorHAnsi"/>
        </w:rPr>
      </w:pPr>
    </w:p>
    <w:p w14:paraId="4E8459C3" w14:textId="77777777" w:rsidR="0075712E" w:rsidRDefault="0075712E" w:rsidP="00F12682">
      <w:pPr>
        <w:pStyle w:val="Titre4"/>
        <w:rPr>
          <w:rFonts w:asciiTheme="minorHAnsi" w:hAnsiTheme="minorHAnsi" w:cstheme="minorHAnsi"/>
        </w:rPr>
      </w:pPr>
      <w:r w:rsidRPr="004A5122">
        <w:rPr>
          <w:rFonts w:asciiTheme="minorHAnsi" w:hAnsiTheme="minorHAnsi" w:cstheme="minorHAnsi"/>
        </w:rPr>
        <w:t>Analyse de la capacité d’absorption des financements</w:t>
      </w:r>
    </w:p>
    <w:p w14:paraId="09A65CFB" w14:textId="726A1666" w:rsidR="00CC49BC" w:rsidRDefault="00B57677"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 xml:space="preserve">Le faible taux </w:t>
      </w:r>
      <w:r w:rsidR="00DD3007">
        <w:rPr>
          <w:rFonts w:ascii="Calibri" w:eastAsiaTheme="majorEastAsia" w:hAnsi="Calibri" w:cs="Calibri"/>
          <w:iCs/>
          <w:sz w:val="24"/>
        </w:rPr>
        <w:t>d</w:t>
      </w:r>
      <w:r>
        <w:rPr>
          <w:rFonts w:ascii="Calibri" w:eastAsiaTheme="majorEastAsia" w:hAnsi="Calibri" w:cs="Calibri"/>
          <w:iCs/>
          <w:sz w:val="24"/>
        </w:rPr>
        <w:t xml:space="preserve">’absorption </w:t>
      </w:r>
      <w:r w:rsidR="00C92DC5">
        <w:rPr>
          <w:rFonts w:ascii="Calibri" w:eastAsiaTheme="majorEastAsia" w:hAnsi="Calibri" w:cs="Calibri"/>
          <w:iCs/>
          <w:sz w:val="24"/>
        </w:rPr>
        <w:t xml:space="preserve">de 41% du MAG en 2016 est influencé par l’absorption du budget  d’investissement (34%). </w:t>
      </w:r>
      <w:r w:rsidR="0006254D">
        <w:rPr>
          <w:rFonts w:ascii="Calibri" w:eastAsiaTheme="majorEastAsia" w:hAnsi="Calibri" w:cs="Calibri"/>
          <w:iCs/>
          <w:sz w:val="24"/>
        </w:rPr>
        <w:t>Pour les autres titres, ce taux varie de 96 à 100%.</w:t>
      </w:r>
    </w:p>
    <w:p w14:paraId="7B424F12" w14:textId="30821EF9" w:rsidR="00FD3C35" w:rsidRPr="00293F27" w:rsidRDefault="00FD3C35" w:rsidP="00F12682">
      <w:pPr>
        <w:spacing w:after="0" w:line="240" w:lineRule="auto"/>
        <w:rPr>
          <w:rFonts w:cstheme="minorHAnsi"/>
        </w:rPr>
      </w:pPr>
    </w:p>
    <w:p w14:paraId="30FF309A" w14:textId="232E5FAD" w:rsidR="008A07A6" w:rsidRPr="00522678" w:rsidRDefault="00522678" w:rsidP="00F12682">
      <w:pPr>
        <w:pStyle w:val="Lgende"/>
        <w:rPr>
          <w:rFonts w:eastAsiaTheme="majorEastAsia" w:cs="Calibri"/>
          <w:iCs w:val="0"/>
        </w:rPr>
      </w:pPr>
      <w:bookmarkStart w:id="124" w:name="_Toc529305071"/>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17</w:t>
      </w:r>
      <w:r w:rsidR="00A773EB">
        <w:rPr>
          <w:noProof/>
        </w:rPr>
        <w:fldChar w:fldCharType="end"/>
      </w:r>
      <w:r w:rsidR="00CC49BC" w:rsidRPr="00522678">
        <w:rPr>
          <w:rFonts w:eastAsiaTheme="majorEastAsia" w:cs="Calibri"/>
          <w:iCs w:val="0"/>
        </w:rPr>
        <w:t xml:space="preserve"> : </w:t>
      </w:r>
      <w:r w:rsidR="00DD3007">
        <w:rPr>
          <w:rFonts w:eastAsiaTheme="majorEastAsia" w:cs="Calibri"/>
          <w:iCs w:val="0"/>
        </w:rPr>
        <w:t xml:space="preserve">Taux d’absorption des dépenses </w:t>
      </w:r>
      <w:r w:rsidR="008A07A6" w:rsidRPr="00522678">
        <w:rPr>
          <w:rFonts w:eastAsiaTheme="majorEastAsia" w:cs="Calibri"/>
          <w:iCs w:val="0"/>
        </w:rPr>
        <w:t>par titre du MAG</w:t>
      </w:r>
      <w:r>
        <w:rPr>
          <w:rFonts w:eastAsiaTheme="majorEastAsia" w:cs="Calibri"/>
          <w:iCs w:val="0"/>
        </w:rPr>
        <w:t xml:space="preserve"> en</w:t>
      </w:r>
      <w:r w:rsidR="00CC49BC" w:rsidRPr="00522678">
        <w:rPr>
          <w:rFonts w:eastAsiaTheme="majorEastAsia" w:cs="Calibri"/>
          <w:iCs w:val="0"/>
        </w:rPr>
        <w:t xml:space="preserve"> 2016</w:t>
      </w:r>
      <w:bookmarkEnd w:id="124"/>
    </w:p>
    <w:tbl>
      <w:tblPr>
        <w:tblW w:w="9696" w:type="dxa"/>
        <w:tblInd w:w="-10" w:type="dxa"/>
        <w:tblLayout w:type="fixed"/>
        <w:tblCellMar>
          <w:left w:w="70" w:type="dxa"/>
          <w:right w:w="70" w:type="dxa"/>
        </w:tblCellMar>
        <w:tblLook w:val="04A0" w:firstRow="1" w:lastRow="0" w:firstColumn="1" w:lastColumn="0" w:noHBand="0" w:noVBand="1"/>
      </w:tblPr>
      <w:tblGrid>
        <w:gridCol w:w="1487"/>
        <w:gridCol w:w="1491"/>
        <w:gridCol w:w="1491"/>
        <w:gridCol w:w="1560"/>
        <w:gridCol w:w="1399"/>
        <w:gridCol w:w="1134"/>
        <w:gridCol w:w="1134"/>
      </w:tblGrid>
      <w:tr w:rsidR="008A07A6" w:rsidRPr="008C0967" w14:paraId="5E907856" w14:textId="77777777" w:rsidTr="008C0967">
        <w:tc>
          <w:tcPr>
            <w:tcW w:w="14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F852FF" w14:textId="77777777" w:rsidR="008A07A6" w:rsidRPr="008C0967" w:rsidRDefault="008A07A6" w:rsidP="00F12682">
            <w:pPr>
              <w:spacing w:after="0" w:line="240" w:lineRule="auto"/>
              <w:jc w:val="center"/>
              <w:rPr>
                <w:rFonts w:ascii="Calibri" w:eastAsia="Times New Roman" w:hAnsi="Calibri" w:cs="Calibri"/>
                <w:b/>
                <w:color w:val="000000"/>
                <w:sz w:val="18"/>
                <w:szCs w:val="20"/>
                <w:lang w:eastAsia="fr-FR"/>
              </w:rPr>
            </w:pPr>
            <w:r w:rsidRPr="008C0967">
              <w:rPr>
                <w:rFonts w:ascii="Calibri" w:eastAsia="Times New Roman" w:hAnsi="Calibri" w:cs="Calibri"/>
                <w:b/>
                <w:color w:val="000000"/>
                <w:sz w:val="18"/>
                <w:szCs w:val="20"/>
                <w:lang w:eastAsia="fr-FR"/>
              </w:rPr>
              <w:t>Titre</w:t>
            </w:r>
          </w:p>
        </w:tc>
        <w:tc>
          <w:tcPr>
            <w:tcW w:w="1491" w:type="dxa"/>
            <w:tcBorders>
              <w:top w:val="single" w:sz="8" w:space="0" w:color="auto"/>
              <w:left w:val="nil"/>
              <w:bottom w:val="single" w:sz="8" w:space="0" w:color="auto"/>
              <w:right w:val="single" w:sz="8" w:space="0" w:color="auto"/>
            </w:tcBorders>
            <w:shd w:val="clear" w:color="auto" w:fill="auto"/>
            <w:noWrap/>
            <w:vAlign w:val="center"/>
            <w:hideMark/>
          </w:tcPr>
          <w:p w14:paraId="7994CC50" w14:textId="77777777" w:rsidR="008A07A6" w:rsidRPr="008C0967" w:rsidRDefault="008A07A6" w:rsidP="00F12682">
            <w:pPr>
              <w:spacing w:after="0" w:line="240" w:lineRule="auto"/>
              <w:jc w:val="center"/>
              <w:rPr>
                <w:rFonts w:ascii="Calibri" w:eastAsia="Times New Roman" w:hAnsi="Calibri" w:cs="Calibri"/>
                <w:b/>
                <w:color w:val="000000"/>
                <w:sz w:val="18"/>
                <w:szCs w:val="20"/>
                <w:lang w:eastAsia="fr-FR"/>
              </w:rPr>
            </w:pPr>
            <w:r w:rsidRPr="008C0967">
              <w:rPr>
                <w:rFonts w:ascii="Calibri" w:eastAsia="Times New Roman" w:hAnsi="Calibri" w:cs="Calibri"/>
                <w:b/>
                <w:color w:val="000000"/>
                <w:sz w:val="18"/>
                <w:szCs w:val="20"/>
                <w:lang w:eastAsia="fr-FR"/>
              </w:rPr>
              <w:t>Crédits votés</w:t>
            </w:r>
          </w:p>
        </w:tc>
        <w:tc>
          <w:tcPr>
            <w:tcW w:w="1491" w:type="dxa"/>
            <w:tcBorders>
              <w:top w:val="single" w:sz="8" w:space="0" w:color="auto"/>
              <w:left w:val="nil"/>
              <w:bottom w:val="single" w:sz="8" w:space="0" w:color="auto"/>
              <w:right w:val="single" w:sz="8" w:space="0" w:color="auto"/>
            </w:tcBorders>
            <w:shd w:val="clear" w:color="auto" w:fill="auto"/>
            <w:vAlign w:val="center"/>
            <w:hideMark/>
          </w:tcPr>
          <w:p w14:paraId="5C6F046F" w14:textId="77777777" w:rsidR="008A07A6" w:rsidRPr="008C0967" w:rsidRDefault="008A07A6" w:rsidP="00F12682">
            <w:pPr>
              <w:spacing w:after="0" w:line="240" w:lineRule="auto"/>
              <w:jc w:val="center"/>
              <w:rPr>
                <w:rFonts w:ascii="Calibri" w:eastAsia="Times New Roman" w:hAnsi="Calibri" w:cs="Calibri"/>
                <w:b/>
                <w:color w:val="000000"/>
                <w:sz w:val="18"/>
                <w:szCs w:val="20"/>
                <w:lang w:eastAsia="fr-FR"/>
              </w:rPr>
            </w:pPr>
            <w:r w:rsidRPr="008C0967">
              <w:rPr>
                <w:rFonts w:ascii="Calibri" w:eastAsia="Times New Roman" w:hAnsi="Calibri" w:cs="Calibri"/>
                <w:b/>
                <w:color w:val="000000"/>
                <w:sz w:val="18"/>
                <w:szCs w:val="20"/>
                <w:lang w:eastAsia="fr-FR"/>
              </w:rPr>
              <w:t>Crédits libérés</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2A09FB67" w14:textId="77777777" w:rsidR="008A07A6" w:rsidRPr="008C0967" w:rsidRDefault="008A07A6" w:rsidP="00F12682">
            <w:pPr>
              <w:spacing w:after="0" w:line="240" w:lineRule="auto"/>
              <w:jc w:val="center"/>
              <w:rPr>
                <w:rFonts w:ascii="Calibri" w:eastAsia="Times New Roman" w:hAnsi="Calibri" w:cs="Calibri"/>
                <w:b/>
                <w:color w:val="000000"/>
                <w:sz w:val="18"/>
                <w:szCs w:val="20"/>
                <w:lang w:eastAsia="fr-FR"/>
              </w:rPr>
            </w:pPr>
            <w:r w:rsidRPr="008C0967">
              <w:rPr>
                <w:rFonts w:ascii="Calibri" w:eastAsia="Times New Roman" w:hAnsi="Calibri" w:cs="Calibri"/>
                <w:b/>
                <w:color w:val="000000"/>
                <w:sz w:val="18"/>
                <w:szCs w:val="20"/>
                <w:lang w:eastAsia="fr-FR"/>
              </w:rPr>
              <w:t>Crédits consommés</w:t>
            </w:r>
          </w:p>
        </w:tc>
        <w:tc>
          <w:tcPr>
            <w:tcW w:w="1399" w:type="dxa"/>
            <w:tcBorders>
              <w:top w:val="single" w:sz="8" w:space="0" w:color="auto"/>
              <w:left w:val="nil"/>
              <w:bottom w:val="single" w:sz="8" w:space="0" w:color="auto"/>
              <w:right w:val="single" w:sz="8" w:space="0" w:color="auto"/>
            </w:tcBorders>
            <w:shd w:val="clear" w:color="auto" w:fill="auto"/>
            <w:noWrap/>
            <w:vAlign w:val="center"/>
            <w:hideMark/>
          </w:tcPr>
          <w:p w14:paraId="5BFE7988" w14:textId="77777777" w:rsidR="008A07A6" w:rsidRPr="008C0967" w:rsidRDefault="008A07A6" w:rsidP="00F12682">
            <w:pPr>
              <w:spacing w:after="0" w:line="240" w:lineRule="auto"/>
              <w:jc w:val="center"/>
              <w:rPr>
                <w:rFonts w:ascii="Calibri" w:eastAsia="Times New Roman" w:hAnsi="Calibri" w:cs="Calibri"/>
                <w:b/>
                <w:color w:val="000000"/>
                <w:sz w:val="18"/>
                <w:szCs w:val="20"/>
                <w:lang w:eastAsia="fr-FR"/>
              </w:rPr>
            </w:pPr>
            <w:r w:rsidRPr="008C0967">
              <w:rPr>
                <w:rFonts w:ascii="Calibri" w:eastAsia="Times New Roman" w:hAnsi="Calibri" w:cs="Calibri"/>
                <w:b/>
                <w:color w:val="000000"/>
                <w:sz w:val="18"/>
                <w:szCs w:val="20"/>
                <w:lang w:eastAsia="fr-FR"/>
              </w:rPr>
              <w:t>Taux de consommation</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C892B73" w14:textId="77777777" w:rsidR="008A07A6" w:rsidRPr="008C0967" w:rsidRDefault="008A07A6" w:rsidP="00F12682">
            <w:pPr>
              <w:spacing w:after="0" w:line="240" w:lineRule="auto"/>
              <w:jc w:val="center"/>
              <w:rPr>
                <w:rFonts w:ascii="Calibri" w:eastAsia="Times New Roman" w:hAnsi="Calibri" w:cs="Calibri"/>
                <w:b/>
                <w:color w:val="000000"/>
                <w:sz w:val="18"/>
                <w:szCs w:val="20"/>
                <w:lang w:eastAsia="fr-FR"/>
              </w:rPr>
            </w:pPr>
            <w:r w:rsidRPr="008C0967">
              <w:rPr>
                <w:rFonts w:ascii="Calibri" w:eastAsia="Times New Roman" w:hAnsi="Calibri" w:cs="Calibri"/>
                <w:b/>
                <w:color w:val="000000"/>
                <w:sz w:val="18"/>
                <w:szCs w:val="20"/>
                <w:lang w:eastAsia="fr-FR"/>
              </w:rPr>
              <w:t>Taux d’absorption</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554BAD6" w14:textId="77777777" w:rsidR="008A07A6" w:rsidRPr="008C0967" w:rsidRDefault="008A07A6" w:rsidP="00F12682">
            <w:pPr>
              <w:spacing w:after="0" w:line="240" w:lineRule="auto"/>
              <w:jc w:val="center"/>
              <w:rPr>
                <w:rFonts w:ascii="Calibri" w:eastAsia="Times New Roman" w:hAnsi="Calibri" w:cs="Calibri"/>
                <w:b/>
                <w:color w:val="000000"/>
                <w:sz w:val="18"/>
                <w:szCs w:val="20"/>
                <w:lang w:eastAsia="fr-FR"/>
              </w:rPr>
            </w:pPr>
            <w:r w:rsidRPr="008C0967">
              <w:rPr>
                <w:rFonts w:ascii="Calibri" w:eastAsia="Times New Roman" w:hAnsi="Calibri" w:cs="Calibri"/>
                <w:b/>
                <w:color w:val="000000"/>
                <w:sz w:val="18"/>
                <w:szCs w:val="20"/>
                <w:lang w:eastAsia="fr-FR"/>
              </w:rPr>
              <w:t>Importance relative</w:t>
            </w:r>
          </w:p>
        </w:tc>
      </w:tr>
      <w:tr w:rsidR="008A07A6" w:rsidRPr="008C0967" w14:paraId="5B45A148" w14:textId="77777777" w:rsidTr="008C0967">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676557DA" w14:textId="56770762" w:rsidR="008A07A6" w:rsidRPr="008C0967" w:rsidRDefault="008C0967" w:rsidP="00F12682">
            <w:pPr>
              <w:spacing w:after="0" w:line="240" w:lineRule="auto"/>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Personnel</w:t>
            </w:r>
          </w:p>
        </w:tc>
        <w:tc>
          <w:tcPr>
            <w:tcW w:w="1491" w:type="dxa"/>
            <w:tcBorders>
              <w:top w:val="nil"/>
              <w:left w:val="nil"/>
              <w:bottom w:val="single" w:sz="8" w:space="0" w:color="auto"/>
              <w:right w:val="single" w:sz="8" w:space="0" w:color="auto"/>
            </w:tcBorders>
            <w:shd w:val="clear" w:color="auto" w:fill="auto"/>
            <w:noWrap/>
            <w:vAlign w:val="center"/>
            <w:hideMark/>
          </w:tcPr>
          <w:p w14:paraId="35E83384"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5 624 282 119</w:t>
            </w:r>
          </w:p>
        </w:tc>
        <w:tc>
          <w:tcPr>
            <w:tcW w:w="1491" w:type="dxa"/>
            <w:tcBorders>
              <w:top w:val="nil"/>
              <w:left w:val="nil"/>
              <w:bottom w:val="single" w:sz="8" w:space="0" w:color="auto"/>
              <w:right w:val="single" w:sz="8" w:space="0" w:color="auto"/>
            </w:tcBorders>
            <w:shd w:val="clear" w:color="auto" w:fill="auto"/>
            <w:vAlign w:val="center"/>
            <w:hideMark/>
          </w:tcPr>
          <w:p w14:paraId="280D2952"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5 624 282 119</w:t>
            </w:r>
          </w:p>
        </w:tc>
        <w:tc>
          <w:tcPr>
            <w:tcW w:w="1560" w:type="dxa"/>
            <w:tcBorders>
              <w:top w:val="nil"/>
              <w:left w:val="nil"/>
              <w:bottom w:val="single" w:sz="8" w:space="0" w:color="auto"/>
              <w:right w:val="single" w:sz="8" w:space="0" w:color="auto"/>
            </w:tcBorders>
            <w:shd w:val="clear" w:color="auto" w:fill="auto"/>
            <w:noWrap/>
            <w:vAlign w:val="center"/>
            <w:hideMark/>
          </w:tcPr>
          <w:p w14:paraId="1BF6E484"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5 408 130 609</w:t>
            </w:r>
          </w:p>
        </w:tc>
        <w:tc>
          <w:tcPr>
            <w:tcW w:w="1399" w:type="dxa"/>
            <w:tcBorders>
              <w:top w:val="nil"/>
              <w:left w:val="nil"/>
              <w:bottom w:val="single" w:sz="8" w:space="0" w:color="auto"/>
              <w:right w:val="single" w:sz="8" w:space="0" w:color="auto"/>
            </w:tcBorders>
            <w:shd w:val="clear" w:color="auto" w:fill="auto"/>
            <w:noWrap/>
            <w:vAlign w:val="center"/>
            <w:hideMark/>
          </w:tcPr>
          <w:p w14:paraId="69A9587E"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96%</w:t>
            </w:r>
          </w:p>
        </w:tc>
        <w:tc>
          <w:tcPr>
            <w:tcW w:w="1134" w:type="dxa"/>
            <w:tcBorders>
              <w:top w:val="nil"/>
              <w:left w:val="nil"/>
              <w:bottom w:val="single" w:sz="8" w:space="0" w:color="auto"/>
              <w:right w:val="single" w:sz="8" w:space="0" w:color="auto"/>
            </w:tcBorders>
            <w:shd w:val="clear" w:color="auto" w:fill="auto"/>
            <w:vAlign w:val="center"/>
            <w:hideMark/>
          </w:tcPr>
          <w:p w14:paraId="20B4D0FD"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96%</w:t>
            </w:r>
          </w:p>
        </w:tc>
        <w:tc>
          <w:tcPr>
            <w:tcW w:w="1134" w:type="dxa"/>
            <w:tcBorders>
              <w:top w:val="nil"/>
              <w:left w:val="nil"/>
              <w:bottom w:val="single" w:sz="8" w:space="0" w:color="auto"/>
              <w:right w:val="single" w:sz="8" w:space="0" w:color="auto"/>
            </w:tcBorders>
            <w:shd w:val="clear" w:color="auto" w:fill="auto"/>
            <w:noWrap/>
            <w:vAlign w:val="center"/>
            <w:hideMark/>
          </w:tcPr>
          <w:p w14:paraId="53C22D03"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7%</w:t>
            </w:r>
          </w:p>
        </w:tc>
      </w:tr>
      <w:tr w:rsidR="008A07A6" w:rsidRPr="008C0967" w14:paraId="341747A4" w14:textId="77777777" w:rsidTr="008C0967">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19493527" w14:textId="77777777" w:rsidR="008A07A6" w:rsidRPr="008C0967" w:rsidRDefault="008A07A6" w:rsidP="00F12682">
            <w:pPr>
              <w:spacing w:after="0" w:line="240" w:lineRule="auto"/>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Fonctionnement</w:t>
            </w:r>
          </w:p>
        </w:tc>
        <w:tc>
          <w:tcPr>
            <w:tcW w:w="1491" w:type="dxa"/>
            <w:tcBorders>
              <w:top w:val="nil"/>
              <w:left w:val="nil"/>
              <w:bottom w:val="single" w:sz="8" w:space="0" w:color="auto"/>
              <w:right w:val="single" w:sz="8" w:space="0" w:color="auto"/>
            </w:tcBorders>
            <w:shd w:val="clear" w:color="auto" w:fill="auto"/>
            <w:noWrap/>
            <w:vAlign w:val="center"/>
            <w:hideMark/>
          </w:tcPr>
          <w:p w14:paraId="2888E586"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1 572 437 483</w:t>
            </w:r>
          </w:p>
        </w:tc>
        <w:tc>
          <w:tcPr>
            <w:tcW w:w="1491" w:type="dxa"/>
            <w:tcBorders>
              <w:top w:val="nil"/>
              <w:left w:val="nil"/>
              <w:bottom w:val="single" w:sz="8" w:space="0" w:color="auto"/>
              <w:right w:val="single" w:sz="8" w:space="0" w:color="auto"/>
            </w:tcBorders>
            <w:shd w:val="clear" w:color="auto" w:fill="auto"/>
            <w:vAlign w:val="center"/>
            <w:hideMark/>
          </w:tcPr>
          <w:p w14:paraId="26D9FCAE"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619 255 093</w:t>
            </w:r>
          </w:p>
        </w:tc>
        <w:tc>
          <w:tcPr>
            <w:tcW w:w="1560" w:type="dxa"/>
            <w:tcBorders>
              <w:top w:val="nil"/>
              <w:left w:val="nil"/>
              <w:bottom w:val="single" w:sz="8" w:space="0" w:color="auto"/>
              <w:right w:val="single" w:sz="8" w:space="0" w:color="auto"/>
            </w:tcBorders>
            <w:shd w:val="clear" w:color="auto" w:fill="auto"/>
            <w:noWrap/>
            <w:vAlign w:val="center"/>
            <w:hideMark/>
          </w:tcPr>
          <w:p w14:paraId="13BF5F21"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602 244 056</w:t>
            </w:r>
          </w:p>
        </w:tc>
        <w:tc>
          <w:tcPr>
            <w:tcW w:w="1399" w:type="dxa"/>
            <w:tcBorders>
              <w:top w:val="nil"/>
              <w:left w:val="nil"/>
              <w:bottom w:val="single" w:sz="8" w:space="0" w:color="auto"/>
              <w:right w:val="single" w:sz="8" w:space="0" w:color="auto"/>
            </w:tcBorders>
            <w:shd w:val="clear" w:color="auto" w:fill="auto"/>
            <w:noWrap/>
            <w:vAlign w:val="center"/>
            <w:hideMark/>
          </w:tcPr>
          <w:p w14:paraId="2FB12624"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38%</w:t>
            </w:r>
          </w:p>
        </w:tc>
        <w:tc>
          <w:tcPr>
            <w:tcW w:w="1134" w:type="dxa"/>
            <w:tcBorders>
              <w:top w:val="nil"/>
              <w:left w:val="nil"/>
              <w:bottom w:val="single" w:sz="8" w:space="0" w:color="auto"/>
              <w:right w:val="single" w:sz="8" w:space="0" w:color="auto"/>
            </w:tcBorders>
            <w:shd w:val="clear" w:color="auto" w:fill="auto"/>
            <w:vAlign w:val="center"/>
            <w:hideMark/>
          </w:tcPr>
          <w:p w14:paraId="3A1112E9"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97%</w:t>
            </w:r>
          </w:p>
        </w:tc>
        <w:tc>
          <w:tcPr>
            <w:tcW w:w="1134" w:type="dxa"/>
            <w:tcBorders>
              <w:top w:val="nil"/>
              <w:left w:val="nil"/>
              <w:bottom w:val="single" w:sz="8" w:space="0" w:color="auto"/>
              <w:right w:val="single" w:sz="8" w:space="0" w:color="auto"/>
            </w:tcBorders>
            <w:shd w:val="clear" w:color="auto" w:fill="auto"/>
            <w:noWrap/>
            <w:vAlign w:val="center"/>
            <w:hideMark/>
          </w:tcPr>
          <w:p w14:paraId="3C0F5AB3"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2%</w:t>
            </w:r>
          </w:p>
        </w:tc>
      </w:tr>
      <w:tr w:rsidR="008A07A6" w:rsidRPr="008C0967" w14:paraId="0DDEBBA0" w14:textId="77777777" w:rsidTr="008C0967">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7C242468" w14:textId="77777777" w:rsidR="008A07A6" w:rsidRPr="008C0967" w:rsidRDefault="008A07A6" w:rsidP="00F12682">
            <w:pPr>
              <w:spacing w:after="0" w:line="240" w:lineRule="auto"/>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Transfert</w:t>
            </w:r>
          </w:p>
        </w:tc>
        <w:tc>
          <w:tcPr>
            <w:tcW w:w="1491" w:type="dxa"/>
            <w:tcBorders>
              <w:top w:val="nil"/>
              <w:left w:val="nil"/>
              <w:bottom w:val="single" w:sz="8" w:space="0" w:color="auto"/>
              <w:right w:val="single" w:sz="8" w:space="0" w:color="auto"/>
            </w:tcBorders>
            <w:shd w:val="clear" w:color="auto" w:fill="auto"/>
            <w:noWrap/>
            <w:vAlign w:val="center"/>
            <w:hideMark/>
          </w:tcPr>
          <w:p w14:paraId="1195B513"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2 080 184 544</w:t>
            </w:r>
          </w:p>
        </w:tc>
        <w:tc>
          <w:tcPr>
            <w:tcW w:w="1491" w:type="dxa"/>
            <w:tcBorders>
              <w:top w:val="nil"/>
              <w:left w:val="nil"/>
              <w:bottom w:val="single" w:sz="8" w:space="0" w:color="auto"/>
              <w:right w:val="single" w:sz="8" w:space="0" w:color="auto"/>
            </w:tcBorders>
            <w:shd w:val="clear" w:color="auto" w:fill="auto"/>
            <w:vAlign w:val="center"/>
            <w:hideMark/>
          </w:tcPr>
          <w:p w14:paraId="37506727"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1 837 930 626</w:t>
            </w:r>
          </w:p>
        </w:tc>
        <w:tc>
          <w:tcPr>
            <w:tcW w:w="1560" w:type="dxa"/>
            <w:tcBorders>
              <w:top w:val="nil"/>
              <w:left w:val="nil"/>
              <w:bottom w:val="single" w:sz="8" w:space="0" w:color="auto"/>
              <w:right w:val="single" w:sz="8" w:space="0" w:color="auto"/>
            </w:tcBorders>
            <w:shd w:val="clear" w:color="auto" w:fill="auto"/>
            <w:noWrap/>
            <w:vAlign w:val="center"/>
            <w:hideMark/>
          </w:tcPr>
          <w:p w14:paraId="2292276D"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1 837 620 109</w:t>
            </w:r>
          </w:p>
        </w:tc>
        <w:tc>
          <w:tcPr>
            <w:tcW w:w="1399" w:type="dxa"/>
            <w:tcBorders>
              <w:top w:val="nil"/>
              <w:left w:val="nil"/>
              <w:bottom w:val="single" w:sz="8" w:space="0" w:color="auto"/>
              <w:right w:val="single" w:sz="8" w:space="0" w:color="auto"/>
            </w:tcBorders>
            <w:shd w:val="clear" w:color="auto" w:fill="auto"/>
            <w:noWrap/>
            <w:vAlign w:val="center"/>
            <w:hideMark/>
          </w:tcPr>
          <w:p w14:paraId="5BFF356C"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88%</w:t>
            </w:r>
          </w:p>
        </w:tc>
        <w:tc>
          <w:tcPr>
            <w:tcW w:w="1134" w:type="dxa"/>
            <w:tcBorders>
              <w:top w:val="nil"/>
              <w:left w:val="nil"/>
              <w:bottom w:val="single" w:sz="8" w:space="0" w:color="auto"/>
              <w:right w:val="single" w:sz="8" w:space="0" w:color="auto"/>
            </w:tcBorders>
            <w:shd w:val="clear" w:color="auto" w:fill="auto"/>
            <w:vAlign w:val="center"/>
            <w:hideMark/>
          </w:tcPr>
          <w:p w14:paraId="68B14C3F"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100%</w:t>
            </w:r>
          </w:p>
        </w:tc>
        <w:tc>
          <w:tcPr>
            <w:tcW w:w="1134" w:type="dxa"/>
            <w:tcBorders>
              <w:top w:val="nil"/>
              <w:left w:val="nil"/>
              <w:bottom w:val="single" w:sz="8" w:space="0" w:color="auto"/>
              <w:right w:val="single" w:sz="8" w:space="0" w:color="auto"/>
            </w:tcBorders>
            <w:shd w:val="clear" w:color="auto" w:fill="auto"/>
            <w:noWrap/>
            <w:vAlign w:val="center"/>
            <w:hideMark/>
          </w:tcPr>
          <w:p w14:paraId="74C6E8D2"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3%</w:t>
            </w:r>
          </w:p>
        </w:tc>
      </w:tr>
      <w:tr w:rsidR="008A07A6" w:rsidRPr="008C0967" w14:paraId="2DE324A8" w14:textId="77777777" w:rsidTr="008C0967">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34D09C01" w14:textId="77777777" w:rsidR="008A07A6" w:rsidRPr="008C0967" w:rsidRDefault="008A07A6" w:rsidP="00F12682">
            <w:pPr>
              <w:spacing w:after="0" w:line="240" w:lineRule="auto"/>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Investissement</w:t>
            </w:r>
          </w:p>
        </w:tc>
        <w:tc>
          <w:tcPr>
            <w:tcW w:w="1491" w:type="dxa"/>
            <w:tcBorders>
              <w:top w:val="nil"/>
              <w:left w:val="nil"/>
              <w:bottom w:val="single" w:sz="8" w:space="0" w:color="auto"/>
              <w:right w:val="single" w:sz="8" w:space="0" w:color="auto"/>
            </w:tcBorders>
            <w:shd w:val="clear" w:color="auto" w:fill="auto"/>
            <w:noWrap/>
            <w:vAlign w:val="center"/>
            <w:hideMark/>
          </w:tcPr>
          <w:p w14:paraId="41FD92A7"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69 186 878 746</w:t>
            </w:r>
          </w:p>
        </w:tc>
        <w:tc>
          <w:tcPr>
            <w:tcW w:w="1491" w:type="dxa"/>
            <w:tcBorders>
              <w:top w:val="nil"/>
              <w:left w:val="nil"/>
              <w:bottom w:val="single" w:sz="8" w:space="0" w:color="auto"/>
              <w:right w:val="single" w:sz="8" w:space="0" w:color="auto"/>
            </w:tcBorders>
            <w:shd w:val="clear" w:color="auto" w:fill="auto"/>
            <w:vAlign w:val="center"/>
            <w:hideMark/>
          </w:tcPr>
          <w:p w14:paraId="37EFE4AA"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58 079 808 768</w:t>
            </w:r>
          </w:p>
        </w:tc>
        <w:tc>
          <w:tcPr>
            <w:tcW w:w="1560" w:type="dxa"/>
            <w:tcBorders>
              <w:top w:val="nil"/>
              <w:left w:val="nil"/>
              <w:bottom w:val="single" w:sz="8" w:space="0" w:color="auto"/>
              <w:right w:val="single" w:sz="8" w:space="0" w:color="auto"/>
            </w:tcBorders>
            <w:shd w:val="clear" w:color="auto" w:fill="auto"/>
            <w:noWrap/>
            <w:vAlign w:val="center"/>
            <w:hideMark/>
          </w:tcPr>
          <w:p w14:paraId="092418FD"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19 509 530 873</w:t>
            </w:r>
          </w:p>
        </w:tc>
        <w:tc>
          <w:tcPr>
            <w:tcW w:w="1399" w:type="dxa"/>
            <w:tcBorders>
              <w:top w:val="nil"/>
              <w:left w:val="nil"/>
              <w:bottom w:val="single" w:sz="8" w:space="0" w:color="auto"/>
              <w:right w:val="single" w:sz="8" w:space="0" w:color="auto"/>
            </w:tcBorders>
            <w:shd w:val="clear" w:color="auto" w:fill="auto"/>
            <w:noWrap/>
            <w:vAlign w:val="center"/>
            <w:hideMark/>
          </w:tcPr>
          <w:p w14:paraId="48DF6379"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28%</w:t>
            </w:r>
          </w:p>
        </w:tc>
        <w:tc>
          <w:tcPr>
            <w:tcW w:w="1134" w:type="dxa"/>
            <w:tcBorders>
              <w:top w:val="nil"/>
              <w:left w:val="nil"/>
              <w:bottom w:val="single" w:sz="8" w:space="0" w:color="auto"/>
              <w:right w:val="single" w:sz="8" w:space="0" w:color="auto"/>
            </w:tcBorders>
            <w:shd w:val="clear" w:color="auto" w:fill="auto"/>
            <w:vAlign w:val="center"/>
            <w:hideMark/>
          </w:tcPr>
          <w:p w14:paraId="3CF7F053"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34%</w:t>
            </w:r>
          </w:p>
        </w:tc>
        <w:tc>
          <w:tcPr>
            <w:tcW w:w="1134" w:type="dxa"/>
            <w:tcBorders>
              <w:top w:val="nil"/>
              <w:left w:val="nil"/>
              <w:bottom w:val="single" w:sz="8" w:space="0" w:color="auto"/>
              <w:right w:val="single" w:sz="8" w:space="0" w:color="auto"/>
            </w:tcBorders>
            <w:shd w:val="clear" w:color="auto" w:fill="auto"/>
            <w:noWrap/>
            <w:vAlign w:val="center"/>
            <w:hideMark/>
          </w:tcPr>
          <w:p w14:paraId="0ECB720D" w14:textId="77777777" w:rsidR="008A07A6" w:rsidRPr="008C0967" w:rsidRDefault="008A07A6" w:rsidP="00F12682">
            <w:pPr>
              <w:spacing w:after="0" w:line="240" w:lineRule="auto"/>
              <w:jc w:val="right"/>
              <w:rPr>
                <w:rFonts w:ascii="Calibri" w:eastAsia="Times New Roman" w:hAnsi="Calibri" w:cs="Calibri"/>
                <w:color w:val="000000"/>
                <w:sz w:val="20"/>
                <w:szCs w:val="20"/>
                <w:lang w:eastAsia="fr-FR"/>
              </w:rPr>
            </w:pPr>
            <w:r w:rsidRPr="008C0967">
              <w:rPr>
                <w:rFonts w:ascii="Calibri" w:eastAsia="Times New Roman" w:hAnsi="Calibri" w:cs="Calibri"/>
                <w:color w:val="000000"/>
                <w:sz w:val="20"/>
                <w:szCs w:val="20"/>
                <w:lang w:eastAsia="fr-FR"/>
              </w:rPr>
              <w:t>88%</w:t>
            </w:r>
          </w:p>
        </w:tc>
      </w:tr>
      <w:tr w:rsidR="008A07A6" w:rsidRPr="008C0967" w14:paraId="2861FB03" w14:textId="77777777" w:rsidTr="008C0967">
        <w:tc>
          <w:tcPr>
            <w:tcW w:w="1487" w:type="dxa"/>
            <w:tcBorders>
              <w:top w:val="nil"/>
              <w:left w:val="single" w:sz="8" w:space="0" w:color="auto"/>
              <w:bottom w:val="single" w:sz="8" w:space="0" w:color="auto"/>
              <w:right w:val="single" w:sz="8" w:space="0" w:color="auto"/>
            </w:tcBorders>
            <w:shd w:val="clear" w:color="auto" w:fill="auto"/>
            <w:noWrap/>
            <w:vAlign w:val="center"/>
            <w:hideMark/>
          </w:tcPr>
          <w:p w14:paraId="7E0202E4" w14:textId="77777777" w:rsidR="008A07A6" w:rsidRPr="008C0967" w:rsidRDefault="008A07A6" w:rsidP="00F12682">
            <w:pPr>
              <w:spacing w:after="0" w:line="240" w:lineRule="auto"/>
              <w:rPr>
                <w:rFonts w:ascii="Calibri" w:eastAsia="Times New Roman" w:hAnsi="Calibri" w:cs="Calibri"/>
                <w:b/>
                <w:color w:val="000000"/>
                <w:sz w:val="20"/>
                <w:szCs w:val="20"/>
                <w:lang w:eastAsia="fr-FR"/>
              </w:rPr>
            </w:pPr>
            <w:r w:rsidRPr="008C0967">
              <w:rPr>
                <w:rFonts w:ascii="Calibri" w:eastAsia="Times New Roman" w:hAnsi="Calibri" w:cs="Calibri"/>
                <w:b/>
                <w:color w:val="000000"/>
                <w:sz w:val="20"/>
                <w:szCs w:val="20"/>
                <w:lang w:eastAsia="fr-FR"/>
              </w:rPr>
              <w:t>Total général</w:t>
            </w:r>
          </w:p>
        </w:tc>
        <w:tc>
          <w:tcPr>
            <w:tcW w:w="1491" w:type="dxa"/>
            <w:tcBorders>
              <w:top w:val="nil"/>
              <w:left w:val="nil"/>
              <w:bottom w:val="single" w:sz="8" w:space="0" w:color="auto"/>
              <w:right w:val="single" w:sz="8" w:space="0" w:color="auto"/>
            </w:tcBorders>
            <w:shd w:val="clear" w:color="auto" w:fill="auto"/>
            <w:noWrap/>
            <w:vAlign w:val="center"/>
            <w:hideMark/>
          </w:tcPr>
          <w:p w14:paraId="2E35D812" w14:textId="77777777" w:rsidR="008A07A6" w:rsidRPr="008C0967" w:rsidRDefault="008A07A6" w:rsidP="00F12682">
            <w:pPr>
              <w:spacing w:after="0" w:line="240" w:lineRule="auto"/>
              <w:jc w:val="right"/>
              <w:rPr>
                <w:rFonts w:ascii="Calibri" w:eastAsia="Times New Roman" w:hAnsi="Calibri" w:cs="Calibri"/>
                <w:b/>
                <w:color w:val="000000"/>
                <w:sz w:val="20"/>
                <w:szCs w:val="20"/>
                <w:lang w:eastAsia="fr-FR"/>
              </w:rPr>
            </w:pPr>
            <w:r w:rsidRPr="008C0967">
              <w:rPr>
                <w:rFonts w:ascii="Calibri" w:eastAsia="Times New Roman" w:hAnsi="Calibri" w:cs="Calibri"/>
                <w:b/>
                <w:color w:val="000000"/>
                <w:sz w:val="20"/>
                <w:szCs w:val="20"/>
                <w:lang w:eastAsia="fr-FR"/>
              </w:rPr>
              <w:t>78 463 782 892</w:t>
            </w:r>
          </w:p>
        </w:tc>
        <w:tc>
          <w:tcPr>
            <w:tcW w:w="1491" w:type="dxa"/>
            <w:tcBorders>
              <w:top w:val="nil"/>
              <w:left w:val="nil"/>
              <w:bottom w:val="single" w:sz="8" w:space="0" w:color="auto"/>
              <w:right w:val="single" w:sz="8" w:space="0" w:color="auto"/>
            </w:tcBorders>
            <w:shd w:val="clear" w:color="auto" w:fill="auto"/>
            <w:vAlign w:val="center"/>
            <w:hideMark/>
          </w:tcPr>
          <w:p w14:paraId="62AEEC19" w14:textId="77777777" w:rsidR="008A07A6" w:rsidRPr="008C0967" w:rsidRDefault="008A07A6" w:rsidP="00F12682">
            <w:pPr>
              <w:spacing w:after="0" w:line="240" w:lineRule="auto"/>
              <w:jc w:val="right"/>
              <w:rPr>
                <w:rFonts w:ascii="Calibri" w:eastAsia="Times New Roman" w:hAnsi="Calibri" w:cs="Calibri"/>
                <w:b/>
                <w:color w:val="000000"/>
                <w:sz w:val="20"/>
                <w:szCs w:val="20"/>
                <w:lang w:eastAsia="fr-FR"/>
              </w:rPr>
            </w:pPr>
            <w:r w:rsidRPr="008C0967">
              <w:rPr>
                <w:rFonts w:ascii="Calibri" w:eastAsia="Times New Roman" w:hAnsi="Calibri" w:cs="Calibri"/>
                <w:b/>
                <w:color w:val="000000"/>
                <w:sz w:val="20"/>
                <w:szCs w:val="20"/>
                <w:lang w:eastAsia="fr-FR"/>
              </w:rPr>
              <w:t>66 161 276 606</w:t>
            </w:r>
          </w:p>
        </w:tc>
        <w:tc>
          <w:tcPr>
            <w:tcW w:w="1560" w:type="dxa"/>
            <w:tcBorders>
              <w:top w:val="nil"/>
              <w:left w:val="nil"/>
              <w:bottom w:val="single" w:sz="8" w:space="0" w:color="auto"/>
              <w:right w:val="single" w:sz="8" w:space="0" w:color="auto"/>
            </w:tcBorders>
            <w:shd w:val="clear" w:color="auto" w:fill="auto"/>
            <w:noWrap/>
            <w:vAlign w:val="center"/>
            <w:hideMark/>
          </w:tcPr>
          <w:p w14:paraId="6BA478CF" w14:textId="77777777" w:rsidR="008A07A6" w:rsidRPr="008C0967" w:rsidRDefault="008A07A6" w:rsidP="00F12682">
            <w:pPr>
              <w:spacing w:after="0" w:line="240" w:lineRule="auto"/>
              <w:jc w:val="right"/>
              <w:rPr>
                <w:rFonts w:ascii="Calibri" w:eastAsia="Times New Roman" w:hAnsi="Calibri" w:cs="Calibri"/>
                <w:b/>
                <w:color w:val="000000"/>
                <w:sz w:val="20"/>
                <w:szCs w:val="20"/>
                <w:lang w:eastAsia="fr-FR"/>
              </w:rPr>
            </w:pPr>
            <w:r w:rsidRPr="008C0967">
              <w:rPr>
                <w:rFonts w:ascii="Calibri" w:eastAsia="Times New Roman" w:hAnsi="Calibri" w:cs="Calibri"/>
                <w:b/>
                <w:color w:val="000000"/>
                <w:sz w:val="20"/>
                <w:szCs w:val="20"/>
                <w:lang w:eastAsia="fr-FR"/>
              </w:rPr>
              <w:t>27 357 525 647</w:t>
            </w:r>
          </w:p>
        </w:tc>
        <w:tc>
          <w:tcPr>
            <w:tcW w:w="1399" w:type="dxa"/>
            <w:tcBorders>
              <w:top w:val="nil"/>
              <w:left w:val="nil"/>
              <w:bottom w:val="single" w:sz="8" w:space="0" w:color="auto"/>
              <w:right w:val="single" w:sz="8" w:space="0" w:color="auto"/>
            </w:tcBorders>
            <w:shd w:val="clear" w:color="auto" w:fill="auto"/>
            <w:noWrap/>
            <w:vAlign w:val="center"/>
            <w:hideMark/>
          </w:tcPr>
          <w:p w14:paraId="1FBB9576" w14:textId="77777777" w:rsidR="008A07A6" w:rsidRPr="008C0967" w:rsidRDefault="008A07A6" w:rsidP="00F12682">
            <w:pPr>
              <w:spacing w:after="0" w:line="240" w:lineRule="auto"/>
              <w:jc w:val="right"/>
              <w:rPr>
                <w:rFonts w:ascii="Calibri" w:eastAsia="Times New Roman" w:hAnsi="Calibri" w:cs="Calibri"/>
                <w:b/>
                <w:color w:val="000000"/>
                <w:sz w:val="20"/>
                <w:szCs w:val="20"/>
                <w:lang w:eastAsia="fr-FR"/>
              </w:rPr>
            </w:pPr>
            <w:r w:rsidRPr="008C0967">
              <w:rPr>
                <w:rFonts w:ascii="Calibri" w:eastAsia="Times New Roman" w:hAnsi="Calibri" w:cs="Calibri"/>
                <w:b/>
                <w:color w:val="000000"/>
                <w:sz w:val="20"/>
                <w:szCs w:val="20"/>
                <w:lang w:eastAsia="fr-FR"/>
              </w:rPr>
              <w:t>35%</w:t>
            </w:r>
          </w:p>
        </w:tc>
        <w:tc>
          <w:tcPr>
            <w:tcW w:w="1134" w:type="dxa"/>
            <w:tcBorders>
              <w:top w:val="nil"/>
              <w:left w:val="nil"/>
              <w:bottom w:val="single" w:sz="8" w:space="0" w:color="auto"/>
              <w:right w:val="single" w:sz="8" w:space="0" w:color="auto"/>
            </w:tcBorders>
            <w:shd w:val="clear" w:color="auto" w:fill="auto"/>
            <w:vAlign w:val="center"/>
            <w:hideMark/>
          </w:tcPr>
          <w:p w14:paraId="7A6197DF" w14:textId="77777777" w:rsidR="008A07A6" w:rsidRPr="008C0967" w:rsidRDefault="008A07A6" w:rsidP="00F12682">
            <w:pPr>
              <w:spacing w:after="0" w:line="240" w:lineRule="auto"/>
              <w:jc w:val="right"/>
              <w:rPr>
                <w:rFonts w:ascii="Calibri" w:eastAsia="Times New Roman" w:hAnsi="Calibri" w:cs="Calibri"/>
                <w:b/>
                <w:color w:val="000000"/>
                <w:sz w:val="20"/>
                <w:szCs w:val="20"/>
                <w:lang w:eastAsia="fr-FR"/>
              </w:rPr>
            </w:pPr>
            <w:r w:rsidRPr="008C0967">
              <w:rPr>
                <w:rFonts w:ascii="Calibri" w:eastAsia="Times New Roman" w:hAnsi="Calibri" w:cs="Calibri"/>
                <w:b/>
                <w:color w:val="000000"/>
                <w:sz w:val="20"/>
                <w:szCs w:val="20"/>
                <w:lang w:eastAsia="fr-FR"/>
              </w:rPr>
              <w:t>41%</w:t>
            </w:r>
          </w:p>
        </w:tc>
        <w:tc>
          <w:tcPr>
            <w:tcW w:w="1134" w:type="dxa"/>
            <w:tcBorders>
              <w:top w:val="nil"/>
              <w:left w:val="nil"/>
              <w:bottom w:val="single" w:sz="8" w:space="0" w:color="auto"/>
              <w:right w:val="single" w:sz="8" w:space="0" w:color="auto"/>
            </w:tcBorders>
            <w:shd w:val="clear" w:color="auto" w:fill="auto"/>
            <w:noWrap/>
            <w:vAlign w:val="center"/>
            <w:hideMark/>
          </w:tcPr>
          <w:p w14:paraId="0D0C3535" w14:textId="77777777" w:rsidR="008A07A6" w:rsidRPr="008C0967" w:rsidRDefault="008A07A6" w:rsidP="00F12682">
            <w:pPr>
              <w:spacing w:after="0" w:line="240" w:lineRule="auto"/>
              <w:jc w:val="right"/>
              <w:rPr>
                <w:rFonts w:ascii="Calibri" w:eastAsia="Times New Roman" w:hAnsi="Calibri" w:cs="Calibri"/>
                <w:b/>
                <w:color w:val="000000"/>
                <w:sz w:val="20"/>
                <w:szCs w:val="20"/>
                <w:lang w:eastAsia="fr-FR"/>
              </w:rPr>
            </w:pPr>
            <w:r w:rsidRPr="008C0967">
              <w:rPr>
                <w:rFonts w:ascii="Calibri" w:eastAsia="Times New Roman" w:hAnsi="Calibri" w:cs="Calibri"/>
                <w:b/>
                <w:color w:val="000000"/>
                <w:sz w:val="20"/>
                <w:szCs w:val="20"/>
                <w:lang w:eastAsia="fr-FR"/>
              </w:rPr>
              <w:t>100%</w:t>
            </w:r>
          </w:p>
        </w:tc>
      </w:tr>
    </w:tbl>
    <w:p w14:paraId="5E51CBA2" w14:textId="77777777" w:rsidR="00FD3C35" w:rsidRPr="00100A08" w:rsidRDefault="00FD3C35" w:rsidP="00F12682">
      <w:pPr>
        <w:spacing w:after="120" w:line="276" w:lineRule="auto"/>
        <w:jc w:val="both"/>
        <w:rPr>
          <w:rFonts w:ascii="Calibri" w:eastAsiaTheme="majorEastAsia" w:hAnsi="Calibri" w:cs="Calibri"/>
          <w:iCs/>
          <w:sz w:val="24"/>
        </w:rPr>
      </w:pPr>
    </w:p>
    <w:p w14:paraId="65FE411F" w14:textId="77777777" w:rsidR="00483CDE" w:rsidRDefault="00483CDE" w:rsidP="00F12682">
      <w:pPr>
        <w:pStyle w:val="Titre4"/>
        <w:rPr>
          <w:rFonts w:asciiTheme="minorHAnsi" w:hAnsiTheme="minorHAnsi" w:cstheme="minorHAnsi"/>
        </w:rPr>
      </w:pPr>
      <w:r w:rsidRPr="004A5122">
        <w:rPr>
          <w:rFonts w:asciiTheme="minorHAnsi" w:hAnsiTheme="minorHAnsi" w:cstheme="minorHAnsi"/>
        </w:rPr>
        <w:t>Analyse de la performance et l’incidence de diverses sources de financement</w:t>
      </w:r>
    </w:p>
    <w:p w14:paraId="71170C69" w14:textId="77777777" w:rsidR="00D74CC8" w:rsidRDefault="00D74CC8" w:rsidP="00F12682">
      <w:pPr>
        <w:spacing w:after="120" w:line="276" w:lineRule="auto"/>
        <w:jc w:val="both"/>
        <w:rPr>
          <w:rFonts w:ascii="Calibri" w:eastAsiaTheme="majorEastAsia" w:hAnsi="Calibri" w:cs="Calibri"/>
          <w:iCs/>
          <w:sz w:val="24"/>
        </w:rPr>
      </w:pPr>
      <w:r w:rsidRPr="00100A08">
        <w:rPr>
          <w:rFonts w:ascii="Calibri" w:eastAsiaTheme="majorEastAsia" w:hAnsi="Calibri" w:cs="Calibri"/>
          <w:iCs/>
          <w:sz w:val="24"/>
        </w:rPr>
        <w:t xml:space="preserve">Avec un taux global d’exécution de 35%, les dépenses </w:t>
      </w:r>
      <w:r>
        <w:rPr>
          <w:rFonts w:ascii="Calibri" w:eastAsiaTheme="majorEastAsia" w:hAnsi="Calibri" w:cs="Calibri"/>
          <w:iCs/>
          <w:sz w:val="24"/>
        </w:rPr>
        <w:t xml:space="preserve">d’investissement </w:t>
      </w:r>
      <w:r w:rsidRPr="00100A08">
        <w:rPr>
          <w:rFonts w:ascii="Calibri" w:eastAsiaTheme="majorEastAsia" w:hAnsi="Calibri" w:cs="Calibri"/>
          <w:iCs/>
          <w:sz w:val="24"/>
        </w:rPr>
        <w:t xml:space="preserve">volet agriculture ont trois principales catégories de financement. </w:t>
      </w:r>
      <w:r>
        <w:rPr>
          <w:rFonts w:ascii="Calibri" w:eastAsiaTheme="majorEastAsia" w:hAnsi="Calibri" w:cs="Calibri"/>
          <w:iCs/>
          <w:sz w:val="24"/>
        </w:rPr>
        <w:t>Les emprunts représentent plus de la moitié (51%) des sources, alors que le trésor et l’ANR sont presque à part égale 24,5%.</w:t>
      </w:r>
    </w:p>
    <w:p w14:paraId="1C440C5C" w14:textId="77777777" w:rsidR="00D74CC8" w:rsidRDefault="00D74CC8"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L’analyse détaillée des sources montre que pour les financements de</w:t>
      </w:r>
      <w:r w:rsidRPr="00100A08">
        <w:rPr>
          <w:rFonts w:ascii="Calibri" w:eastAsiaTheme="majorEastAsia" w:hAnsi="Calibri" w:cs="Calibri"/>
          <w:iCs/>
          <w:sz w:val="24"/>
        </w:rPr>
        <w:t xml:space="preserve"> vingt-quatre (24) </w:t>
      </w:r>
      <w:r>
        <w:rPr>
          <w:rFonts w:ascii="Calibri" w:eastAsiaTheme="majorEastAsia" w:hAnsi="Calibri" w:cs="Calibri"/>
          <w:iCs/>
          <w:sz w:val="24"/>
        </w:rPr>
        <w:t>bailleurs des fonds</w:t>
      </w:r>
      <w:r w:rsidRPr="00100A08">
        <w:rPr>
          <w:rFonts w:ascii="Calibri" w:eastAsiaTheme="majorEastAsia" w:hAnsi="Calibri" w:cs="Calibri"/>
          <w:iCs/>
          <w:sz w:val="24"/>
        </w:rPr>
        <w:t xml:space="preserve"> de financement pour le volet agricole, la moitié a connu un taux d’exécution nul en 2016. Pour la moitié, où il a été exécuté, seules six (6) ont dépassé un taux d’exécution de 50%. Les autres varient de 6 à 49%.</w:t>
      </w:r>
      <w:r>
        <w:rPr>
          <w:rFonts w:ascii="Calibri" w:eastAsiaTheme="majorEastAsia" w:hAnsi="Calibri" w:cs="Calibri"/>
          <w:iCs/>
          <w:sz w:val="24"/>
        </w:rPr>
        <w:t xml:space="preserve"> </w:t>
      </w:r>
    </w:p>
    <w:p w14:paraId="6AEA3F16" w14:textId="77777777" w:rsidR="0006254D" w:rsidRPr="00293F27" w:rsidRDefault="0006254D" w:rsidP="00F12682">
      <w:pPr>
        <w:spacing w:after="0" w:line="240" w:lineRule="auto"/>
        <w:rPr>
          <w:rFonts w:cstheme="minorHAnsi"/>
        </w:rPr>
      </w:pPr>
    </w:p>
    <w:p w14:paraId="283AB634" w14:textId="3FE750C4" w:rsidR="00D96524" w:rsidRPr="005970F0" w:rsidRDefault="005970F0" w:rsidP="00F12682">
      <w:pPr>
        <w:pStyle w:val="Lgende"/>
        <w:rPr>
          <w:rFonts w:eastAsiaTheme="majorEastAsia" w:cs="Calibri"/>
          <w:iCs w:val="0"/>
        </w:rPr>
      </w:pPr>
      <w:bookmarkStart w:id="125" w:name="_Toc529305072"/>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18</w:t>
      </w:r>
      <w:r w:rsidR="00A773EB">
        <w:rPr>
          <w:noProof/>
        </w:rPr>
        <w:fldChar w:fldCharType="end"/>
      </w:r>
      <w:r w:rsidR="00100A08" w:rsidRPr="005970F0">
        <w:rPr>
          <w:rFonts w:eastAsiaTheme="majorEastAsia" w:cs="Calibri"/>
          <w:iCs w:val="0"/>
        </w:rPr>
        <w:t xml:space="preserve"> : </w:t>
      </w:r>
      <w:r w:rsidR="00D96524" w:rsidRPr="005970F0">
        <w:rPr>
          <w:rFonts w:eastAsiaTheme="majorEastAsia" w:cs="Calibri"/>
          <w:iCs w:val="0"/>
        </w:rPr>
        <w:t xml:space="preserve">Répartition des ressources d’investissements par </w:t>
      </w:r>
      <w:r w:rsidR="00100A08" w:rsidRPr="005970F0">
        <w:rPr>
          <w:rFonts w:eastAsiaTheme="majorEastAsia" w:cs="Calibri"/>
          <w:iCs w:val="0"/>
        </w:rPr>
        <w:t>type</w:t>
      </w:r>
      <w:r w:rsidR="00D96524" w:rsidRPr="005970F0">
        <w:rPr>
          <w:rFonts w:eastAsiaTheme="majorEastAsia" w:cs="Calibri"/>
          <w:iCs w:val="0"/>
        </w:rPr>
        <w:t xml:space="preserve"> de financements au MAG</w:t>
      </w:r>
      <w:r w:rsidR="00100A08" w:rsidRPr="005970F0">
        <w:rPr>
          <w:rFonts w:eastAsiaTheme="majorEastAsia" w:cs="Calibri"/>
          <w:iCs w:val="0"/>
        </w:rPr>
        <w:t>, 2016</w:t>
      </w:r>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1"/>
        <w:gridCol w:w="1583"/>
        <w:gridCol w:w="1764"/>
        <w:gridCol w:w="2273"/>
        <w:gridCol w:w="1267"/>
      </w:tblGrid>
      <w:tr w:rsidR="00CC16EC" w:rsidRPr="00216743" w14:paraId="33016CC4" w14:textId="77777777" w:rsidTr="00216743">
        <w:trPr>
          <w:trHeight w:val="315"/>
        </w:trPr>
        <w:tc>
          <w:tcPr>
            <w:tcW w:w="1439" w:type="pct"/>
            <w:shd w:val="clear" w:color="auto" w:fill="auto"/>
            <w:noWrap/>
            <w:vAlign w:val="center"/>
            <w:hideMark/>
          </w:tcPr>
          <w:p w14:paraId="17E5CC7B" w14:textId="77777777" w:rsidR="00CC16EC" w:rsidRPr="00216743" w:rsidRDefault="00CC16EC" w:rsidP="00F12682">
            <w:pPr>
              <w:spacing w:after="0" w:line="240" w:lineRule="auto"/>
              <w:jc w:val="center"/>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Type de financement</w:t>
            </w:r>
          </w:p>
        </w:tc>
        <w:tc>
          <w:tcPr>
            <w:tcW w:w="837" w:type="pct"/>
            <w:shd w:val="clear" w:color="auto" w:fill="auto"/>
            <w:noWrap/>
            <w:vAlign w:val="center"/>
            <w:hideMark/>
          </w:tcPr>
          <w:p w14:paraId="65E2401B" w14:textId="77777777" w:rsidR="00CC16EC" w:rsidRPr="00216743" w:rsidRDefault="00CC16EC" w:rsidP="00F12682">
            <w:pPr>
              <w:spacing w:after="0" w:line="240" w:lineRule="auto"/>
              <w:jc w:val="center"/>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Voté</w:t>
            </w:r>
          </w:p>
        </w:tc>
        <w:tc>
          <w:tcPr>
            <w:tcW w:w="931" w:type="pct"/>
            <w:shd w:val="clear" w:color="auto" w:fill="auto"/>
            <w:noWrap/>
            <w:vAlign w:val="center"/>
            <w:hideMark/>
          </w:tcPr>
          <w:p w14:paraId="33C23934" w14:textId="77777777" w:rsidR="00CC16EC" w:rsidRPr="00216743" w:rsidRDefault="00CC16EC" w:rsidP="00F12682">
            <w:pPr>
              <w:spacing w:after="0" w:line="240" w:lineRule="auto"/>
              <w:jc w:val="center"/>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Exécuté</w:t>
            </w:r>
          </w:p>
        </w:tc>
        <w:tc>
          <w:tcPr>
            <w:tcW w:w="1148" w:type="pct"/>
            <w:shd w:val="clear" w:color="auto" w:fill="auto"/>
            <w:noWrap/>
            <w:vAlign w:val="center"/>
            <w:hideMark/>
          </w:tcPr>
          <w:p w14:paraId="3D196139" w14:textId="77777777" w:rsidR="00CC16EC" w:rsidRPr="00216743" w:rsidRDefault="00CC16EC" w:rsidP="00F12682">
            <w:pPr>
              <w:spacing w:after="0" w:line="240" w:lineRule="auto"/>
              <w:jc w:val="center"/>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Taux de consommation</w:t>
            </w:r>
          </w:p>
        </w:tc>
        <w:tc>
          <w:tcPr>
            <w:tcW w:w="644" w:type="pct"/>
            <w:shd w:val="clear" w:color="auto" w:fill="auto"/>
            <w:noWrap/>
            <w:vAlign w:val="center"/>
            <w:hideMark/>
          </w:tcPr>
          <w:p w14:paraId="11B39FAD" w14:textId="77777777" w:rsidR="00CC16EC" w:rsidRPr="00216743" w:rsidRDefault="00CC16EC" w:rsidP="00F12682">
            <w:pPr>
              <w:spacing w:after="0" w:line="240" w:lineRule="auto"/>
              <w:jc w:val="center"/>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Part relative</w:t>
            </w:r>
          </w:p>
        </w:tc>
      </w:tr>
      <w:tr w:rsidR="00216743" w:rsidRPr="00216743" w14:paraId="7389FFE2" w14:textId="77777777" w:rsidTr="00216743">
        <w:trPr>
          <w:trHeight w:val="315"/>
        </w:trPr>
        <w:tc>
          <w:tcPr>
            <w:tcW w:w="1439" w:type="pct"/>
            <w:shd w:val="clear" w:color="auto" w:fill="auto"/>
            <w:noWrap/>
            <w:vAlign w:val="center"/>
            <w:hideMark/>
          </w:tcPr>
          <w:p w14:paraId="7258AB42" w14:textId="77777777" w:rsidR="00216743" w:rsidRPr="00216743" w:rsidRDefault="00216743" w:rsidP="00F12682">
            <w:pPr>
              <w:spacing w:after="0" w:line="240" w:lineRule="auto"/>
              <w:rPr>
                <w:rFonts w:ascii="Calibri" w:eastAsia="Times New Roman" w:hAnsi="Calibri" w:cs="Calibri"/>
                <w:color w:val="000000"/>
                <w:lang w:eastAsia="fr-FR"/>
              </w:rPr>
            </w:pPr>
            <w:r w:rsidRPr="00216743">
              <w:rPr>
                <w:rFonts w:ascii="Calibri" w:eastAsia="Times New Roman" w:hAnsi="Calibri" w:cs="Calibri"/>
                <w:color w:val="000000"/>
                <w:lang w:eastAsia="fr-FR"/>
              </w:rPr>
              <w:t>ANR</w:t>
            </w:r>
          </w:p>
        </w:tc>
        <w:tc>
          <w:tcPr>
            <w:tcW w:w="837" w:type="pct"/>
            <w:shd w:val="clear" w:color="auto" w:fill="auto"/>
            <w:noWrap/>
            <w:vAlign w:val="center"/>
            <w:hideMark/>
          </w:tcPr>
          <w:p w14:paraId="4EAF0726" w14:textId="77777777" w:rsidR="00216743" w:rsidRPr="00216743" w:rsidRDefault="00216743" w:rsidP="00F12682">
            <w:pPr>
              <w:spacing w:after="0" w:line="240" w:lineRule="auto"/>
              <w:jc w:val="right"/>
              <w:rPr>
                <w:rFonts w:ascii="Calibri" w:eastAsia="Times New Roman" w:hAnsi="Calibri" w:cs="Calibri"/>
                <w:color w:val="000000"/>
                <w:lang w:eastAsia="fr-FR"/>
              </w:rPr>
            </w:pPr>
            <w:r w:rsidRPr="00216743">
              <w:rPr>
                <w:rFonts w:ascii="Calibri" w:eastAsia="Times New Roman" w:hAnsi="Calibri" w:cs="Calibri"/>
                <w:color w:val="000000"/>
                <w:lang w:eastAsia="fr-FR"/>
              </w:rPr>
              <w:t>23 803 145 081</w:t>
            </w:r>
          </w:p>
        </w:tc>
        <w:tc>
          <w:tcPr>
            <w:tcW w:w="931" w:type="pct"/>
            <w:shd w:val="clear" w:color="auto" w:fill="auto"/>
            <w:noWrap/>
            <w:vAlign w:val="center"/>
            <w:hideMark/>
          </w:tcPr>
          <w:p w14:paraId="2BB22688" w14:textId="77777777" w:rsidR="00216743" w:rsidRPr="00216743" w:rsidRDefault="00216743" w:rsidP="00F12682">
            <w:pPr>
              <w:spacing w:after="0" w:line="240" w:lineRule="auto"/>
              <w:jc w:val="right"/>
              <w:rPr>
                <w:rFonts w:ascii="Calibri" w:eastAsia="Times New Roman" w:hAnsi="Calibri" w:cs="Calibri"/>
                <w:color w:val="000000"/>
                <w:lang w:eastAsia="fr-FR"/>
              </w:rPr>
            </w:pPr>
            <w:r w:rsidRPr="00216743">
              <w:rPr>
                <w:rFonts w:ascii="Calibri" w:eastAsia="Times New Roman" w:hAnsi="Calibri" w:cs="Calibri"/>
                <w:color w:val="000000"/>
                <w:lang w:eastAsia="fr-FR"/>
              </w:rPr>
              <w:t>4 774 799 442</w:t>
            </w:r>
          </w:p>
        </w:tc>
        <w:tc>
          <w:tcPr>
            <w:tcW w:w="1148" w:type="pct"/>
            <w:shd w:val="clear" w:color="auto" w:fill="auto"/>
            <w:noWrap/>
            <w:vAlign w:val="center"/>
            <w:hideMark/>
          </w:tcPr>
          <w:p w14:paraId="6C7CEE32" w14:textId="77777777" w:rsidR="00216743" w:rsidRPr="00216743" w:rsidRDefault="00216743" w:rsidP="00F12682">
            <w:pPr>
              <w:spacing w:after="0" w:line="240" w:lineRule="auto"/>
              <w:jc w:val="center"/>
              <w:rPr>
                <w:rFonts w:ascii="Calibri" w:eastAsia="Times New Roman" w:hAnsi="Calibri" w:cs="Calibri"/>
                <w:color w:val="000000"/>
                <w:lang w:eastAsia="fr-FR"/>
              </w:rPr>
            </w:pPr>
            <w:r w:rsidRPr="00216743">
              <w:rPr>
                <w:rFonts w:ascii="Calibri" w:eastAsia="Times New Roman" w:hAnsi="Calibri" w:cs="Calibri"/>
                <w:color w:val="000000"/>
                <w:lang w:eastAsia="fr-FR"/>
              </w:rPr>
              <w:t>20%</w:t>
            </w:r>
          </w:p>
        </w:tc>
        <w:tc>
          <w:tcPr>
            <w:tcW w:w="644" w:type="pct"/>
            <w:shd w:val="clear" w:color="auto" w:fill="auto"/>
            <w:noWrap/>
            <w:vAlign w:val="center"/>
            <w:hideMark/>
          </w:tcPr>
          <w:p w14:paraId="0FCAD640" w14:textId="77777777" w:rsidR="00216743" w:rsidRPr="00216743" w:rsidRDefault="00216743" w:rsidP="00F12682">
            <w:pPr>
              <w:spacing w:after="0" w:line="240" w:lineRule="auto"/>
              <w:jc w:val="center"/>
              <w:rPr>
                <w:rFonts w:ascii="Calibri" w:eastAsia="Times New Roman" w:hAnsi="Calibri" w:cs="Calibri"/>
                <w:color w:val="000000"/>
                <w:lang w:eastAsia="fr-FR"/>
              </w:rPr>
            </w:pPr>
            <w:r w:rsidRPr="00216743">
              <w:rPr>
                <w:rFonts w:ascii="Calibri" w:eastAsia="Times New Roman" w:hAnsi="Calibri" w:cs="Calibri"/>
                <w:color w:val="000000"/>
                <w:lang w:eastAsia="fr-FR"/>
              </w:rPr>
              <w:t>24,5%</w:t>
            </w:r>
          </w:p>
        </w:tc>
      </w:tr>
      <w:tr w:rsidR="00CC16EC" w:rsidRPr="00216743" w14:paraId="19FEBED1" w14:textId="77777777" w:rsidTr="00216743">
        <w:trPr>
          <w:trHeight w:val="315"/>
        </w:trPr>
        <w:tc>
          <w:tcPr>
            <w:tcW w:w="1439" w:type="pct"/>
            <w:shd w:val="clear" w:color="auto" w:fill="auto"/>
            <w:noWrap/>
            <w:vAlign w:val="center"/>
            <w:hideMark/>
          </w:tcPr>
          <w:p w14:paraId="58B66887" w14:textId="77777777" w:rsidR="00CC16EC" w:rsidRPr="00216743" w:rsidRDefault="00CC16EC" w:rsidP="00F12682">
            <w:pPr>
              <w:spacing w:after="0" w:line="240" w:lineRule="auto"/>
              <w:rPr>
                <w:rFonts w:ascii="Calibri" w:eastAsia="Times New Roman" w:hAnsi="Calibri" w:cs="Calibri"/>
                <w:color w:val="000000"/>
                <w:lang w:eastAsia="fr-FR"/>
              </w:rPr>
            </w:pPr>
            <w:r w:rsidRPr="00216743">
              <w:rPr>
                <w:rFonts w:ascii="Calibri" w:eastAsia="Times New Roman" w:hAnsi="Calibri" w:cs="Calibri"/>
                <w:color w:val="000000"/>
                <w:lang w:eastAsia="fr-FR"/>
              </w:rPr>
              <w:t>Emprunt</w:t>
            </w:r>
          </w:p>
        </w:tc>
        <w:tc>
          <w:tcPr>
            <w:tcW w:w="837" w:type="pct"/>
            <w:shd w:val="clear" w:color="auto" w:fill="auto"/>
            <w:noWrap/>
            <w:vAlign w:val="center"/>
            <w:hideMark/>
          </w:tcPr>
          <w:p w14:paraId="68D4EE43" w14:textId="77777777" w:rsidR="00CC16EC" w:rsidRPr="00216743" w:rsidRDefault="00CC16EC" w:rsidP="00F12682">
            <w:pPr>
              <w:spacing w:after="0" w:line="240" w:lineRule="auto"/>
              <w:jc w:val="right"/>
              <w:rPr>
                <w:rFonts w:ascii="Calibri" w:eastAsia="Times New Roman" w:hAnsi="Calibri" w:cs="Calibri"/>
                <w:color w:val="000000"/>
                <w:lang w:eastAsia="fr-FR"/>
              </w:rPr>
            </w:pPr>
            <w:r w:rsidRPr="00216743">
              <w:rPr>
                <w:rFonts w:ascii="Calibri" w:eastAsia="Times New Roman" w:hAnsi="Calibri" w:cs="Calibri"/>
                <w:color w:val="000000"/>
                <w:lang w:eastAsia="fr-FR"/>
              </w:rPr>
              <w:t>29 382 975 957</w:t>
            </w:r>
          </w:p>
        </w:tc>
        <w:tc>
          <w:tcPr>
            <w:tcW w:w="931" w:type="pct"/>
            <w:shd w:val="clear" w:color="auto" w:fill="auto"/>
            <w:noWrap/>
            <w:vAlign w:val="center"/>
            <w:hideMark/>
          </w:tcPr>
          <w:p w14:paraId="4BC57DC5" w14:textId="77777777" w:rsidR="00CC16EC" w:rsidRPr="00216743" w:rsidRDefault="00CC16EC" w:rsidP="00F12682">
            <w:pPr>
              <w:spacing w:after="0" w:line="240" w:lineRule="auto"/>
              <w:jc w:val="right"/>
              <w:rPr>
                <w:rFonts w:ascii="Calibri" w:eastAsia="Times New Roman" w:hAnsi="Calibri" w:cs="Calibri"/>
                <w:color w:val="000000"/>
                <w:lang w:eastAsia="fr-FR"/>
              </w:rPr>
            </w:pPr>
            <w:r w:rsidRPr="00216743">
              <w:rPr>
                <w:rFonts w:ascii="Calibri" w:eastAsia="Times New Roman" w:hAnsi="Calibri" w:cs="Calibri"/>
                <w:color w:val="000000"/>
                <w:lang w:eastAsia="fr-FR"/>
              </w:rPr>
              <w:t>9 874 867 810</w:t>
            </w:r>
          </w:p>
        </w:tc>
        <w:tc>
          <w:tcPr>
            <w:tcW w:w="1148" w:type="pct"/>
            <w:shd w:val="clear" w:color="auto" w:fill="auto"/>
            <w:noWrap/>
            <w:vAlign w:val="center"/>
            <w:hideMark/>
          </w:tcPr>
          <w:p w14:paraId="7276CAF3" w14:textId="77777777" w:rsidR="00CC16EC" w:rsidRPr="00216743" w:rsidRDefault="00CC16EC" w:rsidP="00F12682">
            <w:pPr>
              <w:spacing w:after="0" w:line="240" w:lineRule="auto"/>
              <w:jc w:val="center"/>
              <w:rPr>
                <w:rFonts w:ascii="Calibri" w:eastAsia="Times New Roman" w:hAnsi="Calibri" w:cs="Calibri"/>
                <w:color w:val="000000"/>
                <w:lang w:eastAsia="fr-FR"/>
              </w:rPr>
            </w:pPr>
            <w:r w:rsidRPr="00216743">
              <w:rPr>
                <w:rFonts w:ascii="Calibri" w:eastAsia="Times New Roman" w:hAnsi="Calibri" w:cs="Calibri"/>
                <w:color w:val="000000"/>
                <w:lang w:eastAsia="fr-FR"/>
              </w:rPr>
              <w:t>34%</w:t>
            </w:r>
          </w:p>
        </w:tc>
        <w:tc>
          <w:tcPr>
            <w:tcW w:w="644" w:type="pct"/>
            <w:shd w:val="clear" w:color="auto" w:fill="auto"/>
            <w:noWrap/>
            <w:vAlign w:val="center"/>
            <w:hideMark/>
          </w:tcPr>
          <w:p w14:paraId="5254CB0E" w14:textId="77777777" w:rsidR="00CC16EC" w:rsidRPr="00216743" w:rsidRDefault="00CC16EC" w:rsidP="00F12682">
            <w:pPr>
              <w:spacing w:after="0" w:line="240" w:lineRule="auto"/>
              <w:jc w:val="center"/>
              <w:rPr>
                <w:rFonts w:ascii="Calibri" w:eastAsia="Times New Roman" w:hAnsi="Calibri" w:cs="Calibri"/>
                <w:color w:val="000000"/>
                <w:lang w:eastAsia="fr-FR"/>
              </w:rPr>
            </w:pPr>
            <w:r w:rsidRPr="00216743">
              <w:rPr>
                <w:rFonts w:ascii="Calibri" w:eastAsia="Times New Roman" w:hAnsi="Calibri" w:cs="Calibri"/>
                <w:color w:val="000000"/>
                <w:lang w:eastAsia="fr-FR"/>
              </w:rPr>
              <w:t>50,6%</w:t>
            </w:r>
          </w:p>
        </w:tc>
      </w:tr>
      <w:tr w:rsidR="00216743" w:rsidRPr="00216743" w14:paraId="04630A4C" w14:textId="77777777" w:rsidTr="00216743">
        <w:trPr>
          <w:trHeight w:val="315"/>
        </w:trPr>
        <w:tc>
          <w:tcPr>
            <w:tcW w:w="1439" w:type="pct"/>
            <w:shd w:val="clear" w:color="auto" w:fill="auto"/>
            <w:noWrap/>
            <w:vAlign w:val="center"/>
            <w:hideMark/>
          </w:tcPr>
          <w:p w14:paraId="0F3EB812" w14:textId="77777777" w:rsidR="00216743" w:rsidRPr="00216743" w:rsidRDefault="00216743" w:rsidP="00F12682">
            <w:pPr>
              <w:spacing w:after="0" w:line="240" w:lineRule="auto"/>
              <w:rPr>
                <w:rFonts w:ascii="Calibri" w:eastAsia="Times New Roman" w:hAnsi="Calibri" w:cs="Calibri"/>
                <w:color w:val="000000"/>
                <w:lang w:eastAsia="fr-FR"/>
              </w:rPr>
            </w:pPr>
            <w:r w:rsidRPr="00216743">
              <w:rPr>
                <w:rFonts w:ascii="Calibri" w:eastAsia="Times New Roman" w:hAnsi="Calibri" w:cs="Calibri"/>
                <w:color w:val="000000"/>
                <w:lang w:eastAsia="fr-FR"/>
              </w:rPr>
              <w:t>Trésor</w:t>
            </w:r>
          </w:p>
        </w:tc>
        <w:tc>
          <w:tcPr>
            <w:tcW w:w="837" w:type="pct"/>
            <w:shd w:val="clear" w:color="auto" w:fill="auto"/>
            <w:noWrap/>
            <w:vAlign w:val="bottom"/>
            <w:hideMark/>
          </w:tcPr>
          <w:p w14:paraId="74284056" w14:textId="7CECA873" w:rsidR="00216743" w:rsidRPr="00216743" w:rsidRDefault="00216743" w:rsidP="00F12682">
            <w:pPr>
              <w:spacing w:after="0" w:line="240" w:lineRule="auto"/>
              <w:jc w:val="right"/>
              <w:rPr>
                <w:rFonts w:ascii="Calibri" w:eastAsia="Times New Roman" w:hAnsi="Calibri" w:cs="Calibri"/>
                <w:color w:val="000000"/>
                <w:lang w:eastAsia="fr-FR"/>
              </w:rPr>
            </w:pPr>
            <w:r w:rsidRPr="00216743">
              <w:rPr>
                <w:rFonts w:ascii="Calibri" w:hAnsi="Calibri" w:cs="Calibri"/>
                <w:color w:val="000000"/>
              </w:rPr>
              <w:t>16 000 757 708</w:t>
            </w:r>
          </w:p>
        </w:tc>
        <w:tc>
          <w:tcPr>
            <w:tcW w:w="931" w:type="pct"/>
            <w:shd w:val="clear" w:color="auto" w:fill="auto"/>
            <w:noWrap/>
            <w:vAlign w:val="bottom"/>
            <w:hideMark/>
          </w:tcPr>
          <w:p w14:paraId="47390D1E" w14:textId="18B93B12" w:rsidR="00216743" w:rsidRPr="00216743" w:rsidRDefault="00216743" w:rsidP="00F12682">
            <w:pPr>
              <w:spacing w:after="0" w:line="240" w:lineRule="auto"/>
              <w:jc w:val="right"/>
              <w:rPr>
                <w:rFonts w:ascii="Calibri" w:eastAsia="Times New Roman" w:hAnsi="Calibri" w:cs="Calibri"/>
                <w:color w:val="000000"/>
                <w:lang w:eastAsia="fr-FR"/>
              </w:rPr>
            </w:pPr>
            <w:r w:rsidRPr="00216743">
              <w:rPr>
                <w:rFonts w:ascii="Calibri" w:hAnsi="Calibri" w:cs="Calibri"/>
                <w:color w:val="000000"/>
              </w:rPr>
              <w:t>4 859 863 621</w:t>
            </w:r>
          </w:p>
        </w:tc>
        <w:tc>
          <w:tcPr>
            <w:tcW w:w="1148" w:type="pct"/>
            <w:shd w:val="clear" w:color="auto" w:fill="auto"/>
            <w:noWrap/>
            <w:vAlign w:val="bottom"/>
            <w:hideMark/>
          </w:tcPr>
          <w:p w14:paraId="72B904B2" w14:textId="689F626C" w:rsidR="00216743" w:rsidRPr="00216743" w:rsidRDefault="00216743" w:rsidP="00F12682">
            <w:pPr>
              <w:spacing w:after="0" w:line="240" w:lineRule="auto"/>
              <w:jc w:val="center"/>
              <w:rPr>
                <w:rFonts w:ascii="Calibri" w:eastAsia="Times New Roman" w:hAnsi="Calibri" w:cs="Calibri"/>
                <w:color w:val="000000"/>
                <w:lang w:eastAsia="fr-FR"/>
              </w:rPr>
            </w:pPr>
            <w:r w:rsidRPr="00216743">
              <w:rPr>
                <w:rFonts w:ascii="Calibri" w:hAnsi="Calibri" w:cs="Calibri"/>
                <w:color w:val="000000"/>
              </w:rPr>
              <w:t>30%</w:t>
            </w:r>
          </w:p>
        </w:tc>
        <w:tc>
          <w:tcPr>
            <w:tcW w:w="644" w:type="pct"/>
            <w:shd w:val="clear" w:color="auto" w:fill="auto"/>
            <w:noWrap/>
            <w:vAlign w:val="bottom"/>
            <w:hideMark/>
          </w:tcPr>
          <w:p w14:paraId="3EF627D6" w14:textId="37CB03E3" w:rsidR="00216743" w:rsidRPr="00216743" w:rsidRDefault="00216743" w:rsidP="00F12682">
            <w:pPr>
              <w:spacing w:after="0" w:line="240" w:lineRule="auto"/>
              <w:jc w:val="center"/>
              <w:rPr>
                <w:rFonts w:ascii="Calibri" w:eastAsia="Times New Roman" w:hAnsi="Calibri" w:cs="Calibri"/>
                <w:color w:val="000000"/>
                <w:lang w:eastAsia="fr-FR"/>
              </w:rPr>
            </w:pPr>
            <w:r w:rsidRPr="00216743">
              <w:rPr>
                <w:rFonts w:ascii="Calibri" w:hAnsi="Calibri" w:cs="Calibri"/>
                <w:color w:val="000000"/>
              </w:rPr>
              <w:t>25%</w:t>
            </w:r>
          </w:p>
        </w:tc>
      </w:tr>
      <w:tr w:rsidR="00CC16EC" w:rsidRPr="00216743" w14:paraId="39F73377" w14:textId="77777777" w:rsidTr="00216743">
        <w:trPr>
          <w:trHeight w:val="315"/>
        </w:trPr>
        <w:tc>
          <w:tcPr>
            <w:tcW w:w="1439" w:type="pct"/>
            <w:shd w:val="clear" w:color="auto" w:fill="auto"/>
            <w:noWrap/>
            <w:vAlign w:val="center"/>
            <w:hideMark/>
          </w:tcPr>
          <w:p w14:paraId="668EB902" w14:textId="77777777" w:rsidR="00CC16EC" w:rsidRPr="00216743" w:rsidRDefault="00CC16EC" w:rsidP="00F12682">
            <w:pPr>
              <w:spacing w:after="0" w:line="240" w:lineRule="auto"/>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Total</w:t>
            </w:r>
          </w:p>
        </w:tc>
        <w:tc>
          <w:tcPr>
            <w:tcW w:w="837" w:type="pct"/>
            <w:shd w:val="clear" w:color="auto" w:fill="auto"/>
            <w:noWrap/>
            <w:vAlign w:val="center"/>
            <w:hideMark/>
          </w:tcPr>
          <w:p w14:paraId="0C5C72CC" w14:textId="77777777" w:rsidR="00CC16EC" w:rsidRPr="00216743" w:rsidRDefault="00CC16EC" w:rsidP="00F12682">
            <w:pPr>
              <w:spacing w:after="0" w:line="240" w:lineRule="auto"/>
              <w:jc w:val="right"/>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69 186 878 746</w:t>
            </w:r>
          </w:p>
        </w:tc>
        <w:tc>
          <w:tcPr>
            <w:tcW w:w="931" w:type="pct"/>
            <w:shd w:val="clear" w:color="auto" w:fill="auto"/>
            <w:noWrap/>
            <w:vAlign w:val="center"/>
            <w:hideMark/>
          </w:tcPr>
          <w:p w14:paraId="51ACB341" w14:textId="77777777" w:rsidR="00CC16EC" w:rsidRPr="00216743" w:rsidRDefault="00CC16EC" w:rsidP="00F12682">
            <w:pPr>
              <w:spacing w:after="0" w:line="240" w:lineRule="auto"/>
              <w:jc w:val="right"/>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19 509 530 873</w:t>
            </w:r>
          </w:p>
        </w:tc>
        <w:tc>
          <w:tcPr>
            <w:tcW w:w="1148" w:type="pct"/>
            <w:shd w:val="clear" w:color="auto" w:fill="auto"/>
            <w:noWrap/>
            <w:vAlign w:val="center"/>
            <w:hideMark/>
          </w:tcPr>
          <w:p w14:paraId="6965B8D3" w14:textId="77777777" w:rsidR="00CC16EC" w:rsidRPr="00216743" w:rsidRDefault="00CC16EC" w:rsidP="00F12682">
            <w:pPr>
              <w:spacing w:after="0" w:line="240" w:lineRule="auto"/>
              <w:jc w:val="center"/>
              <w:rPr>
                <w:rFonts w:ascii="Calibri" w:eastAsia="Times New Roman" w:hAnsi="Calibri" w:cs="Calibri"/>
                <w:b/>
                <w:color w:val="000000"/>
                <w:lang w:eastAsia="fr-FR"/>
              </w:rPr>
            </w:pPr>
            <w:r w:rsidRPr="00216743">
              <w:rPr>
                <w:rFonts w:ascii="Calibri" w:eastAsia="Times New Roman" w:hAnsi="Calibri" w:cs="Calibri"/>
                <w:b/>
                <w:color w:val="000000"/>
                <w:lang w:eastAsia="fr-FR"/>
              </w:rPr>
              <w:t>28%</w:t>
            </w:r>
          </w:p>
        </w:tc>
        <w:tc>
          <w:tcPr>
            <w:tcW w:w="644" w:type="pct"/>
            <w:shd w:val="clear" w:color="auto" w:fill="auto"/>
            <w:noWrap/>
            <w:vAlign w:val="center"/>
            <w:hideMark/>
          </w:tcPr>
          <w:p w14:paraId="7E706C49" w14:textId="77777777" w:rsidR="00CC16EC" w:rsidRPr="00216743" w:rsidRDefault="00CC16EC" w:rsidP="00F12682">
            <w:pPr>
              <w:spacing w:after="0" w:line="240" w:lineRule="auto"/>
              <w:jc w:val="center"/>
              <w:rPr>
                <w:rFonts w:ascii="Calibri" w:eastAsia="Times New Roman" w:hAnsi="Calibri" w:cs="Calibri"/>
                <w:b/>
                <w:color w:val="000000"/>
                <w:lang w:eastAsia="fr-FR"/>
              </w:rPr>
            </w:pPr>
            <w:r w:rsidRPr="00216743">
              <w:rPr>
                <w:rFonts w:ascii="Calibri" w:eastAsia="Times New Roman" w:hAnsi="Calibri" w:cs="Calibri"/>
                <w:b/>
                <w:color w:val="000000"/>
                <w:lang w:eastAsia="fr-FR"/>
              </w:rPr>
              <w:t>100,0%</w:t>
            </w:r>
          </w:p>
        </w:tc>
      </w:tr>
    </w:tbl>
    <w:p w14:paraId="0D7409B1" w14:textId="77777777" w:rsidR="00100A08" w:rsidRPr="00100A08" w:rsidRDefault="00100A08" w:rsidP="00F12682">
      <w:pPr>
        <w:spacing w:after="120" w:line="276" w:lineRule="auto"/>
        <w:jc w:val="both"/>
        <w:rPr>
          <w:rFonts w:ascii="Calibri" w:eastAsiaTheme="majorEastAsia" w:hAnsi="Calibri" w:cs="Calibri"/>
          <w:iCs/>
          <w:sz w:val="24"/>
        </w:rPr>
      </w:pPr>
    </w:p>
    <w:p w14:paraId="46B9ED91" w14:textId="1E7B8F14" w:rsidR="0087028D" w:rsidRDefault="0087028D" w:rsidP="00F12682">
      <w:pPr>
        <w:spacing w:after="120" w:line="276" w:lineRule="auto"/>
        <w:jc w:val="both"/>
        <w:rPr>
          <w:rFonts w:ascii="Calibri" w:eastAsiaTheme="majorEastAsia" w:hAnsi="Calibri" w:cs="Calibri"/>
          <w:iCs/>
          <w:sz w:val="24"/>
        </w:rPr>
      </w:pPr>
      <w:r w:rsidRPr="00100A08">
        <w:rPr>
          <w:rFonts w:ascii="Calibri" w:eastAsiaTheme="majorEastAsia" w:hAnsi="Calibri" w:cs="Calibri"/>
          <w:iCs/>
          <w:noProof/>
          <w:sz w:val="24"/>
          <w:lang w:eastAsia="fr-FR"/>
        </w:rPr>
        <w:lastRenderedPageBreak/>
        <w:drawing>
          <wp:inline distT="0" distB="0" distL="0" distR="0" wp14:anchorId="052CB0D6" wp14:editId="229F781A">
            <wp:extent cx="4219575" cy="2419350"/>
            <wp:effectExtent l="0" t="0" r="9525"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BF5458" w14:textId="1F8A0AC5" w:rsidR="00100A08" w:rsidRDefault="005970F0" w:rsidP="00F12682">
      <w:pPr>
        <w:pStyle w:val="Lgende"/>
        <w:rPr>
          <w:rFonts w:eastAsiaTheme="majorEastAsia" w:cs="Calibri"/>
          <w:iCs w:val="0"/>
        </w:rPr>
      </w:pPr>
      <w:bookmarkStart w:id="126" w:name="_Toc529305106"/>
      <w:r>
        <w:t xml:space="preserve">Graphique </w:t>
      </w:r>
      <w:r w:rsidR="00A773EB">
        <w:rPr>
          <w:noProof/>
        </w:rPr>
        <w:fldChar w:fldCharType="begin"/>
      </w:r>
      <w:r w:rsidR="00A773EB">
        <w:rPr>
          <w:noProof/>
        </w:rPr>
        <w:instrText xml:space="preserve"> SEQ Graphique \* ARABIC </w:instrText>
      </w:r>
      <w:r w:rsidR="00A773EB">
        <w:rPr>
          <w:noProof/>
        </w:rPr>
        <w:fldChar w:fldCharType="separate"/>
      </w:r>
      <w:r w:rsidR="001C37F0">
        <w:rPr>
          <w:noProof/>
        </w:rPr>
        <w:t>2</w:t>
      </w:r>
      <w:r w:rsidR="00A773EB">
        <w:rPr>
          <w:noProof/>
        </w:rPr>
        <w:fldChar w:fldCharType="end"/>
      </w:r>
      <w:r w:rsidR="00100A08" w:rsidRPr="005970F0">
        <w:rPr>
          <w:rFonts w:eastAsiaTheme="majorEastAsia" w:cs="Calibri"/>
          <w:iCs w:val="0"/>
        </w:rPr>
        <w:t> : Importance relative des types de financement des investissements au MAG en 2016</w:t>
      </w:r>
      <w:bookmarkEnd w:id="126"/>
    </w:p>
    <w:p w14:paraId="5ACF4440" w14:textId="77777777" w:rsidR="00DB747C" w:rsidRDefault="00DB747C" w:rsidP="00F12682">
      <w:pPr>
        <w:spacing w:after="120" w:line="276" w:lineRule="auto"/>
        <w:jc w:val="both"/>
        <w:rPr>
          <w:rFonts w:ascii="Calibri" w:eastAsiaTheme="majorEastAsia" w:hAnsi="Calibri" w:cs="Calibri"/>
          <w:iCs/>
          <w:sz w:val="24"/>
        </w:rPr>
      </w:pPr>
    </w:p>
    <w:p w14:paraId="2FDE6486" w14:textId="77777777" w:rsidR="00DB747C" w:rsidRPr="00DB747C" w:rsidRDefault="00DB747C" w:rsidP="00F12682">
      <w:pPr>
        <w:spacing w:after="120" w:line="276" w:lineRule="auto"/>
        <w:jc w:val="both"/>
        <w:rPr>
          <w:rFonts w:ascii="Calibri" w:eastAsiaTheme="majorEastAsia" w:hAnsi="Calibri" w:cs="Calibri"/>
          <w:iCs/>
          <w:sz w:val="24"/>
        </w:rPr>
      </w:pPr>
    </w:p>
    <w:p w14:paraId="54A155FE" w14:textId="6D0DD97C" w:rsidR="00E75C04" w:rsidRPr="004A5122" w:rsidRDefault="00E75C04" w:rsidP="00F12682">
      <w:pPr>
        <w:pStyle w:val="Titre3"/>
        <w:numPr>
          <w:ilvl w:val="2"/>
          <w:numId w:val="3"/>
        </w:numPr>
        <w:rPr>
          <w:rFonts w:asciiTheme="minorHAnsi" w:hAnsiTheme="minorHAnsi" w:cstheme="minorHAnsi"/>
        </w:rPr>
      </w:pPr>
      <w:bookmarkStart w:id="127" w:name="_Toc529305032"/>
      <w:r w:rsidRPr="004A5122">
        <w:rPr>
          <w:rFonts w:asciiTheme="minorHAnsi" w:hAnsiTheme="minorHAnsi" w:cstheme="minorHAnsi"/>
        </w:rPr>
        <w:t>M</w:t>
      </w:r>
      <w:r w:rsidR="00BF4172">
        <w:rPr>
          <w:rFonts w:asciiTheme="minorHAnsi" w:hAnsiTheme="minorHAnsi" w:cstheme="minorHAnsi"/>
        </w:rPr>
        <w:t>inistère de l’</w:t>
      </w:r>
      <w:r w:rsidR="00692908">
        <w:rPr>
          <w:rFonts w:asciiTheme="minorHAnsi" w:hAnsiTheme="minorHAnsi" w:cstheme="minorHAnsi"/>
        </w:rPr>
        <w:t>E</w:t>
      </w:r>
      <w:r w:rsidR="00BF4172">
        <w:rPr>
          <w:rFonts w:asciiTheme="minorHAnsi" w:hAnsiTheme="minorHAnsi" w:cstheme="minorHAnsi"/>
        </w:rPr>
        <w:t>levage</w:t>
      </w:r>
      <w:r w:rsidR="00A35E93">
        <w:rPr>
          <w:rFonts w:asciiTheme="minorHAnsi" w:hAnsiTheme="minorHAnsi" w:cstheme="minorHAnsi"/>
        </w:rPr>
        <w:t xml:space="preserve"> (MEL)</w:t>
      </w:r>
      <w:bookmarkEnd w:id="127"/>
    </w:p>
    <w:p w14:paraId="553B1CB9" w14:textId="77777777" w:rsidR="00E75C04" w:rsidRPr="004A5122" w:rsidRDefault="00E75C04" w:rsidP="00F12682">
      <w:pPr>
        <w:pStyle w:val="Titre4"/>
        <w:rPr>
          <w:rFonts w:asciiTheme="minorHAnsi" w:hAnsiTheme="minorHAnsi" w:cstheme="minorHAnsi"/>
        </w:rPr>
      </w:pPr>
      <w:r w:rsidRPr="004A5122">
        <w:rPr>
          <w:rFonts w:asciiTheme="minorHAnsi" w:hAnsiTheme="minorHAnsi" w:cstheme="minorHAnsi"/>
        </w:rPr>
        <w:t>Analyse de l’évolution et de la pertinence des allocations budgétaires du secteur (financement global) par rapport aux priorités</w:t>
      </w:r>
    </w:p>
    <w:p w14:paraId="213C7C51" w14:textId="77777777" w:rsidR="004512A3" w:rsidRDefault="004512A3" w:rsidP="00F12682">
      <w:pPr>
        <w:jc w:val="both"/>
      </w:pPr>
      <w:bookmarkStart w:id="128" w:name="_Toc479343564"/>
      <w:r>
        <w:t>De 2011 à 2015, les dépenses du secteur ont connu une tendance à la hausse. Mais en 2016, bien que les crédits votés aient suivis la même tendance que la période 2011-2015, lors de la libration et de la consommation, ces dépenses ont connu une chute considérable.</w:t>
      </w:r>
    </w:p>
    <w:p w14:paraId="3219C237" w14:textId="77777777" w:rsidR="004512A3" w:rsidRDefault="004512A3" w:rsidP="00F12682">
      <w:pPr>
        <w:pStyle w:val="Lgende"/>
        <w:spacing w:after="0" w:line="276" w:lineRule="auto"/>
        <w:rPr>
          <w:rFonts w:cs="Calibri"/>
        </w:rPr>
      </w:pPr>
    </w:p>
    <w:p w14:paraId="3F71BEDD" w14:textId="5DE52E8F" w:rsidR="0070055A" w:rsidRPr="00C21B85" w:rsidRDefault="0070055A" w:rsidP="00F12682">
      <w:pPr>
        <w:pStyle w:val="Lgende"/>
        <w:spacing w:after="0" w:line="276" w:lineRule="auto"/>
        <w:rPr>
          <w:rFonts w:cs="Calibri"/>
        </w:rPr>
      </w:pPr>
      <w:bookmarkStart w:id="129" w:name="_Toc529305073"/>
      <w:r w:rsidRPr="00C21B85">
        <w:rPr>
          <w:rFonts w:cs="Calibri"/>
        </w:rPr>
        <w:t xml:space="preserve">Tableau </w:t>
      </w:r>
      <w:r w:rsidRPr="00C21B85">
        <w:rPr>
          <w:rFonts w:cs="Calibri"/>
        </w:rPr>
        <w:fldChar w:fldCharType="begin"/>
      </w:r>
      <w:r w:rsidRPr="00C21B85">
        <w:rPr>
          <w:rFonts w:cs="Calibri"/>
        </w:rPr>
        <w:instrText xml:space="preserve"> SEQ Tableau \* ARABIC </w:instrText>
      </w:r>
      <w:r w:rsidRPr="00C21B85">
        <w:rPr>
          <w:rFonts w:cs="Calibri"/>
        </w:rPr>
        <w:fldChar w:fldCharType="separate"/>
      </w:r>
      <w:r w:rsidR="001C37F0">
        <w:rPr>
          <w:rFonts w:cs="Calibri"/>
          <w:noProof/>
        </w:rPr>
        <w:t>19</w:t>
      </w:r>
      <w:r w:rsidRPr="00C21B85">
        <w:rPr>
          <w:rFonts w:cs="Calibri"/>
        </w:rPr>
        <w:fldChar w:fldCharType="end"/>
      </w:r>
      <w:r w:rsidRPr="00C21B85">
        <w:rPr>
          <w:rFonts w:cs="Calibri"/>
        </w:rPr>
        <w:t xml:space="preserve"> : </w:t>
      </w:r>
      <w:bookmarkEnd w:id="128"/>
      <w:r w:rsidRPr="00C21B85">
        <w:rPr>
          <w:rFonts w:cs="Calibri"/>
        </w:rPr>
        <w:t xml:space="preserve">Evolution des Dépenses </w:t>
      </w:r>
      <w:r w:rsidR="00AE78B3">
        <w:rPr>
          <w:rFonts w:cs="Calibri"/>
        </w:rPr>
        <w:t>« V</w:t>
      </w:r>
      <w:r w:rsidRPr="00C21B85">
        <w:rPr>
          <w:rFonts w:cs="Calibri"/>
        </w:rPr>
        <w:t xml:space="preserve">olet </w:t>
      </w:r>
      <w:r w:rsidR="00AE78B3">
        <w:rPr>
          <w:rFonts w:cs="Calibri"/>
        </w:rPr>
        <w:t>Elevage »</w:t>
      </w:r>
      <w:r w:rsidRPr="00C21B85">
        <w:rPr>
          <w:rFonts w:cs="Calibri"/>
        </w:rPr>
        <w:t xml:space="preserve"> de 2011 à 2016 (millions de FCFA)</w:t>
      </w:r>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3"/>
        <w:gridCol w:w="2507"/>
        <w:gridCol w:w="2509"/>
        <w:gridCol w:w="2509"/>
      </w:tblGrid>
      <w:tr w:rsidR="003D618B" w:rsidRPr="00E82172" w14:paraId="50D345B6" w14:textId="77777777" w:rsidTr="00AE78B3">
        <w:tc>
          <w:tcPr>
            <w:tcW w:w="1092" w:type="pct"/>
            <w:shd w:val="clear" w:color="auto" w:fill="auto"/>
            <w:noWrap/>
            <w:vAlign w:val="center"/>
          </w:tcPr>
          <w:p w14:paraId="650A748A" w14:textId="08D71AB8" w:rsidR="003D618B" w:rsidRPr="00E82172" w:rsidRDefault="003D618B" w:rsidP="00F12682">
            <w:pPr>
              <w:spacing w:after="0" w:line="240" w:lineRule="auto"/>
              <w:jc w:val="center"/>
              <w:rPr>
                <w:b/>
                <w:lang w:eastAsia="fr-FR"/>
              </w:rPr>
            </w:pPr>
            <w:r w:rsidRPr="00E82172">
              <w:rPr>
                <w:b/>
                <w:lang w:eastAsia="fr-FR"/>
              </w:rPr>
              <w:t>Année</w:t>
            </w:r>
          </w:p>
        </w:tc>
        <w:tc>
          <w:tcPr>
            <w:tcW w:w="1302" w:type="pct"/>
            <w:shd w:val="clear" w:color="auto" w:fill="auto"/>
            <w:noWrap/>
            <w:vAlign w:val="center"/>
          </w:tcPr>
          <w:p w14:paraId="4B8B34D8" w14:textId="3F28C74E" w:rsidR="003D618B" w:rsidRPr="00E82172" w:rsidRDefault="003D618B" w:rsidP="00F12682">
            <w:pPr>
              <w:spacing w:after="0" w:line="240" w:lineRule="auto"/>
              <w:jc w:val="center"/>
              <w:rPr>
                <w:b/>
                <w:lang w:eastAsia="fr-FR"/>
              </w:rPr>
            </w:pPr>
            <w:r w:rsidRPr="00E82172">
              <w:rPr>
                <w:b/>
                <w:lang w:eastAsia="fr-FR"/>
              </w:rPr>
              <w:t>Voté</w:t>
            </w:r>
          </w:p>
        </w:tc>
        <w:tc>
          <w:tcPr>
            <w:tcW w:w="1303" w:type="pct"/>
            <w:shd w:val="clear" w:color="auto" w:fill="auto"/>
            <w:noWrap/>
            <w:vAlign w:val="center"/>
          </w:tcPr>
          <w:p w14:paraId="36771FFB" w14:textId="1A72D999" w:rsidR="003D618B" w:rsidRPr="00E82172" w:rsidRDefault="003D618B" w:rsidP="00F12682">
            <w:pPr>
              <w:spacing w:after="0" w:line="240" w:lineRule="auto"/>
              <w:jc w:val="center"/>
              <w:rPr>
                <w:b/>
                <w:lang w:eastAsia="fr-FR"/>
              </w:rPr>
            </w:pPr>
            <w:r w:rsidRPr="00E82172">
              <w:rPr>
                <w:b/>
                <w:lang w:eastAsia="fr-FR"/>
              </w:rPr>
              <w:t>Consommé</w:t>
            </w:r>
          </w:p>
        </w:tc>
        <w:tc>
          <w:tcPr>
            <w:tcW w:w="1303" w:type="pct"/>
            <w:shd w:val="clear" w:color="auto" w:fill="auto"/>
            <w:noWrap/>
            <w:vAlign w:val="center"/>
          </w:tcPr>
          <w:p w14:paraId="1312BC6C" w14:textId="43128964" w:rsidR="003D618B" w:rsidRPr="00E82172" w:rsidRDefault="003D618B" w:rsidP="00F12682">
            <w:pPr>
              <w:spacing w:after="0" w:line="240" w:lineRule="auto"/>
              <w:jc w:val="center"/>
              <w:rPr>
                <w:b/>
                <w:lang w:eastAsia="fr-FR"/>
              </w:rPr>
            </w:pPr>
            <w:r w:rsidRPr="00E82172">
              <w:rPr>
                <w:b/>
                <w:lang w:eastAsia="fr-FR"/>
              </w:rPr>
              <w:t>Taux de consommation</w:t>
            </w:r>
          </w:p>
        </w:tc>
      </w:tr>
      <w:tr w:rsidR="003D618B" w:rsidRPr="00E82172" w14:paraId="46DF58EA" w14:textId="77777777" w:rsidTr="00AE78B3">
        <w:tc>
          <w:tcPr>
            <w:tcW w:w="1092" w:type="pct"/>
            <w:shd w:val="clear" w:color="auto" w:fill="auto"/>
            <w:noWrap/>
            <w:vAlign w:val="bottom"/>
            <w:hideMark/>
          </w:tcPr>
          <w:p w14:paraId="0CD56FA5" w14:textId="77777777" w:rsidR="003D618B" w:rsidRPr="00E82172" w:rsidRDefault="003D618B" w:rsidP="00F12682">
            <w:pPr>
              <w:spacing w:after="0" w:line="240" w:lineRule="auto"/>
              <w:rPr>
                <w:lang w:eastAsia="fr-FR"/>
              </w:rPr>
            </w:pPr>
            <w:r w:rsidRPr="00E82172">
              <w:rPr>
                <w:lang w:eastAsia="fr-FR"/>
              </w:rPr>
              <w:t>2011</w:t>
            </w:r>
          </w:p>
        </w:tc>
        <w:tc>
          <w:tcPr>
            <w:tcW w:w="1302" w:type="pct"/>
            <w:shd w:val="clear" w:color="auto" w:fill="auto"/>
            <w:noWrap/>
            <w:vAlign w:val="bottom"/>
            <w:hideMark/>
          </w:tcPr>
          <w:p w14:paraId="63AE8054" w14:textId="77777777" w:rsidR="003D618B" w:rsidRPr="00E82172" w:rsidRDefault="003D618B" w:rsidP="00F12682">
            <w:pPr>
              <w:spacing w:after="0" w:line="240" w:lineRule="auto"/>
              <w:jc w:val="center"/>
              <w:rPr>
                <w:lang w:eastAsia="fr-FR"/>
              </w:rPr>
            </w:pPr>
            <w:r w:rsidRPr="00E82172">
              <w:rPr>
                <w:lang w:eastAsia="fr-FR"/>
              </w:rPr>
              <w:t>2 559</w:t>
            </w:r>
          </w:p>
        </w:tc>
        <w:tc>
          <w:tcPr>
            <w:tcW w:w="1303" w:type="pct"/>
            <w:shd w:val="clear" w:color="auto" w:fill="auto"/>
            <w:noWrap/>
            <w:vAlign w:val="bottom"/>
            <w:hideMark/>
          </w:tcPr>
          <w:p w14:paraId="387E0AE2" w14:textId="77777777" w:rsidR="003D618B" w:rsidRPr="00E82172" w:rsidRDefault="003D618B" w:rsidP="00F12682">
            <w:pPr>
              <w:spacing w:after="0" w:line="240" w:lineRule="auto"/>
              <w:jc w:val="center"/>
              <w:rPr>
                <w:lang w:eastAsia="fr-FR"/>
              </w:rPr>
            </w:pPr>
            <w:r w:rsidRPr="00E82172">
              <w:rPr>
                <w:lang w:eastAsia="fr-FR"/>
              </w:rPr>
              <w:t>1 543</w:t>
            </w:r>
          </w:p>
        </w:tc>
        <w:tc>
          <w:tcPr>
            <w:tcW w:w="1303" w:type="pct"/>
            <w:shd w:val="clear" w:color="auto" w:fill="auto"/>
            <w:noWrap/>
            <w:vAlign w:val="bottom"/>
            <w:hideMark/>
          </w:tcPr>
          <w:p w14:paraId="56744DF3" w14:textId="77777777" w:rsidR="003D618B" w:rsidRPr="00E82172" w:rsidRDefault="003D618B" w:rsidP="00F12682">
            <w:pPr>
              <w:spacing w:after="0" w:line="240" w:lineRule="auto"/>
              <w:jc w:val="center"/>
              <w:rPr>
                <w:lang w:eastAsia="fr-FR"/>
              </w:rPr>
            </w:pPr>
            <w:r w:rsidRPr="00E82172">
              <w:rPr>
                <w:lang w:eastAsia="fr-FR"/>
              </w:rPr>
              <w:t>60%</w:t>
            </w:r>
          </w:p>
        </w:tc>
      </w:tr>
      <w:tr w:rsidR="003D618B" w:rsidRPr="00E82172" w14:paraId="093D343E" w14:textId="77777777" w:rsidTr="00AE78B3">
        <w:tc>
          <w:tcPr>
            <w:tcW w:w="1092" w:type="pct"/>
            <w:shd w:val="clear" w:color="auto" w:fill="auto"/>
            <w:noWrap/>
            <w:vAlign w:val="bottom"/>
            <w:hideMark/>
          </w:tcPr>
          <w:p w14:paraId="0162E998" w14:textId="77777777" w:rsidR="003D618B" w:rsidRPr="00E82172" w:rsidRDefault="003D618B" w:rsidP="00F12682">
            <w:pPr>
              <w:spacing w:after="0" w:line="240" w:lineRule="auto"/>
              <w:rPr>
                <w:lang w:eastAsia="fr-FR"/>
              </w:rPr>
            </w:pPr>
            <w:r w:rsidRPr="00E82172">
              <w:rPr>
                <w:lang w:eastAsia="fr-FR"/>
              </w:rPr>
              <w:t>2012</w:t>
            </w:r>
          </w:p>
        </w:tc>
        <w:tc>
          <w:tcPr>
            <w:tcW w:w="1302" w:type="pct"/>
            <w:shd w:val="clear" w:color="auto" w:fill="auto"/>
            <w:noWrap/>
            <w:vAlign w:val="bottom"/>
            <w:hideMark/>
          </w:tcPr>
          <w:p w14:paraId="652EA30F" w14:textId="137DF9B2" w:rsidR="003D618B" w:rsidRPr="00E82172" w:rsidRDefault="002B0C2D" w:rsidP="00F12682">
            <w:pPr>
              <w:spacing w:after="0" w:line="240" w:lineRule="auto"/>
              <w:jc w:val="center"/>
              <w:rPr>
                <w:lang w:eastAsia="fr-FR"/>
              </w:rPr>
            </w:pPr>
            <w:r w:rsidRPr="00E82172">
              <w:rPr>
                <w:lang w:eastAsia="fr-FR"/>
              </w:rPr>
              <w:t>1</w:t>
            </w:r>
            <w:r w:rsidR="003D618B" w:rsidRPr="00E82172">
              <w:rPr>
                <w:lang w:eastAsia="fr-FR"/>
              </w:rPr>
              <w:t>5</w:t>
            </w:r>
            <w:r w:rsidRPr="00E82172">
              <w:rPr>
                <w:lang w:eastAsia="fr-FR"/>
              </w:rPr>
              <w:t xml:space="preserve"> </w:t>
            </w:r>
            <w:r w:rsidR="003D618B" w:rsidRPr="00E82172">
              <w:rPr>
                <w:lang w:eastAsia="fr-FR"/>
              </w:rPr>
              <w:t>301</w:t>
            </w:r>
          </w:p>
        </w:tc>
        <w:tc>
          <w:tcPr>
            <w:tcW w:w="1303" w:type="pct"/>
            <w:shd w:val="clear" w:color="auto" w:fill="auto"/>
            <w:noWrap/>
            <w:vAlign w:val="bottom"/>
            <w:hideMark/>
          </w:tcPr>
          <w:p w14:paraId="49326977" w14:textId="77777777" w:rsidR="003D618B" w:rsidRPr="00E82172" w:rsidRDefault="003D618B" w:rsidP="00F12682">
            <w:pPr>
              <w:spacing w:after="0" w:line="240" w:lineRule="auto"/>
              <w:jc w:val="center"/>
              <w:rPr>
                <w:lang w:eastAsia="fr-FR"/>
              </w:rPr>
            </w:pPr>
            <w:r w:rsidRPr="00E82172">
              <w:rPr>
                <w:lang w:eastAsia="fr-FR"/>
              </w:rPr>
              <w:t>7 301</w:t>
            </w:r>
          </w:p>
        </w:tc>
        <w:tc>
          <w:tcPr>
            <w:tcW w:w="1303" w:type="pct"/>
            <w:shd w:val="clear" w:color="auto" w:fill="auto"/>
            <w:noWrap/>
            <w:vAlign w:val="bottom"/>
            <w:hideMark/>
          </w:tcPr>
          <w:p w14:paraId="2E04CD1A" w14:textId="77777777" w:rsidR="003D618B" w:rsidRPr="00E82172" w:rsidRDefault="003D618B" w:rsidP="00F12682">
            <w:pPr>
              <w:spacing w:after="0" w:line="240" w:lineRule="auto"/>
              <w:jc w:val="center"/>
              <w:rPr>
                <w:lang w:eastAsia="fr-FR"/>
              </w:rPr>
            </w:pPr>
            <w:r w:rsidRPr="00E82172">
              <w:rPr>
                <w:lang w:eastAsia="fr-FR"/>
              </w:rPr>
              <w:t>48%</w:t>
            </w:r>
          </w:p>
        </w:tc>
      </w:tr>
      <w:tr w:rsidR="003D618B" w:rsidRPr="00E82172" w14:paraId="0C826838" w14:textId="77777777" w:rsidTr="00AE78B3">
        <w:tc>
          <w:tcPr>
            <w:tcW w:w="1092" w:type="pct"/>
            <w:shd w:val="clear" w:color="auto" w:fill="auto"/>
            <w:noWrap/>
            <w:vAlign w:val="bottom"/>
            <w:hideMark/>
          </w:tcPr>
          <w:p w14:paraId="0C09E12E" w14:textId="77777777" w:rsidR="003D618B" w:rsidRPr="00E82172" w:rsidRDefault="003D618B" w:rsidP="00F12682">
            <w:pPr>
              <w:spacing w:after="0" w:line="240" w:lineRule="auto"/>
              <w:rPr>
                <w:lang w:eastAsia="fr-FR"/>
              </w:rPr>
            </w:pPr>
            <w:r w:rsidRPr="00E82172">
              <w:rPr>
                <w:lang w:eastAsia="fr-FR"/>
              </w:rPr>
              <w:t>2013</w:t>
            </w:r>
          </w:p>
        </w:tc>
        <w:tc>
          <w:tcPr>
            <w:tcW w:w="1302" w:type="pct"/>
            <w:shd w:val="clear" w:color="auto" w:fill="auto"/>
            <w:noWrap/>
            <w:vAlign w:val="bottom"/>
            <w:hideMark/>
          </w:tcPr>
          <w:p w14:paraId="5DE35FE6" w14:textId="77777777" w:rsidR="003D618B" w:rsidRPr="00E82172" w:rsidRDefault="003D618B" w:rsidP="00F12682">
            <w:pPr>
              <w:spacing w:after="0" w:line="240" w:lineRule="auto"/>
              <w:jc w:val="center"/>
              <w:rPr>
                <w:lang w:eastAsia="fr-FR"/>
              </w:rPr>
            </w:pPr>
            <w:r w:rsidRPr="00E82172">
              <w:rPr>
                <w:lang w:eastAsia="fr-FR"/>
              </w:rPr>
              <w:t>16 850</w:t>
            </w:r>
          </w:p>
        </w:tc>
        <w:tc>
          <w:tcPr>
            <w:tcW w:w="1303" w:type="pct"/>
            <w:shd w:val="clear" w:color="auto" w:fill="auto"/>
            <w:noWrap/>
            <w:vAlign w:val="bottom"/>
            <w:hideMark/>
          </w:tcPr>
          <w:p w14:paraId="76E2F090" w14:textId="77777777" w:rsidR="003D618B" w:rsidRPr="00E82172" w:rsidRDefault="003D618B" w:rsidP="00F12682">
            <w:pPr>
              <w:spacing w:after="0" w:line="240" w:lineRule="auto"/>
              <w:jc w:val="center"/>
              <w:rPr>
                <w:lang w:eastAsia="fr-FR"/>
              </w:rPr>
            </w:pPr>
            <w:r w:rsidRPr="00E82172">
              <w:rPr>
                <w:lang w:eastAsia="fr-FR"/>
              </w:rPr>
              <w:t>14 600</w:t>
            </w:r>
          </w:p>
        </w:tc>
        <w:tc>
          <w:tcPr>
            <w:tcW w:w="1303" w:type="pct"/>
            <w:shd w:val="clear" w:color="auto" w:fill="auto"/>
            <w:noWrap/>
            <w:vAlign w:val="bottom"/>
            <w:hideMark/>
          </w:tcPr>
          <w:p w14:paraId="7B33C7BC" w14:textId="77777777" w:rsidR="003D618B" w:rsidRPr="00E82172" w:rsidRDefault="003D618B" w:rsidP="00F12682">
            <w:pPr>
              <w:spacing w:after="0" w:line="240" w:lineRule="auto"/>
              <w:jc w:val="center"/>
              <w:rPr>
                <w:lang w:eastAsia="fr-FR"/>
              </w:rPr>
            </w:pPr>
            <w:r w:rsidRPr="00E82172">
              <w:rPr>
                <w:lang w:eastAsia="fr-FR"/>
              </w:rPr>
              <w:t>87%</w:t>
            </w:r>
          </w:p>
        </w:tc>
      </w:tr>
      <w:tr w:rsidR="003D618B" w:rsidRPr="00E82172" w14:paraId="5E47CF55" w14:textId="77777777" w:rsidTr="00AE78B3">
        <w:tc>
          <w:tcPr>
            <w:tcW w:w="1092" w:type="pct"/>
            <w:shd w:val="clear" w:color="auto" w:fill="auto"/>
            <w:noWrap/>
            <w:vAlign w:val="bottom"/>
            <w:hideMark/>
          </w:tcPr>
          <w:p w14:paraId="01E4D5A2" w14:textId="77777777" w:rsidR="003D618B" w:rsidRPr="00E82172" w:rsidRDefault="003D618B" w:rsidP="00F12682">
            <w:pPr>
              <w:spacing w:after="0" w:line="240" w:lineRule="auto"/>
              <w:rPr>
                <w:lang w:eastAsia="fr-FR"/>
              </w:rPr>
            </w:pPr>
            <w:r w:rsidRPr="00E82172">
              <w:rPr>
                <w:lang w:eastAsia="fr-FR"/>
              </w:rPr>
              <w:t>2014</w:t>
            </w:r>
          </w:p>
        </w:tc>
        <w:tc>
          <w:tcPr>
            <w:tcW w:w="1302" w:type="pct"/>
            <w:shd w:val="clear" w:color="auto" w:fill="auto"/>
            <w:noWrap/>
            <w:vAlign w:val="bottom"/>
            <w:hideMark/>
          </w:tcPr>
          <w:p w14:paraId="4A6833FB" w14:textId="77777777" w:rsidR="003D618B" w:rsidRPr="00E82172" w:rsidRDefault="003D618B" w:rsidP="00F12682">
            <w:pPr>
              <w:spacing w:after="0" w:line="240" w:lineRule="auto"/>
              <w:jc w:val="center"/>
              <w:rPr>
                <w:lang w:eastAsia="fr-FR"/>
              </w:rPr>
            </w:pPr>
            <w:r w:rsidRPr="00E82172">
              <w:rPr>
                <w:lang w:eastAsia="fr-FR"/>
              </w:rPr>
              <w:t>23 140</w:t>
            </w:r>
          </w:p>
        </w:tc>
        <w:tc>
          <w:tcPr>
            <w:tcW w:w="1303" w:type="pct"/>
            <w:shd w:val="clear" w:color="auto" w:fill="auto"/>
            <w:noWrap/>
            <w:vAlign w:val="bottom"/>
            <w:hideMark/>
          </w:tcPr>
          <w:p w14:paraId="1A9EFCD4" w14:textId="77777777" w:rsidR="003D618B" w:rsidRPr="00E82172" w:rsidRDefault="003D618B" w:rsidP="00F12682">
            <w:pPr>
              <w:spacing w:after="0" w:line="240" w:lineRule="auto"/>
              <w:jc w:val="center"/>
              <w:rPr>
                <w:lang w:eastAsia="fr-FR"/>
              </w:rPr>
            </w:pPr>
            <w:r w:rsidRPr="00E82172">
              <w:rPr>
                <w:lang w:eastAsia="fr-FR"/>
              </w:rPr>
              <w:t>17 883</w:t>
            </w:r>
          </w:p>
        </w:tc>
        <w:tc>
          <w:tcPr>
            <w:tcW w:w="1303" w:type="pct"/>
            <w:shd w:val="clear" w:color="auto" w:fill="auto"/>
            <w:noWrap/>
            <w:vAlign w:val="bottom"/>
            <w:hideMark/>
          </w:tcPr>
          <w:p w14:paraId="6055FFEB" w14:textId="77777777" w:rsidR="003D618B" w:rsidRPr="00E82172" w:rsidRDefault="003D618B" w:rsidP="00F12682">
            <w:pPr>
              <w:spacing w:after="0" w:line="240" w:lineRule="auto"/>
              <w:jc w:val="center"/>
              <w:rPr>
                <w:lang w:eastAsia="fr-FR"/>
              </w:rPr>
            </w:pPr>
            <w:r w:rsidRPr="00E82172">
              <w:rPr>
                <w:lang w:eastAsia="fr-FR"/>
              </w:rPr>
              <w:t>77%</w:t>
            </w:r>
          </w:p>
        </w:tc>
      </w:tr>
      <w:tr w:rsidR="003D618B" w:rsidRPr="00E82172" w14:paraId="4DD60421" w14:textId="77777777" w:rsidTr="00AE78B3">
        <w:tc>
          <w:tcPr>
            <w:tcW w:w="1092" w:type="pct"/>
            <w:shd w:val="clear" w:color="auto" w:fill="auto"/>
            <w:noWrap/>
            <w:vAlign w:val="bottom"/>
            <w:hideMark/>
          </w:tcPr>
          <w:p w14:paraId="03E9DE7A" w14:textId="77777777" w:rsidR="003D618B" w:rsidRPr="00E82172" w:rsidRDefault="003D618B" w:rsidP="00F12682">
            <w:pPr>
              <w:spacing w:after="0" w:line="240" w:lineRule="auto"/>
              <w:rPr>
                <w:lang w:eastAsia="fr-FR"/>
              </w:rPr>
            </w:pPr>
            <w:r w:rsidRPr="00E82172">
              <w:rPr>
                <w:lang w:eastAsia="fr-FR"/>
              </w:rPr>
              <w:t>2015</w:t>
            </w:r>
          </w:p>
        </w:tc>
        <w:tc>
          <w:tcPr>
            <w:tcW w:w="1302" w:type="pct"/>
            <w:shd w:val="clear" w:color="auto" w:fill="auto"/>
            <w:noWrap/>
            <w:vAlign w:val="bottom"/>
            <w:hideMark/>
          </w:tcPr>
          <w:p w14:paraId="692D961D" w14:textId="77777777" w:rsidR="003D618B" w:rsidRPr="00E82172" w:rsidRDefault="003D618B" w:rsidP="00F12682">
            <w:pPr>
              <w:spacing w:after="0" w:line="240" w:lineRule="auto"/>
              <w:jc w:val="center"/>
              <w:rPr>
                <w:lang w:eastAsia="fr-FR"/>
              </w:rPr>
            </w:pPr>
            <w:r w:rsidRPr="00E82172">
              <w:rPr>
                <w:lang w:eastAsia="fr-FR"/>
              </w:rPr>
              <w:t>9 708</w:t>
            </w:r>
          </w:p>
        </w:tc>
        <w:tc>
          <w:tcPr>
            <w:tcW w:w="1303" w:type="pct"/>
            <w:shd w:val="clear" w:color="auto" w:fill="auto"/>
            <w:noWrap/>
            <w:vAlign w:val="bottom"/>
            <w:hideMark/>
          </w:tcPr>
          <w:p w14:paraId="14E4BE2A" w14:textId="77777777" w:rsidR="003D618B" w:rsidRPr="00E82172" w:rsidRDefault="003D618B" w:rsidP="00F12682">
            <w:pPr>
              <w:spacing w:after="0" w:line="240" w:lineRule="auto"/>
              <w:jc w:val="center"/>
              <w:rPr>
                <w:lang w:eastAsia="fr-FR"/>
              </w:rPr>
            </w:pPr>
            <w:r w:rsidRPr="00E82172">
              <w:rPr>
                <w:lang w:eastAsia="fr-FR"/>
              </w:rPr>
              <w:t>12 679</w:t>
            </w:r>
          </w:p>
        </w:tc>
        <w:tc>
          <w:tcPr>
            <w:tcW w:w="1303" w:type="pct"/>
            <w:shd w:val="clear" w:color="auto" w:fill="auto"/>
            <w:noWrap/>
            <w:vAlign w:val="bottom"/>
            <w:hideMark/>
          </w:tcPr>
          <w:p w14:paraId="26600CC1" w14:textId="77777777" w:rsidR="003D618B" w:rsidRPr="00E82172" w:rsidRDefault="003D618B" w:rsidP="00F12682">
            <w:pPr>
              <w:spacing w:after="0" w:line="240" w:lineRule="auto"/>
              <w:jc w:val="center"/>
              <w:rPr>
                <w:lang w:eastAsia="fr-FR"/>
              </w:rPr>
            </w:pPr>
            <w:r w:rsidRPr="00E82172">
              <w:rPr>
                <w:lang w:eastAsia="fr-FR"/>
              </w:rPr>
              <w:t>131%</w:t>
            </w:r>
          </w:p>
        </w:tc>
      </w:tr>
      <w:tr w:rsidR="003D618B" w:rsidRPr="00E82172" w14:paraId="38849F0D" w14:textId="77777777" w:rsidTr="00AE78B3">
        <w:tc>
          <w:tcPr>
            <w:tcW w:w="1092" w:type="pct"/>
            <w:shd w:val="clear" w:color="auto" w:fill="auto"/>
            <w:noWrap/>
            <w:vAlign w:val="bottom"/>
          </w:tcPr>
          <w:p w14:paraId="1C78039D" w14:textId="52D677F5" w:rsidR="003D618B" w:rsidRPr="00E82172" w:rsidRDefault="003D618B" w:rsidP="00F12682">
            <w:pPr>
              <w:spacing w:after="0" w:line="240" w:lineRule="auto"/>
              <w:rPr>
                <w:lang w:eastAsia="fr-FR"/>
              </w:rPr>
            </w:pPr>
            <w:r w:rsidRPr="00E82172">
              <w:rPr>
                <w:lang w:eastAsia="fr-FR"/>
              </w:rPr>
              <w:t>2016</w:t>
            </w:r>
          </w:p>
        </w:tc>
        <w:tc>
          <w:tcPr>
            <w:tcW w:w="1302" w:type="pct"/>
            <w:shd w:val="clear" w:color="auto" w:fill="auto"/>
            <w:noWrap/>
            <w:vAlign w:val="bottom"/>
          </w:tcPr>
          <w:p w14:paraId="432F5EC6" w14:textId="05E4ED0D" w:rsidR="003D618B" w:rsidRPr="00E82172" w:rsidRDefault="00AE78B3" w:rsidP="00F12682">
            <w:pPr>
              <w:spacing w:after="0" w:line="240" w:lineRule="auto"/>
              <w:jc w:val="center"/>
              <w:rPr>
                <w:lang w:eastAsia="fr-FR"/>
              </w:rPr>
            </w:pPr>
            <w:r w:rsidRPr="00E82172">
              <w:rPr>
                <w:lang w:eastAsia="fr-FR"/>
              </w:rPr>
              <w:t>12 215</w:t>
            </w:r>
          </w:p>
        </w:tc>
        <w:tc>
          <w:tcPr>
            <w:tcW w:w="1303" w:type="pct"/>
            <w:shd w:val="clear" w:color="auto" w:fill="auto"/>
            <w:noWrap/>
            <w:vAlign w:val="bottom"/>
          </w:tcPr>
          <w:p w14:paraId="0B53A960" w14:textId="39CE579A" w:rsidR="003D618B" w:rsidRPr="00E82172" w:rsidRDefault="00AE78B3" w:rsidP="00F12682">
            <w:pPr>
              <w:spacing w:after="0" w:line="240" w:lineRule="auto"/>
              <w:jc w:val="center"/>
              <w:rPr>
                <w:lang w:eastAsia="fr-FR"/>
              </w:rPr>
            </w:pPr>
            <w:r w:rsidRPr="00E82172">
              <w:rPr>
                <w:rFonts w:ascii="Calibri" w:eastAsia="Times New Roman" w:hAnsi="Calibri" w:cs="Calibri"/>
                <w:color w:val="000000"/>
                <w:lang w:eastAsia="fr-FR"/>
              </w:rPr>
              <w:t>5 896</w:t>
            </w:r>
          </w:p>
        </w:tc>
        <w:tc>
          <w:tcPr>
            <w:tcW w:w="1303" w:type="pct"/>
            <w:shd w:val="clear" w:color="auto" w:fill="auto"/>
            <w:noWrap/>
            <w:vAlign w:val="bottom"/>
          </w:tcPr>
          <w:p w14:paraId="23957A61" w14:textId="3C037813" w:rsidR="003D618B" w:rsidRPr="00E82172" w:rsidRDefault="00AE78B3" w:rsidP="00F12682">
            <w:pPr>
              <w:spacing w:after="0" w:line="240" w:lineRule="auto"/>
              <w:jc w:val="center"/>
              <w:rPr>
                <w:lang w:eastAsia="fr-FR"/>
              </w:rPr>
            </w:pPr>
            <w:r w:rsidRPr="00E82172">
              <w:rPr>
                <w:lang w:eastAsia="fr-FR"/>
              </w:rPr>
              <w:t>48%</w:t>
            </w:r>
          </w:p>
        </w:tc>
      </w:tr>
    </w:tbl>
    <w:p w14:paraId="33D3EEA7" w14:textId="23A40972" w:rsidR="0070055A" w:rsidRPr="009621BF" w:rsidRDefault="0070055A" w:rsidP="00F12682">
      <w:r w:rsidRPr="009621BF">
        <w:rPr>
          <w:u w:val="single"/>
        </w:rPr>
        <w:t>Source</w:t>
      </w:r>
      <w:r w:rsidRPr="009621BF">
        <w:t xml:space="preserve"> : </w:t>
      </w:r>
      <w:r w:rsidR="003D618B">
        <w:t>RDP 2011-2015 et n</w:t>
      </w:r>
      <w:r w:rsidRPr="009621BF">
        <w:t>os calculs à partir des données budgétaires</w:t>
      </w:r>
    </w:p>
    <w:p w14:paraId="56149386" w14:textId="77777777" w:rsidR="00E82172" w:rsidRPr="00100A08" w:rsidRDefault="00E82172" w:rsidP="00F12682">
      <w:pPr>
        <w:spacing w:after="120" w:line="276" w:lineRule="auto"/>
        <w:jc w:val="both"/>
        <w:rPr>
          <w:rFonts w:ascii="Calibri" w:eastAsiaTheme="majorEastAsia" w:hAnsi="Calibri" w:cs="Calibri"/>
          <w:iCs/>
          <w:sz w:val="24"/>
        </w:rPr>
      </w:pPr>
    </w:p>
    <w:p w14:paraId="7322F07A" w14:textId="77777777" w:rsidR="00E75C04" w:rsidRPr="004A5122" w:rsidRDefault="00E75C04" w:rsidP="00F12682">
      <w:pPr>
        <w:pStyle w:val="Titre4"/>
        <w:rPr>
          <w:rFonts w:asciiTheme="minorHAnsi" w:hAnsiTheme="minorHAnsi" w:cstheme="minorHAnsi"/>
        </w:rPr>
      </w:pPr>
      <w:r w:rsidRPr="004A5122">
        <w:rPr>
          <w:rFonts w:asciiTheme="minorHAnsi" w:hAnsiTheme="minorHAnsi" w:cstheme="minorHAnsi"/>
        </w:rPr>
        <w:t>Analyse de l’exécution des dépenses par rapports aux prévisions</w:t>
      </w:r>
    </w:p>
    <w:p w14:paraId="36AAE76D" w14:textId="2141948C" w:rsidR="00A440F1" w:rsidRDefault="00A440F1" w:rsidP="00F12682">
      <w:pPr>
        <w:spacing w:after="120" w:line="276" w:lineRule="auto"/>
        <w:jc w:val="both"/>
        <w:rPr>
          <w:rFonts w:ascii="Calibri" w:eastAsiaTheme="majorEastAsia" w:hAnsi="Calibri" w:cs="Calibri"/>
          <w:iCs/>
          <w:sz w:val="24"/>
        </w:rPr>
      </w:pPr>
      <w:r w:rsidRPr="00100A08">
        <w:rPr>
          <w:rFonts w:ascii="Calibri" w:eastAsiaTheme="majorEastAsia" w:hAnsi="Calibri" w:cs="Calibri"/>
          <w:iCs/>
          <w:sz w:val="24"/>
        </w:rPr>
        <w:t xml:space="preserve">Pour une prévision </w:t>
      </w:r>
      <w:r w:rsidR="007B2CF2" w:rsidRPr="00100A08">
        <w:rPr>
          <w:rFonts w:ascii="Calibri" w:eastAsiaTheme="majorEastAsia" w:hAnsi="Calibri" w:cs="Calibri"/>
          <w:iCs/>
          <w:sz w:val="24"/>
        </w:rPr>
        <w:t>budgétaire initiale de 12,216 milliards,</w:t>
      </w:r>
      <w:r w:rsidR="003D34E5">
        <w:rPr>
          <w:rFonts w:ascii="Calibri" w:eastAsiaTheme="majorEastAsia" w:hAnsi="Calibri" w:cs="Calibri"/>
          <w:iCs/>
          <w:sz w:val="24"/>
        </w:rPr>
        <w:t xml:space="preserve"> </w:t>
      </w:r>
      <w:r w:rsidR="007B2CF2" w:rsidRPr="00100A08">
        <w:rPr>
          <w:rFonts w:ascii="Calibri" w:eastAsiaTheme="majorEastAsia" w:hAnsi="Calibri" w:cs="Calibri"/>
          <w:iCs/>
          <w:sz w:val="24"/>
        </w:rPr>
        <w:t>le volet</w:t>
      </w:r>
      <w:r w:rsidRPr="00100A08">
        <w:rPr>
          <w:rFonts w:ascii="Calibri" w:eastAsiaTheme="majorEastAsia" w:hAnsi="Calibri" w:cs="Calibri"/>
          <w:iCs/>
          <w:sz w:val="24"/>
        </w:rPr>
        <w:t xml:space="preserve"> de l’Elevage </w:t>
      </w:r>
      <w:r w:rsidR="006F7E3A" w:rsidRPr="00100A08">
        <w:rPr>
          <w:rFonts w:ascii="Calibri" w:eastAsiaTheme="majorEastAsia" w:hAnsi="Calibri" w:cs="Calibri"/>
          <w:iCs/>
          <w:sz w:val="24"/>
        </w:rPr>
        <w:t>n’</w:t>
      </w:r>
      <w:r w:rsidRPr="00100A08">
        <w:rPr>
          <w:rFonts w:ascii="Calibri" w:eastAsiaTheme="majorEastAsia" w:hAnsi="Calibri" w:cs="Calibri"/>
          <w:iCs/>
          <w:sz w:val="24"/>
        </w:rPr>
        <w:t xml:space="preserve">a pu exécuter </w:t>
      </w:r>
      <w:r w:rsidR="006F7E3A" w:rsidRPr="00100A08">
        <w:rPr>
          <w:rFonts w:ascii="Calibri" w:eastAsiaTheme="majorEastAsia" w:hAnsi="Calibri" w:cs="Calibri"/>
          <w:iCs/>
          <w:sz w:val="24"/>
        </w:rPr>
        <w:t xml:space="preserve">que 48%, soit 5,896 </w:t>
      </w:r>
      <w:r w:rsidRPr="00100A08">
        <w:rPr>
          <w:rFonts w:ascii="Calibri" w:eastAsiaTheme="majorEastAsia" w:hAnsi="Calibri" w:cs="Calibri"/>
          <w:iCs/>
          <w:sz w:val="24"/>
        </w:rPr>
        <w:t>milliards de FCFA</w:t>
      </w:r>
      <w:r w:rsidR="006F7E3A" w:rsidRPr="00100A08">
        <w:rPr>
          <w:rFonts w:ascii="Calibri" w:eastAsiaTheme="majorEastAsia" w:hAnsi="Calibri" w:cs="Calibri"/>
          <w:iCs/>
          <w:sz w:val="24"/>
        </w:rPr>
        <w:t xml:space="preserve"> en 2016 (T</w:t>
      </w:r>
      <w:r w:rsidRPr="00100A08">
        <w:rPr>
          <w:rFonts w:ascii="Calibri" w:eastAsiaTheme="majorEastAsia" w:hAnsi="Calibri" w:cs="Calibri"/>
          <w:iCs/>
          <w:sz w:val="24"/>
        </w:rPr>
        <w:t xml:space="preserve">ableau </w:t>
      </w:r>
      <w:r w:rsidR="00100A08">
        <w:rPr>
          <w:rFonts w:ascii="Calibri" w:eastAsiaTheme="majorEastAsia" w:hAnsi="Calibri" w:cs="Calibri"/>
          <w:iCs/>
          <w:sz w:val="24"/>
        </w:rPr>
        <w:t>ci-dessous</w:t>
      </w:r>
      <w:r w:rsidRPr="00100A08">
        <w:rPr>
          <w:rFonts w:ascii="Calibri" w:eastAsiaTheme="majorEastAsia" w:hAnsi="Calibri" w:cs="Calibri"/>
          <w:iCs/>
          <w:sz w:val="24"/>
        </w:rPr>
        <w:t xml:space="preserve">). </w:t>
      </w:r>
      <w:r w:rsidR="00BD4622" w:rsidRPr="00100A08">
        <w:rPr>
          <w:rFonts w:ascii="Calibri" w:eastAsiaTheme="majorEastAsia" w:hAnsi="Calibri" w:cs="Calibri"/>
          <w:iCs/>
          <w:sz w:val="24"/>
        </w:rPr>
        <w:t xml:space="preserve">Le taux d’exécution n’est important qu’au niveau de salaire et du transfert avec respectivement 105% et 86%. Par contre, </w:t>
      </w:r>
      <w:r w:rsidR="005F6484" w:rsidRPr="00100A08">
        <w:rPr>
          <w:rFonts w:ascii="Calibri" w:eastAsiaTheme="majorEastAsia" w:hAnsi="Calibri" w:cs="Calibri"/>
          <w:iCs/>
          <w:sz w:val="24"/>
        </w:rPr>
        <w:t>les investissements même s’ils représentent 79% des dépenses totales, ils ont le plus faible taux</w:t>
      </w:r>
      <w:r w:rsidR="00CE650A" w:rsidRPr="00100A08">
        <w:rPr>
          <w:rFonts w:ascii="Calibri" w:eastAsiaTheme="majorEastAsia" w:hAnsi="Calibri" w:cs="Calibri"/>
          <w:iCs/>
          <w:sz w:val="24"/>
        </w:rPr>
        <w:t xml:space="preserve"> d’exécution</w:t>
      </w:r>
      <w:r w:rsidR="005F6484" w:rsidRPr="00100A08">
        <w:rPr>
          <w:rFonts w:ascii="Calibri" w:eastAsiaTheme="majorEastAsia" w:hAnsi="Calibri" w:cs="Calibri"/>
          <w:iCs/>
          <w:sz w:val="24"/>
        </w:rPr>
        <w:t xml:space="preserve"> (38%).</w:t>
      </w:r>
      <w:r w:rsidR="00BD4622" w:rsidRPr="00100A08">
        <w:rPr>
          <w:rFonts w:ascii="Calibri" w:eastAsiaTheme="majorEastAsia" w:hAnsi="Calibri" w:cs="Calibri"/>
          <w:iCs/>
          <w:sz w:val="24"/>
        </w:rPr>
        <w:t xml:space="preserve"> </w:t>
      </w:r>
      <w:r w:rsidR="00CE650A" w:rsidRPr="00100A08">
        <w:rPr>
          <w:rFonts w:ascii="Calibri" w:eastAsiaTheme="majorEastAsia" w:hAnsi="Calibri" w:cs="Calibri"/>
          <w:iCs/>
          <w:sz w:val="24"/>
        </w:rPr>
        <w:t>Le</w:t>
      </w:r>
      <w:r w:rsidR="008E1AD5" w:rsidRPr="00100A08">
        <w:rPr>
          <w:rFonts w:ascii="Calibri" w:eastAsiaTheme="majorEastAsia" w:hAnsi="Calibri" w:cs="Calibri"/>
          <w:iCs/>
          <w:sz w:val="24"/>
        </w:rPr>
        <w:t>s dépenses de fonctionnement ont une proportion relativement plus importante que le volet agricole</w:t>
      </w:r>
      <w:r w:rsidRPr="00100A08">
        <w:rPr>
          <w:rFonts w:ascii="Calibri" w:eastAsiaTheme="majorEastAsia" w:hAnsi="Calibri" w:cs="Calibri"/>
          <w:iCs/>
          <w:sz w:val="24"/>
        </w:rPr>
        <w:t>.</w:t>
      </w:r>
    </w:p>
    <w:p w14:paraId="7D724177" w14:textId="77777777" w:rsidR="00DB747C" w:rsidRDefault="00DB747C" w:rsidP="00F12682">
      <w:pPr>
        <w:spacing w:after="0" w:line="240" w:lineRule="auto"/>
        <w:jc w:val="both"/>
        <w:rPr>
          <w:rFonts w:ascii="Calibri" w:eastAsiaTheme="majorEastAsia" w:hAnsi="Calibri" w:cs="Calibri"/>
          <w:iCs/>
          <w:sz w:val="24"/>
        </w:rPr>
      </w:pPr>
    </w:p>
    <w:p w14:paraId="79218BA6" w14:textId="77777777" w:rsidR="00E26EC3" w:rsidRPr="00100A08" w:rsidRDefault="00E26EC3" w:rsidP="00F12682">
      <w:pPr>
        <w:spacing w:after="0" w:line="240" w:lineRule="auto"/>
        <w:jc w:val="both"/>
        <w:rPr>
          <w:rFonts w:ascii="Calibri" w:eastAsiaTheme="majorEastAsia" w:hAnsi="Calibri" w:cs="Calibri"/>
          <w:iCs/>
          <w:sz w:val="24"/>
        </w:rPr>
      </w:pPr>
    </w:p>
    <w:p w14:paraId="576B70DD" w14:textId="6280A9A8" w:rsidR="00E75C04" w:rsidRPr="005970F0" w:rsidRDefault="005970F0" w:rsidP="00F12682">
      <w:pPr>
        <w:pStyle w:val="Lgende"/>
        <w:rPr>
          <w:rFonts w:eastAsiaTheme="majorEastAsia" w:cs="Calibri"/>
          <w:iCs w:val="0"/>
        </w:rPr>
      </w:pPr>
      <w:bookmarkStart w:id="130" w:name="_Toc529305074"/>
      <w:r>
        <w:lastRenderedPageBreak/>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20</w:t>
      </w:r>
      <w:r w:rsidR="00A773EB">
        <w:rPr>
          <w:noProof/>
        </w:rPr>
        <w:fldChar w:fldCharType="end"/>
      </w:r>
      <w:r w:rsidR="00100A08" w:rsidRPr="005970F0">
        <w:rPr>
          <w:rFonts w:eastAsiaTheme="majorEastAsia" w:cs="Calibri"/>
          <w:iCs w:val="0"/>
        </w:rPr>
        <w:t xml:space="preserve"> : </w:t>
      </w:r>
      <w:r w:rsidR="00E75C04" w:rsidRPr="005970F0">
        <w:rPr>
          <w:rFonts w:eastAsiaTheme="majorEastAsia" w:cs="Calibri"/>
          <w:iCs w:val="0"/>
        </w:rPr>
        <w:t>Exécution budgétaire par titre du MEL</w:t>
      </w:r>
      <w:r w:rsidR="00100A08" w:rsidRPr="005970F0">
        <w:rPr>
          <w:rFonts w:eastAsiaTheme="majorEastAsia" w:cs="Calibri"/>
          <w:iCs w:val="0"/>
        </w:rPr>
        <w:t xml:space="preserve"> en 2016</w:t>
      </w:r>
      <w:bookmarkEnd w:id="130"/>
    </w:p>
    <w:tbl>
      <w:tblPr>
        <w:tblW w:w="5354" w:type="pct"/>
        <w:tblLayout w:type="fixed"/>
        <w:tblCellMar>
          <w:left w:w="70" w:type="dxa"/>
          <w:right w:w="70" w:type="dxa"/>
        </w:tblCellMar>
        <w:tblLook w:val="04A0" w:firstRow="1" w:lastRow="0" w:firstColumn="1" w:lastColumn="0" w:noHBand="0" w:noVBand="1"/>
      </w:tblPr>
      <w:tblGrid>
        <w:gridCol w:w="1744"/>
        <w:gridCol w:w="1715"/>
        <w:gridCol w:w="1504"/>
        <w:gridCol w:w="1656"/>
        <w:gridCol w:w="1526"/>
        <w:gridCol w:w="1355"/>
        <w:gridCol w:w="799"/>
      </w:tblGrid>
      <w:tr w:rsidR="00C57803" w:rsidRPr="00100A08" w14:paraId="02728EF1" w14:textId="77777777" w:rsidTr="00C21B85">
        <w:tc>
          <w:tcPr>
            <w:tcW w:w="84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D812F" w14:textId="77777777" w:rsidR="0010350C" w:rsidRPr="00100A08" w:rsidRDefault="0010350C" w:rsidP="00F12682">
            <w:pPr>
              <w:spacing w:after="0" w:line="240" w:lineRule="auto"/>
              <w:jc w:val="center"/>
              <w:rPr>
                <w:rFonts w:ascii="Calibri" w:eastAsia="Times New Roman" w:hAnsi="Calibri" w:cs="Calibri"/>
                <w:b/>
                <w:color w:val="000000"/>
                <w:sz w:val="20"/>
                <w:szCs w:val="20"/>
                <w:lang w:eastAsia="fr-FR"/>
              </w:rPr>
            </w:pPr>
            <w:r w:rsidRPr="00100A08">
              <w:rPr>
                <w:rFonts w:ascii="Calibri" w:eastAsia="Times New Roman" w:hAnsi="Calibri" w:cs="Calibri"/>
                <w:b/>
                <w:color w:val="000000"/>
                <w:sz w:val="20"/>
                <w:szCs w:val="20"/>
                <w:lang w:eastAsia="fr-FR"/>
              </w:rPr>
              <w:t>Titre</w:t>
            </w:r>
          </w:p>
        </w:tc>
        <w:tc>
          <w:tcPr>
            <w:tcW w:w="832" w:type="pct"/>
            <w:tcBorders>
              <w:top w:val="single" w:sz="8" w:space="0" w:color="auto"/>
              <w:left w:val="nil"/>
              <w:bottom w:val="single" w:sz="8" w:space="0" w:color="auto"/>
              <w:right w:val="single" w:sz="8" w:space="0" w:color="auto"/>
            </w:tcBorders>
            <w:shd w:val="clear" w:color="auto" w:fill="auto"/>
            <w:noWrap/>
            <w:vAlign w:val="center"/>
            <w:hideMark/>
          </w:tcPr>
          <w:p w14:paraId="3EB1B7E0" w14:textId="77777777" w:rsidR="0010350C" w:rsidRPr="00100A08" w:rsidRDefault="0010350C" w:rsidP="00F12682">
            <w:pPr>
              <w:spacing w:after="0" w:line="240" w:lineRule="auto"/>
              <w:jc w:val="center"/>
              <w:rPr>
                <w:rFonts w:ascii="Calibri" w:eastAsia="Times New Roman" w:hAnsi="Calibri" w:cs="Calibri"/>
                <w:b/>
                <w:color w:val="000000"/>
                <w:sz w:val="20"/>
                <w:szCs w:val="20"/>
                <w:lang w:eastAsia="fr-FR"/>
              </w:rPr>
            </w:pPr>
            <w:r w:rsidRPr="00100A08">
              <w:rPr>
                <w:rFonts w:ascii="Calibri" w:eastAsia="Times New Roman" w:hAnsi="Calibri" w:cs="Calibri"/>
                <w:b/>
                <w:color w:val="000000"/>
                <w:sz w:val="20"/>
                <w:szCs w:val="20"/>
                <w:lang w:eastAsia="fr-FR"/>
              </w:rPr>
              <w:t>Crédits votés</w:t>
            </w:r>
          </w:p>
        </w:tc>
        <w:tc>
          <w:tcPr>
            <w:tcW w:w="730" w:type="pct"/>
            <w:tcBorders>
              <w:top w:val="single" w:sz="8" w:space="0" w:color="auto"/>
              <w:left w:val="nil"/>
              <w:bottom w:val="single" w:sz="8" w:space="0" w:color="auto"/>
              <w:right w:val="single" w:sz="8" w:space="0" w:color="auto"/>
            </w:tcBorders>
            <w:shd w:val="clear" w:color="auto" w:fill="auto"/>
            <w:vAlign w:val="center"/>
            <w:hideMark/>
          </w:tcPr>
          <w:p w14:paraId="42E7D102" w14:textId="77777777" w:rsidR="0010350C" w:rsidRPr="00100A08" w:rsidRDefault="0010350C" w:rsidP="00F12682">
            <w:pPr>
              <w:spacing w:after="0" w:line="240" w:lineRule="auto"/>
              <w:jc w:val="center"/>
              <w:rPr>
                <w:rFonts w:ascii="Calibri" w:eastAsia="Times New Roman" w:hAnsi="Calibri" w:cs="Calibri"/>
                <w:b/>
                <w:color w:val="000000"/>
                <w:sz w:val="20"/>
                <w:szCs w:val="20"/>
                <w:lang w:eastAsia="fr-FR"/>
              </w:rPr>
            </w:pPr>
            <w:r w:rsidRPr="00100A08">
              <w:rPr>
                <w:rFonts w:ascii="Calibri" w:eastAsia="Times New Roman" w:hAnsi="Calibri" w:cs="Calibri"/>
                <w:b/>
                <w:color w:val="000000"/>
                <w:sz w:val="20"/>
                <w:szCs w:val="20"/>
                <w:lang w:eastAsia="fr-FR"/>
              </w:rPr>
              <w:t>Crédits libérés</w:t>
            </w:r>
          </w:p>
        </w:tc>
        <w:tc>
          <w:tcPr>
            <w:tcW w:w="804" w:type="pct"/>
            <w:tcBorders>
              <w:top w:val="single" w:sz="8" w:space="0" w:color="auto"/>
              <w:left w:val="nil"/>
              <w:bottom w:val="single" w:sz="8" w:space="0" w:color="auto"/>
              <w:right w:val="single" w:sz="8" w:space="0" w:color="auto"/>
            </w:tcBorders>
            <w:shd w:val="clear" w:color="auto" w:fill="auto"/>
            <w:noWrap/>
            <w:vAlign w:val="center"/>
            <w:hideMark/>
          </w:tcPr>
          <w:p w14:paraId="524A2240" w14:textId="77777777" w:rsidR="0010350C" w:rsidRPr="00100A08" w:rsidRDefault="0010350C" w:rsidP="00F12682">
            <w:pPr>
              <w:spacing w:after="0" w:line="240" w:lineRule="auto"/>
              <w:jc w:val="center"/>
              <w:rPr>
                <w:rFonts w:ascii="Calibri" w:eastAsia="Times New Roman" w:hAnsi="Calibri" w:cs="Calibri"/>
                <w:b/>
                <w:color w:val="000000"/>
                <w:sz w:val="20"/>
                <w:szCs w:val="20"/>
                <w:lang w:eastAsia="fr-FR"/>
              </w:rPr>
            </w:pPr>
            <w:r w:rsidRPr="00100A08">
              <w:rPr>
                <w:rFonts w:ascii="Calibri" w:eastAsia="Times New Roman" w:hAnsi="Calibri" w:cs="Calibri"/>
                <w:b/>
                <w:color w:val="000000"/>
                <w:sz w:val="20"/>
                <w:szCs w:val="20"/>
                <w:lang w:eastAsia="fr-FR"/>
              </w:rPr>
              <w:t>Crédits consommés</w:t>
            </w:r>
          </w:p>
        </w:tc>
        <w:tc>
          <w:tcPr>
            <w:tcW w:w="741" w:type="pct"/>
            <w:tcBorders>
              <w:top w:val="single" w:sz="8" w:space="0" w:color="auto"/>
              <w:left w:val="nil"/>
              <w:bottom w:val="single" w:sz="8" w:space="0" w:color="auto"/>
              <w:right w:val="single" w:sz="8" w:space="0" w:color="auto"/>
            </w:tcBorders>
            <w:shd w:val="clear" w:color="auto" w:fill="auto"/>
            <w:noWrap/>
            <w:vAlign w:val="center"/>
            <w:hideMark/>
          </w:tcPr>
          <w:p w14:paraId="0110DA01" w14:textId="77777777" w:rsidR="0010350C" w:rsidRPr="00100A08" w:rsidRDefault="0010350C" w:rsidP="00F12682">
            <w:pPr>
              <w:spacing w:after="0" w:line="240" w:lineRule="auto"/>
              <w:jc w:val="center"/>
              <w:rPr>
                <w:rFonts w:ascii="Calibri" w:eastAsia="Times New Roman" w:hAnsi="Calibri" w:cs="Calibri"/>
                <w:b/>
                <w:color w:val="000000"/>
                <w:sz w:val="20"/>
                <w:szCs w:val="20"/>
                <w:lang w:eastAsia="fr-FR"/>
              </w:rPr>
            </w:pPr>
            <w:r w:rsidRPr="00100A08">
              <w:rPr>
                <w:rFonts w:ascii="Calibri" w:eastAsia="Times New Roman" w:hAnsi="Calibri" w:cs="Calibri"/>
                <w:b/>
                <w:color w:val="000000"/>
                <w:sz w:val="20"/>
                <w:szCs w:val="20"/>
                <w:lang w:eastAsia="fr-FR"/>
              </w:rPr>
              <w:t>Taux de consommation</w:t>
            </w:r>
          </w:p>
        </w:tc>
        <w:tc>
          <w:tcPr>
            <w:tcW w:w="658" w:type="pct"/>
            <w:tcBorders>
              <w:top w:val="single" w:sz="8" w:space="0" w:color="auto"/>
              <w:left w:val="nil"/>
              <w:bottom w:val="single" w:sz="8" w:space="0" w:color="auto"/>
              <w:right w:val="single" w:sz="8" w:space="0" w:color="auto"/>
            </w:tcBorders>
            <w:shd w:val="clear" w:color="auto" w:fill="auto"/>
            <w:vAlign w:val="center"/>
            <w:hideMark/>
          </w:tcPr>
          <w:p w14:paraId="7E88094A" w14:textId="77777777" w:rsidR="0010350C" w:rsidRPr="00100A08" w:rsidRDefault="0010350C" w:rsidP="00F12682">
            <w:pPr>
              <w:spacing w:after="0" w:line="240" w:lineRule="auto"/>
              <w:jc w:val="center"/>
              <w:rPr>
                <w:rFonts w:ascii="Calibri" w:eastAsia="Times New Roman" w:hAnsi="Calibri" w:cs="Calibri"/>
                <w:b/>
                <w:color w:val="000000"/>
                <w:sz w:val="20"/>
                <w:szCs w:val="20"/>
                <w:lang w:eastAsia="fr-FR"/>
              </w:rPr>
            </w:pPr>
            <w:r w:rsidRPr="00100A08">
              <w:rPr>
                <w:rFonts w:ascii="Calibri" w:eastAsia="Times New Roman" w:hAnsi="Calibri" w:cs="Calibri"/>
                <w:b/>
                <w:color w:val="000000"/>
                <w:sz w:val="20"/>
                <w:szCs w:val="20"/>
                <w:lang w:eastAsia="fr-FR"/>
              </w:rPr>
              <w:t>Taux d’absorption</w:t>
            </w:r>
          </w:p>
        </w:tc>
        <w:tc>
          <w:tcPr>
            <w:tcW w:w="388" w:type="pct"/>
            <w:tcBorders>
              <w:top w:val="single" w:sz="8" w:space="0" w:color="auto"/>
              <w:left w:val="nil"/>
              <w:bottom w:val="single" w:sz="8" w:space="0" w:color="auto"/>
              <w:right w:val="single" w:sz="8" w:space="0" w:color="auto"/>
            </w:tcBorders>
            <w:shd w:val="clear" w:color="auto" w:fill="auto"/>
            <w:noWrap/>
            <w:vAlign w:val="center"/>
            <w:hideMark/>
          </w:tcPr>
          <w:p w14:paraId="43D94D2D" w14:textId="77777777" w:rsidR="0010350C" w:rsidRPr="00100A08" w:rsidRDefault="0010350C" w:rsidP="00F12682">
            <w:pPr>
              <w:spacing w:after="0" w:line="240" w:lineRule="auto"/>
              <w:jc w:val="center"/>
              <w:rPr>
                <w:rFonts w:ascii="Calibri" w:eastAsia="Times New Roman" w:hAnsi="Calibri" w:cs="Calibri"/>
                <w:b/>
                <w:color w:val="000000"/>
                <w:sz w:val="20"/>
                <w:szCs w:val="20"/>
                <w:lang w:eastAsia="fr-FR"/>
              </w:rPr>
            </w:pPr>
            <w:r w:rsidRPr="00100A08">
              <w:rPr>
                <w:rFonts w:ascii="Calibri" w:eastAsia="Times New Roman" w:hAnsi="Calibri" w:cs="Calibri"/>
                <w:b/>
                <w:color w:val="000000"/>
                <w:sz w:val="20"/>
                <w:szCs w:val="20"/>
                <w:lang w:eastAsia="fr-FR"/>
              </w:rPr>
              <w:t>Part du titre</w:t>
            </w:r>
          </w:p>
        </w:tc>
      </w:tr>
      <w:tr w:rsidR="00D812CD" w:rsidRPr="0010350C" w14:paraId="6407E1F4" w14:textId="77777777" w:rsidTr="00100A08">
        <w:tc>
          <w:tcPr>
            <w:tcW w:w="846" w:type="pct"/>
            <w:tcBorders>
              <w:top w:val="nil"/>
              <w:left w:val="single" w:sz="8" w:space="0" w:color="auto"/>
              <w:bottom w:val="single" w:sz="8" w:space="0" w:color="auto"/>
              <w:right w:val="single" w:sz="8" w:space="0" w:color="auto"/>
            </w:tcBorders>
            <w:shd w:val="clear" w:color="auto" w:fill="auto"/>
            <w:noWrap/>
            <w:vAlign w:val="center"/>
            <w:hideMark/>
          </w:tcPr>
          <w:p w14:paraId="7FE273FC" w14:textId="0659DAA8" w:rsidR="0010350C" w:rsidRPr="0010350C" w:rsidRDefault="008C0967" w:rsidP="00F1268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Personnel</w:t>
            </w:r>
          </w:p>
        </w:tc>
        <w:tc>
          <w:tcPr>
            <w:tcW w:w="832" w:type="pct"/>
            <w:tcBorders>
              <w:top w:val="nil"/>
              <w:left w:val="nil"/>
              <w:bottom w:val="single" w:sz="8" w:space="0" w:color="auto"/>
              <w:right w:val="single" w:sz="8" w:space="0" w:color="auto"/>
            </w:tcBorders>
            <w:shd w:val="clear" w:color="auto" w:fill="auto"/>
            <w:noWrap/>
            <w:vAlign w:val="center"/>
            <w:hideMark/>
          </w:tcPr>
          <w:p w14:paraId="2D8892D8" w14:textId="7E3D5770"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1 377 658</w:t>
            </w:r>
            <w:r w:rsidR="00100A08">
              <w:rPr>
                <w:rFonts w:ascii="Calibri" w:eastAsia="Times New Roman" w:hAnsi="Calibri" w:cs="Calibri"/>
                <w:color w:val="000000"/>
                <w:lang w:eastAsia="fr-FR"/>
              </w:rPr>
              <w:t> </w:t>
            </w:r>
            <w:r w:rsidRPr="0010350C">
              <w:rPr>
                <w:rFonts w:ascii="Calibri" w:eastAsia="Times New Roman" w:hAnsi="Calibri" w:cs="Calibri"/>
                <w:color w:val="000000"/>
                <w:lang w:eastAsia="fr-FR"/>
              </w:rPr>
              <w:t>638</w:t>
            </w:r>
          </w:p>
        </w:tc>
        <w:tc>
          <w:tcPr>
            <w:tcW w:w="730" w:type="pct"/>
            <w:tcBorders>
              <w:top w:val="nil"/>
              <w:left w:val="nil"/>
              <w:bottom w:val="single" w:sz="8" w:space="0" w:color="auto"/>
              <w:right w:val="single" w:sz="8" w:space="0" w:color="auto"/>
            </w:tcBorders>
            <w:shd w:val="clear" w:color="auto" w:fill="auto"/>
            <w:vAlign w:val="center"/>
            <w:hideMark/>
          </w:tcPr>
          <w:p w14:paraId="6B764275" w14:textId="24541712" w:rsidR="0010350C" w:rsidRPr="0010350C" w:rsidRDefault="00100A08"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1 441 165 839</w:t>
            </w:r>
          </w:p>
        </w:tc>
        <w:tc>
          <w:tcPr>
            <w:tcW w:w="804" w:type="pct"/>
            <w:tcBorders>
              <w:top w:val="nil"/>
              <w:left w:val="nil"/>
              <w:bottom w:val="single" w:sz="8" w:space="0" w:color="auto"/>
              <w:right w:val="single" w:sz="8" w:space="0" w:color="auto"/>
            </w:tcBorders>
            <w:shd w:val="clear" w:color="auto" w:fill="auto"/>
            <w:noWrap/>
            <w:vAlign w:val="center"/>
            <w:hideMark/>
          </w:tcPr>
          <w:p w14:paraId="32E0621D"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1 441 165 839</w:t>
            </w:r>
          </w:p>
        </w:tc>
        <w:tc>
          <w:tcPr>
            <w:tcW w:w="741" w:type="pct"/>
            <w:tcBorders>
              <w:top w:val="nil"/>
              <w:left w:val="nil"/>
              <w:bottom w:val="single" w:sz="8" w:space="0" w:color="auto"/>
              <w:right w:val="single" w:sz="8" w:space="0" w:color="auto"/>
            </w:tcBorders>
            <w:shd w:val="clear" w:color="auto" w:fill="auto"/>
            <w:noWrap/>
            <w:vAlign w:val="center"/>
            <w:hideMark/>
          </w:tcPr>
          <w:p w14:paraId="6520C3AE"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105%</w:t>
            </w:r>
          </w:p>
        </w:tc>
        <w:tc>
          <w:tcPr>
            <w:tcW w:w="658" w:type="pct"/>
            <w:tcBorders>
              <w:top w:val="nil"/>
              <w:left w:val="nil"/>
              <w:bottom w:val="single" w:sz="8" w:space="0" w:color="auto"/>
              <w:right w:val="single" w:sz="8" w:space="0" w:color="auto"/>
            </w:tcBorders>
            <w:shd w:val="clear" w:color="auto" w:fill="auto"/>
            <w:vAlign w:val="center"/>
            <w:hideMark/>
          </w:tcPr>
          <w:p w14:paraId="34FFDF8D" w14:textId="31D58AFC" w:rsidR="0010350C" w:rsidRPr="0010350C" w:rsidRDefault="00100A08"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10</w:t>
            </w:r>
            <w:r>
              <w:rPr>
                <w:rFonts w:ascii="Calibri" w:eastAsia="Times New Roman" w:hAnsi="Calibri" w:cs="Calibri"/>
                <w:color w:val="000000"/>
                <w:lang w:eastAsia="fr-FR"/>
              </w:rPr>
              <w:t>0</w:t>
            </w:r>
            <w:r w:rsidRPr="0010350C">
              <w:rPr>
                <w:rFonts w:ascii="Calibri" w:eastAsia="Times New Roman" w:hAnsi="Calibri" w:cs="Calibri"/>
                <w:color w:val="000000"/>
                <w:lang w:eastAsia="fr-FR"/>
              </w:rPr>
              <w:t>%</w:t>
            </w:r>
          </w:p>
        </w:tc>
        <w:tc>
          <w:tcPr>
            <w:tcW w:w="388" w:type="pct"/>
            <w:tcBorders>
              <w:top w:val="nil"/>
              <w:left w:val="nil"/>
              <w:bottom w:val="single" w:sz="8" w:space="0" w:color="auto"/>
              <w:right w:val="single" w:sz="8" w:space="0" w:color="auto"/>
            </w:tcBorders>
            <w:shd w:val="clear" w:color="auto" w:fill="auto"/>
            <w:noWrap/>
            <w:vAlign w:val="center"/>
            <w:hideMark/>
          </w:tcPr>
          <w:p w14:paraId="572FE8EE"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11%</w:t>
            </w:r>
          </w:p>
        </w:tc>
      </w:tr>
      <w:tr w:rsidR="00D812CD" w:rsidRPr="0010350C" w14:paraId="45F7A46C" w14:textId="77777777" w:rsidTr="00100A08">
        <w:tc>
          <w:tcPr>
            <w:tcW w:w="846" w:type="pct"/>
            <w:tcBorders>
              <w:top w:val="nil"/>
              <w:left w:val="single" w:sz="8" w:space="0" w:color="auto"/>
              <w:bottom w:val="single" w:sz="8" w:space="0" w:color="auto"/>
              <w:right w:val="single" w:sz="8" w:space="0" w:color="auto"/>
            </w:tcBorders>
            <w:shd w:val="clear" w:color="auto" w:fill="auto"/>
            <w:noWrap/>
            <w:vAlign w:val="center"/>
            <w:hideMark/>
          </w:tcPr>
          <w:p w14:paraId="1D743246" w14:textId="77777777" w:rsidR="0010350C" w:rsidRPr="0010350C" w:rsidRDefault="0010350C" w:rsidP="00F12682">
            <w:pPr>
              <w:spacing w:after="0" w:line="240" w:lineRule="auto"/>
              <w:rPr>
                <w:rFonts w:ascii="Calibri" w:eastAsia="Times New Roman" w:hAnsi="Calibri" w:cs="Calibri"/>
                <w:color w:val="000000"/>
                <w:lang w:eastAsia="fr-FR"/>
              </w:rPr>
            </w:pPr>
            <w:r w:rsidRPr="0010350C">
              <w:rPr>
                <w:rFonts w:ascii="Calibri" w:eastAsia="Times New Roman" w:hAnsi="Calibri" w:cs="Calibri"/>
                <w:color w:val="000000"/>
                <w:lang w:eastAsia="fr-FR"/>
              </w:rPr>
              <w:t>Fonctionnement</w:t>
            </w:r>
          </w:p>
        </w:tc>
        <w:tc>
          <w:tcPr>
            <w:tcW w:w="832" w:type="pct"/>
            <w:tcBorders>
              <w:top w:val="nil"/>
              <w:left w:val="nil"/>
              <w:bottom w:val="single" w:sz="8" w:space="0" w:color="auto"/>
              <w:right w:val="single" w:sz="8" w:space="0" w:color="auto"/>
            </w:tcBorders>
            <w:shd w:val="clear" w:color="auto" w:fill="auto"/>
            <w:noWrap/>
            <w:vAlign w:val="center"/>
            <w:hideMark/>
          </w:tcPr>
          <w:p w14:paraId="0DB958BC"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806 334 541</w:t>
            </w:r>
          </w:p>
        </w:tc>
        <w:tc>
          <w:tcPr>
            <w:tcW w:w="730" w:type="pct"/>
            <w:tcBorders>
              <w:top w:val="nil"/>
              <w:left w:val="nil"/>
              <w:bottom w:val="single" w:sz="8" w:space="0" w:color="auto"/>
              <w:right w:val="single" w:sz="8" w:space="0" w:color="auto"/>
            </w:tcBorders>
            <w:shd w:val="clear" w:color="auto" w:fill="auto"/>
            <w:vAlign w:val="center"/>
            <w:hideMark/>
          </w:tcPr>
          <w:p w14:paraId="1A8DEBB5"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462 314 266</w:t>
            </w:r>
          </w:p>
        </w:tc>
        <w:tc>
          <w:tcPr>
            <w:tcW w:w="804" w:type="pct"/>
            <w:tcBorders>
              <w:top w:val="nil"/>
              <w:left w:val="nil"/>
              <w:bottom w:val="single" w:sz="8" w:space="0" w:color="auto"/>
              <w:right w:val="single" w:sz="8" w:space="0" w:color="auto"/>
            </w:tcBorders>
            <w:shd w:val="clear" w:color="auto" w:fill="auto"/>
            <w:noWrap/>
            <w:vAlign w:val="center"/>
            <w:hideMark/>
          </w:tcPr>
          <w:p w14:paraId="51983633"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432 548 489</w:t>
            </w:r>
          </w:p>
        </w:tc>
        <w:tc>
          <w:tcPr>
            <w:tcW w:w="741" w:type="pct"/>
            <w:tcBorders>
              <w:top w:val="nil"/>
              <w:left w:val="nil"/>
              <w:bottom w:val="single" w:sz="8" w:space="0" w:color="auto"/>
              <w:right w:val="single" w:sz="8" w:space="0" w:color="auto"/>
            </w:tcBorders>
            <w:shd w:val="clear" w:color="auto" w:fill="auto"/>
            <w:noWrap/>
            <w:vAlign w:val="center"/>
            <w:hideMark/>
          </w:tcPr>
          <w:p w14:paraId="57642C40"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54%</w:t>
            </w:r>
          </w:p>
        </w:tc>
        <w:tc>
          <w:tcPr>
            <w:tcW w:w="658" w:type="pct"/>
            <w:tcBorders>
              <w:top w:val="nil"/>
              <w:left w:val="nil"/>
              <w:bottom w:val="single" w:sz="8" w:space="0" w:color="auto"/>
              <w:right w:val="single" w:sz="8" w:space="0" w:color="auto"/>
            </w:tcBorders>
            <w:shd w:val="clear" w:color="auto" w:fill="auto"/>
            <w:vAlign w:val="center"/>
            <w:hideMark/>
          </w:tcPr>
          <w:p w14:paraId="39027867"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94%</w:t>
            </w:r>
          </w:p>
        </w:tc>
        <w:tc>
          <w:tcPr>
            <w:tcW w:w="388" w:type="pct"/>
            <w:tcBorders>
              <w:top w:val="nil"/>
              <w:left w:val="nil"/>
              <w:bottom w:val="single" w:sz="8" w:space="0" w:color="auto"/>
              <w:right w:val="single" w:sz="8" w:space="0" w:color="auto"/>
            </w:tcBorders>
            <w:shd w:val="clear" w:color="auto" w:fill="auto"/>
            <w:noWrap/>
            <w:vAlign w:val="center"/>
            <w:hideMark/>
          </w:tcPr>
          <w:p w14:paraId="2ED1E980"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7%</w:t>
            </w:r>
          </w:p>
        </w:tc>
      </w:tr>
      <w:tr w:rsidR="00D812CD" w:rsidRPr="0010350C" w14:paraId="62205E32" w14:textId="77777777" w:rsidTr="00100A08">
        <w:tc>
          <w:tcPr>
            <w:tcW w:w="846" w:type="pct"/>
            <w:tcBorders>
              <w:top w:val="nil"/>
              <w:left w:val="single" w:sz="8" w:space="0" w:color="auto"/>
              <w:bottom w:val="single" w:sz="8" w:space="0" w:color="auto"/>
              <w:right w:val="single" w:sz="8" w:space="0" w:color="auto"/>
            </w:tcBorders>
            <w:shd w:val="clear" w:color="auto" w:fill="auto"/>
            <w:noWrap/>
            <w:vAlign w:val="center"/>
            <w:hideMark/>
          </w:tcPr>
          <w:p w14:paraId="486BA3AB" w14:textId="77777777" w:rsidR="0010350C" w:rsidRPr="0010350C" w:rsidRDefault="0010350C" w:rsidP="00F12682">
            <w:pPr>
              <w:spacing w:after="0" w:line="240" w:lineRule="auto"/>
              <w:rPr>
                <w:rFonts w:ascii="Calibri" w:eastAsia="Times New Roman" w:hAnsi="Calibri" w:cs="Calibri"/>
                <w:color w:val="000000"/>
                <w:lang w:eastAsia="fr-FR"/>
              </w:rPr>
            </w:pPr>
            <w:r w:rsidRPr="0010350C">
              <w:rPr>
                <w:rFonts w:ascii="Calibri" w:eastAsia="Times New Roman" w:hAnsi="Calibri" w:cs="Calibri"/>
                <w:color w:val="000000"/>
                <w:lang w:eastAsia="fr-FR"/>
              </w:rPr>
              <w:t>Transfert</w:t>
            </w:r>
          </w:p>
        </w:tc>
        <w:tc>
          <w:tcPr>
            <w:tcW w:w="832" w:type="pct"/>
            <w:tcBorders>
              <w:top w:val="nil"/>
              <w:left w:val="nil"/>
              <w:bottom w:val="single" w:sz="8" w:space="0" w:color="auto"/>
              <w:right w:val="single" w:sz="8" w:space="0" w:color="auto"/>
            </w:tcBorders>
            <w:shd w:val="clear" w:color="auto" w:fill="auto"/>
            <w:noWrap/>
            <w:vAlign w:val="center"/>
            <w:hideMark/>
          </w:tcPr>
          <w:p w14:paraId="6472A831"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342 609 830</w:t>
            </w:r>
          </w:p>
        </w:tc>
        <w:tc>
          <w:tcPr>
            <w:tcW w:w="730" w:type="pct"/>
            <w:tcBorders>
              <w:top w:val="nil"/>
              <w:left w:val="nil"/>
              <w:bottom w:val="single" w:sz="8" w:space="0" w:color="auto"/>
              <w:right w:val="single" w:sz="8" w:space="0" w:color="auto"/>
            </w:tcBorders>
            <w:shd w:val="clear" w:color="auto" w:fill="auto"/>
            <w:vAlign w:val="center"/>
            <w:hideMark/>
          </w:tcPr>
          <w:p w14:paraId="1DAB4E2C"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307 214 559</w:t>
            </w:r>
          </w:p>
        </w:tc>
        <w:tc>
          <w:tcPr>
            <w:tcW w:w="804" w:type="pct"/>
            <w:tcBorders>
              <w:top w:val="nil"/>
              <w:left w:val="nil"/>
              <w:bottom w:val="single" w:sz="8" w:space="0" w:color="auto"/>
              <w:right w:val="single" w:sz="8" w:space="0" w:color="auto"/>
            </w:tcBorders>
            <w:shd w:val="clear" w:color="auto" w:fill="auto"/>
            <w:noWrap/>
            <w:vAlign w:val="center"/>
            <w:hideMark/>
          </w:tcPr>
          <w:p w14:paraId="4FE2B6D0"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295 999 900</w:t>
            </w:r>
          </w:p>
        </w:tc>
        <w:tc>
          <w:tcPr>
            <w:tcW w:w="741" w:type="pct"/>
            <w:tcBorders>
              <w:top w:val="nil"/>
              <w:left w:val="nil"/>
              <w:bottom w:val="single" w:sz="8" w:space="0" w:color="auto"/>
              <w:right w:val="single" w:sz="8" w:space="0" w:color="auto"/>
            </w:tcBorders>
            <w:shd w:val="clear" w:color="auto" w:fill="auto"/>
            <w:noWrap/>
            <w:vAlign w:val="center"/>
            <w:hideMark/>
          </w:tcPr>
          <w:p w14:paraId="478C38AE"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86%</w:t>
            </w:r>
          </w:p>
        </w:tc>
        <w:tc>
          <w:tcPr>
            <w:tcW w:w="658" w:type="pct"/>
            <w:tcBorders>
              <w:top w:val="nil"/>
              <w:left w:val="nil"/>
              <w:bottom w:val="single" w:sz="8" w:space="0" w:color="auto"/>
              <w:right w:val="single" w:sz="8" w:space="0" w:color="auto"/>
            </w:tcBorders>
            <w:shd w:val="clear" w:color="auto" w:fill="auto"/>
            <w:vAlign w:val="center"/>
            <w:hideMark/>
          </w:tcPr>
          <w:p w14:paraId="6967535C"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96%</w:t>
            </w:r>
          </w:p>
        </w:tc>
        <w:tc>
          <w:tcPr>
            <w:tcW w:w="388" w:type="pct"/>
            <w:tcBorders>
              <w:top w:val="nil"/>
              <w:left w:val="nil"/>
              <w:bottom w:val="single" w:sz="8" w:space="0" w:color="auto"/>
              <w:right w:val="single" w:sz="8" w:space="0" w:color="auto"/>
            </w:tcBorders>
            <w:shd w:val="clear" w:color="auto" w:fill="auto"/>
            <w:noWrap/>
            <w:vAlign w:val="center"/>
            <w:hideMark/>
          </w:tcPr>
          <w:p w14:paraId="3BF5DCB2"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3%</w:t>
            </w:r>
          </w:p>
        </w:tc>
      </w:tr>
      <w:tr w:rsidR="00D812CD" w:rsidRPr="0010350C" w14:paraId="16DAA61B" w14:textId="77777777" w:rsidTr="00100A08">
        <w:tc>
          <w:tcPr>
            <w:tcW w:w="846" w:type="pct"/>
            <w:tcBorders>
              <w:top w:val="nil"/>
              <w:left w:val="single" w:sz="8" w:space="0" w:color="auto"/>
              <w:bottom w:val="single" w:sz="8" w:space="0" w:color="auto"/>
              <w:right w:val="single" w:sz="8" w:space="0" w:color="auto"/>
            </w:tcBorders>
            <w:shd w:val="clear" w:color="auto" w:fill="auto"/>
            <w:noWrap/>
            <w:vAlign w:val="center"/>
            <w:hideMark/>
          </w:tcPr>
          <w:p w14:paraId="0ECA9396" w14:textId="77777777" w:rsidR="0010350C" w:rsidRPr="0010350C" w:rsidRDefault="0010350C" w:rsidP="00F12682">
            <w:pPr>
              <w:spacing w:after="0" w:line="240" w:lineRule="auto"/>
              <w:rPr>
                <w:rFonts w:ascii="Calibri" w:eastAsia="Times New Roman" w:hAnsi="Calibri" w:cs="Calibri"/>
                <w:color w:val="000000"/>
                <w:lang w:eastAsia="fr-FR"/>
              </w:rPr>
            </w:pPr>
            <w:r w:rsidRPr="0010350C">
              <w:rPr>
                <w:rFonts w:ascii="Calibri" w:eastAsia="Times New Roman" w:hAnsi="Calibri" w:cs="Calibri"/>
                <w:color w:val="000000"/>
                <w:lang w:eastAsia="fr-FR"/>
              </w:rPr>
              <w:t>Investissement</w:t>
            </w:r>
          </w:p>
        </w:tc>
        <w:tc>
          <w:tcPr>
            <w:tcW w:w="832" w:type="pct"/>
            <w:tcBorders>
              <w:top w:val="nil"/>
              <w:left w:val="nil"/>
              <w:bottom w:val="single" w:sz="8" w:space="0" w:color="auto"/>
              <w:right w:val="single" w:sz="8" w:space="0" w:color="auto"/>
            </w:tcBorders>
            <w:shd w:val="clear" w:color="auto" w:fill="auto"/>
            <w:noWrap/>
            <w:vAlign w:val="center"/>
            <w:hideMark/>
          </w:tcPr>
          <w:p w14:paraId="0C8C98CB"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9 689 342 468</w:t>
            </w:r>
          </w:p>
        </w:tc>
        <w:tc>
          <w:tcPr>
            <w:tcW w:w="730" w:type="pct"/>
            <w:tcBorders>
              <w:top w:val="nil"/>
              <w:left w:val="nil"/>
              <w:bottom w:val="single" w:sz="8" w:space="0" w:color="auto"/>
              <w:right w:val="single" w:sz="8" w:space="0" w:color="auto"/>
            </w:tcBorders>
            <w:shd w:val="clear" w:color="auto" w:fill="auto"/>
            <w:vAlign w:val="center"/>
            <w:hideMark/>
          </w:tcPr>
          <w:p w14:paraId="08CE592C"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2 877 975 463</w:t>
            </w:r>
          </w:p>
        </w:tc>
        <w:tc>
          <w:tcPr>
            <w:tcW w:w="804" w:type="pct"/>
            <w:tcBorders>
              <w:top w:val="nil"/>
              <w:left w:val="nil"/>
              <w:bottom w:val="single" w:sz="8" w:space="0" w:color="auto"/>
              <w:right w:val="single" w:sz="8" w:space="0" w:color="auto"/>
            </w:tcBorders>
            <w:shd w:val="clear" w:color="auto" w:fill="auto"/>
            <w:noWrap/>
            <w:vAlign w:val="center"/>
            <w:hideMark/>
          </w:tcPr>
          <w:p w14:paraId="6F3FB404" w14:textId="77777777" w:rsidR="0010350C" w:rsidRPr="0010350C" w:rsidRDefault="0010350C" w:rsidP="00F12682">
            <w:pPr>
              <w:spacing w:after="0" w:line="240" w:lineRule="auto"/>
              <w:jc w:val="right"/>
              <w:rPr>
                <w:rFonts w:ascii="Calibri" w:eastAsia="Times New Roman" w:hAnsi="Calibri" w:cs="Calibri"/>
                <w:color w:val="000000"/>
                <w:lang w:eastAsia="fr-FR"/>
              </w:rPr>
            </w:pPr>
            <w:r w:rsidRPr="0010350C">
              <w:rPr>
                <w:rFonts w:ascii="Calibri" w:eastAsia="Times New Roman" w:hAnsi="Calibri" w:cs="Calibri"/>
                <w:color w:val="000000"/>
                <w:lang w:eastAsia="fr-FR"/>
              </w:rPr>
              <w:t>3 726 660 655</w:t>
            </w:r>
          </w:p>
        </w:tc>
        <w:tc>
          <w:tcPr>
            <w:tcW w:w="741" w:type="pct"/>
            <w:tcBorders>
              <w:top w:val="nil"/>
              <w:left w:val="nil"/>
              <w:bottom w:val="single" w:sz="8" w:space="0" w:color="auto"/>
              <w:right w:val="single" w:sz="8" w:space="0" w:color="auto"/>
            </w:tcBorders>
            <w:shd w:val="clear" w:color="auto" w:fill="auto"/>
            <w:noWrap/>
            <w:vAlign w:val="center"/>
            <w:hideMark/>
          </w:tcPr>
          <w:p w14:paraId="79E9DEC8"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38%</w:t>
            </w:r>
          </w:p>
        </w:tc>
        <w:tc>
          <w:tcPr>
            <w:tcW w:w="658" w:type="pct"/>
            <w:tcBorders>
              <w:top w:val="nil"/>
              <w:left w:val="nil"/>
              <w:bottom w:val="single" w:sz="8" w:space="0" w:color="auto"/>
              <w:right w:val="single" w:sz="8" w:space="0" w:color="auto"/>
            </w:tcBorders>
            <w:shd w:val="clear" w:color="auto" w:fill="auto"/>
            <w:vAlign w:val="center"/>
            <w:hideMark/>
          </w:tcPr>
          <w:p w14:paraId="1C149D10"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129%</w:t>
            </w:r>
          </w:p>
        </w:tc>
        <w:tc>
          <w:tcPr>
            <w:tcW w:w="388" w:type="pct"/>
            <w:tcBorders>
              <w:top w:val="nil"/>
              <w:left w:val="nil"/>
              <w:bottom w:val="single" w:sz="8" w:space="0" w:color="auto"/>
              <w:right w:val="single" w:sz="8" w:space="0" w:color="auto"/>
            </w:tcBorders>
            <w:shd w:val="clear" w:color="auto" w:fill="auto"/>
            <w:noWrap/>
            <w:vAlign w:val="center"/>
            <w:hideMark/>
          </w:tcPr>
          <w:p w14:paraId="5DDA32C5" w14:textId="77777777" w:rsidR="0010350C" w:rsidRPr="0010350C" w:rsidRDefault="0010350C" w:rsidP="00F12682">
            <w:pPr>
              <w:spacing w:after="0" w:line="240" w:lineRule="auto"/>
              <w:jc w:val="center"/>
              <w:rPr>
                <w:rFonts w:ascii="Calibri" w:eastAsia="Times New Roman" w:hAnsi="Calibri" w:cs="Calibri"/>
                <w:color w:val="000000"/>
                <w:lang w:eastAsia="fr-FR"/>
              </w:rPr>
            </w:pPr>
            <w:r w:rsidRPr="0010350C">
              <w:rPr>
                <w:rFonts w:ascii="Calibri" w:eastAsia="Times New Roman" w:hAnsi="Calibri" w:cs="Calibri"/>
                <w:color w:val="000000"/>
                <w:lang w:eastAsia="fr-FR"/>
              </w:rPr>
              <w:t>79%</w:t>
            </w:r>
          </w:p>
        </w:tc>
      </w:tr>
      <w:tr w:rsidR="00D812CD" w:rsidRPr="00100A08" w14:paraId="018EBB67" w14:textId="77777777" w:rsidTr="00100A08">
        <w:tc>
          <w:tcPr>
            <w:tcW w:w="846" w:type="pct"/>
            <w:tcBorders>
              <w:top w:val="nil"/>
              <w:left w:val="single" w:sz="8" w:space="0" w:color="auto"/>
              <w:bottom w:val="single" w:sz="8" w:space="0" w:color="auto"/>
              <w:right w:val="single" w:sz="8" w:space="0" w:color="auto"/>
            </w:tcBorders>
            <w:shd w:val="clear" w:color="auto" w:fill="auto"/>
            <w:noWrap/>
            <w:vAlign w:val="center"/>
            <w:hideMark/>
          </w:tcPr>
          <w:p w14:paraId="5D231AEB" w14:textId="77777777" w:rsidR="0010350C" w:rsidRPr="00100A08" w:rsidRDefault="0010350C" w:rsidP="00F12682">
            <w:pPr>
              <w:spacing w:after="0" w:line="240" w:lineRule="auto"/>
              <w:rPr>
                <w:rFonts w:ascii="Calibri" w:eastAsia="Times New Roman" w:hAnsi="Calibri" w:cs="Calibri"/>
                <w:b/>
                <w:color w:val="000000"/>
                <w:lang w:eastAsia="fr-FR"/>
              </w:rPr>
            </w:pPr>
            <w:r w:rsidRPr="00100A08">
              <w:rPr>
                <w:rFonts w:ascii="Calibri" w:eastAsia="Times New Roman" w:hAnsi="Calibri" w:cs="Calibri"/>
                <w:b/>
                <w:color w:val="000000"/>
                <w:lang w:eastAsia="fr-FR"/>
              </w:rPr>
              <w:t>Total général</w:t>
            </w:r>
          </w:p>
        </w:tc>
        <w:tc>
          <w:tcPr>
            <w:tcW w:w="832" w:type="pct"/>
            <w:tcBorders>
              <w:top w:val="nil"/>
              <w:left w:val="nil"/>
              <w:bottom w:val="single" w:sz="8" w:space="0" w:color="auto"/>
              <w:right w:val="single" w:sz="8" w:space="0" w:color="auto"/>
            </w:tcBorders>
            <w:shd w:val="clear" w:color="auto" w:fill="auto"/>
            <w:noWrap/>
            <w:vAlign w:val="center"/>
            <w:hideMark/>
          </w:tcPr>
          <w:p w14:paraId="26CCA3A8" w14:textId="77777777" w:rsidR="0010350C" w:rsidRPr="00100A08" w:rsidRDefault="0010350C" w:rsidP="00F12682">
            <w:pPr>
              <w:spacing w:after="0" w:line="240" w:lineRule="auto"/>
              <w:jc w:val="right"/>
              <w:rPr>
                <w:rFonts w:ascii="Calibri" w:eastAsia="Times New Roman" w:hAnsi="Calibri" w:cs="Calibri"/>
                <w:b/>
                <w:color w:val="000000"/>
                <w:lang w:eastAsia="fr-FR"/>
              </w:rPr>
            </w:pPr>
            <w:r w:rsidRPr="00100A08">
              <w:rPr>
                <w:rFonts w:ascii="Calibri" w:eastAsia="Times New Roman" w:hAnsi="Calibri" w:cs="Calibri"/>
                <w:b/>
                <w:color w:val="000000"/>
                <w:lang w:eastAsia="fr-FR"/>
              </w:rPr>
              <w:t>12 215 945 477</w:t>
            </w:r>
          </w:p>
        </w:tc>
        <w:tc>
          <w:tcPr>
            <w:tcW w:w="730" w:type="pct"/>
            <w:tcBorders>
              <w:top w:val="nil"/>
              <w:left w:val="nil"/>
              <w:bottom w:val="single" w:sz="8" w:space="0" w:color="auto"/>
              <w:right w:val="single" w:sz="8" w:space="0" w:color="auto"/>
            </w:tcBorders>
            <w:shd w:val="clear" w:color="auto" w:fill="auto"/>
            <w:vAlign w:val="center"/>
            <w:hideMark/>
          </w:tcPr>
          <w:p w14:paraId="13AF284B" w14:textId="076D7362" w:rsidR="0010350C" w:rsidRPr="00100A08" w:rsidRDefault="00100A08" w:rsidP="00F12682">
            <w:pPr>
              <w:spacing w:after="0" w:line="240" w:lineRule="auto"/>
              <w:jc w:val="right"/>
              <w:rPr>
                <w:rFonts w:ascii="Calibri" w:eastAsia="Times New Roman" w:hAnsi="Calibri" w:cs="Calibri"/>
                <w:b/>
                <w:color w:val="000000"/>
                <w:lang w:eastAsia="fr-FR"/>
              </w:rPr>
            </w:pPr>
            <w:r w:rsidRPr="00100A08">
              <w:rPr>
                <w:rFonts w:ascii="Calibri" w:eastAsia="Times New Roman" w:hAnsi="Calibri" w:cs="Calibri"/>
                <w:b/>
                <w:color w:val="000000"/>
                <w:lang w:eastAsia="fr-FR"/>
              </w:rPr>
              <w:t>5 088 670 127</w:t>
            </w:r>
          </w:p>
        </w:tc>
        <w:tc>
          <w:tcPr>
            <w:tcW w:w="804" w:type="pct"/>
            <w:tcBorders>
              <w:top w:val="nil"/>
              <w:left w:val="nil"/>
              <w:bottom w:val="single" w:sz="8" w:space="0" w:color="auto"/>
              <w:right w:val="single" w:sz="8" w:space="0" w:color="auto"/>
            </w:tcBorders>
            <w:shd w:val="clear" w:color="auto" w:fill="auto"/>
            <w:noWrap/>
            <w:vAlign w:val="center"/>
            <w:hideMark/>
          </w:tcPr>
          <w:p w14:paraId="41A98AEE" w14:textId="77777777" w:rsidR="0010350C" w:rsidRPr="00100A08" w:rsidRDefault="0010350C" w:rsidP="00F12682">
            <w:pPr>
              <w:spacing w:after="0" w:line="240" w:lineRule="auto"/>
              <w:jc w:val="right"/>
              <w:rPr>
                <w:rFonts w:ascii="Calibri" w:eastAsia="Times New Roman" w:hAnsi="Calibri" w:cs="Calibri"/>
                <w:b/>
                <w:color w:val="000000"/>
                <w:lang w:eastAsia="fr-FR"/>
              </w:rPr>
            </w:pPr>
            <w:r w:rsidRPr="00100A08">
              <w:rPr>
                <w:rFonts w:ascii="Calibri" w:eastAsia="Times New Roman" w:hAnsi="Calibri" w:cs="Calibri"/>
                <w:b/>
                <w:color w:val="000000"/>
                <w:lang w:eastAsia="fr-FR"/>
              </w:rPr>
              <w:t>5 896 374 883</w:t>
            </w:r>
          </w:p>
        </w:tc>
        <w:tc>
          <w:tcPr>
            <w:tcW w:w="741" w:type="pct"/>
            <w:tcBorders>
              <w:top w:val="nil"/>
              <w:left w:val="nil"/>
              <w:bottom w:val="single" w:sz="8" w:space="0" w:color="auto"/>
              <w:right w:val="single" w:sz="8" w:space="0" w:color="auto"/>
            </w:tcBorders>
            <w:shd w:val="clear" w:color="auto" w:fill="auto"/>
            <w:noWrap/>
            <w:vAlign w:val="center"/>
            <w:hideMark/>
          </w:tcPr>
          <w:p w14:paraId="2043A374" w14:textId="77777777" w:rsidR="0010350C" w:rsidRPr="00100A08" w:rsidRDefault="0010350C" w:rsidP="00F12682">
            <w:pPr>
              <w:spacing w:after="0" w:line="240" w:lineRule="auto"/>
              <w:jc w:val="center"/>
              <w:rPr>
                <w:rFonts w:ascii="Calibri" w:eastAsia="Times New Roman" w:hAnsi="Calibri" w:cs="Calibri"/>
                <w:b/>
                <w:color w:val="000000"/>
                <w:lang w:eastAsia="fr-FR"/>
              </w:rPr>
            </w:pPr>
            <w:r w:rsidRPr="00100A08">
              <w:rPr>
                <w:rFonts w:ascii="Calibri" w:eastAsia="Times New Roman" w:hAnsi="Calibri" w:cs="Calibri"/>
                <w:b/>
                <w:color w:val="000000"/>
                <w:lang w:eastAsia="fr-FR"/>
              </w:rPr>
              <w:t>48%</w:t>
            </w:r>
          </w:p>
        </w:tc>
        <w:tc>
          <w:tcPr>
            <w:tcW w:w="658" w:type="pct"/>
            <w:tcBorders>
              <w:top w:val="nil"/>
              <w:left w:val="nil"/>
              <w:bottom w:val="single" w:sz="8" w:space="0" w:color="auto"/>
              <w:right w:val="single" w:sz="8" w:space="0" w:color="auto"/>
            </w:tcBorders>
            <w:shd w:val="clear" w:color="auto" w:fill="auto"/>
            <w:vAlign w:val="center"/>
            <w:hideMark/>
          </w:tcPr>
          <w:p w14:paraId="5DE26E8F" w14:textId="3B3FC681" w:rsidR="0010350C" w:rsidRPr="00100A08" w:rsidRDefault="00100A08" w:rsidP="00F12682">
            <w:pPr>
              <w:spacing w:after="0" w:line="240" w:lineRule="auto"/>
              <w:jc w:val="center"/>
              <w:rPr>
                <w:rFonts w:ascii="Calibri" w:eastAsia="Times New Roman" w:hAnsi="Calibri" w:cs="Calibri"/>
                <w:b/>
                <w:color w:val="000000"/>
                <w:lang w:eastAsia="fr-FR"/>
              </w:rPr>
            </w:pPr>
            <w:r w:rsidRPr="00100A08">
              <w:rPr>
                <w:rFonts w:ascii="Calibri" w:eastAsia="Times New Roman" w:hAnsi="Calibri" w:cs="Calibri"/>
                <w:b/>
                <w:color w:val="000000"/>
                <w:lang w:eastAsia="fr-FR"/>
              </w:rPr>
              <w:t>116%</w:t>
            </w:r>
          </w:p>
        </w:tc>
        <w:tc>
          <w:tcPr>
            <w:tcW w:w="388" w:type="pct"/>
            <w:tcBorders>
              <w:top w:val="nil"/>
              <w:left w:val="nil"/>
              <w:bottom w:val="single" w:sz="8" w:space="0" w:color="auto"/>
              <w:right w:val="single" w:sz="8" w:space="0" w:color="auto"/>
            </w:tcBorders>
            <w:shd w:val="clear" w:color="auto" w:fill="auto"/>
            <w:noWrap/>
            <w:vAlign w:val="center"/>
            <w:hideMark/>
          </w:tcPr>
          <w:p w14:paraId="52B8407C" w14:textId="77777777" w:rsidR="0010350C" w:rsidRPr="00100A08" w:rsidRDefault="0010350C" w:rsidP="00F12682">
            <w:pPr>
              <w:spacing w:after="0" w:line="240" w:lineRule="auto"/>
              <w:jc w:val="center"/>
              <w:rPr>
                <w:rFonts w:ascii="Calibri" w:eastAsia="Times New Roman" w:hAnsi="Calibri" w:cs="Calibri"/>
                <w:b/>
                <w:color w:val="000000"/>
                <w:lang w:eastAsia="fr-FR"/>
              </w:rPr>
            </w:pPr>
            <w:r w:rsidRPr="00100A08">
              <w:rPr>
                <w:rFonts w:ascii="Calibri" w:eastAsia="Times New Roman" w:hAnsi="Calibri" w:cs="Calibri"/>
                <w:b/>
                <w:color w:val="000000"/>
                <w:lang w:eastAsia="fr-FR"/>
              </w:rPr>
              <w:t>100%</w:t>
            </w:r>
          </w:p>
        </w:tc>
      </w:tr>
    </w:tbl>
    <w:p w14:paraId="4E86C95E" w14:textId="77777777" w:rsidR="0010350C" w:rsidRDefault="0010350C" w:rsidP="00F12682"/>
    <w:p w14:paraId="42611F84" w14:textId="77777777" w:rsidR="00E75C04" w:rsidRPr="00D73A12" w:rsidRDefault="00E75C04" w:rsidP="00F12682">
      <w:pPr>
        <w:pStyle w:val="Titre4"/>
        <w:rPr>
          <w:rFonts w:asciiTheme="minorHAnsi" w:hAnsiTheme="minorHAnsi" w:cstheme="minorHAnsi"/>
        </w:rPr>
      </w:pPr>
      <w:r w:rsidRPr="004A5122">
        <w:rPr>
          <w:rFonts w:asciiTheme="minorHAnsi" w:hAnsiTheme="minorHAnsi" w:cstheme="minorHAnsi"/>
        </w:rPr>
        <w:t>Analyse de la capacité d’absorption des financements</w:t>
      </w:r>
    </w:p>
    <w:p w14:paraId="6A3F4568" w14:textId="4285FDF6" w:rsidR="000C00BC" w:rsidRDefault="004A01F2"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Contrairement aux autres sous-secteurs,</w:t>
      </w:r>
      <w:r w:rsidR="00796CC2">
        <w:rPr>
          <w:rFonts w:ascii="Calibri" w:eastAsiaTheme="majorEastAsia" w:hAnsi="Calibri" w:cs="Calibri"/>
          <w:iCs/>
          <w:sz w:val="24"/>
        </w:rPr>
        <w:t xml:space="preserve"> au niveau du</w:t>
      </w:r>
      <w:r>
        <w:rPr>
          <w:rFonts w:ascii="Calibri" w:eastAsiaTheme="majorEastAsia" w:hAnsi="Calibri" w:cs="Calibri"/>
          <w:iCs/>
          <w:sz w:val="24"/>
        </w:rPr>
        <w:t xml:space="preserve"> sous-secteur de l’élevage </w:t>
      </w:r>
      <w:r w:rsidR="00796CC2">
        <w:rPr>
          <w:rFonts w:ascii="Calibri" w:eastAsiaTheme="majorEastAsia" w:hAnsi="Calibri" w:cs="Calibri"/>
          <w:iCs/>
          <w:sz w:val="24"/>
        </w:rPr>
        <w:t>c’est le taux d’</w:t>
      </w:r>
      <w:r w:rsidR="00AE13DE">
        <w:rPr>
          <w:rFonts w:ascii="Calibri" w:eastAsiaTheme="majorEastAsia" w:hAnsi="Calibri" w:cs="Calibri"/>
          <w:iCs/>
          <w:sz w:val="24"/>
        </w:rPr>
        <w:t>absorption</w:t>
      </w:r>
      <w:r w:rsidR="00796CC2">
        <w:rPr>
          <w:rFonts w:ascii="Calibri" w:eastAsiaTheme="majorEastAsia" w:hAnsi="Calibri" w:cs="Calibri"/>
          <w:iCs/>
          <w:sz w:val="24"/>
        </w:rPr>
        <w:t xml:space="preserve"> du budget d’investissement </w:t>
      </w:r>
      <w:r w:rsidR="00AE13DE">
        <w:rPr>
          <w:rFonts w:ascii="Calibri" w:eastAsiaTheme="majorEastAsia" w:hAnsi="Calibri" w:cs="Calibri"/>
          <w:iCs/>
          <w:sz w:val="24"/>
        </w:rPr>
        <w:t xml:space="preserve">qui </w:t>
      </w:r>
      <w:r w:rsidR="00E05CF3">
        <w:rPr>
          <w:rFonts w:ascii="Calibri" w:eastAsiaTheme="majorEastAsia" w:hAnsi="Calibri" w:cs="Calibri"/>
          <w:iCs/>
          <w:sz w:val="24"/>
        </w:rPr>
        <w:t xml:space="preserve">est le plus élevé dépassant atteignant 129%. </w:t>
      </w:r>
      <w:r w:rsidR="000C00BC">
        <w:rPr>
          <w:rFonts w:ascii="Calibri" w:eastAsiaTheme="majorEastAsia" w:hAnsi="Calibri" w:cs="Calibri"/>
          <w:iCs/>
          <w:sz w:val="24"/>
        </w:rPr>
        <w:t>Ce qui impact le taux global d’absorption du sous-secteur qui dépasse également les 100%.</w:t>
      </w:r>
    </w:p>
    <w:p w14:paraId="0B4BEF54" w14:textId="4CB0417B" w:rsidR="00232A40" w:rsidRDefault="00232A40" w:rsidP="00F12682">
      <w:pPr>
        <w:spacing w:after="0" w:line="240" w:lineRule="auto"/>
        <w:jc w:val="both"/>
        <w:rPr>
          <w:rFonts w:ascii="Calibri" w:eastAsiaTheme="majorEastAsia" w:hAnsi="Calibri" w:cs="Calibri"/>
          <w:iCs/>
          <w:sz w:val="24"/>
        </w:rPr>
      </w:pPr>
    </w:p>
    <w:p w14:paraId="1E677370" w14:textId="23A15E42" w:rsidR="008A07A6" w:rsidRPr="005970F0" w:rsidRDefault="005970F0" w:rsidP="00F12682">
      <w:pPr>
        <w:pStyle w:val="Lgende"/>
        <w:rPr>
          <w:rFonts w:eastAsiaTheme="majorEastAsia" w:cs="Calibri"/>
          <w:iCs w:val="0"/>
        </w:rPr>
      </w:pPr>
      <w:bookmarkStart w:id="131" w:name="_Toc529305075"/>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21</w:t>
      </w:r>
      <w:r w:rsidR="00A773EB">
        <w:rPr>
          <w:noProof/>
        </w:rPr>
        <w:fldChar w:fldCharType="end"/>
      </w:r>
      <w:r w:rsidR="00100A08" w:rsidRPr="005970F0">
        <w:rPr>
          <w:rFonts w:eastAsiaTheme="majorEastAsia" w:cs="Calibri"/>
          <w:iCs w:val="0"/>
        </w:rPr>
        <w:t xml:space="preserve"> : </w:t>
      </w:r>
      <w:r w:rsidR="00B42E80">
        <w:rPr>
          <w:rFonts w:eastAsiaTheme="majorEastAsia" w:cs="Calibri"/>
          <w:iCs w:val="0"/>
        </w:rPr>
        <w:t xml:space="preserve">Taux d’absorption </w:t>
      </w:r>
      <w:r w:rsidR="008A07A6" w:rsidRPr="005970F0">
        <w:rPr>
          <w:rFonts w:eastAsiaTheme="majorEastAsia" w:cs="Calibri"/>
          <w:iCs w:val="0"/>
        </w:rPr>
        <w:t>par titre du MEL</w:t>
      </w:r>
      <w:r w:rsidR="00100A08" w:rsidRPr="005970F0">
        <w:rPr>
          <w:rFonts w:eastAsiaTheme="majorEastAsia" w:cs="Calibri"/>
          <w:iCs w:val="0"/>
        </w:rPr>
        <w:t xml:space="preserve"> en 2016</w:t>
      </w:r>
      <w:bookmarkEnd w:id="131"/>
    </w:p>
    <w:tbl>
      <w:tblPr>
        <w:tblW w:w="4983" w:type="pct"/>
        <w:tblLayout w:type="fixed"/>
        <w:tblCellMar>
          <w:left w:w="70" w:type="dxa"/>
          <w:right w:w="70" w:type="dxa"/>
        </w:tblCellMar>
        <w:tblLook w:val="04A0" w:firstRow="1" w:lastRow="0" w:firstColumn="1" w:lastColumn="0" w:noHBand="0" w:noVBand="1"/>
      </w:tblPr>
      <w:tblGrid>
        <w:gridCol w:w="2161"/>
        <w:gridCol w:w="1727"/>
        <w:gridCol w:w="1608"/>
        <w:gridCol w:w="1976"/>
        <w:gridCol w:w="2113"/>
      </w:tblGrid>
      <w:tr w:rsidR="005C1E69" w:rsidRPr="005C1E69" w14:paraId="24439289" w14:textId="77777777" w:rsidTr="008C0967">
        <w:tc>
          <w:tcPr>
            <w:tcW w:w="11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D4C5B1" w14:textId="77777777" w:rsidR="005C1E69" w:rsidRPr="005C1E69" w:rsidRDefault="005C1E69" w:rsidP="00F12682">
            <w:pPr>
              <w:spacing w:after="0" w:line="240" w:lineRule="auto"/>
              <w:jc w:val="center"/>
              <w:rPr>
                <w:rFonts w:ascii="Calibri" w:eastAsia="Times New Roman" w:hAnsi="Calibri" w:cs="Calibri"/>
                <w:b/>
                <w:bCs/>
                <w:color w:val="000000"/>
                <w:sz w:val="20"/>
                <w:szCs w:val="20"/>
                <w:lang w:eastAsia="fr-FR"/>
              </w:rPr>
            </w:pPr>
            <w:r w:rsidRPr="005C1E69">
              <w:rPr>
                <w:rFonts w:ascii="Calibri" w:eastAsia="Times New Roman" w:hAnsi="Calibri" w:cs="Calibri"/>
                <w:b/>
                <w:bCs/>
                <w:color w:val="000000"/>
                <w:sz w:val="20"/>
                <w:szCs w:val="20"/>
                <w:lang w:eastAsia="fr-FR"/>
              </w:rPr>
              <w:t>Titre</w:t>
            </w:r>
          </w:p>
        </w:tc>
        <w:tc>
          <w:tcPr>
            <w:tcW w:w="901" w:type="pct"/>
            <w:tcBorders>
              <w:top w:val="single" w:sz="8" w:space="0" w:color="auto"/>
              <w:left w:val="nil"/>
              <w:bottom w:val="single" w:sz="8" w:space="0" w:color="auto"/>
              <w:right w:val="single" w:sz="8" w:space="0" w:color="auto"/>
            </w:tcBorders>
            <w:shd w:val="clear" w:color="auto" w:fill="auto"/>
            <w:noWrap/>
            <w:vAlign w:val="center"/>
            <w:hideMark/>
          </w:tcPr>
          <w:p w14:paraId="72B100F2" w14:textId="77777777" w:rsidR="005C1E69" w:rsidRPr="005C1E69" w:rsidRDefault="005C1E69" w:rsidP="00F12682">
            <w:pPr>
              <w:spacing w:after="0" w:line="240" w:lineRule="auto"/>
              <w:jc w:val="center"/>
              <w:rPr>
                <w:rFonts w:ascii="Calibri" w:eastAsia="Times New Roman" w:hAnsi="Calibri" w:cs="Calibri"/>
                <w:b/>
                <w:bCs/>
                <w:color w:val="000000"/>
                <w:sz w:val="20"/>
                <w:szCs w:val="20"/>
                <w:lang w:eastAsia="fr-FR"/>
              </w:rPr>
            </w:pPr>
            <w:r w:rsidRPr="005C1E69">
              <w:rPr>
                <w:rFonts w:ascii="Calibri" w:eastAsia="Times New Roman" w:hAnsi="Calibri" w:cs="Calibri"/>
                <w:b/>
                <w:bCs/>
                <w:color w:val="000000"/>
                <w:sz w:val="20"/>
                <w:szCs w:val="20"/>
                <w:lang w:eastAsia="fr-FR"/>
              </w:rPr>
              <w:t>Crédits votés</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B7E489E" w14:textId="77777777" w:rsidR="005C1E69" w:rsidRPr="005C1E69" w:rsidRDefault="005C1E69" w:rsidP="00F12682">
            <w:pPr>
              <w:spacing w:after="0" w:line="240" w:lineRule="auto"/>
              <w:jc w:val="center"/>
              <w:rPr>
                <w:rFonts w:ascii="Calibri" w:eastAsia="Times New Roman" w:hAnsi="Calibri" w:cs="Calibri"/>
                <w:b/>
                <w:bCs/>
                <w:color w:val="000000"/>
                <w:sz w:val="20"/>
                <w:szCs w:val="20"/>
                <w:lang w:eastAsia="fr-FR"/>
              </w:rPr>
            </w:pPr>
            <w:r w:rsidRPr="005C1E69">
              <w:rPr>
                <w:rFonts w:ascii="Calibri" w:eastAsia="Times New Roman" w:hAnsi="Calibri" w:cs="Calibri"/>
                <w:b/>
                <w:bCs/>
                <w:color w:val="000000"/>
                <w:sz w:val="20"/>
                <w:szCs w:val="20"/>
                <w:lang w:eastAsia="fr-FR"/>
              </w:rPr>
              <w:t>Crédits libérés</w:t>
            </w:r>
          </w:p>
        </w:tc>
        <w:tc>
          <w:tcPr>
            <w:tcW w:w="1031" w:type="pct"/>
            <w:tcBorders>
              <w:top w:val="single" w:sz="8" w:space="0" w:color="auto"/>
              <w:left w:val="nil"/>
              <w:bottom w:val="single" w:sz="8" w:space="0" w:color="auto"/>
              <w:right w:val="single" w:sz="8" w:space="0" w:color="auto"/>
            </w:tcBorders>
            <w:shd w:val="clear" w:color="auto" w:fill="auto"/>
            <w:noWrap/>
            <w:vAlign w:val="center"/>
            <w:hideMark/>
          </w:tcPr>
          <w:p w14:paraId="06B47CE4" w14:textId="77777777" w:rsidR="005C1E69" w:rsidRPr="005C1E69" w:rsidRDefault="005C1E69" w:rsidP="00F12682">
            <w:pPr>
              <w:spacing w:after="0" w:line="240" w:lineRule="auto"/>
              <w:jc w:val="center"/>
              <w:rPr>
                <w:rFonts w:ascii="Calibri" w:eastAsia="Times New Roman" w:hAnsi="Calibri" w:cs="Calibri"/>
                <w:b/>
                <w:bCs/>
                <w:color w:val="000000"/>
                <w:sz w:val="20"/>
                <w:szCs w:val="20"/>
                <w:lang w:eastAsia="fr-FR"/>
              </w:rPr>
            </w:pPr>
            <w:r w:rsidRPr="005C1E69">
              <w:rPr>
                <w:rFonts w:ascii="Calibri" w:eastAsia="Times New Roman" w:hAnsi="Calibri" w:cs="Calibri"/>
                <w:b/>
                <w:bCs/>
                <w:color w:val="000000"/>
                <w:sz w:val="20"/>
                <w:szCs w:val="20"/>
                <w:lang w:eastAsia="fr-FR"/>
              </w:rPr>
              <w:t>Crédits consommés</w:t>
            </w:r>
          </w:p>
        </w:tc>
        <w:tc>
          <w:tcPr>
            <w:tcW w:w="1103" w:type="pct"/>
            <w:tcBorders>
              <w:top w:val="single" w:sz="8" w:space="0" w:color="auto"/>
              <w:left w:val="nil"/>
              <w:bottom w:val="single" w:sz="8" w:space="0" w:color="auto"/>
              <w:right w:val="single" w:sz="8" w:space="0" w:color="auto"/>
            </w:tcBorders>
            <w:shd w:val="clear" w:color="auto" w:fill="auto"/>
            <w:vAlign w:val="center"/>
            <w:hideMark/>
          </w:tcPr>
          <w:p w14:paraId="75BF363D" w14:textId="77777777" w:rsidR="005C1E69" w:rsidRPr="005C1E69" w:rsidRDefault="005C1E69" w:rsidP="00F12682">
            <w:pPr>
              <w:spacing w:after="0" w:line="240" w:lineRule="auto"/>
              <w:jc w:val="center"/>
              <w:rPr>
                <w:rFonts w:ascii="Calibri" w:eastAsia="Times New Roman" w:hAnsi="Calibri" w:cs="Calibri"/>
                <w:b/>
                <w:bCs/>
                <w:color w:val="000000"/>
                <w:sz w:val="20"/>
                <w:szCs w:val="20"/>
                <w:lang w:eastAsia="fr-FR"/>
              </w:rPr>
            </w:pPr>
            <w:r w:rsidRPr="005C1E69">
              <w:rPr>
                <w:rFonts w:ascii="Calibri" w:eastAsia="Times New Roman" w:hAnsi="Calibri" w:cs="Calibri"/>
                <w:b/>
                <w:bCs/>
                <w:color w:val="000000"/>
                <w:sz w:val="20"/>
                <w:szCs w:val="20"/>
                <w:lang w:eastAsia="fr-FR"/>
              </w:rPr>
              <w:t>Taux d’absorption</w:t>
            </w:r>
          </w:p>
        </w:tc>
      </w:tr>
      <w:tr w:rsidR="005C1E69" w:rsidRPr="005C1E69" w14:paraId="4AE8F737" w14:textId="77777777" w:rsidTr="008C0967">
        <w:tc>
          <w:tcPr>
            <w:tcW w:w="1127" w:type="pct"/>
            <w:tcBorders>
              <w:top w:val="nil"/>
              <w:left w:val="single" w:sz="8" w:space="0" w:color="auto"/>
              <w:bottom w:val="single" w:sz="8" w:space="0" w:color="auto"/>
              <w:right w:val="single" w:sz="8" w:space="0" w:color="auto"/>
            </w:tcBorders>
            <w:shd w:val="clear" w:color="auto" w:fill="auto"/>
            <w:noWrap/>
            <w:vAlign w:val="center"/>
            <w:hideMark/>
          </w:tcPr>
          <w:p w14:paraId="4F595B59" w14:textId="0FBAB5BD" w:rsidR="005C1E69" w:rsidRPr="005C1E69" w:rsidRDefault="008C0967" w:rsidP="00F1268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Personnel</w:t>
            </w:r>
          </w:p>
        </w:tc>
        <w:tc>
          <w:tcPr>
            <w:tcW w:w="901" w:type="pct"/>
            <w:tcBorders>
              <w:top w:val="nil"/>
              <w:left w:val="nil"/>
              <w:bottom w:val="single" w:sz="8" w:space="0" w:color="auto"/>
              <w:right w:val="single" w:sz="8" w:space="0" w:color="auto"/>
            </w:tcBorders>
            <w:shd w:val="clear" w:color="auto" w:fill="auto"/>
            <w:noWrap/>
            <w:vAlign w:val="center"/>
            <w:hideMark/>
          </w:tcPr>
          <w:p w14:paraId="32124D69"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1 377 658 638</w:t>
            </w:r>
          </w:p>
        </w:tc>
        <w:tc>
          <w:tcPr>
            <w:tcW w:w="839" w:type="pct"/>
            <w:tcBorders>
              <w:top w:val="nil"/>
              <w:left w:val="nil"/>
              <w:bottom w:val="single" w:sz="8" w:space="0" w:color="auto"/>
              <w:right w:val="single" w:sz="8" w:space="0" w:color="auto"/>
            </w:tcBorders>
            <w:shd w:val="clear" w:color="auto" w:fill="auto"/>
            <w:vAlign w:val="center"/>
            <w:hideMark/>
          </w:tcPr>
          <w:p w14:paraId="03307417" w14:textId="28221B36" w:rsidR="005C1E69" w:rsidRPr="005C1E69" w:rsidRDefault="00AE78B3" w:rsidP="00F12682">
            <w:pPr>
              <w:spacing w:after="0" w:line="240" w:lineRule="auto"/>
              <w:jc w:val="right"/>
              <w:rPr>
                <w:rFonts w:ascii="Calibri" w:eastAsia="Times New Roman" w:hAnsi="Calibri" w:cs="Calibri"/>
                <w:color w:val="000000"/>
                <w:lang w:eastAsia="fr-FR"/>
              </w:rPr>
            </w:pPr>
            <w:r w:rsidRPr="00AE78B3">
              <w:rPr>
                <w:rFonts w:ascii="Calibri" w:eastAsia="Times New Roman" w:hAnsi="Calibri" w:cs="Calibri"/>
                <w:color w:val="000000"/>
                <w:lang w:eastAsia="fr-FR"/>
              </w:rPr>
              <w:t>1 441 165 839</w:t>
            </w:r>
          </w:p>
        </w:tc>
        <w:tc>
          <w:tcPr>
            <w:tcW w:w="1031" w:type="pct"/>
            <w:tcBorders>
              <w:top w:val="nil"/>
              <w:left w:val="nil"/>
              <w:bottom w:val="single" w:sz="8" w:space="0" w:color="auto"/>
              <w:right w:val="single" w:sz="8" w:space="0" w:color="auto"/>
            </w:tcBorders>
            <w:shd w:val="clear" w:color="auto" w:fill="auto"/>
            <w:noWrap/>
            <w:vAlign w:val="center"/>
            <w:hideMark/>
          </w:tcPr>
          <w:p w14:paraId="74E239A5"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1 441 165 839</w:t>
            </w:r>
          </w:p>
        </w:tc>
        <w:tc>
          <w:tcPr>
            <w:tcW w:w="1103" w:type="pct"/>
            <w:tcBorders>
              <w:top w:val="nil"/>
              <w:left w:val="nil"/>
              <w:bottom w:val="single" w:sz="8" w:space="0" w:color="auto"/>
              <w:right w:val="single" w:sz="8" w:space="0" w:color="auto"/>
            </w:tcBorders>
            <w:shd w:val="clear" w:color="auto" w:fill="auto"/>
            <w:vAlign w:val="center"/>
            <w:hideMark/>
          </w:tcPr>
          <w:p w14:paraId="5F8484CE" w14:textId="4AD18910" w:rsidR="005C1E69" w:rsidRPr="005C1E69" w:rsidRDefault="00AE78B3" w:rsidP="00F1268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5C1E69" w:rsidRPr="005C1E69" w14:paraId="257D6122" w14:textId="77777777" w:rsidTr="008C0967">
        <w:tc>
          <w:tcPr>
            <w:tcW w:w="1127" w:type="pct"/>
            <w:tcBorders>
              <w:top w:val="nil"/>
              <w:left w:val="single" w:sz="8" w:space="0" w:color="auto"/>
              <w:bottom w:val="single" w:sz="8" w:space="0" w:color="auto"/>
              <w:right w:val="single" w:sz="8" w:space="0" w:color="auto"/>
            </w:tcBorders>
            <w:shd w:val="clear" w:color="auto" w:fill="auto"/>
            <w:noWrap/>
            <w:vAlign w:val="center"/>
            <w:hideMark/>
          </w:tcPr>
          <w:p w14:paraId="6660C5EE" w14:textId="77777777" w:rsidR="005C1E69" w:rsidRPr="005C1E69" w:rsidRDefault="005C1E69" w:rsidP="00F12682">
            <w:pPr>
              <w:spacing w:after="0" w:line="240" w:lineRule="auto"/>
              <w:rPr>
                <w:rFonts w:ascii="Calibri" w:eastAsia="Times New Roman" w:hAnsi="Calibri" w:cs="Calibri"/>
                <w:color w:val="000000"/>
                <w:lang w:eastAsia="fr-FR"/>
              </w:rPr>
            </w:pPr>
            <w:r w:rsidRPr="005C1E69">
              <w:rPr>
                <w:rFonts w:ascii="Calibri" w:eastAsia="Times New Roman" w:hAnsi="Calibri" w:cs="Calibri"/>
                <w:color w:val="000000"/>
                <w:lang w:eastAsia="fr-FR"/>
              </w:rPr>
              <w:t>Fonctionnement</w:t>
            </w:r>
          </w:p>
        </w:tc>
        <w:tc>
          <w:tcPr>
            <w:tcW w:w="901" w:type="pct"/>
            <w:tcBorders>
              <w:top w:val="nil"/>
              <w:left w:val="nil"/>
              <w:bottom w:val="single" w:sz="8" w:space="0" w:color="auto"/>
              <w:right w:val="single" w:sz="8" w:space="0" w:color="auto"/>
            </w:tcBorders>
            <w:shd w:val="clear" w:color="auto" w:fill="auto"/>
            <w:noWrap/>
            <w:vAlign w:val="center"/>
            <w:hideMark/>
          </w:tcPr>
          <w:p w14:paraId="29962A35"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806 334 541</w:t>
            </w:r>
          </w:p>
        </w:tc>
        <w:tc>
          <w:tcPr>
            <w:tcW w:w="839" w:type="pct"/>
            <w:tcBorders>
              <w:top w:val="nil"/>
              <w:left w:val="nil"/>
              <w:bottom w:val="single" w:sz="8" w:space="0" w:color="auto"/>
              <w:right w:val="single" w:sz="8" w:space="0" w:color="auto"/>
            </w:tcBorders>
            <w:shd w:val="clear" w:color="auto" w:fill="auto"/>
            <w:vAlign w:val="center"/>
            <w:hideMark/>
          </w:tcPr>
          <w:p w14:paraId="00DDF891"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462 314 266</w:t>
            </w:r>
          </w:p>
        </w:tc>
        <w:tc>
          <w:tcPr>
            <w:tcW w:w="1031" w:type="pct"/>
            <w:tcBorders>
              <w:top w:val="nil"/>
              <w:left w:val="nil"/>
              <w:bottom w:val="single" w:sz="8" w:space="0" w:color="auto"/>
              <w:right w:val="single" w:sz="8" w:space="0" w:color="auto"/>
            </w:tcBorders>
            <w:shd w:val="clear" w:color="auto" w:fill="auto"/>
            <w:noWrap/>
            <w:vAlign w:val="center"/>
            <w:hideMark/>
          </w:tcPr>
          <w:p w14:paraId="5E9586D3"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432 548 489</w:t>
            </w:r>
          </w:p>
        </w:tc>
        <w:tc>
          <w:tcPr>
            <w:tcW w:w="1103" w:type="pct"/>
            <w:tcBorders>
              <w:top w:val="nil"/>
              <w:left w:val="nil"/>
              <w:bottom w:val="single" w:sz="8" w:space="0" w:color="auto"/>
              <w:right w:val="single" w:sz="8" w:space="0" w:color="auto"/>
            </w:tcBorders>
            <w:shd w:val="clear" w:color="auto" w:fill="auto"/>
            <w:vAlign w:val="center"/>
            <w:hideMark/>
          </w:tcPr>
          <w:p w14:paraId="37D870FA" w14:textId="77777777" w:rsidR="005C1E69" w:rsidRPr="005C1E69" w:rsidRDefault="005C1E69" w:rsidP="00F12682">
            <w:pPr>
              <w:spacing w:after="0" w:line="240" w:lineRule="auto"/>
              <w:jc w:val="center"/>
              <w:rPr>
                <w:rFonts w:ascii="Calibri" w:eastAsia="Times New Roman" w:hAnsi="Calibri" w:cs="Calibri"/>
                <w:color w:val="000000"/>
                <w:lang w:eastAsia="fr-FR"/>
              </w:rPr>
            </w:pPr>
            <w:r w:rsidRPr="005C1E69">
              <w:rPr>
                <w:rFonts w:ascii="Calibri" w:eastAsia="Times New Roman" w:hAnsi="Calibri" w:cs="Calibri"/>
                <w:color w:val="000000"/>
                <w:lang w:eastAsia="fr-FR"/>
              </w:rPr>
              <w:t>94%</w:t>
            </w:r>
          </w:p>
        </w:tc>
      </w:tr>
      <w:tr w:rsidR="005C1E69" w:rsidRPr="005C1E69" w14:paraId="71EAAB0B" w14:textId="77777777" w:rsidTr="008C0967">
        <w:tc>
          <w:tcPr>
            <w:tcW w:w="1127" w:type="pct"/>
            <w:tcBorders>
              <w:top w:val="nil"/>
              <w:left w:val="single" w:sz="8" w:space="0" w:color="auto"/>
              <w:bottom w:val="single" w:sz="8" w:space="0" w:color="auto"/>
              <w:right w:val="single" w:sz="8" w:space="0" w:color="auto"/>
            </w:tcBorders>
            <w:shd w:val="clear" w:color="auto" w:fill="auto"/>
            <w:noWrap/>
            <w:vAlign w:val="center"/>
            <w:hideMark/>
          </w:tcPr>
          <w:p w14:paraId="5604144A" w14:textId="77777777" w:rsidR="005C1E69" w:rsidRPr="005C1E69" w:rsidRDefault="005C1E69" w:rsidP="00F12682">
            <w:pPr>
              <w:spacing w:after="0" w:line="240" w:lineRule="auto"/>
              <w:rPr>
                <w:rFonts w:ascii="Calibri" w:eastAsia="Times New Roman" w:hAnsi="Calibri" w:cs="Calibri"/>
                <w:color w:val="000000"/>
                <w:lang w:eastAsia="fr-FR"/>
              </w:rPr>
            </w:pPr>
            <w:r w:rsidRPr="005C1E69">
              <w:rPr>
                <w:rFonts w:ascii="Calibri" w:eastAsia="Times New Roman" w:hAnsi="Calibri" w:cs="Calibri"/>
                <w:color w:val="000000"/>
                <w:lang w:eastAsia="fr-FR"/>
              </w:rPr>
              <w:t>Transfert</w:t>
            </w:r>
          </w:p>
        </w:tc>
        <w:tc>
          <w:tcPr>
            <w:tcW w:w="901" w:type="pct"/>
            <w:tcBorders>
              <w:top w:val="nil"/>
              <w:left w:val="nil"/>
              <w:bottom w:val="single" w:sz="8" w:space="0" w:color="auto"/>
              <w:right w:val="single" w:sz="8" w:space="0" w:color="auto"/>
            </w:tcBorders>
            <w:shd w:val="clear" w:color="auto" w:fill="auto"/>
            <w:noWrap/>
            <w:vAlign w:val="center"/>
            <w:hideMark/>
          </w:tcPr>
          <w:p w14:paraId="758B4AE6"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342 609 830</w:t>
            </w:r>
          </w:p>
        </w:tc>
        <w:tc>
          <w:tcPr>
            <w:tcW w:w="839" w:type="pct"/>
            <w:tcBorders>
              <w:top w:val="nil"/>
              <w:left w:val="nil"/>
              <w:bottom w:val="single" w:sz="8" w:space="0" w:color="auto"/>
              <w:right w:val="single" w:sz="8" w:space="0" w:color="auto"/>
            </w:tcBorders>
            <w:shd w:val="clear" w:color="auto" w:fill="auto"/>
            <w:vAlign w:val="center"/>
            <w:hideMark/>
          </w:tcPr>
          <w:p w14:paraId="7BC54898"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307 214 559</w:t>
            </w:r>
          </w:p>
        </w:tc>
        <w:tc>
          <w:tcPr>
            <w:tcW w:w="1031" w:type="pct"/>
            <w:tcBorders>
              <w:top w:val="nil"/>
              <w:left w:val="nil"/>
              <w:bottom w:val="single" w:sz="8" w:space="0" w:color="auto"/>
              <w:right w:val="single" w:sz="8" w:space="0" w:color="auto"/>
            </w:tcBorders>
            <w:shd w:val="clear" w:color="auto" w:fill="auto"/>
            <w:noWrap/>
            <w:vAlign w:val="center"/>
            <w:hideMark/>
          </w:tcPr>
          <w:p w14:paraId="5A7EF6EA"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295 999 900</w:t>
            </w:r>
          </w:p>
        </w:tc>
        <w:tc>
          <w:tcPr>
            <w:tcW w:w="1103" w:type="pct"/>
            <w:tcBorders>
              <w:top w:val="nil"/>
              <w:left w:val="nil"/>
              <w:bottom w:val="single" w:sz="8" w:space="0" w:color="auto"/>
              <w:right w:val="single" w:sz="8" w:space="0" w:color="auto"/>
            </w:tcBorders>
            <w:shd w:val="clear" w:color="auto" w:fill="auto"/>
            <w:vAlign w:val="center"/>
            <w:hideMark/>
          </w:tcPr>
          <w:p w14:paraId="6B59819B" w14:textId="77777777" w:rsidR="005C1E69" w:rsidRPr="005C1E69" w:rsidRDefault="005C1E69" w:rsidP="00F12682">
            <w:pPr>
              <w:spacing w:after="0" w:line="240" w:lineRule="auto"/>
              <w:jc w:val="center"/>
              <w:rPr>
                <w:rFonts w:ascii="Calibri" w:eastAsia="Times New Roman" w:hAnsi="Calibri" w:cs="Calibri"/>
                <w:color w:val="000000"/>
                <w:lang w:eastAsia="fr-FR"/>
              </w:rPr>
            </w:pPr>
            <w:r w:rsidRPr="005C1E69">
              <w:rPr>
                <w:rFonts w:ascii="Calibri" w:eastAsia="Times New Roman" w:hAnsi="Calibri" w:cs="Calibri"/>
                <w:color w:val="000000"/>
                <w:lang w:eastAsia="fr-FR"/>
              </w:rPr>
              <w:t>96%</w:t>
            </w:r>
          </w:p>
        </w:tc>
      </w:tr>
      <w:tr w:rsidR="005C1E69" w:rsidRPr="005C1E69" w14:paraId="17582BE6" w14:textId="77777777" w:rsidTr="008C0967">
        <w:tc>
          <w:tcPr>
            <w:tcW w:w="1127" w:type="pct"/>
            <w:tcBorders>
              <w:top w:val="nil"/>
              <w:left w:val="single" w:sz="8" w:space="0" w:color="auto"/>
              <w:bottom w:val="single" w:sz="8" w:space="0" w:color="auto"/>
              <w:right w:val="single" w:sz="8" w:space="0" w:color="auto"/>
            </w:tcBorders>
            <w:shd w:val="clear" w:color="auto" w:fill="auto"/>
            <w:noWrap/>
            <w:vAlign w:val="center"/>
            <w:hideMark/>
          </w:tcPr>
          <w:p w14:paraId="52B0C5DF" w14:textId="77777777" w:rsidR="005C1E69" w:rsidRPr="005C1E69" w:rsidRDefault="005C1E69" w:rsidP="00F12682">
            <w:pPr>
              <w:spacing w:after="0" w:line="240" w:lineRule="auto"/>
              <w:rPr>
                <w:rFonts w:ascii="Calibri" w:eastAsia="Times New Roman" w:hAnsi="Calibri" w:cs="Calibri"/>
                <w:color w:val="000000"/>
                <w:lang w:eastAsia="fr-FR"/>
              </w:rPr>
            </w:pPr>
            <w:r w:rsidRPr="005C1E69">
              <w:rPr>
                <w:rFonts w:ascii="Calibri" w:eastAsia="Times New Roman" w:hAnsi="Calibri" w:cs="Calibri"/>
                <w:color w:val="000000"/>
                <w:lang w:eastAsia="fr-FR"/>
              </w:rPr>
              <w:t>Investissement</w:t>
            </w:r>
          </w:p>
        </w:tc>
        <w:tc>
          <w:tcPr>
            <w:tcW w:w="901" w:type="pct"/>
            <w:tcBorders>
              <w:top w:val="nil"/>
              <w:left w:val="nil"/>
              <w:bottom w:val="single" w:sz="8" w:space="0" w:color="auto"/>
              <w:right w:val="single" w:sz="8" w:space="0" w:color="auto"/>
            </w:tcBorders>
            <w:shd w:val="clear" w:color="auto" w:fill="auto"/>
            <w:noWrap/>
            <w:vAlign w:val="center"/>
            <w:hideMark/>
          </w:tcPr>
          <w:p w14:paraId="62A3E609"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9 689 342 468</w:t>
            </w:r>
          </w:p>
        </w:tc>
        <w:tc>
          <w:tcPr>
            <w:tcW w:w="839" w:type="pct"/>
            <w:tcBorders>
              <w:top w:val="nil"/>
              <w:left w:val="nil"/>
              <w:bottom w:val="single" w:sz="8" w:space="0" w:color="auto"/>
              <w:right w:val="single" w:sz="8" w:space="0" w:color="auto"/>
            </w:tcBorders>
            <w:shd w:val="clear" w:color="auto" w:fill="auto"/>
            <w:vAlign w:val="center"/>
            <w:hideMark/>
          </w:tcPr>
          <w:p w14:paraId="44BCC1EF"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2 877 975 463</w:t>
            </w:r>
          </w:p>
        </w:tc>
        <w:tc>
          <w:tcPr>
            <w:tcW w:w="1031" w:type="pct"/>
            <w:tcBorders>
              <w:top w:val="nil"/>
              <w:left w:val="nil"/>
              <w:bottom w:val="single" w:sz="8" w:space="0" w:color="auto"/>
              <w:right w:val="single" w:sz="8" w:space="0" w:color="auto"/>
            </w:tcBorders>
            <w:shd w:val="clear" w:color="auto" w:fill="auto"/>
            <w:noWrap/>
            <w:vAlign w:val="center"/>
            <w:hideMark/>
          </w:tcPr>
          <w:p w14:paraId="1868BF6D" w14:textId="77777777" w:rsidR="005C1E69" w:rsidRPr="005C1E69" w:rsidRDefault="005C1E69" w:rsidP="00F12682">
            <w:pPr>
              <w:spacing w:after="0" w:line="240" w:lineRule="auto"/>
              <w:jc w:val="right"/>
              <w:rPr>
                <w:rFonts w:ascii="Calibri" w:eastAsia="Times New Roman" w:hAnsi="Calibri" w:cs="Calibri"/>
                <w:color w:val="000000"/>
                <w:lang w:eastAsia="fr-FR"/>
              </w:rPr>
            </w:pPr>
            <w:r w:rsidRPr="005C1E69">
              <w:rPr>
                <w:rFonts w:ascii="Calibri" w:eastAsia="Times New Roman" w:hAnsi="Calibri" w:cs="Calibri"/>
                <w:color w:val="000000"/>
                <w:lang w:eastAsia="fr-FR"/>
              </w:rPr>
              <w:t>3 726 660 655</w:t>
            </w:r>
          </w:p>
        </w:tc>
        <w:tc>
          <w:tcPr>
            <w:tcW w:w="1103" w:type="pct"/>
            <w:tcBorders>
              <w:top w:val="nil"/>
              <w:left w:val="nil"/>
              <w:bottom w:val="single" w:sz="8" w:space="0" w:color="auto"/>
              <w:right w:val="single" w:sz="8" w:space="0" w:color="auto"/>
            </w:tcBorders>
            <w:shd w:val="clear" w:color="auto" w:fill="auto"/>
            <w:vAlign w:val="center"/>
            <w:hideMark/>
          </w:tcPr>
          <w:p w14:paraId="43165361" w14:textId="77777777" w:rsidR="005C1E69" w:rsidRPr="005C1E69" w:rsidRDefault="005C1E69" w:rsidP="00F12682">
            <w:pPr>
              <w:spacing w:after="0" w:line="240" w:lineRule="auto"/>
              <w:jc w:val="center"/>
              <w:rPr>
                <w:rFonts w:ascii="Calibri" w:eastAsia="Times New Roman" w:hAnsi="Calibri" w:cs="Calibri"/>
                <w:color w:val="000000"/>
                <w:lang w:eastAsia="fr-FR"/>
              </w:rPr>
            </w:pPr>
            <w:r w:rsidRPr="005C1E69">
              <w:rPr>
                <w:rFonts w:ascii="Calibri" w:eastAsia="Times New Roman" w:hAnsi="Calibri" w:cs="Calibri"/>
                <w:color w:val="000000"/>
                <w:lang w:eastAsia="fr-FR"/>
              </w:rPr>
              <w:t>129%</w:t>
            </w:r>
          </w:p>
        </w:tc>
      </w:tr>
      <w:tr w:rsidR="005C1E69" w:rsidRPr="00C21B85" w14:paraId="259E081E" w14:textId="77777777" w:rsidTr="008C0967">
        <w:tc>
          <w:tcPr>
            <w:tcW w:w="1127" w:type="pct"/>
            <w:tcBorders>
              <w:top w:val="nil"/>
              <w:left w:val="single" w:sz="8" w:space="0" w:color="auto"/>
              <w:bottom w:val="single" w:sz="8" w:space="0" w:color="auto"/>
              <w:right w:val="single" w:sz="8" w:space="0" w:color="auto"/>
            </w:tcBorders>
            <w:shd w:val="clear" w:color="auto" w:fill="auto"/>
            <w:noWrap/>
            <w:vAlign w:val="center"/>
            <w:hideMark/>
          </w:tcPr>
          <w:p w14:paraId="2C98E5AE" w14:textId="77777777" w:rsidR="005C1E69" w:rsidRPr="00C21B85" w:rsidRDefault="005C1E69" w:rsidP="00F12682">
            <w:pPr>
              <w:spacing w:after="0" w:line="240" w:lineRule="auto"/>
              <w:rPr>
                <w:rFonts w:ascii="Calibri" w:eastAsia="Times New Roman" w:hAnsi="Calibri" w:cs="Calibri"/>
                <w:b/>
                <w:color w:val="000000"/>
                <w:lang w:eastAsia="fr-FR"/>
              </w:rPr>
            </w:pPr>
            <w:r w:rsidRPr="00C21B85">
              <w:rPr>
                <w:rFonts w:ascii="Calibri" w:eastAsia="Times New Roman" w:hAnsi="Calibri" w:cs="Calibri"/>
                <w:b/>
                <w:color w:val="000000"/>
                <w:lang w:eastAsia="fr-FR"/>
              </w:rPr>
              <w:t>Total général</w:t>
            </w:r>
          </w:p>
        </w:tc>
        <w:tc>
          <w:tcPr>
            <w:tcW w:w="901" w:type="pct"/>
            <w:tcBorders>
              <w:top w:val="nil"/>
              <w:left w:val="nil"/>
              <w:bottom w:val="single" w:sz="8" w:space="0" w:color="auto"/>
              <w:right w:val="single" w:sz="8" w:space="0" w:color="auto"/>
            </w:tcBorders>
            <w:shd w:val="clear" w:color="auto" w:fill="auto"/>
            <w:noWrap/>
            <w:vAlign w:val="center"/>
            <w:hideMark/>
          </w:tcPr>
          <w:p w14:paraId="00B016DC" w14:textId="77777777" w:rsidR="005C1E69" w:rsidRPr="00C21B85" w:rsidRDefault="005C1E69" w:rsidP="00F12682">
            <w:pPr>
              <w:spacing w:after="0" w:line="240" w:lineRule="auto"/>
              <w:jc w:val="right"/>
              <w:rPr>
                <w:rFonts w:ascii="Calibri" w:eastAsia="Times New Roman" w:hAnsi="Calibri" w:cs="Calibri"/>
                <w:b/>
                <w:color w:val="000000"/>
                <w:lang w:eastAsia="fr-FR"/>
              </w:rPr>
            </w:pPr>
            <w:r w:rsidRPr="00C21B85">
              <w:rPr>
                <w:rFonts w:ascii="Calibri" w:eastAsia="Times New Roman" w:hAnsi="Calibri" w:cs="Calibri"/>
                <w:b/>
                <w:color w:val="000000"/>
                <w:lang w:eastAsia="fr-FR"/>
              </w:rPr>
              <w:t>12 215 945 477</w:t>
            </w:r>
          </w:p>
        </w:tc>
        <w:tc>
          <w:tcPr>
            <w:tcW w:w="839" w:type="pct"/>
            <w:tcBorders>
              <w:top w:val="nil"/>
              <w:left w:val="nil"/>
              <w:bottom w:val="single" w:sz="8" w:space="0" w:color="auto"/>
              <w:right w:val="single" w:sz="8" w:space="0" w:color="auto"/>
            </w:tcBorders>
            <w:shd w:val="clear" w:color="auto" w:fill="auto"/>
            <w:vAlign w:val="center"/>
            <w:hideMark/>
          </w:tcPr>
          <w:p w14:paraId="7E69B6CE" w14:textId="4F9877EA" w:rsidR="005C1E69" w:rsidRPr="00C21B85" w:rsidRDefault="00AE78B3" w:rsidP="00F12682">
            <w:pPr>
              <w:spacing w:after="0" w:line="240" w:lineRule="auto"/>
              <w:jc w:val="right"/>
              <w:rPr>
                <w:rFonts w:ascii="Calibri" w:eastAsia="Times New Roman" w:hAnsi="Calibri" w:cs="Calibri"/>
                <w:b/>
                <w:color w:val="000000"/>
                <w:lang w:eastAsia="fr-FR"/>
              </w:rPr>
            </w:pPr>
            <w:r w:rsidRPr="00AE78B3">
              <w:rPr>
                <w:rFonts w:ascii="Calibri" w:eastAsia="Times New Roman" w:hAnsi="Calibri" w:cs="Calibri"/>
                <w:b/>
                <w:color w:val="000000"/>
                <w:lang w:eastAsia="fr-FR"/>
              </w:rPr>
              <w:t>5 088 670 127</w:t>
            </w:r>
          </w:p>
        </w:tc>
        <w:tc>
          <w:tcPr>
            <w:tcW w:w="1031" w:type="pct"/>
            <w:tcBorders>
              <w:top w:val="nil"/>
              <w:left w:val="nil"/>
              <w:bottom w:val="single" w:sz="8" w:space="0" w:color="auto"/>
              <w:right w:val="single" w:sz="8" w:space="0" w:color="auto"/>
            </w:tcBorders>
            <w:shd w:val="clear" w:color="auto" w:fill="auto"/>
            <w:noWrap/>
            <w:vAlign w:val="center"/>
            <w:hideMark/>
          </w:tcPr>
          <w:p w14:paraId="38970894" w14:textId="77777777" w:rsidR="005C1E69" w:rsidRPr="00C21B85" w:rsidRDefault="005C1E69" w:rsidP="00F12682">
            <w:pPr>
              <w:spacing w:after="0" w:line="240" w:lineRule="auto"/>
              <w:jc w:val="right"/>
              <w:rPr>
                <w:rFonts w:ascii="Calibri" w:eastAsia="Times New Roman" w:hAnsi="Calibri" w:cs="Calibri"/>
                <w:b/>
                <w:color w:val="000000"/>
                <w:lang w:eastAsia="fr-FR"/>
              </w:rPr>
            </w:pPr>
            <w:r w:rsidRPr="00C21B85">
              <w:rPr>
                <w:rFonts w:ascii="Calibri" w:eastAsia="Times New Roman" w:hAnsi="Calibri" w:cs="Calibri"/>
                <w:b/>
                <w:color w:val="000000"/>
                <w:lang w:eastAsia="fr-FR"/>
              </w:rPr>
              <w:t>5 896 374 883</w:t>
            </w:r>
          </w:p>
        </w:tc>
        <w:tc>
          <w:tcPr>
            <w:tcW w:w="1103" w:type="pct"/>
            <w:tcBorders>
              <w:top w:val="nil"/>
              <w:left w:val="nil"/>
              <w:bottom w:val="single" w:sz="8" w:space="0" w:color="auto"/>
              <w:right w:val="single" w:sz="8" w:space="0" w:color="auto"/>
            </w:tcBorders>
            <w:shd w:val="clear" w:color="auto" w:fill="auto"/>
            <w:vAlign w:val="center"/>
            <w:hideMark/>
          </w:tcPr>
          <w:p w14:paraId="11C0DAD8" w14:textId="721AEDE5" w:rsidR="005C1E69" w:rsidRPr="00C21B85" w:rsidRDefault="00135DFE" w:rsidP="00F12682">
            <w:pPr>
              <w:spacing w:after="0" w:line="240" w:lineRule="auto"/>
              <w:jc w:val="center"/>
              <w:rPr>
                <w:rFonts w:ascii="Calibri" w:eastAsia="Times New Roman" w:hAnsi="Calibri" w:cs="Calibri"/>
                <w:b/>
                <w:color w:val="000000"/>
                <w:lang w:eastAsia="fr-FR"/>
              </w:rPr>
            </w:pPr>
            <w:r w:rsidRPr="00C21B85">
              <w:rPr>
                <w:rFonts w:ascii="Calibri" w:eastAsia="Times New Roman" w:hAnsi="Calibri" w:cs="Calibri"/>
                <w:b/>
                <w:color w:val="000000"/>
                <w:lang w:eastAsia="fr-FR"/>
              </w:rPr>
              <w:t>1</w:t>
            </w:r>
            <w:r w:rsidR="00AE78B3">
              <w:rPr>
                <w:rFonts w:ascii="Calibri" w:eastAsia="Times New Roman" w:hAnsi="Calibri" w:cs="Calibri"/>
                <w:b/>
                <w:color w:val="000000"/>
                <w:lang w:eastAsia="fr-FR"/>
              </w:rPr>
              <w:t>16</w:t>
            </w:r>
            <w:r w:rsidR="005C1E69" w:rsidRPr="00C21B85">
              <w:rPr>
                <w:rFonts w:ascii="Calibri" w:eastAsia="Times New Roman" w:hAnsi="Calibri" w:cs="Calibri"/>
                <w:b/>
                <w:color w:val="000000"/>
                <w:lang w:eastAsia="fr-FR"/>
              </w:rPr>
              <w:t>%</w:t>
            </w:r>
          </w:p>
        </w:tc>
      </w:tr>
    </w:tbl>
    <w:p w14:paraId="3778359D" w14:textId="77777777" w:rsidR="001F42BD" w:rsidRPr="004A5122" w:rsidRDefault="001F42BD" w:rsidP="00F12682"/>
    <w:p w14:paraId="2302CFD0" w14:textId="77777777" w:rsidR="00E75C04" w:rsidRDefault="00E75C04" w:rsidP="00F12682">
      <w:pPr>
        <w:pStyle w:val="Titre4"/>
        <w:rPr>
          <w:rFonts w:asciiTheme="minorHAnsi" w:hAnsiTheme="minorHAnsi" w:cstheme="minorHAnsi"/>
        </w:rPr>
      </w:pPr>
      <w:r w:rsidRPr="004A5122">
        <w:rPr>
          <w:rFonts w:asciiTheme="minorHAnsi" w:hAnsiTheme="minorHAnsi" w:cstheme="minorHAnsi"/>
        </w:rPr>
        <w:t>Analyse de la performance et l’incidence de diverses sources de financement</w:t>
      </w:r>
    </w:p>
    <w:p w14:paraId="7C96BBEC" w14:textId="7EB99DFB" w:rsidR="00305FDA" w:rsidRDefault="00305FDA"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 xml:space="preserve">Plus de trois quart (76%) des dépenses </w:t>
      </w:r>
      <w:r w:rsidR="002959BB">
        <w:rPr>
          <w:rFonts w:ascii="Calibri" w:eastAsiaTheme="majorEastAsia" w:hAnsi="Calibri" w:cs="Calibri"/>
          <w:iCs/>
          <w:sz w:val="24"/>
        </w:rPr>
        <w:t xml:space="preserve">d’investissements </w:t>
      </w:r>
      <w:r>
        <w:rPr>
          <w:rFonts w:ascii="Calibri" w:eastAsiaTheme="majorEastAsia" w:hAnsi="Calibri" w:cs="Calibri"/>
          <w:iCs/>
          <w:sz w:val="24"/>
        </w:rPr>
        <w:t xml:space="preserve">effectuées </w:t>
      </w:r>
      <w:r w:rsidR="002959BB">
        <w:rPr>
          <w:rFonts w:ascii="Calibri" w:eastAsiaTheme="majorEastAsia" w:hAnsi="Calibri" w:cs="Calibri"/>
          <w:iCs/>
          <w:sz w:val="24"/>
        </w:rPr>
        <w:t>dans le sous-secteur de l’</w:t>
      </w:r>
      <w:r w:rsidR="00F7716F">
        <w:rPr>
          <w:rFonts w:ascii="Calibri" w:eastAsiaTheme="majorEastAsia" w:hAnsi="Calibri" w:cs="Calibri"/>
          <w:iCs/>
          <w:sz w:val="24"/>
        </w:rPr>
        <w:t>élevage</w:t>
      </w:r>
      <w:r w:rsidR="002959BB">
        <w:rPr>
          <w:rFonts w:ascii="Calibri" w:eastAsiaTheme="majorEastAsia" w:hAnsi="Calibri" w:cs="Calibri"/>
          <w:iCs/>
          <w:sz w:val="24"/>
        </w:rPr>
        <w:t xml:space="preserve"> en 2016 proviennent du trésor. Les </w:t>
      </w:r>
      <w:r w:rsidR="00F7716F">
        <w:rPr>
          <w:rFonts w:ascii="Calibri" w:eastAsiaTheme="majorEastAsia" w:hAnsi="Calibri" w:cs="Calibri"/>
          <w:iCs/>
          <w:sz w:val="24"/>
        </w:rPr>
        <w:t xml:space="preserve">23% restant sont des emprunts auprès de l’IDA. </w:t>
      </w:r>
    </w:p>
    <w:p w14:paraId="3BBB1BFF" w14:textId="77777777" w:rsidR="005B79A3" w:rsidRDefault="003570FA"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 xml:space="preserve">Les </w:t>
      </w:r>
      <w:r w:rsidR="005B79A3">
        <w:rPr>
          <w:rFonts w:ascii="Calibri" w:eastAsiaTheme="majorEastAsia" w:hAnsi="Calibri" w:cs="Calibri"/>
          <w:iCs/>
          <w:sz w:val="24"/>
        </w:rPr>
        <w:t>autres</w:t>
      </w:r>
      <w:r w:rsidR="006E09C3" w:rsidRPr="003570FA">
        <w:rPr>
          <w:rFonts w:ascii="Calibri" w:eastAsiaTheme="majorEastAsia" w:hAnsi="Calibri" w:cs="Calibri"/>
          <w:iCs/>
          <w:sz w:val="24"/>
        </w:rPr>
        <w:t xml:space="preserve"> </w:t>
      </w:r>
      <w:r w:rsidR="005E2C4A" w:rsidRPr="003570FA">
        <w:rPr>
          <w:rFonts w:ascii="Calibri" w:eastAsiaTheme="majorEastAsia" w:hAnsi="Calibri" w:cs="Calibri"/>
          <w:iCs/>
          <w:sz w:val="24"/>
        </w:rPr>
        <w:t>financement</w:t>
      </w:r>
      <w:r w:rsidR="005B79A3">
        <w:rPr>
          <w:rFonts w:ascii="Calibri" w:eastAsiaTheme="majorEastAsia" w:hAnsi="Calibri" w:cs="Calibri"/>
          <w:iCs/>
          <w:sz w:val="24"/>
        </w:rPr>
        <w:t>s de type ANR provenant de la FAO et de l’UEMOA inscrits pour la même année, n’ont pas été exécutés.</w:t>
      </w:r>
    </w:p>
    <w:p w14:paraId="68262C69" w14:textId="77777777" w:rsidR="00216743" w:rsidRDefault="00216743" w:rsidP="00F12682">
      <w:pPr>
        <w:spacing w:after="120" w:line="276" w:lineRule="auto"/>
        <w:jc w:val="both"/>
        <w:rPr>
          <w:rFonts w:ascii="Calibri" w:eastAsiaTheme="majorEastAsia" w:hAnsi="Calibri" w:cs="Calibri"/>
          <w:iCs/>
          <w:sz w:val="24"/>
        </w:rPr>
      </w:pPr>
    </w:p>
    <w:p w14:paraId="379D54C3" w14:textId="50A3968D" w:rsidR="00151736" w:rsidRDefault="005970F0" w:rsidP="00F12682">
      <w:pPr>
        <w:pStyle w:val="Lgende"/>
        <w:rPr>
          <w:rFonts w:eastAsiaTheme="majorEastAsia" w:cs="Calibri"/>
          <w:iCs w:val="0"/>
        </w:rPr>
      </w:pPr>
      <w:bookmarkStart w:id="132" w:name="_Toc529305076"/>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22</w:t>
      </w:r>
      <w:r w:rsidR="00A773EB">
        <w:rPr>
          <w:noProof/>
        </w:rPr>
        <w:fldChar w:fldCharType="end"/>
      </w:r>
      <w:r w:rsidR="003570FA" w:rsidRPr="005970F0">
        <w:rPr>
          <w:rFonts w:eastAsiaTheme="majorEastAsia" w:cs="Calibri"/>
          <w:iCs w:val="0"/>
        </w:rPr>
        <w:t xml:space="preserve"> : </w:t>
      </w:r>
      <w:r w:rsidR="00151736" w:rsidRPr="005970F0">
        <w:rPr>
          <w:rFonts w:eastAsiaTheme="majorEastAsia" w:cs="Calibri"/>
          <w:iCs w:val="0"/>
        </w:rPr>
        <w:t>Répartition des investissements par source de financements au MEL</w:t>
      </w:r>
      <w:r w:rsidR="003570FA" w:rsidRPr="005970F0">
        <w:rPr>
          <w:rFonts w:eastAsiaTheme="majorEastAsia" w:cs="Calibri"/>
          <w:iCs w:val="0"/>
        </w:rPr>
        <w:t xml:space="preserve"> en 2016</w:t>
      </w:r>
      <w:bookmarkEnd w:id="132"/>
    </w:p>
    <w:tbl>
      <w:tblPr>
        <w:tblStyle w:val="Grilledutableau"/>
        <w:tblW w:w="5000" w:type="pct"/>
        <w:tblLook w:val="04A0" w:firstRow="1" w:lastRow="0" w:firstColumn="1" w:lastColumn="0" w:noHBand="0" w:noVBand="1"/>
      </w:tblPr>
      <w:tblGrid>
        <w:gridCol w:w="2354"/>
        <w:gridCol w:w="1553"/>
        <w:gridCol w:w="1837"/>
        <w:gridCol w:w="2476"/>
        <w:gridCol w:w="1408"/>
      </w:tblGrid>
      <w:tr w:rsidR="000677E6" w:rsidRPr="008C0967" w14:paraId="12CF2E3C" w14:textId="77777777" w:rsidTr="00E82172">
        <w:trPr>
          <w:trHeight w:val="315"/>
        </w:trPr>
        <w:tc>
          <w:tcPr>
            <w:tcW w:w="1233" w:type="pct"/>
            <w:noWrap/>
            <w:vAlign w:val="center"/>
            <w:hideMark/>
          </w:tcPr>
          <w:p w14:paraId="73996D22" w14:textId="77777777" w:rsidR="000677E6" w:rsidRPr="008C0967" w:rsidRDefault="000677E6" w:rsidP="00F12682">
            <w:pPr>
              <w:jc w:val="center"/>
              <w:rPr>
                <w:b/>
                <w:bCs/>
                <w:sz w:val="20"/>
              </w:rPr>
            </w:pPr>
            <w:r w:rsidRPr="008C0967">
              <w:rPr>
                <w:b/>
                <w:bCs/>
                <w:sz w:val="20"/>
              </w:rPr>
              <w:t>Type de financement</w:t>
            </w:r>
          </w:p>
        </w:tc>
        <w:tc>
          <w:tcPr>
            <w:tcW w:w="817" w:type="pct"/>
            <w:noWrap/>
            <w:vAlign w:val="center"/>
            <w:hideMark/>
          </w:tcPr>
          <w:p w14:paraId="5FFC9AB3" w14:textId="7D82BE6D" w:rsidR="000677E6" w:rsidRPr="008C0967" w:rsidRDefault="008C0967" w:rsidP="00F12682">
            <w:pPr>
              <w:jc w:val="center"/>
              <w:rPr>
                <w:b/>
                <w:bCs/>
                <w:sz w:val="20"/>
              </w:rPr>
            </w:pPr>
            <w:r w:rsidRPr="008C0967">
              <w:rPr>
                <w:b/>
                <w:bCs/>
                <w:sz w:val="20"/>
              </w:rPr>
              <w:t>Crédits v</w:t>
            </w:r>
            <w:r w:rsidR="000677E6" w:rsidRPr="008C0967">
              <w:rPr>
                <w:b/>
                <w:bCs/>
                <w:sz w:val="20"/>
              </w:rPr>
              <w:t>oté</w:t>
            </w:r>
            <w:r w:rsidRPr="008C0967">
              <w:rPr>
                <w:b/>
                <w:bCs/>
                <w:sz w:val="20"/>
              </w:rPr>
              <w:t>s</w:t>
            </w:r>
          </w:p>
        </w:tc>
        <w:tc>
          <w:tcPr>
            <w:tcW w:w="913" w:type="pct"/>
            <w:noWrap/>
            <w:vAlign w:val="center"/>
            <w:hideMark/>
          </w:tcPr>
          <w:p w14:paraId="78C7ADD9" w14:textId="256401F1" w:rsidR="000677E6" w:rsidRPr="008C0967" w:rsidRDefault="000677E6" w:rsidP="00F12682">
            <w:pPr>
              <w:jc w:val="center"/>
              <w:rPr>
                <w:b/>
                <w:bCs/>
                <w:sz w:val="20"/>
              </w:rPr>
            </w:pPr>
            <w:r w:rsidRPr="008C0967">
              <w:rPr>
                <w:b/>
                <w:bCs/>
                <w:sz w:val="20"/>
              </w:rPr>
              <w:t>C</w:t>
            </w:r>
            <w:r w:rsidR="008C0967" w:rsidRPr="008C0967">
              <w:rPr>
                <w:b/>
                <w:bCs/>
                <w:sz w:val="20"/>
              </w:rPr>
              <w:t>rédits c</w:t>
            </w:r>
            <w:r w:rsidRPr="008C0967">
              <w:rPr>
                <w:b/>
                <w:bCs/>
                <w:sz w:val="20"/>
              </w:rPr>
              <w:t>onsommé</w:t>
            </w:r>
            <w:r w:rsidR="008C0967" w:rsidRPr="008C0967">
              <w:rPr>
                <w:b/>
                <w:bCs/>
                <w:sz w:val="20"/>
              </w:rPr>
              <w:t>s</w:t>
            </w:r>
          </w:p>
        </w:tc>
        <w:tc>
          <w:tcPr>
            <w:tcW w:w="1296" w:type="pct"/>
            <w:noWrap/>
            <w:vAlign w:val="center"/>
            <w:hideMark/>
          </w:tcPr>
          <w:p w14:paraId="1F656275" w14:textId="77777777" w:rsidR="000677E6" w:rsidRPr="008C0967" w:rsidRDefault="000677E6" w:rsidP="00F12682">
            <w:pPr>
              <w:jc w:val="center"/>
              <w:rPr>
                <w:b/>
                <w:bCs/>
                <w:sz w:val="20"/>
              </w:rPr>
            </w:pPr>
            <w:r w:rsidRPr="008C0967">
              <w:rPr>
                <w:b/>
                <w:bCs/>
                <w:sz w:val="20"/>
              </w:rPr>
              <w:t>Taux de consommation</w:t>
            </w:r>
          </w:p>
        </w:tc>
        <w:tc>
          <w:tcPr>
            <w:tcW w:w="741" w:type="pct"/>
            <w:noWrap/>
            <w:vAlign w:val="center"/>
            <w:hideMark/>
          </w:tcPr>
          <w:p w14:paraId="0F7EE977" w14:textId="77777777" w:rsidR="000677E6" w:rsidRPr="008C0967" w:rsidRDefault="000677E6" w:rsidP="00F12682">
            <w:pPr>
              <w:jc w:val="center"/>
              <w:rPr>
                <w:b/>
                <w:bCs/>
                <w:sz w:val="20"/>
              </w:rPr>
            </w:pPr>
            <w:r w:rsidRPr="008C0967">
              <w:rPr>
                <w:b/>
                <w:bCs/>
                <w:sz w:val="20"/>
              </w:rPr>
              <w:t>Part relative</w:t>
            </w:r>
          </w:p>
        </w:tc>
      </w:tr>
      <w:tr w:rsidR="000677E6" w:rsidRPr="000677E6" w14:paraId="37E399FD" w14:textId="77777777" w:rsidTr="00E82172">
        <w:trPr>
          <w:trHeight w:val="315"/>
        </w:trPr>
        <w:tc>
          <w:tcPr>
            <w:tcW w:w="1233" w:type="pct"/>
            <w:noWrap/>
            <w:hideMark/>
          </w:tcPr>
          <w:p w14:paraId="38F782B7" w14:textId="02F9CFD3" w:rsidR="000677E6" w:rsidRPr="000677E6" w:rsidRDefault="00E82172" w:rsidP="00F12682">
            <w:r>
              <w:t>ANR</w:t>
            </w:r>
          </w:p>
        </w:tc>
        <w:tc>
          <w:tcPr>
            <w:tcW w:w="817" w:type="pct"/>
            <w:noWrap/>
            <w:hideMark/>
          </w:tcPr>
          <w:p w14:paraId="0A5E83D8" w14:textId="69AA4EA1" w:rsidR="000677E6" w:rsidRPr="000677E6" w:rsidRDefault="00E82172" w:rsidP="00F12682">
            <w:pPr>
              <w:jc w:val="right"/>
            </w:pPr>
            <w:r>
              <w:rPr>
                <w:rFonts w:ascii="Calibri" w:hAnsi="Calibri" w:cs="Calibri"/>
                <w:color w:val="000000"/>
              </w:rPr>
              <w:t>186 266 534</w:t>
            </w:r>
          </w:p>
        </w:tc>
        <w:tc>
          <w:tcPr>
            <w:tcW w:w="913" w:type="pct"/>
            <w:noWrap/>
            <w:hideMark/>
          </w:tcPr>
          <w:p w14:paraId="66F4B561" w14:textId="77777777" w:rsidR="000677E6" w:rsidRPr="000677E6" w:rsidRDefault="000677E6" w:rsidP="00F12682">
            <w:pPr>
              <w:jc w:val="right"/>
            </w:pPr>
            <w:r w:rsidRPr="000677E6">
              <w:t>0</w:t>
            </w:r>
          </w:p>
        </w:tc>
        <w:tc>
          <w:tcPr>
            <w:tcW w:w="1296" w:type="pct"/>
            <w:noWrap/>
            <w:hideMark/>
          </w:tcPr>
          <w:p w14:paraId="54DF481E" w14:textId="48D96236" w:rsidR="000677E6" w:rsidRPr="000677E6" w:rsidRDefault="000677E6" w:rsidP="00F12682">
            <w:pPr>
              <w:jc w:val="right"/>
            </w:pPr>
            <w:r w:rsidRPr="000677E6">
              <w:t>0%</w:t>
            </w:r>
          </w:p>
        </w:tc>
        <w:tc>
          <w:tcPr>
            <w:tcW w:w="741" w:type="pct"/>
            <w:noWrap/>
            <w:hideMark/>
          </w:tcPr>
          <w:p w14:paraId="14DE86BC" w14:textId="4A64A6E5" w:rsidR="000677E6" w:rsidRPr="000677E6" w:rsidRDefault="000677E6" w:rsidP="00F12682">
            <w:pPr>
              <w:jc w:val="right"/>
            </w:pPr>
            <w:r w:rsidRPr="000677E6">
              <w:t>0%</w:t>
            </w:r>
          </w:p>
        </w:tc>
      </w:tr>
      <w:tr w:rsidR="000677E6" w:rsidRPr="000677E6" w14:paraId="5256D980" w14:textId="77777777" w:rsidTr="00E82172">
        <w:trPr>
          <w:trHeight w:val="315"/>
        </w:trPr>
        <w:tc>
          <w:tcPr>
            <w:tcW w:w="1233" w:type="pct"/>
            <w:noWrap/>
            <w:hideMark/>
          </w:tcPr>
          <w:p w14:paraId="31974186" w14:textId="026276FF" w:rsidR="000677E6" w:rsidRPr="000677E6" w:rsidRDefault="00E82172" w:rsidP="00F12682">
            <w:r>
              <w:t>Emprunt</w:t>
            </w:r>
          </w:p>
        </w:tc>
        <w:tc>
          <w:tcPr>
            <w:tcW w:w="817" w:type="pct"/>
            <w:noWrap/>
            <w:hideMark/>
          </w:tcPr>
          <w:p w14:paraId="12B97784" w14:textId="77777777" w:rsidR="000677E6" w:rsidRPr="000677E6" w:rsidRDefault="000677E6" w:rsidP="00F12682">
            <w:pPr>
              <w:jc w:val="right"/>
            </w:pPr>
            <w:r w:rsidRPr="000677E6">
              <w:t>5 060 300 000</w:t>
            </w:r>
          </w:p>
        </w:tc>
        <w:tc>
          <w:tcPr>
            <w:tcW w:w="913" w:type="pct"/>
            <w:noWrap/>
            <w:hideMark/>
          </w:tcPr>
          <w:p w14:paraId="702AC184" w14:textId="77777777" w:rsidR="000677E6" w:rsidRPr="000677E6" w:rsidRDefault="000677E6" w:rsidP="00F12682">
            <w:pPr>
              <w:jc w:val="right"/>
            </w:pPr>
            <w:r w:rsidRPr="000677E6">
              <w:t>857 531 250</w:t>
            </w:r>
          </w:p>
        </w:tc>
        <w:tc>
          <w:tcPr>
            <w:tcW w:w="1296" w:type="pct"/>
            <w:noWrap/>
            <w:hideMark/>
          </w:tcPr>
          <w:p w14:paraId="334ED87E" w14:textId="77777777" w:rsidR="000677E6" w:rsidRPr="000677E6" w:rsidRDefault="000677E6" w:rsidP="00F12682">
            <w:pPr>
              <w:jc w:val="right"/>
            </w:pPr>
            <w:r w:rsidRPr="000677E6">
              <w:t>16,90%</w:t>
            </w:r>
          </w:p>
        </w:tc>
        <w:tc>
          <w:tcPr>
            <w:tcW w:w="741" w:type="pct"/>
            <w:noWrap/>
            <w:hideMark/>
          </w:tcPr>
          <w:p w14:paraId="72D43735" w14:textId="3E6581E7" w:rsidR="000677E6" w:rsidRPr="000677E6" w:rsidRDefault="000677E6" w:rsidP="00F12682">
            <w:pPr>
              <w:jc w:val="right"/>
            </w:pPr>
            <w:r w:rsidRPr="000677E6">
              <w:t>23%</w:t>
            </w:r>
          </w:p>
        </w:tc>
      </w:tr>
      <w:tr w:rsidR="00E82172" w:rsidRPr="000677E6" w14:paraId="5882CE68" w14:textId="77777777" w:rsidTr="00E82172">
        <w:trPr>
          <w:trHeight w:val="315"/>
        </w:trPr>
        <w:tc>
          <w:tcPr>
            <w:tcW w:w="1233" w:type="pct"/>
            <w:noWrap/>
            <w:hideMark/>
          </w:tcPr>
          <w:p w14:paraId="68E2D70B" w14:textId="77777777" w:rsidR="00E82172" w:rsidRPr="000677E6" w:rsidRDefault="00E82172" w:rsidP="00F12682">
            <w:r w:rsidRPr="000677E6">
              <w:t>Trésor</w:t>
            </w:r>
          </w:p>
        </w:tc>
        <w:tc>
          <w:tcPr>
            <w:tcW w:w="817" w:type="pct"/>
            <w:noWrap/>
            <w:vAlign w:val="bottom"/>
            <w:hideMark/>
          </w:tcPr>
          <w:p w14:paraId="6160AF24" w14:textId="28BF5057" w:rsidR="00E82172" w:rsidRPr="000677E6" w:rsidRDefault="00E82172" w:rsidP="00F12682">
            <w:pPr>
              <w:jc w:val="right"/>
            </w:pPr>
            <w:r>
              <w:rPr>
                <w:rFonts w:ascii="Calibri" w:hAnsi="Calibri" w:cs="Calibri"/>
                <w:color w:val="000000"/>
              </w:rPr>
              <w:t>4 442 775 934</w:t>
            </w:r>
          </w:p>
        </w:tc>
        <w:tc>
          <w:tcPr>
            <w:tcW w:w="913" w:type="pct"/>
            <w:noWrap/>
            <w:vAlign w:val="bottom"/>
            <w:hideMark/>
          </w:tcPr>
          <w:p w14:paraId="552BD25E" w14:textId="3757E6C5" w:rsidR="00E82172" w:rsidRPr="000677E6" w:rsidRDefault="00E82172" w:rsidP="00F12682">
            <w:pPr>
              <w:jc w:val="right"/>
            </w:pPr>
            <w:r>
              <w:rPr>
                <w:rFonts w:ascii="Calibri" w:hAnsi="Calibri" w:cs="Calibri"/>
                <w:color w:val="000000"/>
              </w:rPr>
              <w:t>2 869 129 405</w:t>
            </w:r>
          </w:p>
        </w:tc>
        <w:tc>
          <w:tcPr>
            <w:tcW w:w="1296" w:type="pct"/>
            <w:noWrap/>
            <w:vAlign w:val="bottom"/>
            <w:hideMark/>
          </w:tcPr>
          <w:p w14:paraId="0D323545" w14:textId="3746F6A0" w:rsidR="00E82172" w:rsidRPr="000677E6" w:rsidRDefault="00E82172" w:rsidP="00F12682">
            <w:pPr>
              <w:jc w:val="right"/>
            </w:pPr>
            <w:r>
              <w:rPr>
                <w:rFonts w:ascii="Calibri" w:hAnsi="Calibri" w:cs="Calibri"/>
                <w:color w:val="000000"/>
              </w:rPr>
              <w:t>65%</w:t>
            </w:r>
          </w:p>
        </w:tc>
        <w:tc>
          <w:tcPr>
            <w:tcW w:w="741" w:type="pct"/>
            <w:noWrap/>
            <w:vAlign w:val="bottom"/>
            <w:hideMark/>
          </w:tcPr>
          <w:p w14:paraId="5A3258BA" w14:textId="4236EE0B" w:rsidR="00E82172" w:rsidRPr="000677E6" w:rsidRDefault="00E82172" w:rsidP="00F12682">
            <w:pPr>
              <w:jc w:val="right"/>
            </w:pPr>
            <w:r>
              <w:rPr>
                <w:rFonts w:ascii="Calibri" w:hAnsi="Calibri" w:cs="Calibri"/>
                <w:color w:val="000000"/>
              </w:rPr>
              <w:t>77%</w:t>
            </w:r>
          </w:p>
        </w:tc>
      </w:tr>
      <w:tr w:rsidR="000677E6" w:rsidRPr="000677E6" w14:paraId="07AF801B" w14:textId="77777777" w:rsidTr="00E82172">
        <w:trPr>
          <w:trHeight w:val="315"/>
        </w:trPr>
        <w:tc>
          <w:tcPr>
            <w:tcW w:w="1233" w:type="pct"/>
            <w:noWrap/>
            <w:hideMark/>
          </w:tcPr>
          <w:p w14:paraId="72E6DB89" w14:textId="65DBC323" w:rsidR="000677E6" w:rsidRPr="000677E6" w:rsidRDefault="00E82172" w:rsidP="00F12682">
            <w:pPr>
              <w:jc w:val="center"/>
              <w:rPr>
                <w:b/>
                <w:bCs/>
              </w:rPr>
            </w:pPr>
            <w:r>
              <w:rPr>
                <w:b/>
                <w:bCs/>
              </w:rPr>
              <w:t>Total</w:t>
            </w:r>
          </w:p>
        </w:tc>
        <w:tc>
          <w:tcPr>
            <w:tcW w:w="817" w:type="pct"/>
            <w:noWrap/>
            <w:hideMark/>
          </w:tcPr>
          <w:p w14:paraId="1D810A76" w14:textId="77777777" w:rsidR="000677E6" w:rsidRPr="000677E6" w:rsidRDefault="000677E6" w:rsidP="00F12682">
            <w:pPr>
              <w:jc w:val="right"/>
              <w:rPr>
                <w:b/>
                <w:bCs/>
              </w:rPr>
            </w:pPr>
            <w:r w:rsidRPr="000677E6">
              <w:rPr>
                <w:b/>
                <w:bCs/>
              </w:rPr>
              <w:t>9 689 342 468</w:t>
            </w:r>
          </w:p>
        </w:tc>
        <w:tc>
          <w:tcPr>
            <w:tcW w:w="913" w:type="pct"/>
            <w:noWrap/>
            <w:hideMark/>
          </w:tcPr>
          <w:p w14:paraId="7A7B15B9" w14:textId="77777777" w:rsidR="000677E6" w:rsidRPr="000677E6" w:rsidRDefault="000677E6" w:rsidP="00F12682">
            <w:pPr>
              <w:jc w:val="right"/>
              <w:rPr>
                <w:b/>
                <w:bCs/>
              </w:rPr>
            </w:pPr>
            <w:r w:rsidRPr="000677E6">
              <w:rPr>
                <w:b/>
                <w:bCs/>
              </w:rPr>
              <w:t>3 726 660 655</w:t>
            </w:r>
          </w:p>
        </w:tc>
        <w:tc>
          <w:tcPr>
            <w:tcW w:w="1296" w:type="pct"/>
            <w:noWrap/>
            <w:hideMark/>
          </w:tcPr>
          <w:p w14:paraId="5EFD57A3" w14:textId="77777777" w:rsidR="000677E6" w:rsidRPr="000677E6" w:rsidRDefault="000677E6" w:rsidP="00F12682">
            <w:pPr>
              <w:jc w:val="right"/>
              <w:rPr>
                <w:b/>
                <w:bCs/>
              </w:rPr>
            </w:pPr>
            <w:r w:rsidRPr="000677E6">
              <w:rPr>
                <w:b/>
                <w:bCs/>
              </w:rPr>
              <w:t>38,50%</w:t>
            </w:r>
          </w:p>
        </w:tc>
        <w:tc>
          <w:tcPr>
            <w:tcW w:w="741" w:type="pct"/>
            <w:noWrap/>
            <w:hideMark/>
          </w:tcPr>
          <w:p w14:paraId="3817E4C1" w14:textId="299BFAD0" w:rsidR="000677E6" w:rsidRPr="000677E6" w:rsidRDefault="000677E6" w:rsidP="00F12682">
            <w:pPr>
              <w:jc w:val="right"/>
            </w:pPr>
            <w:r w:rsidRPr="000677E6">
              <w:t>100%</w:t>
            </w:r>
          </w:p>
        </w:tc>
      </w:tr>
    </w:tbl>
    <w:p w14:paraId="50E14AF4" w14:textId="77777777" w:rsidR="003570FA" w:rsidRDefault="003570FA" w:rsidP="00F12682">
      <w:pPr>
        <w:spacing w:after="120" w:line="276" w:lineRule="auto"/>
        <w:jc w:val="both"/>
        <w:rPr>
          <w:rFonts w:ascii="Calibri" w:eastAsiaTheme="majorEastAsia" w:hAnsi="Calibri" w:cs="Calibri"/>
          <w:iCs/>
          <w:sz w:val="24"/>
        </w:rPr>
      </w:pPr>
    </w:p>
    <w:p w14:paraId="62E0CE2B" w14:textId="77777777" w:rsidR="002B0C2D" w:rsidRPr="003570FA" w:rsidRDefault="002B0C2D" w:rsidP="00F12682">
      <w:pPr>
        <w:spacing w:after="120" w:line="276" w:lineRule="auto"/>
        <w:jc w:val="both"/>
        <w:rPr>
          <w:rFonts w:ascii="Calibri" w:eastAsiaTheme="majorEastAsia" w:hAnsi="Calibri" w:cs="Calibri"/>
          <w:iCs/>
          <w:sz w:val="24"/>
        </w:rPr>
      </w:pPr>
    </w:p>
    <w:p w14:paraId="2BAEB236" w14:textId="1F69E2FA" w:rsidR="00361D61" w:rsidRPr="004A5122" w:rsidRDefault="003570FA" w:rsidP="00F12682">
      <w:pPr>
        <w:pStyle w:val="Titre3"/>
        <w:numPr>
          <w:ilvl w:val="2"/>
          <w:numId w:val="3"/>
        </w:numPr>
        <w:rPr>
          <w:rFonts w:asciiTheme="minorHAnsi" w:hAnsiTheme="minorHAnsi" w:cstheme="minorHAnsi"/>
        </w:rPr>
      </w:pPr>
      <w:bookmarkStart w:id="133" w:name="_Toc529305033"/>
      <w:r>
        <w:rPr>
          <w:rFonts w:asciiTheme="minorHAnsi" w:hAnsiTheme="minorHAnsi" w:cstheme="minorHAnsi"/>
        </w:rPr>
        <w:lastRenderedPageBreak/>
        <w:t>Ministère de l’Environnement et du Développement Durable (</w:t>
      </w:r>
      <w:r w:rsidR="00361D61" w:rsidRPr="004A5122">
        <w:rPr>
          <w:rFonts w:asciiTheme="minorHAnsi" w:hAnsiTheme="minorHAnsi" w:cstheme="minorHAnsi"/>
        </w:rPr>
        <w:t>MEDD</w:t>
      </w:r>
      <w:r>
        <w:rPr>
          <w:rFonts w:asciiTheme="minorHAnsi" w:hAnsiTheme="minorHAnsi" w:cstheme="minorHAnsi"/>
        </w:rPr>
        <w:t>)</w:t>
      </w:r>
      <w:bookmarkEnd w:id="133"/>
    </w:p>
    <w:p w14:paraId="144E638B" w14:textId="77777777" w:rsidR="00FB2347" w:rsidRDefault="00FB2347" w:rsidP="00F12682">
      <w:pPr>
        <w:pStyle w:val="Titre4"/>
        <w:rPr>
          <w:rFonts w:asciiTheme="minorHAnsi" w:hAnsiTheme="minorHAnsi" w:cstheme="minorHAnsi"/>
        </w:rPr>
      </w:pPr>
      <w:r w:rsidRPr="004A5122">
        <w:rPr>
          <w:rFonts w:asciiTheme="minorHAnsi" w:hAnsiTheme="minorHAnsi" w:cstheme="minorHAnsi"/>
        </w:rPr>
        <w:t>Analyse de l’évolution et de la pertinence des allocations budgétaires du secteur (financement global) par rapport aux priorités</w:t>
      </w:r>
    </w:p>
    <w:p w14:paraId="094CEA85" w14:textId="61F766F5" w:rsidR="008D180C" w:rsidRPr="00C21B85" w:rsidRDefault="008D180C" w:rsidP="00F12682">
      <w:pPr>
        <w:pStyle w:val="Lgende"/>
        <w:rPr>
          <w:rFonts w:eastAsia="Times New Roman" w:cs="Calibri"/>
          <w:bCs/>
          <w:lang w:eastAsia="fr-FR"/>
        </w:rPr>
      </w:pPr>
      <w:bookmarkStart w:id="134" w:name="_Toc479343567"/>
      <w:bookmarkStart w:id="135" w:name="_Toc529305077"/>
      <w:r w:rsidRPr="00C21B85">
        <w:rPr>
          <w:rFonts w:cs="Calibri"/>
        </w:rPr>
        <w:t xml:space="preserve">Tableau </w:t>
      </w:r>
      <w:r w:rsidRPr="00C21B85">
        <w:rPr>
          <w:rFonts w:cs="Calibri"/>
        </w:rPr>
        <w:fldChar w:fldCharType="begin"/>
      </w:r>
      <w:r w:rsidRPr="00C21B85">
        <w:rPr>
          <w:rFonts w:cs="Calibri"/>
        </w:rPr>
        <w:instrText xml:space="preserve"> SEQ Tableau \* ARABIC </w:instrText>
      </w:r>
      <w:r w:rsidRPr="00C21B85">
        <w:rPr>
          <w:rFonts w:cs="Calibri"/>
        </w:rPr>
        <w:fldChar w:fldCharType="separate"/>
      </w:r>
      <w:r w:rsidR="001C37F0">
        <w:rPr>
          <w:rFonts w:cs="Calibri"/>
          <w:noProof/>
        </w:rPr>
        <w:t>23</w:t>
      </w:r>
      <w:r w:rsidRPr="00C21B85">
        <w:rPr>
          <w:rFonts w:cs="Calibri"/>
        </w:rPr>
        <w:fldChar w:fldCharType="end"/>
      </w:r>
      <w:r w:rsidRPr="00C21B85">
        <w:rPr>
          <w:rFonts w:cs="Calibri"/>
        </w:rPr>
        <w:t> : Evolution des Dépenses du volet Environnement de 2011 à 2016 (Millions de FCFA)</w:t>
      </w:r>
      <w:bookmarkEnd w:id="134"/>
      <w:bookmarkEnd w:id="135"/>
    </w:p>
    <w:tbl>
      <w:tblPr>
        <w:tblW w:w="5000" w:type="pct"/>
        <w:tblCellMar>
          <w:left w:w="70" w:type="dxa"/>
          <w:right w:w="70" w:type="dxa"/>
        </w:tblCellMar>
        <w:tblLook w:val="04A0" w:firstRow="1" w:lastRow="0" w:firstColumn="1" w:lastColumn="0" w:noHBand="0" w:noVBand="1"/>
      </w:tblPr>
      <w:tblGrid>
        <w:gridCol w:w="3307"/>
        <w:gridCol w:w="1953"/>
        <w:gridCol w:w="1953"/>
        <w:gridCol w:w="2415"/>
      </w:tblGrid>
      <w:tr w:rsidR="008C0967" w:rsidRPr="008C0967" w14:paraId="4C47D1F8" w14:textId="77777777" w:rsidTr="008C0967">
        <w:tc>
          <w:tcPr>
            <w:tcW w:w="1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43295" w14:textId="5E5096C9" w:rsidR="008C0967" w:rsidRPr="008C0967" w:rsidRDefault="008C0967" w:rsidP="00F12682">
            <w:pPr>
              <w:spacing w:after="0"/>
              <w:jc w:val="center"/>
              <w:rPr>
                <w:lang w:eastAsia="fr-FR"/>
              </w:rPr>
            </w:pPr>
            <w:r w:rsidRPr="008C0967">
              <w:rPr>
                <w:b/>
                <w:lang w:eastAsia="fr-FR"/>
              </w:rPr>
              <w:t>Année</w:t>
            </w:r>
          </w:p>
        </w:tc>
        <w:tc>
          <w:tcPr>
            <w:tcW w:w="1014" w:type="pct"/>
            <w:tcBorders>
              <w:top w:val="single" w:sz="4" w:space="0" w:color="auto"/>
              <w:left w:val="nil"/>
              <w:bottom w:val="single" w:sz="4" w:space="0" w:color="auto"/>
              <w:right w:val="single" w:sz="4" w:space="0" w:color="auto"/>
            </w:tcBorders>
            <w:shd w:val="clear" w:color="auto" w:fill="auto"/>
            <w:noWrap/>
            <w:vAlign w:val="center"/>
          </w:tcPr>
          <w:p w14:paraId="3F746277" w14:textId="1344FDF7" w:rsidR="008C0967" w:rsidRPr="008C0967" w:rsidRDefault="008C0967" w:rsidP="00F12682">
            <w:pPr>
              <w:spacing w:after="0" w:line="240" w:lineRule="auto"/>
              <w:jc w:val="center"/>
              <w:rPr>
                <w:lang w:eastAsia="fr-FR"/>
              </w:rPr>
            </w:pPr>
            <w:r w:rsidRPr="008C0967">
              <w:rPr>
                <w:b/>
                <w:bCs/>
              </w:rPr>
              <w:t>Crédits votés</w:t>
            </w:r>
          </w:p>
        </w:tc>
        <w:tc>
          <w:tcPr>
            <w:tcW w:w="1014" w:type="pct"/>
            <w:tcBorders>
              <w:top w:val="single" w:sz="4" w:space="0" w:color="auto"/>
              <w:left w:val="nil"/>
              <w:bottom w:val="single" w:sz="4" w:space="0" w:color="auto"/>
              <w:right w:val="single" w:sz="4" w:space="0" w:color="auto"/>
            </w:tcBorders>
            <w:shd w:val="clear" w:color="auto" w:fill="auto"/>
            <w:noWrap/>
            <w:vAlign w:val="center"/>
          </w:tcPr>
          <w:p w14:paraId="6EF23E21" w14:textId="3086DFD3" w:rsidR="008C0967" w:rsidRPr="008C0967" w:rsidRDefault="008C0967" w:rsidP="00F12682">
            <w:pPr>
              <w:spacing w:after="0" w:line="240" w:lineRule="auto"/>
              <w:jc w:val="center"/>
              <w:rPr>
                <w:lang w:eastAsia="fr-FR"/>
              </w:rPr>
            </w:pPr>
            <w:r w:rsidRPr="008C0967">
              <w:rPr>
                <w:b/>
                <w:bCs/>
              </w:rPr>
              <w:t>Crédits consommés</w:t>
            </w:r>
          </w:p>
        </w:tc>
        <w:tc>
          <w:tcPr>
            <w:tcW w:w="1254" w:type="pct"/>
            <w:tcBorders>
              <w:top w:val="single" w:sz="4" w:space="0" w:color="auto"/>
              <w:left w:val="nil"/>
              <w:bottom w:val="single" w:sz="4" w:space="0" w:color="auto"/>
              <w:right w:val="single" w:sz="4" w:space="0" w:color="auto"/>
            </w:tcBorders>
            <w:shd w:val="clear" w:color="auto" w:fill="auto"/>
            <w:noWrap/>
            <w:vAlign w:val="center"/>
          </w:tcPr>
          <w:p w14:paraId="5E465C17" w14:textId="56BBC119" w:rsidR="008C0967" w:rsidRPr="008C0967" w:rsidRDefault="008C0967" w:rsidP="00F12682">
            <w:pPr>
              <w:spacing w:after="0" w:line="240" w:lineRule="auto"/>
              <w:jc w:val="center"/>
              <w:rPr>
                <w:lang w:eastAsia="fr-FR"/>
              </w:rPr>
            </w:pPr>
            <w:r w:rsidRPr="008C0967">
              <w:rPr>
                <w:b/>
                <w:lang w:eastAsia="fr-FR"/>
              </w:rPr>
              <w:t>Taux de consommation</w:t>
            </w:r>
          </w:p>
        </w:tc>
      </w:tr>
      <w:tr w:rsidR="005B5941" w:rsidRPr="009621BF" w14:paraId="7026BC23" w14:textId="77777777" w:rsidTr="008C0967">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72063D8D" w14:textId="77777777" w:rsidR="005B5941" w:rsidRPr="009621BF" w:rsidRDefault="005B5941" w:rsidP="00F12682">
            <w:pPr>
              <w:spacing w:after="0" w:line="240" w:lineRule="auto"/>
              <w:rPr>
                <w:lang w:eastAsia="fr-FR"/>
              </w:rPr>
            </w:pPr>
            <w:r w:rsidRPr="009621BF">
              <w:rPr>
                <w:lang w:eastAsia="fr-FR"/>
              </w:rPr>
              <w:t>2011</w:t>
            </w:r>
          </w:p>
        </w:tc>
        <w:tc>
          <w:tcPr>
            <w:tcW w:w="1014" w:type="pct"/>
            <w:tcBorders>
              <w:top w:val="nil"/>
              <w:left w:val="nil"/>
              <w:bottom w:val="single" w:sz="4" w:space="0" w:color="auto"/>
              <w:right w:val="single" w:sz="4" w:space="0" w:color="auto"/>
            </w:tcBorders>
            <w:shd w:val="clear" w:color="auto" w:fill="auto"/>
            <w:noWrap/>
            <w:vAlign w:val="bottom"/>
            <w:hideMark/>
          </w:tcPr>
          <w:p w14:paraId="105175A0" w14:textId="77777777" w:rsidR="005B5941" w:rsidRPr="009621BF" w:rsidRDefault="005B5941" w:rsidP="00F12682">
            <w:pPr>
              <w:spacing w:after="0" w:line="240" w:lineRule="auto"/>
              <w:jc w:val="center"/>
              <w:rPr>
                <w:lang w:eastAsia="fr-FR"/>
              </w:rPr>
            </w:pPr>
            <w:r w:rsidRPr="009621BF">
              <w:rPr>
                <w:lang w:eastAsia="fr-FR"/>
              </w:rPr>
              <w:t>5 162</w:t>
            </w:r>
          </w:p>
        </w:tc>
        <w:tc>
          <w:tcPr>
            <w:tcW w:w="1014" w:type="pct"/>
            <w:tcBorders>
              <w:top w:val="nil"/>
              <w:left w:val="nil"/>
              <w:bottom w:val="single" w:sz="4" w:space="0" w:color="auto"/>
              <w:right w:val="single" w:sz="4" w:space="0" w:color="auto"/>
            </w:tcBorders>
            <w:shd w:val="clear" w:color="auto" w:fill="auto"/>
            <w:noWrap/>
            <w:vAlign w:val="bottom"/>
            <w:hideMark/>
          </w:tcPr>
          <w:p w14:paraId="201A3D70" w14:textId="77777777" w:rsidR="005B5941" w:rsidRPr="009621BF" w:rsidRDefault="005B5941" w:rsidP="00F12682">
            <w:pPr>
              <w:spacing w:after="0" w:line="240" w:lineRule="auto"/>
              <w:jc w:val="center"/>
              <w:rPr>
                <w:lang w:eastAsia="fr-FR"/>
              </w:rPr>
            </w:pPr>
            <w:r w:rsidRPr="009621BF">
              <w:rPr>
                <w:lang w:eastAsia="fr-FR"/>
              </w:rPr>
              <w:t>3 971</w:t>
            </w:r>
          </w:p>
        </w:tc>
        <w:tc>
          <w:tcPr>
            <w:tcW w:w="1254" w:type="pct"/>
            <w:tcBorders>
              <w:top w:val="nil"/>
              <w:left w:val="nil"/>
              <w:bottom w:val="single" w:sz="4" w:space="0" w:color="auto"/>
              <w:right w:val="single" w:sz="4" w:space="0" w:color="auto"/>
            </w:tcBorders>
            <w:shd w:val="clear" w:color="auto" w:fill="auto"/>
            <w:noWrap/>
            <w:vAlign w:val="bottom"/>
            <w:hideMark/>
          </w:tcPr>
          <w:p w14:paraId="29B3C203" w14:textId="77777777" w:rsidR="005B5941" w:rsidRPr="009621BF" w:rsidRDefault="005B5941" w:rsidP="00F12682">
            <w:pPr>
              <w:spacing w:after="0" w:line="240" w:lineRule="auto"/>
              <w:jc w:val="center"/>
              <w:rPr>
                <w:lang w:eastAsia="fr-FR"/>
              </w:rPr>
            </w:pPr>
            <w:r w:rsidRPr="009621BF">
              <w:rPr>
                <w:lang w:eastAsia="fr-FR"/>
              </w:rPr>
              <w:t>76,9%</w:t>
            </w:r>
          </w:p>
        </w:tc>
      </w:tr>
      <w:tr w:rsidR="005B5941" w:rsidRPr="009621BF" w14:paraId="697A6B9E" w14:textId="77777777" w:rsidTr="008C0967">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190C7CC2" w14:textId="77777777" w:rsidR="005B5941" w:rsidRPr="009621BF" w:rsidRDefault="005B5941" w:rsidP="00F12682">
            <w:pPr>
              <w:spacing w:after="0" w:line="240" w:lineRule="auto"/>
              <w:rPr>
                <w:lang w:eastAsia="fr-FR"/>
              </w:rPr>
            </w:pPr>
            <w:r w:rsidRPr="009621BF">
              <w:rPr>
                <w:lang w:eastAsia="fr-FR"/>
              </w:rPr>
              <w:t>2012</w:t>
            </w:r>
          </w:p>
        </w:tc>
        <w:tc>
          <w:tcPr>
            <w:tcW w:w="1014" w:type="pct"/>
            <w:tcBorders>
              <w:top w:val="nil"/>
              <w:left w:val="nil"/>
              <w:bottom w:val="single" w:sz="4" w:space="0" w:color="auto"/>
              <w:right w:val="single" w:sz="4" w:space="0" w:color="auto"/>
            </w:tcBorders>
            <w:shd w:val="clear" w:color="auto" w:fill="auto"/>
            <w:noWrap/>
            <w:vAlign w:val="bottom"/>
            <w:hideMark/>
          </w:tcPr>
          <w:p w14:paraId="6B163AE4" w14:textId="77777777" w:rsidR="005B5941" w:rsidRPr="009621BF" w:rsidRDefault="005B5941" w:rsidP="00F12682">
            <w:pPr>
              <w:spacing w:after="0" w:line="240" w:lineRule="auto"/>
              <w:jc w:val="center"/>
              <w:rPr>
                <w:lang w:eastAsia="fr-FR"/>
              </w:rPr>
            </w:pPr>
            <w:r w:rsidRPr="009621BF">
              <w:rPr>
                <w:lang w:eastAsia="fr-FR"/>
              </w:rPr>
              <w:t>2 942</w:t>
            </w:r>
          </w:p>
        </w:tc>
        <w:tc>
          <w:tcPr>
            <w:tcW w:w="1014" w:type="pct"/>
            <w:tcBorders>
              <w:top w:val="nil"/>
              <w:left w:val="nil"/>
              <w:bottom w:val="single" w:sz="4" w:space="0" w:color="auto"/>
              <w:right w:val="single" w:sz="4" w:space="0" w:color="auto"/>
            </w:tcBorders>
            <w:shd w:val="clear" w:color="auto" w:fill="auto"/>
            <w:noWrap/>
            <w:vAlign w:val="bottom"/>
            <w:hideMark/>
          </w:tcPr>
          <w:p w14:paraId="4EDE232E" w14:textId="77777777" w:rsidR="005B5941" w:rsidRPr="009621BF" w:rsidRDefault="005B5941" w:rsidP="00F12682">
            <w:pPr>
              <w:spacing w:after="0" w:line="240" w:lineRule="auto"/>
              <w:jc w:val="center"/>
              <w:rPr>
                <w:lang w:eastAsia="fr-FR"/>
              </w:rPr>
            </w:pPr>
            <w:r w:rsidRPr="009621BF">
              <w:rPr>
                <w:lang w:eastAsia="fr-FR"/>
              </w:rPr>
              <w:t>2 940</w:t>
            </w:r>
          </w:p>
        </w:tc>
        <w:tc>
          <w:tcPr>
            <w:tcW w:w="1254" w:type="pct"/>
            <w:tcBorders>
              <w:top w:val="nil"/>
              <w:left w:val="nil"/>
              <w:bottom w:val="single" w:sz="4" w:space="0" w:color="auto"/>
              <w:right w:val="single" w:sz="4" w:space="0" w:color="auto"/>
            </w:tcBorders>
            <w:shd w:val="clear" w:color="auto" w:fill="auto"/>
            <w:noWrap/>
            <w:vAlign w:val="bottom"/>
            <w:hideMark/>
          </w:tcPr>
          <w:p w14:paraId="3AF87A59" w14:textId="77777777" w:rsidR="005B5941" w:rsidRPr="009621BF" w:rsidRDefault="005B5941" w:rsidP="00F12682">
            <w:pPr>
              <w:spacing w:after="0" w:line="240" w:lineRule="auto"/>
              <w:jc w:val="center"/>
              <w:rPr>
                <w:lang w:eastAsia="fr-FR"/>
              </w:rPr>
            </w:pPr>
            <w:r w:rsidRPr="009621BF">
              <w:rPr>
                <w:lang w:eastAsia="fr-FR"/>
              </w:rPr>
              <w:t>99,9%</w:t>
            </w:r>
          </w:p>
        </w:tc>
      </w:tr>
      <w:tr w:rsidR="005B5941" w:rsidRPr="009621BF" w14:paraId="64A77C93" w14:textId="77777777" w:rsidTr="008C0967">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187F6A96" w14:textId="77777777" w:rsidR="005B5941" w:rsidRPr="009621BF" w:rsidRDefault="005B5941" w:rsidP="00F12682">
            <w:pPr>
              <w:spacing w:after="0" w:line="240" w:lineRule="auto"/>
              <w:rPr>
                <w:lang w:eastAsia="fr-FR"/>
              </w:rPr>
            </w:pPr>
            <w:r w:rsidRPr="009621BF">
              <w:rPr>
                <w:lang w:eastAsia="fr-FR"/>
              </w:rPr>
              <w:t>2013</w:t>
            </w:r>
          </w:p>
        </w:tc>
        <w:tc>
          <w:tcPr>
            <w:tcW w:w="1014" w:type="pct"/>
            <w:tcBorders>
              <w:top w:val="nil"/>
              <w:left w:val="nil"/>
              <w:bottom w:val="single" w:sz="4" w:space="0" w:color="auto"/>
              <w:right w:val="single" w:sz="4" w:space="0" w:color="auto"/>
            </w:tcBorders>
            <w:shd w:val="clear" w:color="auto" w:fill="auto"/>
            <w:noWrap/>
            <w:vAlign w:val="bottom"/>
            <w:hideMark/>
          </w:tcPr>
          <w:p w14:paraId="735CD575" w14:textId="77777777" w:rsidR="005B5941" w:rsidRPr="009621BF" w:rsidRDefault="005B5941" w:rsidP="00F12682">
            <w:pPr>
              <w:spacing w:after="0" w:line="240" w:lineRule="auto"/>
              <w:jc w:val="center"/>
              <w:rPr>
                <w:lang w:eastAsia="fr-FR"/>
              </w:rPr>
            </w:pPr>
            <w:r w:rsidRPr="009621BF">
              <w:rPr>
                <w:lang w:eastAsia="fr-FR"/>
              </w:rPr>
              <w:t>4 397</w:t>
            </w:r>
          </w:p>
        </w:tc>
        <w:tc>
          <w:tcPr>
            <w:tcW w:w="1014" w:type="pct"/>
            <w:tcBorders>
              <w:top w:val="nil"/>
              <w:left w:val="nil"/>
              <w:bottom w:val="single" w:sz="4" w:space="0" w:color="auto"/>
              <w:right w:val="single" w:sz="4" w:space="0" w:color="auto"/>
            </w:tcBorders>
            <w:shd w:val="clear" w:color="auto" w:fill="auto"/>
            <w:noWrap/>
            <w:vAlign w:val="bottom"/>
            <w:hideMark/>
          </w:tcPr>
          <w:p w14:paraId="4B75E729" w14:textId="77777777" w:rsidR="005B5941" w:rsidRPr="009621BF" w:rsidRDefault="005B5941" w:rsidP="00F12682">
            <w:pPr>
              <w:spacing w:after="0" w:line="240" w:lineRule="auto"/>
              <w:jc w:val="center"/>
              <w:rPr>
                <w:lang w:eastAsia="fr-FR"/>
              </w:rPr>
            </w:pPr>
            <w:r w:rsidRPr="009621BF">
              <w:rPr>
                <w:lang w:eastAsia="fr-FR"/>
              </w:rPr>
              <w:t>4 304</w:t>
            </w:r>
          </w:p>
        </w:tc>
        <w:tc>
          <w:tcPr>
            <w:tcW w:w="1254" w:type="pct"/>
            <w:tcBorders>
              <w:top w:val="nil"/>
              <w:left w:val="nil"/>
              <w:bottom w:val="single" w:sz="4" w:space="0" w:color="auto"/>
              <w:right w:val="single" w:sz="4" w:space="0" w:color="auto"/>
            </w:tcBorders>
            <w:shd w:val="clear" w:color="auto" w:fill="auto"/>
            <w:noWrap/>
            <w:vAlign w:val="bottom"/>
            <w:hideMark/>
          </w:tcPr>
          <w:p w14:paraId="0531DAE7" w14:textId="77777777" w:rsidR="005B5941" w:rsidRPr="009621BF" w:rsidRDefault="005B5941" w:rsidP="00F12682">
            <w:pPr>
              <w:spacing w:after="0" w:line="240" w:lineRule="auto"/>
              <w:jc w:val="center"/>
              <w:rPr>
                <w:lang w:eastAsia="fr-FR"/>
              </w:rPr>
            </w:pPr>
            <w:r w:rsidRPr="009621BF">
              <w:rPr>
                <w:lang w:eastAsia="fr-FR"/>
              </w:rPr>
              <w:t>97,9%</w:t>
            </w:r>
          </w:p>
        </w:tc>
      </w:tr>
      <w:tr w:rsidR="005B5941" w:rsidRPr="009621BF" w14:paraId="19F22335" w14:textId="77777777" w:rsidTr="008C0967">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0862F723" w14:textId="77777777" w:rsidR="005B5941" w:rsidRPr="009621BF" w:rsidRDefault="005B5941" w:rsidP="00F12682">
            <w:pPr>
              <w:spacing w:after="0" w:line="240" w:lineRule="auto"/>
              <w:rPr>
                <w:lang w:eastAsia="fr-FR"/>
              </w:rPr>
            </w:pPr>
            <w:r w:rsidRPr="009621BF">
              <w:rPr>
                <w:lang w:eastAsia="fr-FR"/>
              </w:rPr>
              <w:t>2014</w:t>
            </w:r>
          </w:p>
        </w:tc>
        <w:tc>
          <w:tcPr>
            <w:tcW w:w="1014" w:type="pct"/>
            <w:tcBorders>
              <w:top w:val="nil"/>
              <w:left w:val="nil"/>
              <w:bottom w:val="single" w:sz="4" w:space="0" w:color="auto"/>
              <w:right w:val="single" w:sz="4" w:space="0" w:color="auto"/>
            </w:tcBorders>
            <w:shd w:val="clear" w:color="auto" w:fill="auto"/>
            <w:noWrap/>
            <w:vAlign w:val="bottom"/>
            <w:hideMark/>
          </w:tcPr>
          <w:p w14:paraId="756C21F1" w14:textId="77777777" w:rsidR="005B5941" w:rsidRPr="009621BF" w:rsidRDefault="005B5941" w:rsidP="00F12682">
            <w:pPr>
              <w:spacing w:after="0" w:line="240" w:lineRule="auto"/>
              <w:jc w:val="center"/>
              <w:rPr>
                <w:lang w:eastAsia="fr-FR"/>
              </w:rPr>
            </w:pPr>
            <w:r w:rsidRPr="009621BF">
              <w:rPr>
                <w:lang w:eastAsia="fr-FR"/>
              </w:rPr>
              <w:t>14 920</w:t>
            </w:r>
          </w:p>
        </w:tc>
        <w:tc>
          <w:tcPr>
            <w:tcW w:w="1014" w:type="pct"/>
            <w:tcBorders>
              <w:top w:val="nil"/>
              <w:left w:val="nil"/>
              <w:bottom w:val="single" w:sz="4" w:space="0" w:color="auto"/>
              <w:right w:val="single" w:sz="4" w:space="0" w:color="auto"/>
            </w:tcBorders>
            <w:shd w:val="clear" w:color="auto" w:fill="auto"/>
            <w:noWrap/>
            <w:vAlign w:val="bottom"/>
            <w:hideMark/>
          </w:tcPr>
          <w:p w14:paraId="505F04E0" w14:textId="77777777" w:rsidR="005B5941" w:rsidRPr="009621BF" w:rsidRDefault="005B5941" w:rsidP="00F12682">
            <w:pPr>
              <w:spacing w:after="0" w:line="240" w:lineRule="auto"/>
              <w:jc w:val="center"/>
              <w:rPr>
                <w:lang w:eastAsia="fr-FR"/>
              </w:rPr>
            </w:pPr>
            <w:r w:rsidRPr="009621BF">
              <w:rPr>
                <w:lang w:eastAsia="fr-FR"/>
              </w:rPr>
              <w:t>8 654</w:t>
            </w:r>
          </w:p>
        </w:tc>
        <w:tc>
          <w:tcPr>
            <w:tcW w:w="1254" w:type="pct"/>
            <w:tcBorders>
              <w:top w:val="nil"/>
              <w:left w:val="nil"/>
              <w:bottom w:val="single" w:sz="4" w:space="0" w:color="auto"/>
              <w:right w:val="single" w:sz="4" w:space="0" w:color="auto"/>
            </w:tcBorders>
            <w:shd w:val="clear" w:color="auto" w:fill="auto"/>
            <w:noWrap/>
            <w:vAlign w:val="bottom"/>
            <w:hideMark/>
          </w:tcPr>
          <w:p w14:paraId="684AD59F" w14:textId="77777777" w:rsidR="005B5941" w:rsidRPr="009621BF" w:rsidRDefault="005B5941" w:rsidP="00F12682">
            <w:pPr>
              <w:spacing w:after="0" w:line="240" w:lineRule="auto"/>
              <w:jc w:val="center"/>
              <w:rPr>
                <w:lang w:eastAsia="fr-FR"/>
              </w:rPr>
            </w:pPr>
            <w:r w:rsidRPr="009621BF">
              <w:rPr>
                <w:lang w:eastAsia="fr-FR"/>
              </w:rPr>
              <w:t>58,0%</w:t>
            </w:r>
          </w:p>
        </w:tc>
      </w:tr>
      <w:tr w:rsidR="005B5941" w:rsidRPr="009621BF" w14:paraId="1D6909D2" w14:textId="77777777" w:rsidTr="008C0967">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793D780D" w14:textId="77777777" w:rsidR="005B5941" w:rsidRPr="009621BF" w:rsidRDefault="005B5941" w:rsidP="00F12682">
            <w:pPr>
              <w:spacing w:after="0" w:line="240" w:lineRule="auto"/>
              <w:rPr>
                <w:lang w:eastAsia="fr-FR"/>
              </w:rPr>
            </w:pPr>
            <w:r w:rsidRPr="009621BF">
              <w:rPr>
                <w:lang w:eastAsia="fr-FR"/>
              </w:rPr>
              <w:t>2015</w:t>
            </w:r>
          </w:p>
        </w:tc>
        <w:tc>
          <w:tcPr>
            <w:tcW w:w="1014" w:type="pct"/>
            <w:tcBorders>
              <w:top w:val="nil"/>
              <w:left w:val="nil"/>
              <w:bottom w:val="single" w:sz="4" w:space="0" w:color="auto"/>
              <w:right w:val="single" w:sz="4" w:space="0" w:color="auto"/>
            </w:tcBorders>
            <w:shd w:val="clear" w:color="auto" w:fill="auto"/>
            <w:noWrap/>
            <w:vAlign w:val="bottom"/>
            <w:hideMark/>
          </w:tcPr>
          <w:p w14:paraId="226012B1" w14:textId="77777777" w:rsidR="005B5941" w:rsidRPr="009621BF" w:rsidRDefault="005B5941" w:rsidP="00F12682">
            <w:pPr>
              <w:spacing w:after="0" w:line="240" w:lineRule="auto"/>
              <w:jc w:val="center"/>
              <w:rPr>
                <w:lang w:eastAsia="fr-FR"/>
              </w:rPr>
            </w:pPr>
            <w:r w:rsidRPr="009621BF">
              <w:rPr>
                <w:lang w:eastAsia="fr-FR"/>
              </w:rPr>
              <w:t>11 754</w:t>
            </w:r>
          </w:p>
        </w:tc>
        <w:tc>
          <w:tcPr>
            <w:tcW w:w="1014" w:type="pct"/>
            <w:tcBorders>
              <w:top w:val="nil"/>
              <w:left w:val="nil"/>
              <w:bottom w:val="single" w:sz="4" w:space="0" w:color="auto"/>
              <w:right w:val="single" w:sz="4" w:space="0" w:color="auto"/>
            </w:tcBorders>
            <w:shd w:val="clear" w:color="auto" w:fill="auto"/>
            <w:noWrap/>
            <w:vAlign w:val="bottom"/>
            <w:hideMark/>
          </w:tcPr>
          <w:p w14:paraId="5AB9D7DB" w14:textId="77777777" w:rsidR="005B5941" w:rsidRPr="009621BF" w:rsidRDefault="005B5941" w:rsidP="00F12682">
            <w:pPr>
              <w:spacing w:after="0" w:line="240" w:lineRule="auto"/>
              <w:jc w:val="center"/>
              <w:rPr>
                <w:lang w:eastAsia="fr-FR"/>
              </w:rPr>
            </w:pPr>
            <w:r w:rsidRPr="009621BF">
              <w:rPr>
                <w:lang w:eastAsia="fr-FR"/>
              </w:rPr>
              <w:t>8 300</w:t>
            </w:r>
          </w:p>
        </w:tc>
        <w:tc>
          <w:tcPr>
            <w:tcW w:w="1254" w:type="pct"/>
            <w:tcBorders>
              <w:top w:val="nil"/>
              <w:left w:val="nil"/>
              <w:bottom w:val="single" w:sz="4" w:space="0" w:color="auto"/>
              <w:right w:val="single" w:sz="4" w:space="0" w:color="auto"/>
            </w:tcBorders>
            <w:shd w:val="clear" w:color="auto" w:fill="auto"/>
            <w:noWrap/>
            <w:vAlign w:val="bottom"/>
            <w:hideMark/>
          </w:tcPr>
          <w:p w14:paraId="269AD84F" w14:textId="77777777" w:rsidR="005B5941" w:rsidRPr="009621BF" w:rsidRDefault="005B5941" w:rsidP="00F12682">
            <w:pPr>
              <w:spacing w:after="0" w:line="240" w:lineRule="auto"/>
              <w:jc w:val="center"/>
              <w:rPr>
                <w:lang w:eastAsia="fr-FR"/>
              </w:rPr>
            </w:pPr>
            <w:r w:rsidRPr="009621BF">
              <w:rPr>
                <w:lang w:eastAsia="fr-FR"/>
              </w:rPr>
              <w:t>70,6%</w:t>
            </w:r>
          </w:p>
        </w:tc>
      </w:tr>
      <w:tr w:rsidR="005B5941" w:rsidRPr="009621BF" w14:paraId="704A0C37" w14:textId="77777777" w:rsidTr="008C0967">
        <w:tc>
          <w:tcPr>
            <w:tcW w:w="1717" w:type="pct"/>
            <w:tcBorders>
              <w:top w:val="nil"/>
              <w:left w:val="single" w:sz="4" w:space="0" w:color="auto"/>
              <w:bottom w:val="single" w:sz="4" w:space="0" w:color="auto"/>
              <w:right w:val="single" w:sz="4" w:space="0" w:color="auto"/>
            </w:tcBorders>
            <w:shd w:val="clear" w:color="auto" w:fill="auto"/>
            <w:noWrap/>
            <w:vAlign w:val="bottom"/>
          </w:tcPr>
          <w:p w14:paraId="50E7586E" w14:textId="63C38666" w:rsidR="005B5941" w:rsidRPr="009621BF" w:rsidRDefault="005B5941" w:rsidP="00F12682">
            <w:pPr>
              <w:spacing w:after="0" w:line="240" w:lineRule="auto"/>
              <w:rPr>
                <w:lang w:eastAsia="fr-FR"/>
              </w:rPr>
            </w:pPr>
            <w:r>
              <w:rPr>
                <w:lang w:eastAsia="fr-FR"/>
              </w:rPr>
              <w:t>2016</w:t>
            </w:r>
          </w:p>
        </w:tc>
        <w:tc>
          <w:tcPr>
            <w:tcW w:w="1014" w:type="pct"/>
            <w:tcBorders>
              <w:top w:val="nil"/>
              <w:left w:val="nil"/>
              <w:bottom w:val="single" w:sz="4" w:space="0" w:color="auto"/>
              <w:right w:val="single" w:sz="4" w:space="0" w:color="auto"/>
            </w:tcBorders>
            <w:shd w:val="clear" w:color="auto" w:fill="auto"/>
            <w:noWrap/>
            <w:vAlign w:val="bottom"/>
          </w:tcPr>
          <w:p w14:paraId="5638434F" w14:textId="75112CB1" w:rsidR="005B5941" w:rsidRPr="009621BF" w:rsidRDefault="00DB747C" w:rsidP="00F12682">
            <w:pPr>
              <w:spacing w:after="0" w:line="240" w:lineRule="auto"/>
              <w:jc w:val="center"/>
              <w:rPr>
                <w:lang w:eastAsia="fr-FR"/>
              </w:rPr>
            </w:pPr>
            <w:r w:rsidRPr="00DB747C">
              <w:rPr>
                <w:lang w:eastAsia="fr-FR"/>
              </w:rPr>
              <w:t>15 270</w:t>
            </w:r>
          </w:p>
        </w:tc>
        <w:tc>
          <w:tcPr>
            <w:tcW w:w="1014" w:type="pct"/>
            <w:tcBorders>
              <w:top w:val="nil"/>
              <w:left w:val="nil"/>
              <w:bottom w:val="single" w:sz="4" w:space="0" w:color="auto"/>
              <w:right w:val="single" w:sz="4" w:space="0" w:color="auto"/>
            </w:tcBorders>
            <w:shd w:val="clear" w:color="auto" w:fill="auto"/>
            <w:noWrap/>
            <w:vAlign w:val="bottom"/>
          </w:tcPr>
          <w:p w14:paraId="477B1540" w14:textId="22AFEEE7" w:rsidR="005B5941" w:rsidRPr="009621BF" w:rsidRDefault="00DB747C" w:rsidP="00F12682">
            <w:pPr>
              <w:spacing w:after="0" w:line="240" w:lineRule="auto"/>
              <w:jc w:val="center"/>
              <w:rPr>
                <w:lang w:eastAsia="fr-FR"/>
              </w:rPr>
            </w:pPr>
            <w:r w:rsidRPr="00DB747C">
              <w:rPr>
                <w:lang w:eastAsia="fr-FR"/>
              </w:rPr>
              <w:t>5 767</w:t>
            </w:r>
          </w:p>
        </w:tc>
        <w:tc>
          <w:tcPr>
            <w:tcW w:w="1254" w:type="pct"/>
            <w:tcBorders>
              <w:top w:val="nil"/>
              <w:left w:val="nil"/>
              <w:bottom w:val="single" w:sz="4" w:space="0" w:color="auto"/>
              <w:right w:val="single" w:sz="4" w:space="0" w:color="auto"/>
            </w:tcBorders>
            <w:shd w:val="clear" w:color="auto" w:fill="auto"/>
            <w:noWrap/>
            <w:vAlign w:val="bottom"/>
          </w:tcPr>
          <w:p w14:paraId="57EB1323" w14:textId="497A8F22" w:rsidR="005B5941" w:rsidRPr="009621BF" w:rsidRDefault="00942A9B" w:rsidP="00F12682">
            <w:pPr>
              <w:spacing w:after="0" w:line="240" w:lineRule="auto"/>
              <w:jc w:val="center"/>
              <w:rPr>
                <w:lang w:eastAsia="fr-FR"/>
              </w:rPr>
            </w:pPr>
            <w:r w:rsidRPr="00942A9B">
              <w:rPr>
                <w:lang w:eastAsia="fr-FR"/>
              </w:rPr>
              <w:t>37,8%</w:t>
            </w:r>
          </w:p>
        </w:tc>
      </w:tr>
    </w:tbl>
    <w:p w14:paraId="6F255CE0" w14:textId="5826B4AD" w:rsidR="008D180C" w:rsidRPr="00C21B85" w:rsidRDefault="008D180C" w:rsidP="00F12682">
      <w:pPr>
        <w:rPr>
          <w:sz w:val="20"/>
        </w:rPr>
      </w:pPr>
      <w:r w:rsidRPr="00C21B85">
        <w:rPr>
          <w:sz w:val="20"/>
          <w:u w:val="single"/>
        </w:rPr>
        <w:t>Source</w:t>
      </w:r>
      <w:r w:rsidRPr="00C21B85">
        <w:rPr>
          <w:sz w:val="20"/>
        </w:rPr>
        <w:t xml:space="preserve"> : </w:t>
      </w:r>
      <w:r w:rsidR="005B5941" w:rsidRPr="00C21B85">
        <w:rPr>
          <w:sz w:val="20"/>
        </w:rPr>
        <w:t>RDP 2011-2015 et n</w:t>
      </w:r>
      <w:r w:rsidRPr="00C21B85">
        <w:rPr>
          <w:sz w:val="20"/>
        </w:rPr>
        <w:t>os calculs à partir des données budgétaires</w:t>
      </w:r>
      <w:r w:rsidR="00216743">
        <w:rPr>
          <w:sz w:val="20"/>
        </w:rPr>
        <w:t xml:space="preserve"> 2016</w:t>
      </w:r>
    </w:p>
    <w:p w14:paraId="69C4AAE0" w14:textId="77777777" w:rsidR="005B5941" w:rsidRPr="00C21B85" w:rsidRDefault="005B5941" w:rsidP="00F12682">
      <w:pPr>
        <w:spacing w:after="120" w:line="276" w:lineRule="auto"/>
        <w:jc w:val="both"/>
        <w:rPr>
          <w:rFonts w:ascii="Calibri" w:eastAsiaTheme="majorEastAsia" w:hAnsi="Calibri" w:cs="Calibri"/>
          <w:iCs/>
          <w:sz w:val="24"/>
        </w:rPr>
      </w:pPr>
    </w:p>
    <w:p w14:paraId="3AC5F4E6" w14:textId="77777777" w:rsidR="00454B3C" w:rsidRPr="004A5122" w:rsidRDefault="00454B3C" w:rsidP="00F12682">
      <w:pPr>
        <w:pStyle w:val="Titre4"/>
        <w:rPr>
          <w:rFonts w:asciiTheme="minorHAnsi" w:hAnsiTheme="minorHAnsi" w:cstheme="minorHAnsi"/>
        </w:rPr>
      </w:pPr>
      <w:r w:rsidRPr="004A5122">
        <w:rPr>
          <w:rFonts w:asciiTheme="minorHAnsi" w:hAnsiTheme="minorHAnsi" w:cstheme="minorHAnsi"/>
        </w:rPr>
        <w:t>Analyse de l’exécution des dépenses par rapports aux prévisions</w:t>
      </w:r>
    </w:p>
    <w:p w14:paraId="62C47957" w14:textId="602ECBA1" w:rsidR="00392CF7" w:rsidRDefault="00332914" w:rsidP="00F12682">
      <w:pPr>
        <w:spacing w:after="120" w:line="276" w:lineRule="auto"/>
        <w:jc w:val="both"/>
        <w:rPr>
          <w:rFonts w:ascii="Calibri" w:eastAsiaTheme="majorEastAsia" w:hAnsi="Calibri" w:cs="Calibri"/>
          <w:iCs/>
          <w:sz w:val="24"/>
        </w:rPr>
      </w:pPr>
      <w:r w:rsidRPr="003570FA">
        <w:rPr>
          <w:rFonts w:ascii="Calibri" w:eastAsiaTheme="majorEastAsia" w:hAnsi="Calibri" w:cs="Calibri"/>
          <w:iCs/>
          <w:sz w:val="24"/>
        </w:rPr>
        <w:t>L</w:t>
      </w:r>
      <w:r w:rsidR="00D57F8A" w:rsidRPr="003570FA">
        <w:rPr>
          <w:rFonts w:ascii="Calibri" w:eastAsiaTheme="majorEastAsia" w:hAnsi="Calibri" w:cs="Calibri"/>
          <w:iCs/>
          <w:sz w:val="24"/>
        </w:rPr>
        <w:t>a Loi des fina</w:t>
      </w:r>
      <w:r w:rsidR="00521EC9" w:rsidRPr="003570FA">
        <w:rPr>
          <w:rFonts w:ascii="Calibri" w:eastAsiaTheme="majorEastAsia" w:hAnsi="Calibri" w:cs="Calibri"/>
          <w:iCs/>
          <w:sz w:val="24"/>
        </w:rPr>
        <w:t>nces initiale a prévu 15,271 mil</w:t>
      </w:r>
      <w:r w:rsidR="00D57F8A" w:rsidRPr="003570FA">
        <w:rPr>
          <w:rFonts w:ascii="Calibri" w:eastAsiaTheme="majorEastAsia" w:hAnsi="Calibri" w:cs="Calibri"/>
          <w:iCs/>
          <w:sz w:val="24"/>
        </w:rPr>
        <w:t>l</w:t>
      </w:r>
      <w:r w:rsidR="00521EC9" w:rsidRPr="003570FA">
        <w:rPr>
          <w:rFonts w:ascii="Calibri" w:eastAsiaTheme="majorEastAsia" w:hAnsi="Calibri" w:cs="Calibri"/>
          <w:iCs/>
          <w:sz w:val="24"/>
        </w:rPr>
        <w:t>i</w:t>
      </w:r>
      <w:r w:rsidR="00D57F8A" w:rsidRPr="003570FA">
        <w:rPr>
          <w:rFonts w:ascii="Calibri" w:eastAsiaTheme="majorEastAsia" w:hAnsi="Calibri" w:cs="Calibri"/>
          <w:iCs/>
          <w:sz w:val="24"/>
        </w:rPr>
        <w:t xml:space="preserve">ards de FCFA pour le département en charge de l’environnement. </w:t>
      </w:r>
      <w:r w:rsidR="00D97404" w:rsidRPr="003570FA">
        <w:rPr>
          <w:rFonts w:ascii="Calibri" w:eastAsiaTheme="majorEastAsia" w:hAnsi="Calibri" w:cs="Calibri"/>
          <w:iCs/>
          <w:sz w:val="24"/>
        </w:rPr>
        <w:t xml:space="preserve">Le taux d’exécution globale est de 38%. Une contreperformance liée à un faible taux d’exécution des investissements à hauteur seulement de 13% et des fonctionnements </w:t>
      </w:r>
      <w:r w:rsidR="003570FA">
        <w:rPr>
          <w:rFonts w:ascii="Calibri" w:eastAsiaTheme="majorEastAsia" w:hAnsi="Calibri" w:cs="Calibri"/>
          <w:iCs/>
          <w:sz w:val="24"/>
        </w:rPr>
        <w:t xml:space="preserve">de </w:t>
      </w:r>
      <w:r w:rsidR="00D97404" w:rsidRPr="003570FA">
        <w:rPr>
          <w:rFonts w:ascii="Calibri" w:eastAsiaTheme="majorEastAsia" w:hAnsi="Calibri" w:cs="Calibri"/>
          <w:iCs/>
          <w:sz w:val="24"/>
        </w:rPr>
        <w:t>32%.</w:t>
      </w:r>
    </w:p>
    <w:p w14:paraId="5FEE418A" w14:textId="77777777" w:rsidR="00216743" w:rsidRDefault="00216743" w:rsidP="00F12682">
      <w:pPr>
        <w:spacing w:after="120" w:line="276" w:lineRule="auto"/>
        <w:jc w:val="both"/>
        <w:rPr>
          <w:rFonts w:ascii="Calibri" w:eastAsiaTheme="majorEastAsia" w:hAnsi="Calibri" w:cs="Calibri"/>
          <w:iCs/>
          <w:sz w:val="24"/>
        </w:rPr>
      </w:pPr>
    </w:p>
    <w:p w14:paraId="38EC6B10" w14:textId="45E0873E" w:rsidR="00454B3C" w:rsidRPr="005970F0" w:rsidRDefault="005970F0" w:rsidP="00F12682">
      <w:pPr>
        <w:pStyle w:val="Lgende"/>
        <w:rPr>
          <w:rFonts w:eastAsiaTheme="majorEastAsia" w:cs="Calibri"/>
          <w:iCs w:val="0"/>
        </w:rPr>
      </w:pPr>
      <w:bookmarkStart w:id="136" w:name="_Toc529305078"/>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24</w:t>
      </w:r>
      <w:r w:rsidR="00A773EB">
        <w:rPr>
          <w:noProof/>
        </w:rPr>
        <w:fldChar w:fldCharType="end"/>
      </w:r>
      <w:r w:rsidR="003570FA" w:rsidRPr="005970F0">
        <w:rPr>
          <w:rFonts w:eastAsiaTheme="majorEastAsia" w:cs="Calibri"/>
          <w:iCs w:val="0"/>
        </w:rPr>
        <w:t xml:space="preserve"> : </w:t>
      </w:r>
      <w:r w:rsidR="00392CF7" w:rsidRPr="005970F0">
        <w:rPr>
          <w:rFonts w:eastAsiaTheme="majorEastAsia" w:cs="Calibri"/>
          <w:iCs w:val="0"/>
        </w:rPr>
        <w:t>Exécution budgétaire par titre du MEDD</w:t>
      </w:r>
      <w:r w:rsidR="003570FA" w:rsidRPr="005970F0">
        <w:rPr>
          <w:rFonts w:eastAsiaTheme="majorEastAsia" w:cs="Calibri"/>
          <w:iCs w:val="0"/>
        </w:rPr>
        <w:t xml:space="preserve"> en 2016</w:t>
      </w:r>
      <w:bookmarkEnd w:id="136"/>
    </w:p>
    <w:tbl>
      <w:tblPr>
        <w:tblW w:w="5176" w:type="pct"/>
        <w:tblLayout w:type="fixed"/>
        <w:tblCellMar>
          <w:left w:w="70" w:type="dxa"/>
          <w:right w:w="70" w:type="dxa"/>
        </w:tblCellMar>
        <w:tblLook w:val="04A0" w:firstRow="1" w:lastRow="0" w:firstColumn="1" w:lastColumn="0" w:noHBand="0" w:noVBand="1"/>
      </w:tblPr>
      <w:tblGrid>
        <w:gridCol w:w="1650"/>
        <w:gridCol w:w="1524"/>
        <w:gridCol w:w="1507"/>
        <w:gridCol w:w="1505"/>
        <w:gridCol w:w="1505"/>
        <w:gridCol w:w="1356"/>
        <w:gridCol w:w="910"/>
      </w:tblGrid>
      <w:tr w:rsidR="00B9335C" w:rsidRPr="003570FA" w14:paraId="1D7897D6" w14:textId="77777777" w:rsidTr="008C0967">
        <w:tc>
          <w:tcPr>
            <w:tcW w:w="8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B3F4CE"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Titre</w:t>
            </w:r>
          </w:p>
        </w:tc>
        <w:tc>
          <w:tcPr>
            <w:tcW w:w="765" w:type="pct"/>
            <w:tcBorders>
              <w:top w:val="single" w:sz="8" w:space="0" w:color="auto"/>
              <w:left w:val="nil"/>
              <w:bottom w:val="single" w:sz="8" w:space="0" w:color="auto"/>
              <w:right w:val="single" w:sz="8" w:space="0" w:color="auto"/>
            </w:tcBorders>
            <w:shd w:val="clear" w:color="auto" w:fill="auto"/>
            <w:noWrap/>
            <w:vAlign w:val="center"/>
            <w:hideMark/>
          </w:tcPr>
          <w:p w14:paraId="29C33723"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Crédits votés</w:t>
            </w:r>
          </w:p>
        </w:tc>
        <w:tc>
          <w:tcPr>
            <w:tcW w:w="757" w:type="pct"/>
            <w:tcBorders>
              <w:top w:val="single" w:sz="8" w:space="0" w:color="auto"/>
              <w:left w:val="nil"/>
              <w:bottom w:val="single" w:sz="8" w:space="0" w:color="auto"/>
              <w:right w:val="single" w:sz="8" w:space="0" w:color="auto"/>
            </w:tcBorders>
            <w:shd w:val="clear" w:color="auto" w:fill="auto"/>
            <w:vAlign w:val="center"/>
            <w:hideMark/>
          </w:tcPr>
          <w:p w14:paraId="41270B50"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Crédits libérés</w:t>
            </w:r>
          </w:p>
        </w:tc>
        <w:tc>
          <w:tcPr>
            <w:tcW w:w="756" w:type="pct"/>
            <w:tcBorders>
              <w:top w:val="single" w:sz="8" w:space="0" w:color="auto"/>
              <w:left w:val="nil"/>
              <w:bottom w:val="single" w:sz="8" w:space="0" w:color="auto"/>
              <w:right w:val="single" w:sz="8" w:space="0" w:color="auto"/>
            </w:tcBorders>
            <w:shd w:val="clear" w:color="auto" w:fill="auto"/>
            <w:noWrap/>
            <w:vAlign w:val="center"/>
            <w:hideMark/>
          </w:tcPr>
          <w:p w14:paraId="11E9CE7D"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Crédits consommés</w:t>
            </w:r>
          </w:p>
        </w:tc>
        <w:tc>
          <w:tcPr>
            <w:tcW w:w="756" w:type="pct"/>
            <w:tcBorders>
              <w:top w:val="single" w:sz="8" w:space="0" w:color="auto"/>
              <w:left w:val="nil"/>
              <w:bottom w:val="single" w:sz="8" w:space="0" w:color="auto"/>
              <w:right w:val="single" w:sz="8" w:space="0" w:color="auto"/>
            </w:tcBorders>
            <w:shd w:val="clear" w:color="auto" w:fill="auto"/>
            <w:noWrap/>
            <w:vAlign w:val="center"/>
            <w:hideMark/>
          </w:tcPr>
          <w:p w14:paraId="51A33D64"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Taux de consommation</w:t>
            </w:r>
          </w:p>
        </w:tc>
        <w:tc>
          <w:tcPr>
            <w:tcW w:w="681" w:type="pct"/>
            <w:tcBorders>
              <w:top w:val="single" w:sz="8" w:space="0" w:color="auto"/>
              <w:left w:val="nil"/>
              <w:bottom w:val="single" w:sz="8" w:space="0" w:color="auto"/>
              <w:right w:val="single" w:sz="8" w:space="0" w:color="auto"/>
            </w:tcBorders>
            <w:shd w:val="clear" w:color="auto" w:fill="auto"/>
            <w:vAlign w:val="center"/>
            <w:hideMark/>
          </w:tcPr>
          <w:p w14:paraId="7E771711"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Taux d’absorption</w:t>
            </w:r>
          </w:p>
        </w:tc>
        <w:tc>
          <w:tcPr>
            <w:tcW w:w="457" w:type="pct"/>
            <w:tcBorders>
              <w:top w:val="single" w:sz="8" w:space="0" w:color="auto"/>
              <w:left w:val="nil"/>
              <w:bottom w:val="single" w:sz="8" w:space="0" w:color="auto"/>
              <w:right w:val="single" w:sz="8" w:space="0" w:color="auto"/>
            </w:tcBorders>
            <w:shd w:val="clear" w:color="auto" w:fill="auto"/>
            <w:noWrap/>
            <w:vAlign w:val="center"/>
            <w:hideMark/>
          </w:tcPr>
          <w:p w14:paraId="39BCDD0A"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Part du titre</w:t>
            </w:r>
          </w:p>
        </w:tc>
      </w:tr>
      <w:tr w:rsidR="00B9335C" w:rsidRPr="008C0FF1" w14:paraId="495715E6" w14:textId="77777777" w:rsidTr="008C0967">
        <w:tc>
          <w:tcPr>
            <w:tcW w:w="828" w:type="pct"/>
            <w:tcBorders>
              <w:top w:val="nil"/>
              <w:left w:val="single" w:sz="8" w:space="0" w:color="auto"/>
              <w:bottom w:val="single" w:sz="8" w:space="0" w:color="auto"/>
              <w:right w:val="single" w:sz="8" w:space="0" w:color="auto"/>
            </w:tcBorders>
            <w:shd w:val="clear" w:color="auto" w:fill="auto"/>
            <w:noWrap/>
            <w:vAlign w:val="center"/>
            <w:hideMark/>
          </w:tcPr>
          <w:p w14:paraId="36659FFE" w14:textId="4E7766B0" w:rsidR="008C0FF1" w:rsidRPr="008C0FF1" w:rsidRDefault="00CD7123" w:rsidP="00F12682">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Personnel</w:t>
            </w:r>
          </w:p>
        </w:tc>
        <w:tc>
          <w:tcPr>
            <w:tcW w:w="765" w:type="pct"/>
            <w:tcBorders>
              <w:top w:val="nil"/>
              <w:left w:val="nil"/>
              <w:bottom w:val="single" w:sz="8" w:space="0" w:color="auto"/>
              <w:right w:val="single" w:sz="8" w:space="0" w:color="auto"/>
            </w:tcBorders>
            <w:shd w:val="clear" w:color="auto" w:fill="auto"/>
            <w:noWrap/>
            <w:vAlign w:val="center"/>
            <w:hideMark/>
          </w:tcPr>
          <w:p w14:paraId="73B7B667"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3 597 375 076</w:t>
            </w:r>
          </w:p>
        </w:tc>
        <w:tc>
          <w:tcPr>
            <w:tcW w:w="757" w:type="pct"/>
            <w:tcBorders>
              <w:top w:val="nil"/>
              <w:left w:val="nil"/>
              <w:bottom w:val="single" w:sz="8" w:space="0" w:color="auto"/>
              <w:right w:val="single" w:sz="8" w:space="0" w:color="auto"/>
            </w:tcBorders>
            <w:shd w:val="clear" w:color="auto" w:fill="auto"/>
            <w:vAlign w:val="center"/>
            <w:hideMark/>
          </w:tcPr>
          <w:p w14:paraId="69DD732B"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3 597 375 076</w:t>
            </w:r>
          </w:p>
        </w:tc>
        <w:tc>
          <w:tcPr>
            <w:tcW w:w="756" w:type="pct"/>
            <w:tcBorders>
              <w:top w:val="nil"/>
              <w:left w:val="nil"/>
              <w:bottom w:val="single" w:sz="8" w:space="0" w:color="auto"/>
              <w:right w:val="single" w:sz="8" w:space="0" w:color="auto"/>
            </w:tcBorders>
            <w:shd w:val="clear" w:color="auto" w:fill="auto"/>
            <w:noWrap/>
            <w:vAlign w:val="center"/>
            <w:hideMark/>
          </w:tcPr>
          <w:p w14:paraId="6F982C3C"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3 659 387 109</w:t>
            </w:r>
          </w:p>
        </w:tc>
        <w:tc>
          <w:tcPr>
            <w:tcW w:w="756" w:type="pct"/>
            <w:tcBorders>
              <w:top w:val="nil"/>
              <w:left w:val="nil"/>
              <w:bottom w:val="single" w:sz="8" w:space="0" w:color="auto"/>
              <w:right w:val="single" w:sz="8" w:space="0" w:color="auto"/>
            </w:tcBorders>
            <w:shd w:val="clear" w:color="auto" w:fill="auto"/>
            <w:noWrap/>
            <w:vAlign w:val="center"/>
            <w:hideMark/>
          </w:tcPr>
          <w:p w14:paraId="3BE5DE0D"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102%</w:t>
            </w:r>
          </w:p>
        </w:tc>
        <w:tc>
          <w:tcPr>
            <w:tcW w:w="681" w:type="pct"/>
            <w:tcBorders>
              <w:top w:val="nil"/>
              <w:left w:val="nil"/>
              <w:bottom w:val="single" w:sz="8" w:space="0" w:color="auto"/>
              <w:right w:val="single" w:sz="8" w:space="0" w:color="auto"/>
            </w:tcBorders>
            <w:shd w:val="clear" w:color="auto" w:fill="auto"/>
            <w:vAlign w:val="center"/>
            <w:hideMark/>
          </w:tcPr>
          <w:p w14:paraId="7C84740F"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102%</w:t>
            </w:r>
          </w:p>
        </w:tc>
        <w:tc>
          <w:tcPr>
            <w:tcW w:w="457" w:type="pct"/>
            <w:tcBorders>
              <w:top w:val="nil"/>
              <w:left w:val="nil"/>
              <w:bottom w:val="single" w:sz="8" w:space="0" w:color="auto"/>
              <w:right w:val="single" w:sz="8" w:space="0" w:color="auto"/>
            </w:tcBorders>
            <w:shd w:val="clear" w:color="auto" w:fill="auto"/>
            <w:noWrap/>
            <w:vAlign w:val="center"/>
            <w:hideMark/>
          </w:tcPr>
          <w:p w14:paraId="00654D67"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24%</w:t>
            </w:r>
          </w:p>
        </w:tc>
      </w:tr>
      <w:tr w:rsidR="00B9335C" w:rsidRPr="008C0FF1" w14:paraId="2D81D546" w14:textId="77777777" w:rsidTr="008C0967">
        <w:tc>
          <w:tcPr>
            <w:tcW w:w="828" w:type="pct"/>
            <w:tcBorders>
              <w:top w:val="nil"/>
              <w:left w:val="single" w:sz="8" w:space="0" w:color="auto"/>
              <w:bottom w:val="single" w:sz="8" w:space="0" w:color="auto"/>
              <w:right w:val="single" w:sz="8" w:space="0" w:color="auto"/>
            </w:tcBorders>
            <w:shd w:val="clear" w:color="auto" w:fill="auto"/>
            <w:noWrap/>
            <w:vAlign w:val="center"/>
            <w:hideMark/>
          </w:tcPr>
          <w:p w14:paraId="2CEFFC36" w14:textId="77777777" w:rsidR="008C0FF1" w:rsidRPr="008C0FF1" w:rsidRDefault="008C0FF1" w:rsidP="00F12682">
            <w:pPr>
              <w:spacing w:after="0" w:line="240" w:lineRule="auto"/>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Fonctionnement</w:t>
            </w:r>
          </w:p>
        </w:tc>
        <w:tc>
          <w:tcPr>
            <w:tcW w:w="765" w:type="pct"/>
            <w:tcBorders>
              <w:top w:val="nil"/>
              <w:left w:val="nil"/>
              <w:bottom w:val="single" w:sz="8" w:space="0" w:color="auto"/>
              <w:right w:val="single" w:sz="8" w:space="0" w:color="auto"/>
            </w:tcBorders>
            <w:shd w:val="clear" w:color="auto" w:fill="auto"/>
            <w:noWrap/>
            <w:vAlign w:val="center"/>
            <w:hideMark/>
          </w:tcPr>
          <w:p w14:paraId="0DAB7BD0"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612 517 021</w:t>
            </w:r>
          </w:p>
        </w:tc>
        <w:tc>
          <w:tcPr>
            <w:tcW w:w="757" w:type="pct"/>
            <w:tcBorders>
              <w:top w:val="nil"/>
              <w:left w:val="nil"/>
              <w:bottom w:val="single" w:sz="8" w:space="0" w:color="auto"/>
              <w:right w:val="single" w:sz="8" w:space="0" w:color="auto"/>
            </w:tcBorders>
            <w:shd w:val="clear" w:color="auto" w:fill="auto"/>
            <w:vAlign w:val="center"/>
            <w:hideMark/>
          </w:tcPr>
          <w:p w14:paraId="06B98606"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583 088 466</w:t>
            </w:r>
          </w:p>
        </w:tc>
        <w:tc>
          <w:tcPr>
            <w:tcW w:w="756" w:type="pct"/>
            <w:tcBorders>
              <w:top w:val="nil"/>
              <w:left w:val="nil"/>
              <w:bottom w:val="single" w:sz="8" w:space="0" w:color="auto"/>
              <w:right w:val="single" w:sz="8" w:space="0" w:color="auto"/>
            </w:tcBorders>
            <w:shd w:val="clear" w:color="auto" w:fill="auto"/>
            <w:noWrap/>
            <w:vAlign w:val="center"/>
            <w:hideMark/>
          </w:tcPr>
          <w:p w14:paraId="16575525"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199 267 901</w:t>
            </w:r>
          </w:p>
        </w:tc>
        <w:tc>
          <w:tcPr>
            <w:tcW w:w="756" w:type="pct"/>
            <w:tcBorders>
              <w:top w:val="nil"/>
              <w:left w:val="nil"/>
              <w:bottom w:val="single" w:sz="8" w:space="0" w:color="auto"/>
              <w:right w:val="single" w:sz="8" w:space="0" w:color="auto"/>
            </w:tcBorders>
            <w:shd w:val="clear" w:color="auto" w:fill="auto"/>
            <w:noWrap/>
            <w:vAlign w:val="center"/>
            <w:hideMark/>
          </w:tcPr>
          <w:p w14:paraId="2F6A326D"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33%</w:t>
            </w:r>
          </w:p>
        </w:tc>
        <w:tc>
          <w:tcPr>
            <w:tcW w:w="681" w:type="pct"/>
            <w:tcBorders>
              <w:top w:val="nil"/>
              <w:left w:val="nil"/>
              <w:bottom w:val="single" w:sz="8" w:space="0" w:color="auto"/>
              <w:right w:val="single" w:sz="8" w:space="0" w:color="auto"/>
            </w:tcBorders>
            <w:shd w:val="clear" w:color="auto" w:fill="auto"/>
            <w:vAlign w:val="center"/>
            <w:hideMark/>
          </w:tcPr>
          <w:p w14:paraId="181D4C1A"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34%</w:t>
            </w:r>
          </w:p>
        </w:tc>
        <w:tc>
          <w:tcPr>
            <w:tcW w:w="457" w:type="pct"/>
            <w:tcBorders>
              <w:top w:val="nil"/>
              <w:left w:val="nil"/>
              <w:bottom w:val="single" w:sz="8" w:space="0" w:color="auto"/>
              <w:right w:val="single" w:sz="8" w:space="0" w:color="auto"/>
            </w:tcBorders>
            <w:shd w:val="clear" w:color="auto" w:fill="auto"/>
            <w:noWrap/>
            <w:vAlign w:val="center"/>
            <w:hideMark/>
          </w:tcPr>
          <w:p w14:paraId="36FD4661"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4%</w:t>
            </w:r>
          </w:p>
        </w:tc>
      </w:tr>
      <w:tr w:rsidR="00B9335C" w:rsidRPr="008C0FF1" w14:paraId="08D0DEFB" w14:textId="77777777" w:rsidTr="008C0967">
        <w:tc>
          <w:tcPr>
            <w:tcW w:w="828" w:type="pct"/>
            <w:tcBorders>
              <w:top w:val="nil"/>
              <w:left w:val="single" w:sz="8" w:space="0" w:color="auto"/>
              <w:bottom w:val="single" w:sz="8" w:space="0" w:color="auto"/>
              <w:right w:val="single" w:sz="8" w:space="0" w:color="auto"/>
            </w:tcBorders>
            <w:shd w:val="clear" w:color="auto" w:fill="auto"/>
            <w:noWrap/>
            <w:vAlign w:val="center"/>
            <w:hideMark/>
          </w:tcPr>
          <w:p w14:paraId="68DFB6B1" w14:textId="77777777" w:rsidR="008C0FF1" w:rsidRPr="008C0FF1" w:rsidRDefault="008C0FF1" w:rsidP="00F12682">
            <w:pPr>
              <w:spacing w:after="0" w:line="240" w:lineRule="auto"/>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Transfert</w:t>
            </w:r>
          </w:p>
        </w:tc>
        <w:tc>
          <w:tcPr>
            <w:tcW w:w="765" w:type="pct"/>
            <w:tcBorders>
              <w:top w:val="nil"/>
              <w:left w:val="nil"/>
              <w:bottom w:val="single" w:sz="8" w:space="0" w:color="auto"/>
              <w:right w:val="single" w:sz="8" w:space="0" w:color="auto"/>
            </w:tcBorders>
            <w:shd w:val="clear" w:color="auto" w:fill="auto"/>
            <w:noWrap/>
            <w:vAlign w:val="center"/>
            <w:hideMark/>
          </w:tcPr>
          <w:p w14:paraId="6970A374"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1 097 435 568</w:t>
            </w:r>
          </w:p>
        </w:tc>
        <w:tc>
          <w:tcPr>
            <w:tcW w:w="757" w:type="pct"/>
            <w:tcBorders>
              <w:top w:val="nil"/>
              <w:left w:val="nil"/>
              <w:bottom w:val="single" w:sz="8" w:space="0" w:color="auto"/>
              <w:right w:val="single" w:sz="8" w:space="0" w:color="auto"/>
            </w:tcBorders>
            <w:shd w:val="clear" w:color="auto" w:fill="auto"/>
            <w:vAlign w:val="center"/>
            <w:hideMark/>
          </w:tcPr>
          <w:p w14:paraId="213B7C59"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877 948 455</w:t>
            </w:r>
          </w:p>
        </w:tc>
        <w:tc>
          <w:tcPr>
            <w:tcW w:w="756" w:type="pct"/>
            <w:tcBorders>
              <w:top w:val="nil"/>
              <w:left w:val="nil"/>
              <w:bottom w:val="single" w:sz="8" w:space="0" w:color="auto"/>
              <w:right w:val="single" w:sz="8" w:space="0" w:color="auto"/>
            </w:tcBorders>
            <w:shd w:val="clear" w:color="auto" w:fill="auto"/>
            <w:noWrap/>
            <w:vAlign w:val="center"/>
            <w:hideMark/>
          </w:tcPr>
          <w:p w14:paraId="021E28B2"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634 197 739</w:t>
            </w:r>
          </w:p>
        </w:tc>
        <w:tc>
          <w:tcPr>
            <w:tcW w:w="756" w:type="pct"/>
            <w:tcBorders>
              <w:top w:val="nil"/>
              <w:left w:val="nil"/>
              <w:bottom w:val="single" w:sz="8" w:space="0" w:color="auto"/>
              <w:right w:val="single" w:sz="8" w:space="0" w:color="auto"/>
            </w:tcBorders>
            <w:shd w:val="clear" w:color="auto" w:fill="auto"/>
            <w:noWrap/>
            <w:vAlign w:val="center"/>
            <w:hideMark/>
          </w:tcPr>
          <w:p w14:paraId="5A0BD748"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58%</w:t>
            </w:r>
          </w:p>
        </w:tc>
        <w:tc>
          <w:tcPr>
            <w:tcW w:w="681" w:type="pct"/>
            <w:tcBorders>
              <w:top w:val="nil"/>
              <w:left w:val="nil"/>
              <w:bottom w:val="single" w:sz="8" w:space="0" w:color="auto"/>
              <w:right w:val="single" w:sz="8" w:space="0" w:color="auto"/>
            </w:tcBorders>
            <w:shd w:val="clear" w:color="auto" w:fill="auto"/>
            <w:vAlign w:val="center"/>
            <w:hideMark/>
          </w:tcPr>
          <w:p w14:paraId="134EBBDB"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72%</w:t>
            </w:r>
          </w:p>
        </w:tc>
        <w:tc>
          <w:tcPr>
            <w:tcW w:w="457" w:type="pct"/>
            <w:tcBorders>
              <w:top w:val="nil"/>
              <w:left w:val="nil"/>
              <w:bottom w:val="single" w:sz="8" w:space="0" w:color="auto"/>
              <w:right w:val="single" w:sz="8" w:space="0" w:color="auto"/>
            </w:tcBorders>
            <w:shd w:val="clear" w:color="auto" w:fill="auto"/>
            <w:noWrap/>
            <w:vAlign w:val="center"/>
            <w:hideMark/>
          </w:tcPr>
          <w:p w14:paraId="4E896ABE"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7%</w:t>
            </w:r>
          </w:p>
        </w:tc>
      </w:tr>
      <w:tr w:rsidR="00B9335C" w:rsidRPr="008C0FF1" w14:paraId="49CD4A1F" w14:textId="77777777" w:rsidTr="008C0967">
        <w:tc>
          <w:tcPr>
            <w:tcW w:w="828" w:type="pct"/>
            <w:tcBorders>
              <w:top w:val="nil"/>
              <w:left w:val="single" w:sz="8" w:space="0" w:color="auto"/>
              <w:bottom w:val="single" w:sz="8" w:space="0" w:color="auto"/>
              <w:right w:val="single" w:sz="8" w:space="0" w:color="auto"/>
            </w:tcBorders>
            <w:shd w:val="clear" w:color="auto" w:fill="auto"/>
            <w:noWrap/>
            <w:vAlign w:val="center"/>
            <w:hideMark/>
          </w:tcPr>
          <w:p w14:paraId="5007027F" w14:textId="77777777" w:rsidR="008C0FF1" w:rsidRPr="008C0FF1" w:rsidRDefault="008C0FF1" w:rsidP="00F12682">
            <w:pPr>
              <w:spacing w:after="0" w:line="240" w:lineRule="auto"/>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Investissement</w:t>
            </w:r>
          </w:p>
        </w:tc>
        <w:tc>
          <w:tcPr>
            <w:tcW w:w="765" w:type="pct"/>
            <w:tcBorders>
              <w:top w:val="nil"/>
              <w:left w:val="nil"/>
              <w:bottom w:val="single" w:sz="8" w:space="0" w:color="auto"/>
              <w:right w:val="single" w:sz="8" w:space="0" w:color="auto"/>
            </w:tcBorders>
            <w:shd w:val="clear" w:color="auto" w:fill="auto"/>
            <w:noWrap/>
            <w:vAlign w:val="center"/>
            <w:hideMark/>
          </w:tcPr>
          <w:p w14:paraId="37F7AEA2"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9 963 315 829</w:t>
            </w:r>
          </w:p>
        </w:tc>
        <w:tc>
          <w:tcPr>
            <w:tcW w:w="757" w:type="pct"/>
            <w:tcBorders>
              <w:top w:val="nil"/>
              <w:left w:val="nil"/>
              <w:bottom w:val="single" w:sz="8" w:space="0" w:color="auto"/>
              <w:right w:val="single" w:sz="8" w:space="0" w:color="auto"/>
            </w:tcBorders>
            <w:shd w:val="clear" w:color="auto" w:fill="auto"/>
            <w:vAlign w:val="center"/>
            <w:hideMark/>
          </w:tcPr>
          <w:p w14:paraId="33F3574B"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9 550 887 534</w:t>
            </w:r>
          </w:p>
        </w:tc>
        <w:tc>
          <w:tcPr>
            <w:tcW w:w="756" w:type="pct"/>
            <w:tcBorders>
              <w:top w:val="nil"/>
              <w:left w:val="nil"/>
              <w:bottom w:val="single" w:sz="8" w:space="0" w:color="auto"/>
              <w:right w:val="single" w:sz="8" w:space="0" w:color="auto"/>
            </w:tcBorders>
            <w:shd w:val="clear" w:color="auto" w:fill="auto"/>
            <w:noWrap/>
            <w:vAlign w:val="center"/>
            <w:hideMark/>
          </w:tcPr>
          <w:p w14:paraId="196894F1" w14:textId="77777777" w:rsidR="008C0FF1" w:rsidRPr="008C0FF1" w:rsidRDefault="008C0FF1"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1 275 040 868</w:t>
            </w:r>
          </w:p>
        </w:tc>
        <w:tc>
          <w:tcPr>
            <w:tcW w:w="756" w:type="pct"/>
            <w:tcBorders>
              <w:top w:val="nil"/>
              <w:left w:val="nil"/>
              <w:bottom w:val="single" w:sz="8" w:space="0" w:color="auto"/>
              <w:right w:val="single" w:sz="8" w:space="0" w:color="auto"/>
            </w:tcBorders>
            <w:shd w:val="clear" w:color="auto" w:fill="auto"/>
            <w:noWrap/>
            <w:vAlign w:val="center"/>
            <w:hideMark/>
          </w:tcPr>
          <w:p w14:paraId="5C2699F8"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13%</w:t>
            </w:r>
          </w:p>
        </w:tc>
        <w:tc>
          <w:tcPr>
            <w:tcW w:w="681" w:type="pct"/>
            <w:tcBorders>
              <w:top w:val="nil"/>
              <w:left w:val="nil"/>
              <w:bottom w:val="single" w:sz="8" w:space="0" w:color="auto"/>
              <w:right w:val="single" w:sz="8" w:space="0" w:color="auto"/>
            </w:tcBorders>
            <w:shd w:val="clear" w:color="auto" w:fill="auto"/>
            <w:vAlign w:val="center"/>
            <w:hideMark/>
          </w:tcPr>
          <w:p w14:paraId="4FEDB6AE"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13%</w:t>
            </w:r>
          </w:p>
        </w:tc>
        <w:tc>
          <w:tcPr>
            <w:tcW w:w="457" w:type="pct"/>
            <w:tcBorders>
              <w:top w:val="nil"/>
              <w:left w:val="nil"/>
              <w:bottom w:val="single" w:sz="8" w:space="0" w:color="auto"/>
              <w:right w:val="single" w:sz="8" w:space="0" w:color="auto"/>
            </w:tcBorders>
            <w:shd w:val="clear" w:color="auto" w:fill="auto"/>
            <w:noWrap/>
            <w:vAlign w:val="center"/>
            <w:hideMark/>
          </w:tcPr>
          <w:p w14:paraId="6D860727" w14:textId="77777777" w:rsidR="008C0FF1" w:rsidRPr="008C0FF1" w:rsidRDefault="008C0FF1"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65%</w:t>
            </w:r>
          </w:p>
        </w:tc>
      </w:tr>
      <w:tr w:rsidR="00B9335C" w:rsidRPr="003570FA" w14:paraId="34F002E4" w14:textId="77777777" w:rsidTr="008C0967">
        <w:tc>
          <w:tcPr>
            <w:tcW w:w="828" w:type="pct"/>
            <w:tcBorders>
              <w:top w:val="nil"/>
              <w:left w:val="single" w:sz="8" w:space="0" w:color="auto"/>
              <w:bottom w:val="single" w:sz="8" w:space="0" w:color="auto"/>
              <w:right w:val="single" w:sz="8" w:space="0" w:color="auto"/>
            </w:tcBorders>
            <w:shd w:val="clear" w:color="auto" w:fill="auto"/>
            <w:noWrap/>
            <w:vAlign w:val="center"/>
            <w:hideMark/>
          </w:tcPr>
          <w:p w14:paraId="63A150EA" w14:textId="77777777" w:rsidR="008C0FF1" w:rsidRPr="003570FA" w:rsidRDefault="008C0FF1" w:rsidP="00F12682">
            <w:pPr>
              <w:spacing w:after="0" w:line="240" w:lineRule="auto"/>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Total général</w:t>
            </w:r>
          </w:p>
        </w:tc>
        <w:tc>
          <w:tcPr>
            <w:tcW w:w="765" w:type="pct"/>
            <w:tcBorders>
              <w:top w:val="nil"/>
              <w:left w:val="nil"/>
              <w:bottom w:val="single" w:sz="8" w:space="0" w:color="auto"/>
              <w:right w:val="single" w:sz="8" w:space="0" w:color="auto"/>
            </w:tcBorders>
            <w:shd w:val="clear" w:color="auto" w:fill="auto"/>
            <w:noWrap/>
            <w:vAlign w:val="center"/>
            <w:hideMark/>
          </w:tcPr>
          <w:p w14:paraId="3EAA100D" w14:textId="77777777" w:rsidR="008C0FF1" w:rsidRPr="003570FA" w:rsidRDefault="008C0FF1" w:rsidP="00F12682">
            <w:pPr>
              <w:spacing w:after="0" w:line="240" w:lineRule="auto"/>
              <w:jc w:val="right"/>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15 270 643 494</w:t>
            </w:r>
          </w:p>
        </w:tc>
        <w:tc>
          <w:tcPr>
            <w:tcW w:w="757" w:type="pct"/>
            <w:tcBorders>
              <w:top w:val="nil"/>
              <w:left w:val="nil"/>
              <w:bottom w:val="single" w:sz="8" w:space="0" w:color="auto"/>
              <w:right w:val="single" w:sz="8" w:space="0" w:color="auto"/>
            </w:tcBorders>
            <w:shd w:val="clear" w:color="auto" w:fill="auto"/>
            <w:vAlign w:val="center"/>
            <w:hideMark/>
          </w:tcPr>
          <w:p w14:paraId="1D36A3E8" w14:textId="77777777" w:rsidR="008C0FF1" w:rsidRPr="003570FA" w:rsidRDefault="008C0FF1" w:rsidP="00F12682">
            <w:pPr>
              <w:spacing w:after="0" w:line="240" w:lineRule="auto"/>
              <w:jc w:val="right"/>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14 609 299 531</w:t>
            </w:r>
          </w:p>
        </w:tc>
        <w:tc>
          <w:tcPr>
            <w:tcW w:w="756" w:type="pct"/>
            <w:tcBorders>
              <w:top w:val="nil"/>
              <w:left w:val="nil"/>
              <w:bottom w:val="single" w:sz="8" w:space="0" w:color="auto"/>
              <w:right w:val="single" w:sz="8" w:space="0" w:color="auto"/>
            </w:tcBorders>
            <w:shd w:val="clear" w:color="auto" w:fill="auto"/>
            <w:noWrap/>
            <w:vAlign w:val="center"/>
            <w:hideMark/>
          </w:tcPr>
          <w:p w14:paraId="543AC54F" w14:textId="77777777" w:rsidR="008C0FF1" w:rsidRPr="003570FA" w:rsidRDefault="008C0FF1" w:rsidP="00F12682">
            <w:pPr>
              <w:spacing w:after="0" w:line="240" w:lineRule="auto"/>
              <w:jc w:val="right"/>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5 767 893 617</w:t>
            </w:r>
          </w:p>
        </w:tc>
        <w:tc>
          <w:tcPr>
            <w:tcW w:w="756" w:type="pct"/>
            <w:tcBorders>
              <w:top w:val="nil"/>
              <w:left w:val="nil"/>
              <w:bottom w:val="single" w:sz="8" w:space="0" w:color="auto"/>
              <w:right w:val="single" w:sz="8" w:space="0" w:color="auto"/>
            </w:tcBorders>
            <w:shd w:val="clear" w:color="auto" w:fill="auto"/>
            <w:noWrap/>
            <w:vAlign w:val="center"/>
            <w:hideMark/>
          </w:tcPr>
          <w:p w14:paraId="6DB05338"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38%</w:t>
            </w:r>
          </w:p>
        </w:tc>
        <w:tc>
          <w:tcPr>
            <w:tcW w:w="681" w:type="pct"/>
            <w:tcBorders>
              <w:top w:val="nil"/>
              <w:left w:val="nil"/>
              <w:bottom w:val="single" w:sz="8" w:space="0" w:color="auto"/>
              <w:right w:val="single" w:sz="8" w:space="0" w:color="auto"/>
            </w:tcBorders>
            <w:shd w:val="clear" w:color="auto" w:fill="auto"/>
            <w:vAlign w:val="center"/>
            <w:hideMark/>
          </w:tcPr>
          <w:p w14:paraId="20757E49"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39%</w:t>
            </w:r>
          </w:p>
        </w:tc>
        <w:tc>
          <w:tcPr>
            <w:tcW w:w="457" w:type="pct"/>
            <w:tcBorders>
              <w:top w:val="nil"/>
              <w:left w:val="nil"/>
              <w:bottom w:val="single" w:sz="8" w:space="0" w:color="auto"/>
              <w:right w:val="single" w:sz="8" w:space="0" w:color="auto"/>
            </w:tcBorders>
            <w:shd w:val="clear" w:color="auto" w:fill="auto"/>
            <w:noWrap/>
            <w:vAlign w:val="center"/>
            <w:hideMark/>
          </w:tcPr>
          <w:p w14:paraId="567A8292" w14:textId="77777777" w:rsidR="008C0FF1" w:rsidRPr="003570FA" w:rsidRDefault="008C0FF1"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100%</w:t>
            </w:r>
          </w:p>
        </w:tc>
      </w:tr>
    </w:tbl>
    <w:p w14:paraId="379A5245" w14:textId="77777777" w:rsidR="008C0FF1" w:rsidRDefault="008C0FF1" w:rsidP="00F12682"/>
    <w:p w14:paraId="534B7560" w14:textId="77777777" w:rsidR="008F267E" w:rsidRDefault="008F267E" w:rsidP="00F12682">
      <w:pPr>
        <w:pStyle w:val="Titre4"/>
        <w:rPr>
          <w:rFonts w:asciiTheme="minorHAnsi" w:hAnsiTheme="minorHAnsi" w:cstheme="minorHAnsi"/>
        </w:rPr>
      </w:pPr>
      <w:r w:rsidRPr="004A5122">
        <w:rPr>
          <w:rFonts w:asciiTheme="minorHAnsi" w:hAnsiTheme="minorHAnsi" w:cstheme="minorHAnsi"/>
        </w:rPr>
        <w:t>Analyse de la capacité d’absorption des financements</w:t>
      </w:r>
    </w:p>
    <w:p w14:paraId="10E2B3C0" w14:textId="77777777" w:rsidR="008F267E" w:rsidRPr="005E416D" w:rsidRDefault="008F267E" w:rsidP="00F12682">
      <w:pPr>
        <w:pStyle w:val="Lgende"/>
        <w:spacing w:line="276" w:lineRule="auto"/>
        <w:jc w:val="both"/>
        <w:rPr>
          <w:sz w:val="24"/>
        </w:rPr>
      </w:pPr>
      <w:r w:rsidRPr="005E416D">
        <w:rPr>
          <w:sz w:val="24"/>
        </w:rPr>
        <w:t>Tout comme le taux de consommation, le taux d’absorption au niveau du sous-secteur de l’environnement est également faible (39%). Seuls les salaires ont connus une absorption importante (102%). Par contre les fonctionnements ont été absorbés qu’à hauteur seulement de 1/3 des budgets libérés.</w:t>
      </w:r>
    </w:p>
    <w:p w14:paraId="6416985A" w14:textId="24CA6384" w:rsidR="008F267E" w:rsidRDefault="008F267E" w:rsidP="00F12682">
      <w:pPr>
        <w:pStyle w:val="Lgende"/>
        <w:jc w:val="both"/>
      </w:pPr>
    </w:p>
    <w:p w14:paraId="51DF9919" w14:textId="77777777" w:rsidR="008F267E" w:rsidRPr="005970F0" w:rsidRDefault="008F267E" w:rsidP="00F12682">
      <w:pPr>
        <w:pStyle w:val="Lgende"/>
        <w:rPr>
          <w:rFonts w:eastAsiaTheme="majorEastAsia" w:cs="Calibri"/>
          <w:iCs w:val="0"/>
        </w:rPr>
      </w:pPr>
      <w:bookmarkStart w:id="137" w:name="_Toc529305079"/>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25</w:t>
      </w:r>
      <w:r w:rsidR="00A773EB">
        <w:rPr>
          <w:noProof/>
        </w:rPr>
        <w:fldChar w:fldCharType="end"/>
      </w:r>
      <w:r w:rsidRPr="005970F0">
        <w:rPr>
          <w:rFonts w:eastAsiaTheme="majorEastAsia" w:cs="Calibri"/>
          <w:iCs w:val="0"/>
        </w:rPr>
        <w:t xml:space="preserve"> : </w:t>
      </w:r>
      <w:r>
        <w:rPr>
          <w:rFonts w:eastAsiaTheme="majorEastAsia" w:cs="Calibri"/>
          <w:iCs w:val="0"/>
        </w:rPr>
        <w:t xml:space="preserve">Taux d’absorption </w:t>
      </w:r>
      <w:r w:rsidRPr="005970F0">
        <w:rPr>
          <w:rFonts w:eastAsiaTheme="majorEastAsia" w:cs="Calibri"/>
          <w:iCs w:val="0"/>
        </w:rPr>
        <w:t>par titre du MEDD en 2016</w:t>
      </w:r>
      <w:bookmarkEnd w:id="137"/>
    </w:p>
    <w:tbl>
      <w:tblPr>
        <w:tblW w:w="5000" w:type="pct"/>
        <w:tblCellMar>
          <w:left w:w="70" w:type="dxa"/>
          <w:right w:w="70" w:type="dxa"/>
        </w:tblCellMar>
        <w:tblLook w:val="04A0" w:firstRow="1" w:lastRow="0" w:firstColumn="1" w:lastColumn="0" w:noHBand="0" w:noVBand="1"/>
      </w:tblPr>
      <w:tblGrid>
        <w:gridCol w:w="2287"/>
        <w:gridCol w:w="2093"/>
        <w:gridCol w:w="2093"/>
        <w:gridCol w:w="1883"/>
        <w:gridCol w:w="1262"/>
      </w:tblGrid>
      <w:tr w:rsidR="008F267E" w:rsidRPr="003570FA" w14:paraId="4058834B" w14:textId="77777777" w:rsidTr="008C0967">
        <w:tc>
          <w:tcPr>
            <w:tcW w:w="118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013D36" w14:textId="77777777" w:rsidR="008F267E" w:rsidRPr="003570FA" w:rsidRDefault="008F267E"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Titre</w:t>
            </w:r>
          </w:p>
        </w:tc>
        <w:tc>
          <w:tcPr>
            <w:tcW w:w="1088" w:type="pct"/>
            <w:tcBorders>
              <w:top w:val="single" w:sz="8" w:space="0" w:color="auto"/>
              <w:left w:val="nil"/>
              <w:bottom w:val="single" w:sz="8" w:space="0" w:color="auto"/>
              <w:right w:val="single" w:sz="8" w:space="0" w:color="auto"/>
            </w:tcBorders>
            <w:shd w:val="clear" w:color="auto" w:fill="auto"/>
            <w:vAlign w:val="center"/>
            <w:hideMark/>
          </w:tcPr>
          <w:p w14:paraId="6C95EE05" w14:textId="77777777" w:rsidR="008F267E" w:rsidRPr="003570FA" w:rsidRDefault="008F267E"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Crédits libérés</w:t>
            </w:r>
          </w:p>
        </w:tc>
        <w:tc>
          <w:tcPr>
            <w:tcW w:w="1088" w:type="pct"/>
            <w:tcBorders>
              <w:top w:val="single" w:sz="8" w:space="0" w:color="auto"/>
              <w:left w:val="nil"/>
              <w:bottom w:val="single" w:sz="8" w:space="0" w:color="auto"/>
              <w:right w:val="single" w:sz="8" w:space="0" w:color="auto"/>
            </w:tcBorders>
            <w:shd w:val="clear" w:color="auto" w:fill="auto"/>
            <w:noWrap/>
            <w:vAlign w:val="center"/>
            <w:hideMark/>
          </w:tcPr>
          <w:p w14:paraId="4ED938DE" w14:textId="77777777" w:rsidR="008F267E" w:rsidRPr="003570FA" w:rsidRDefault="008F267E"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Crédits consommés</w:t>
            </w:r>
          </w:p>
        </w:tc>
        <w:tc>
          <w:tcPr>
            <w:tcW w:w="979" w:type="pct"/>
            <w:tcBorders>
              <w:top w:val="single" w:sz="8" w:space="0" w:color="auto"/>
              <w:left w:val="nil"/>
              <w:bottom w:val="single" w:sz="8" w:space="0" w:color="auto"/>
              <w:right w:val="single" w:sz="8" w:space="0" w:color="auto"/>
            </w:tcBorders>
            <w:shd w:val="clear" w:color="auto" w:fill="auto"/>
            <w:vAlign w:val="center"/>
            <w:hideMark/>
          </w:tcPr>
          <w:p w14:paraId="7E676AA5" w14:textId="77777777" w:rsidR="008F267E" w:rsidRPr="003570FA" w:rsidRDefault="008F267E"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Taux d’absorption</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14:paraId="60733F84" w14:textId="77777777" w:rsidR="008F267E" w:rsidRPr="003570FA" w:rsidRDefault="008F267E"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Part du titre</w:t>
            </w:r>
          </w:p>
        </w:tc>
      </w:tr>
      <w:tr w:rsidR="008F267E" w:rsidRPr="008C0FF1" w14:paraId="0437CCDB" w14:textId="77777777" w:rsidTr="008C0967">
        <w:tc>
          <w:tcPr>
            <w:tcW w:w="1189" w:type="pct"/>
            <w:tcBorders>
              <w:top w:val="nil"/>
              <w:left w:val="single" w:sz="8" w:space="0" w:color="auto"/>
              <w:bottom w:val="single" w:sz="8" w:space="0" w:color="auto"/>
              <w:right w:val="single" w:sz="8" w:space="0" w:color="auto"/>
            </w:tcBorders>
            <w:shd w:val="clear" w:color="auto" w:fill="auto"/>
            <w:noWrap/>
            <w:vAlign w:val="center"/>
            <w:hideMark/>
          </w:tcPr>
          <w:p w14:paraId="1EB1B402" w14:textId="18BB63F7" w:rsidR="008F267E" w:rsidRPr="008C0FF1" w:rsidRDefault="003B6D99" w:rsidP="00F12682">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Personnel</w:t>
            </w:r>
          </w:p>
        </w:tc>
        <w:tc>
          <w:tcPr>
            <w:tcW w:w="1088" w:type="pct"/>
            <w:tcBorders>
              <w:top w:val="nil"/>
              <w:left w:val="nil"/>
              <w:bottom w:val="single" w:sz="8" w:space="0" w:color="auto"/>
              <w:right w:val="single" w:sz="8" w:space="0" w:color="auto"/>
            </w:tcBorders>
            <w:shd w:val="clear" w:color="auto" w:fill="auto"/>
            <w:vAlign w:val="center"/>
            <w:hideMark/>
          </w:tcPr>
          <w:p w14:paraId="22536973" w14:textId="77777777" w:rsidR="008F267E" w:rsidRPr="008C0FF1" w:rsidRDefault="008F267E"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3 597 375 076</w:t>
            </w:r>
          </w:p>
        </w:tc>
        <w:tc>
          <w:tcPr>
            <w:tcW w:w="1088" w:type="pct"/>
            <w:tcBorders>
              <w:top w:val="nil"/>
              <w:left w:val="nil"/>
              <w:bottom w:val="single" w:sz="8" w:space="0" w:color="auto"/>
              <w:right w:val="single" w:sz="8" w:space="0" w:color="auto"/>
            </w:tcBorders>
            <w:shd w:val="clear" w:color="auto" w:fill="auto"/>
            <w:noWrap/>
            <w:vAlign w:val="center"/>
            <w:hideMark/>
          </w:tcPr>
          <w:p w14:paraId="75012782" w14:textId="77777777" w:rsidR="008F267E" w:rsidRPr="008C0FF1" w:rsidRDefault="008F267E"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3 659 387 109</w:t>
            </w:r>
          </w:p>
        </w:tc>
        <w:tc>
          <w:tcPr>
            <w:tcW w:w="979" w:type="pct"/>
            <w:tcBorders>
              <w:top w:val="nil"/>
              <w:left w:val="nil"/>
              <w:bottom w:val="single" w:sz="8" w:space="0" w:color="auto"/>
              <w:right w:val="single" w:sz="8" w:space="0" w:color="auto"/>
            </w:tcBorders>
            <w:shd w:val="clear" w:color="auto" w:fill="auto"/>
            <w:vAlign w:val="center"/>
            <w:hideMark/>
          </w:tcPr>
          <w:p w14:paraId="4855920C" w14:textId="77777777" w:rsidR="008F267E" w:rsidRPr="008C0FF1" w:rsidRDefault="008F267E"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102%</w:t>
            </w:r>
          </w:p>
        </w:tc>
        <w:tc>
          <w:tcPr>
            <w:tcW w:w="656" w:type="pct"/>
            <w:tcBorders>
              <w:top w:val="nil"/>
              <w:left w:val="nil"/>
              <w:bottom w:val="single" w:sz="8" w:space="0" w:color="auto"/>
              <w:right w:val="single" w:sz="8" w:space="0" w:color="auto"/>
            </w:tcBorders>
            <w:shd w:val="clear" w:color="auto" w:fill="auto"/>
            <w:noWrap/>
            <w:vAlign w:val="center"/>
            <w:hideMark/>
          </w:tcPr>
          <w:p w14:paraId="15D0BEE3" w14:textId="77777777" w:rsidR="008F267E" w:rsidRPr="008C0FF1" w:rsidRDefault="008F267E"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24%</w:t>
            </w:r>
          </w:p>
        </w:tc>
      </w:tr>
      <w:tr w:rsidR="008F267E" w:rsidRPr="008C0FF1" w14:paraId="35352D8F" w14:textId="77777777" w:rsidTr="008C0967">
        <w:tc>
          <w:tcPr>
            <w:tcW w:w="1189" w:type="pct"/>
            <w:tcBorders>
              <w:top w:val="nil"/>
              <w:left w:val="single" w:sz="8" w:space="0" w:color="auto"/>
              <w:bottom w:val="single" w:sz="8" w:space="0" w:color="auto"/>
              <w:right w:val="single" w:sz="8" w:space="0" w:color="auto"/>
            </w:tcBorders>
            <w:shd w:val="clear" w:color="auto" w:fill="auto"/>
            <w:noWrap/>
            <w:vAlign w:val="center"/>
            <w:hideMark/>
          </w:tcPr>
          <w:p w14:paraId="6BBA9E7C" w14:textId="77777777" w:rsidR="008F267E" w:rsidRPr="008C0FF1" w:rsidRDefault="008F267E" w:rsidP="00F12682">
            <w:pPr>
              <w:spacing w:after="0" w:line="240" w:lineRule="auto"/>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Fonctionnement</w:t>
            </w:r>
          </w:p>
        </w:tc>
        <w:tc>
          <w:tcPr>
            <w:tcW w:w="1088" w:type="pct"/>
            <w:tcBorders>
              <w:top w:val="nil"/>
              <w:left w:val="nil"/>
              <w:bottom w:val="single" w:sz="8" w:space="0" w:color="auto"/>
              <w:right w:val="single" w:sz="8" w:space="0" w:color="auto"/>
            </w:tcBorders>
            <w:shd w:val="clear" w:color="auto" w:fill="auto"/>
            <w:vAlign w:val="center"/>
            <w:hideMark/>
          </w:tcPr>
          <w:p w14:paraId="715EEC56" w14:textId="77777777" w:rsidR="008F267E" w:rsidRPr="008C0FF1" w:rsidRDefault="008F267E"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583 088 466</w:t>
            </w:r>
          </w:p>
        </w:tc>
        <w:tc>
          <w:tcPr>
            <w:tcW w:w="1088" w:type="pct"/>
            <w:tcBorders>
              <w:top w:val="nil"/>
              <w:left w:val="nil"/>
              <w:bottom w:val="single" w:sz="8" w:space="0" w:color="auto"/>
              <w:right w:val="single" w:sz="8" w:space="0" w:color="auto"/>
            </w:tcBorders>
            <w:shd w:val="clear" w:color="auto" w:fill="auto"/>
            <w:noWrap/>
            <w:vAlign w:val="center"/>
            <w:hideMark/>
          </w:tcPr>
          <w:p w14:paraId="619D91A8" w14:textId="77777777" w:rsidR="008F267E" w:rsidRPr="008C0FF1" w:rsidRDefault="008F267E"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199 267 901</w:t>
            </w:r>
          </w:p>
        </w:tc>
        <w:tc>
          <w:tcPr>
            <w:tcW w:w="979" w:type="pct"/>
            <w:tcBorders>
              <w:top w:val="nil"/>
              <w:left w:val="nil"/>
              <w:bottom w:val="single" w:sz="8" w:space="0" w:color="auto"/>
              <w:right w:val="single" w:sz="8" w:space="0" w:color="auto"/>
            </w:tcBorders>
            <w:shd w:val="clear" w:color="auto" w:fill="auto"/>
            <w:vAlign w:val="center"/>
            <w:hideMark/>
          </w:tcPr>
          <w:p w14:paraId="74E9C1F4" w14:textId="77777777" w:rsidR="008F267E" w:rsidRPr="008C0FF1" w:rsidRDefault="008F267E"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34%</w:t>
            </w:r>
          </w:p>
        </w:tc>
        <w:tc>
          <w:tcPr>
            <w:tcW w:w="656" w:type="pct"/>
            <w:tcBorders>
              <w:top w:val="nil"/>
              <w:left w:val="nil"/>
              <w:bottom w:val="single" w:sz="8" w:space="0" w:color="auto"/>
              <w:right w:val="single" w:sz="8" w:space="0" w:color="auto"/>
            </w:tcBorders>
            <w:shd w:val="clear" w:color="auto" w:fill="auto"/>
            <w:noWrap/>
            <w:vAlign w:val="center"/>
            <w:hideMark/>
          </w:tcPr>
          <w:p w14:paraId="46C2AB5F" w14:textId="77777777" w:rsidR="008F267E" w:rsidRPr="008C0FF1" w:rsidRDefault="008F267E"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4%</w:t>
            </w:r>
          </w:p>
        </w:tc>
      </w:tr>
      <w:tr w:rsidR="008F267E" w:rsidRPr="008C0FF1" w14:paraId="08B24DFA" w14:textId="77777777" w:rsidTr="008C0967">
        <w:tc>
          <w:tcPr>
            <w:tcW w:w="1189" w:type="pct"/>
            <w:tcBorders>
              <w:top w:val="nil"/>
              <w:left w:val="single" w:sz="8" w:space="0" w:color="auto"/>
              <w:bottom w:val="single" w:sz="8" w:space="0" w:color="auto"/>
              <w:right w:val="single" w:sz="8" w:space="0" w:color="auto"/>
            </w:tcBorders>
            <w:shd w:val="clear" w:color="auto" w:fill="auto"/>
            <w:noWrap/>
            <w:vAlign w:val="center"/>
            <w:hideMark/>
          </w:tcPr>
          <w:p w14:paraId="54219CD1" w14:textId="77777777" w:rsidR="008F267E" w:rsidRPr="008C0FF1" w:rsidRDefault="008F267E" w:rsidP="00F12682">
            <w:pPr>
              <w:spacing w:after="0" w:line="240" w:lineRule="auto"/>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Transfert</w:t>
            </w:r>
          </w:p>
        </w:tc>
        <w:tc>
          <w:tcPr>
            <w:tcW w:w="1088" w:type="pct"/>
            <w:tcBorders>
              <w:top w:val="nil"/>
              <w:left w:val="nil"/>
              <w:bottom w:val="single" w:sz="8" w:space="0" w:color="auto"/>
              <w:right w:val="single" w:sz="8" w:space="0" w:color="auto"/>
            </w:tcBorders>
            <w:shd w:val="clear" w:color="auto" w:fill="auto"/>
            <w:vAlign w:val="center"/>
            <w:hideMark/>
          </w:tcPr>
          <w:p w14:paraId="2889DDE9" w14:textId="77777777" w:rsidR="008F267E" w:rsidRPr="008C0FF1" w:rsidRDefault="008F267E"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877 948 455</w:t>
            </w:r>
          </w:p>
        </w:tc>
        <w:tc>
          <w:tcPr>
            <w:tcW w:w="1088" w:type="pct"/>
            <w:tcBorders>
              <w:top w:val="nil"/>
              <w:left w:val="nil"/>
              <w:bottom w:val="single" w:sz="8" w:space="0" w:color="auto"/>
              <w:right w:val="single" w:sz="8" w:space="0" w:color="auto"/>
            </w:tcBorders>
            <w:shd w:val="clear" w:color="auto" w:fill="auto"/>
            <w:noWrap/>
            <w:vAlign w:val="center"/>
            <w:hideMark/>
          </w:tcPr>
          <w:p w14:paraId="4C130145" w14:textId="77777777" w:rsidR="008F267E" w:rsidRPr="008C0FF1" w:rsidRDefault="008F267E"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634 197 739</w:t>
            </w:r>
          </w:p>
        </w:tc>
        <w:tc>
          <w:tcPr>
            <w:tcW w:w="979" w:type="pct"/>
            <w:tcBorders>
              <w:top w:val="nil"/>
              <w:left w:val="nil"/>
              <w:bottom w:val="single" w:sz="8" w:space="0" w:color="auto"/>
              <w:right w:val="single" w:sz="8" w:space="0" w:color="auto"/>
            </w:tcBorders>
            <w:shd w:val="clear" w:color="auto" w:fill="auto"/>
            <w:vAlign w:val="center"/>
            <w:hideMark/>
          </w:tcPr>
          <w:p w14:paraId="102494CD" w14:textId="77777777" w:rsidR="008F267E" w:rsidRPr="008C0FF1" w:rsidRDefault="008F267E"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72%</w:t>
            </w:r>
          </w:p>
        </w:tc>
        <w:tc>
          <w:tcPr>
            <w:tcW w:w="656" w:type="pct"/>
            <w:tcBorders>
              <w:top w:val="nil"/>
              <w:left w:val="nil"/>
              <w:bottom w:val="single" w:sz="8" w:space="0" w:color="auto"/>
              <w:right w:val="single" w:sz="8" w:space="0" w:color="auto"/>
            </w:tcBorders>
            <w:shd w:val="clear" w:color="auto" w:fill="auto"/>
            <w:noWrap/>
            <w:vAlign w:val="center"/>
            <w:hideMark/>
          </w:tcPr>
          <w:p w14:paraId="666D430E" w14:textId="77777777" w:rsidR="008F267E" w:rsidRPr="008C0FF1" w:rsidRDefault="008F267E"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7%</w:t>
            </w:r>
          </w:p>
        </w:tc>
      </w:tr>
      <w:tr w:rsidR="008F267E" w:rsidRPr="008C0FF1" w14:paraId="1BCE58BC" w14:textId="77777777" w:rsidTr="008C0967">
        <w:tc>
          <w:tcPr>
            <w:tcW w:w="1189" w:type="pct"/>
            <w:tcBorders>
              <w:top w:val="nil"/>
              <w:left w:val="single" w:sz="8" w:space="0" w:color="auto"/>
              <w:bottom w:val="single" w:sz="8" w:space="0" w:color="auto"/>
              <w:right w:val="single" w:sz="8" w:space="0" w:color="auto"/>
            </w:tcBorders>
            <w:shd w:val="clear" w:color="auto" w:fill="auto"/>
            <w:noWrap/>
            <w:vAlign w:val="center"/>
            <w:hideMark/>
          </w:tcPr>
          <w:p w14:paraId="3B6613C9" w14:textId="77777777" w:rsidR="008F267E" w:rsidRPr="008C0FF1" w:rsidRDefault="008F267E" w:rsidP="00F12682">
            <w:pPr>
              <w:spacing w:after="0" w:line="240" w:lineRule="auto"/>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Investissement</w:t>
            </w:r>
          </w:p>
        </w:tc>
        <w:tc>
          <w:tcPr>
            <w:tcW w:w="1088" w:type="pct"/>
            <w:tcBorders>
              <w:top w:val="nil"/>
              <w:left w:val="nil"/>
              <w:bottom w:val="single" w:sz="8" w:space="0" w:color="auto"/>
              <w:right w:val="single" w:sz="8" w:space="0" w:color="auto"/>
            </w:tcBorders>
            <w:shd w:val="clear" w:color="auto" w:fill="auto"/>
            <w:vAlign w:val="center"/>
            <w:hideMark/>
          </w:tcPr>
          <w:p w14:paraId="5611E70D" w14:textId="77777777" w:rsidR="008F267E" w:rsidRPr="008C0FF1" w:rsidRDefault="008F267E"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9 550 887 534</w:t>
            </w:r>
          </w:p>
        </w:tc>
        <w:tc>
          <w:tcPr>
            <w:tcW w:w="1088" w:type="pct"/>
            <w:tcBorders>
              <w:top w:val="nil"/>
              <w:left w:val="nil"/>
              <w:bottom w:val="single" w:sz="8" w:space="0" w:color="auto"/>
              <w:right w:val="single" w:sz="8" w:space="0" w:color="auto"/>
            </w:tcBorders>
            <w:shd w:val="clear" w:color="auto" w:fill="auto"/>
            <w:noWrap/>
            <w:vAlign w:val="center"/>
            <w:hideMark/>
          </w:tcPr>
          <w:p w14:paraId="07D9C02F" w14:textId="77777777" w:rsidR="008F267E" w:rsidRPr="008C0FF1" w:rsidRDefault="008F267E" w:rsidP="00F12682">
            <w:pPr>
              <w:spacing w:after="0" w:line="240" w:lineRule="auto"/>
              <w:jc w:val="right"/>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1 275 040 868</w:t>
            </w:r>
          </w:p>
        </w:tc>
        <w:tc>
          <w:tcPr>
            <w:tcW w:w="979" w:type="pct"/>
            <w:tcBorders>
              <w:top w:val="nil"/>
              <w:left w:val="nil"/>
              <w:bottom w:val="single" w:sz="8" w:space="0" w:color="auto"/>
              <w:right w:val="single" w:sz="8" w:space="0" w:color="auto"/>
            </w:tcBorders>
            <w:shd w:val="clear" w:color="auto" w:fill="auto"/>
            <w:vAlign w:val="center"/>
            <w:hideMark/>
          </w:tcPr>
          <w:p w14:paraId="47AE721D" w14:textId="77777777" w:rsidR="008F267E" w:rsidRPr="008C0FF1" w:rsidRDefault="008F267E"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13%</w:t>
            </w:r>
          </w:p>
        </w:tc>
        <w:tc>
          <w:tcPr>
            <w:tcW w:w="656" w:type="pct"/>
            <w:tcBorders>
              <w:top w:val="nil"/>
              <w:left w:val="nil"/>
              <w:bottom w:val="single" w:sz="8" w:space="0" w:color="auto"/>
              <w:right w:val="single" w:sz="8" w:space="0" w:color="auto"/>
            </w:tcBorders>
            <w:shd w:val="clear" w:color="auto" w:fill="auto"/>
            <w:noWrap/>
            <w:vAlign w:val="center"/>
            <w:hideMark/>
          </w:tcPr>
          <w:p w14:paraId="0A5C8E5E" w14:textId="77777777" w:rsidR="008F267E" w:rsidRPr="008C0FF1" w:rsidRDefault="008F267E" w:rsidP="00F12682">
            <w:pPr>
              <w:spacing w:after="0" w:line="240" w:lineRule="auto"/>
              <w:jc w:val="center"/>
              <w:rPr>
                <w:rFonts w:ascii="Calibri" w:eastAsia="Times New Roman" w:hAnsi="Calibri" w:cs="Calibri"/>
                <w:color w:val="000000"/>
                <w:sz w:val="20"/>
                <w:szCs w:val="20"/>
                <w:lang w:eastAsia="fr-FR"/>
              </w:rPr>
            </w:pPr>
            <w:r w:rsidRPr="008C0FF1">
              <w:rPr>
                <w:rFonts w:ascii="Calibri" w:eastAsia="Times New Roman" w:hAnsi="Calibri" w:cs="Calibri"/>
                <w:color w:val="000000"/>
                <w:sz w:val="20"/>
                <w:szCs w:val="20"/>
                <w:lang w:eastAsia="fr-FR"/>
              </w:rPr>
              <w:t>65%</w:t>
            </w:r>
          </w:p>
        </w:tc>
      </w:tr>
      <w:tr w:rsidR="008F267E" w:rsidRPr="003570FA" w14:paraId="035750AA" w14:textId="77777777" w:rsidTr="008C0967">
        <w:tc>
          <w:tcPr>
            <w:tcW w:w="1189" w:type="pct"/>
            <w:tcBorders>
              <w:top w:val="nil"/>
              <w:left w:val="single" w:sz="8" w:space="0" w:color="auto"/>
              <w:bottom w:val="single" w:sz="8" w:space="0" w:color="auto"/>
              <w:right w:val="single" w:sz="8" w:space="0" w:color="auto"/>
            </w:tcBorders>
            <w:shd w:val="clear" w:color="auto" w:fill="auto"/>
            <w:noWrap/>
            <w:vAlign w:val="center"/>
            <w:hideMark/>
          </w:tcPr>
          <w:p w14:paraId="562EDAB2" w14:textId="77777777" w:rsidR="008F267E" w:rsidRPr="003570FA" w:rsidRDefault="008F267E" w:rsidP="00F12682">
            <w:pPr>
              <w:spacing w:after="0" w:line="240" w:lineRule="auto"/>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Total général</w:t>
            </w:r>
          </w:p>
        </w:tc>
        <w:tc>
          <w:tcPr>
            <w:tcW w:w="1088" w:type="pct"/>
            <w:tcBorders>
              <w:top w:val="nil"/>
              <w:left w:val="nil"/>
              <w:bottom w:val="single" w:sz="8" w:space="0" w:color="auto"/>
              <w:right w:val="single" w:sz="8" w:space="0" w:color="auto"/>
            </w:tcBorders>
            <w:shd w:val="clear" w:color="auto" w:fill="auto"/>
            <w:vAlign w:val="center"/>
            <w:hideMark/>
          </w:tcPr>
          <w:p w14:paraId="5E88B38E" w14:textId="77777777" w:rsidR="008F267E" w:rsidRPr="003570FA" w:rsidRDefault="008F267E" w:rsidP="00F12682">
            <w:pPr>
              <w:spacing w:after="0" w:line="240" w:lineRule="auto"/>
              <w:jc w:val="right"/>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14 609 299 531</w:t>
            </w:r>
          </w:p>
        </w:tc>
        <w:tc>
          <w:tcPr>
            <w:tcW w:w="1088" w:type="pct"/>
            <w:tcBorders>
              <w:top w:val="nil"/>
              <w:left w:val="nil"/>
              <w:bottom w:val="single" w:sz="8" w:space="0" w:color="auto"/>
              <w:right w:val="single" w:sz="8" w:space="0" w:color="auto"/>
            </w:tcBorders>
            <w:shd w:val="clear" w:color="auto" w:fill="auto"/>
            <w:noWrap/>
            <w:vAlign w:val="center"/>
            <w:hideMark/>
          </w:tcPr>
          <w:p w14:paraId="3D5D4712" w14:textId="77777777" w:rsidR="008F267E" w:rsidRPr="003570FA" w:rsidRDefault="008F267E" w:rsidP="00F12682">
            <w:pPr>
              <w:spacing w:after="0" w:line="240" w:lineRule="auto"/>
              <w:jc w:val="right"/>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5 767 893 617</w:t>
            </w:r>
          </w:p>
        </w:tc>
        <w:tc>
          <w:tcPr>
            <w:tcW w:w="979" w:type="pct"/>
            <w:tcBorders>
              <w:top w:val="nil"/>
              <w:left w:val="nil"/>
              <w:bottom w:val="single" w:sz="8" w:space="0" w:color="auto"/>
              <w:right w:val="single" w:sz="8" w:space="0" w:color="auto"/>
            </w:tcBorders>
            <w:shd w:val="clear" w:color="auto" w:fill="auto"/>
            <w:vAlign w:val="center"/>
            <w:hideMark/>
          </w:tcPr>
          <w:p w14:paraId="3E7C5A60" w14:textId="77777777" w:rsidR="008F267E" w:rsidRPr="003570FA" w:rsidRDefault="008F267E"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39%</w:t>
            </w:r>
          </w:p>
        </w:tc>
        <w:tc>
          <w:tcPr>
            <w:tcW w:w="656" w:type="pct"/>
            <w:tcBorders>
              <w:top w:val="nil"/>
              <w:left w:val="nil"/>
              <w:bottom w:val="single" w:sz="8" w:space="0" w:color="auto"/>
              <w:right w:val="single" w:sz="8" w:space="0" w:color="auto"/>
            </w:tcBorders>
            <w:shd w:val="clear" w:color="auto" w:fill="auto"/>
            <w:noWrap/>
            <w:vAlign w:val="center"/>
            <w:hideMark/>
          </w:tcPr>
          <w:p w14:paraId="43A3F0BD" w14:textId="77777777" w:rsidR="008F267E" w:rsidRPr="003570FA" w:rsidRDefault="008F267E" w:rsidP="00F12682">
            <w:pPr>
              <w:spacing w:after="0" w:line="240" w:lineRule="auto"/>
              <w:jc w:val="center"/>
              <w:rPr>
                <w:rFonts w:ascii="Calibri" w:eastAsia="Times New Roman" w:hAnsi="Calibri" w:cs="Calibri"/>
                <w:b/>
                <w:color w:val="000000"/>
                <w:sz w:val="20"/>
                <w:szCs w:val="20"/>
                <w:lang w:eastAsia="fr-FR"/>
              </w:rPr>
            </w:pPr>
            <w:r w:rsidRPr="003570FA">
              <w:rPr>
                <w:rFonts w:ascii="Calibri" w:eastAsia="Times New Roman" w:hAnsi="Calibri" w:cs="Calibri"/>
                <w:b/>
                <w:color w:val="000000"/>
                <w:sz w:val="20"/>
                <w:szCs w:val="20"/>
                <w:lang w:eastAsia="fr-FR"/>
              </w:rPr>
              <w:t>100%</w:t>
            </w:r>
          </w:p>
        </w:tc>
      </w:tr>
    </w:tbl>
    <w:p w14:paraId="62FF1CDB" w14:textId="77777777" w:rsidR="00BB2061" w:rsidRDefault="00BB2061" w:rsidP="00F12682">
      <w:pPr>
        <w:pStyle w:val="Titre4"/>
        <w:rPr>
          <w:rFonts w:asciiTheme="minorHAnsi" w:hAnsiTheme="minorHAnsi" w:cstheme="minorHAnsi"/>
        </w:rPr>
      </w:pPr>
      <w:r w:rsidRPr="004A5122">
        <w:rPr>
          <w:rFonts w:asciiTheme="minorHAnsi" w:hAnsiTheme="minorHAnsi" w:cstheme="minorHAnsi"/>
        </w:rPr>
        <w:lastRenderedPageBreak/>
        <w:t>Analyse de la performance et l’incidence de diverses sources de financement</w:t>
      </w:r>
    </w:p>
    <w:p w14:paraId="782E8F3B" w14:textId="4D97A7C1" w:rsidR="00AC2D58" w:rsidRDefault="00437688"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Le très faible taux de co</w:t>
      </w:r>
      <w:r w:rsidR="00363BE4">
        <w:rPr>
          <w:rFonts w:ascii="Calibri" w:eastAsiaTheme="majorEastAsia" w:hAnsi="Calibri" w:cs="Calibri"/>
          <w:iCs/>
          <w:sz w:val="24"/>
        </w:rPr>
        <w:t>nsommation (12,8</w:t>
      </w:r>
      <w:r w:rsidR="0065662F">
        <w:rPr>
          <w:rFonts w:ascii="Calibri" w:eastAsiaTheme="majorEastAsia" w:hAnsi="Calibri" w:cs="Calibri"/>
          <w:iCs/>
          <w:sz w:val="24"/>
        </w:rPr>
        <w:t>%</w:t>
      </w:r>
      <w:r w:rsidR="00363BE4">
        <w:rPr>
          <w:rFonts w:ascii="Calibri" w:eastAsiaTheme="majorEastAsia" w:hAnsi="Calibri" w:cs="Calibri"/>
          <w:iCs/>
          <w:sz w:val="24"/>
        </w:rPr>
        <w:t xml:space="preserve">) du </w:t>
      </w:r>
      <w:r w:rsidR="0065662F">
        <w:rPr>
          <w:rFonts w:ascii="Calibri" w:eastAsiaTheme="majorEastAsia" w:hAnsi="Calibri" w:cs="Calibri"/>
          <w:iCs/>
          <w:sz w:val="24"/>
        </w:rPr>
        <w:t>sous-secteur</w:t>
      </w:r>
      <w:r w:rsidR="00363BE4">
        <w:rPr>
          <w:rFonts w:ascii="Calibri" w:eastAsiaTheme="majorEastAsia" w:hAnsi="Calibri" w:cs="Calibri"/>
          <w:iCs/>
          <w:sz w:val="24"/>
        </w:rPr>
        <w:t xml:space="preserve"> de l’environnement</w:t>
      </w:r>
      <w:r w:rsidR="00784CD6">
        <w:rPr>
          <w:rFonts w:ascii="Calibri" w:eastAsiaTheme="majorEastAsia" w:hAnsi="Calibri" w:cs="Calibri"/>
          <w:iCs/>
          <w:sz w:val="24"/>
        </w:rPr>
        <w:t xml:space="preserve"> est principalement lié aux très faibles consommations des aides non remboursables (10%)</w:t>
      </w:r>
      <w:r w:rsidR="00FB0D75">
        <w:rPr>
          <w:rFonts w:ascii="Calibri" w:eastAsiaTheme="majorEastAsia" w:hAnsi="Calibri" w:cs="Calibri"/>
          <w:iCs/>
          <w:sz w:val="24"/>
        </w:rPr>
        <w:t xml:space="preserve"> dont sa part relative dépasse la moitié (57%) des financements exécutés.</w:t>
      </w:r>
      <w:r w:rsidR="00B94407">
        <w:rPr>
          <w:rFonts w:ascii="Calibri" w:eastAsiaTheme="majorEastAsia" w:hAnsi="Calibri" w:cs="Calibri"/>
          <w:iCs/>
          <w:sz w:val="24"/>
        </w:rPr>
        <w:t xml:space="preserve"> Les aides non remboursables sont celles de</w:t>
      </w:r>
      <w:r w:rsidR="00B94407" w:rsidRPr="0023155C">
        <w:rPr>
          <w:rFonts w:ascii="Calibri" w:eastAsiaTheme="majorEastAsia" w:hAnsi="Calibri" w:cs="Calibri"/>
          <w:iCs/>
          <w:sz w:val="24"/>
        </w:rPr>
        <w:t xml:space="preserve"> l’AFD, </w:t>
      </w:r>
      <w:r w:rsidR="00B94407">
        <w:rPr>
          <w:rFonts w:ascii="Calibri" w:eastAsiaTheme="majorEastAsia" w:hAnsi="Calibri" w:cs="Calibri"/>
          <w:iCs/>
          <w:sz w:val="24"/>
        </w:rPr>
        <w:t xml:space="preserve">de </w:t>
      </w:r>
      <w:r w:rsidR="00B94407" w:rsidRPr="0023155C">
        <w:rPr>
          <w:rFonts w:ascii="Calibri" w:eastAsiaTheme="majorEastAsia" w:hAnsi="Calibri" w:cs="Calibri"/>
          <w:iCs/>
          <w:sz w:val="24"/>
        </w:rPr>
        <w:t>l’UEMOA</w:t>
      </w:r>
      <w:r w:rsidR="00B94407">
        <w:rPr>
          <w:rFonts w:ascii="Calibri" w:eastAsiaTheme="majorEastAsia" w:hAnsi="Calibri" w:cs="Calibri"/>
          <w:iCs/>
          <w:sz w:val="24"/>
        </w:rPr>
        <w:t xml:space="preserve"> et du</w:t>
      </w:r>
      <w:r w:rsidR="00B94407" w:rsidRPr="0023155C">
        <w:rPr>
          <w:rFonts w:ascii="Calibri" w:eastAsiaTheme="majorEastAsia" w:hAnsi="Calibri" w:cs="Calibri"/>
          <w:iCs/>
          <w:sz w:val="24"/>
        </w:rPr>
        <w:t xml:space="preserve"> PNUD.</w:t>
      </w:r>
      <w:r w:rsidR="00B94407">
        <w:rPr>
          <w:rFonts w:ascii="Calibri" w:eastAsiaTheme="majorEastAsia" w:hAnsi="Calibri" w:cs="Calibri"/>
          <w:iCs/>
          <w:sz w:val="24"/>
        </w:rPr>
        <w:t xml:space="preserve"> </w:t>
      </w:r>
      <w:r w:rsidR="00B94407" w:rsidRPr="0023155C">
        <w:rPr>
          <w:rFonts w:ascii="Calibri" w:eastAsiaTheme="majorEastAsia" w:hAnsi="Calibri" w:cs="Calibri"/>
          <w:iCs/>
          <w:sz w:val="24"/>
        </w:rPr>
        <w:t xml:space="preserve">Mais </w:t>
      </w:r>
      <w:r w:rsidR="00587272" w:rsidRPr="0023155C">
        <w:rPr>
          <w:rFonts w:ascii="Calibri" w:eastAsiaTheme="majorEastAsia" w:hAnsi="Calibri" w:cs="Calibri"/>
          <w:iCs/>
          <w:sz w:val="24"/>
        </w:rPr>
        <w:t xml:space="preserve">en dehors des fonds de l’AFD </w:t>
      </w:r>
      <w:r w:rsidR="00587272">
        <w:rPr>
          <w:rFonts w:ascii="Calibri" w:eastAsiaTheme="majorEastAsia" w:hAnsi="Calibri" w:cs="Calibri"/>
          <w:iCs/>
          <w:sz w:val="24"/>
        </w:rPr>
        <w:t xml:space="preserve">qui ont atteint </w:t>
      </w:r>
      <w:r w:rsidR="00587272" w:rsidRPr="0023155C">
        <w:rPr>
          <w:rFonts w:ascii="Calibri" w:eastAsiaTheme="majorEastAsia" w:hAnsi="Calibri" w:cs="Calibri"/>
          <w:iCs/>
          <w:sz w:val="24"/>
        </w:rPr>
        <w:t>un taux d’exécution de 28%</w:t>
      </w:r>
      <w:r w:rsidR="00587272">
        <w:rPr>
          <w:rFonts w:ascii="Calibri" w:eastAsiaTheme="majorEastAsia" w:hAnsi="Calibri" w:cs="Calibri"/>
          <w:iCs/>
          <w:sz w:val="24"/>
        </w:rPr>
        <w:t>, toutes les autres aides ont un</w:t>
      </w:r>
      <w:r w:rsidR="00B94407" w:rsidRPr="0023155C">
        <w:rPr>
          <w:rFonts w:ascii="Calibri" w:eastAsiaTheme="majorEastAsia" w:hAnsi="Calibri" w:cs="Calibri"/>
          <w:iCs/>
          <w:sz w:val="24"/>
        </w:rPr>
        <w:t xml:space="preserve"> taux d’exécution nul.</w:t>
      </w:r>
    </w:p>
    <w:p w14:paraId="035875CE" w14:textId="77777777" w:rsidR="00C21B85" w:rsidRDefault="00C21B85" w:rsidP="00F12682">
      <w:pPr>
        <w:spacing w:after="120" w:line="276" w:lineRule="auto"/>
        <w:jc w:val="both"/>
        <w:rPr>
          <w:rFonts w:ascii="Calibri" w:eastAsiaTheme="majorEastAsia" w:hAnsi="Calibri" w:cs="Calibri"/>
          <w:iCs/>
          <w:sz w:val="24"/>
        </w:rPr>
      </w:pPr>
    </w:p>
    <w:p w14:paraId="36E8EB1D" w14:textId="40D97C57" w:rsidR="00151736" w:rsidRDefault="005970F0" w:rsidP="00F12682">
      <w:pPr>
        <w:pStyle w:val="Lgende"/>
        <w:rPr>
          <w:rFonts w:eastAsiaTheme="majorEastAsia" w:cs="Calibri"/>
          <w:iCs w:val="0"/>
        </w:rPr>
      </w:pPr>
      <w:bookmarkStart w:id="138" w:name="_Toc529305080"/>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26</w:t>
      </w:r>
      <w:r w:rsidR="00A773EB">
        <w:rPr>
          <w:noProof/>
        </w:rPr>
        <w:fldChar w:fldCharType="end"/>
      </w:r>
      <w:r w:rsidR="0023155C" w:rsidRPr="005970F0">
        <w:rPr>
          <w:rFonts w:eastAsiaTheme="majorEastAsia" w:cs="Calibri"/>
          <w:iCs w:val="0"/>
        </w:rPr>
        <w:t xml:space="preserve"> : </w:t>
      </w:r>
      <w:r w:rsidR="00151736" w:rsidRPr="005970F0">
        <w:rPr>
          <w:rFonts w:eastAsiaTheme="majorEastAsia" w:cs="Calibri"/>
          <w:iCs w:val="0"/>
        </w:rPr>
        <w:t>Répartition des investissements par source de financements au MEDD</w:t>
      </w:r>
      <w:r w:rsidR="00857DDC" w:rsidRPr="005970F0">
        <w:rPr>
          <w:rFonts w:eastAsiaTheme="majorEastAsia" w:cs="Calibri"/>
          <w:iCs w:val="0"/>
        </w:rPr>
        <w:t xml:space="preserve"> en 2016</w:t>
      </w:r>
      <w:bookmarkEnd w:id="138"/>
    </w:p>
    <w:tbl>
      <w:tblPr>
        <w:tblW w:w="5000" w:type="pct"/>
        <w:tblCellMar>
          <w:left w:w="70" w:type="dxa"/>
          <w:right w:w="70" w:type="dxa"/>
        </w:tblCellMar>
        <w:tblLook w:val="04A0" w:firstRow="1" w:lastRow="0" w:firstColumn="1" w:lastColumn="0" w:noHBand="0" w:noVBand="1"/>
      </w:tblPr>
      <w:tblGrid>
        <w:gridCol w:w="1923"/>
        <w:gridCol w:w="1923"/>
        <w:gridCol w:w="1924"/>
        <w:gridCol w:w="1924"/>
        <w:gridCol w:w="1924"/>
      </w:tblGrid>
      <w:tr w:rsidR="008C0967" w:rsidRPr="008C0967" w14:paraId="204B1827" w14:textId="21C5EB2E" w:rsidTr="008C0967">
        <w:trPr>
          <w:trHeight w:val="525"/>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AD193D" w14:textId="7880B433" w:rsidR="008C0967" w:rsidRPr="008C0967" w:rsidRDefault="008C0967" w:rsidP="00F12682">
            <w:pPr>
              <w:spacing w:after="0" w:line="240" w:lineRule="auto"/>
              <w:jc w:val="center"/>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Types</w:t>
            </w:r>
            <w:r w:rsidRPr="008C0967">
              <w:rPr>
                <w:rFonts w:ascii="Calibri" w:eastAsia="Times New Roman" w:hAnsi="Calibri" w:cs="Calibri"/>
                <w:b/>
                <w:bCs/>
                <w:color w:val="000000"/>
                <w:sz w:val="20"/>
                <w:szCs w:val="20"/>
                <w:lang w:eastAsia="fr-FR"/>
              </w:rPr>
              <w:t xml:space="preserve"> de financement</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0FAE0C2F" w14:textId="7BFD399F" w:rsidR="008C0967" w:rsidRPr="008C0967" w:rsidRDefault="008C0967" w:rsidP="00F12682">
            <w:pPr>
              <w:spacing w:after="0" w:line="240" w:lineRule="auto"/>
              <w:jc w:val="center"/>
              <w:rPr>
                <w:rFonts w:ascii="Calibri" w:eastAsia="Times New Roman" w:hAnsi="Calibri" w:cs="Calibri"/>
                <w:b/>
                <w:bCs/>
                <w:color w:val="000000"/>
                <w:sz w:val="20"/>
                <w:szCs w:val="20"/>
                <w:lang w:eastAsia="fr-FR"/>
              </w:rPr>
            </w:pPr>
            <w:r w:rsidRPr="008C0967">
              <w:rPr>
                <w:b/>
                <w:bCs/>
                <w:sz w:val="20"/>
                <w:szCs w:val="20"/>
              </w:rPr>
              <w:t>Crédits votés</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23162471" w14:textId="4332B8D2" w:rsidR="008C0967" w:rsidRPr="008C0967" w:rsidRDefault="008C0967" w:rsidP="00F12682">
            <w:pPr>
              <w:spacing w:after="0" w:line="240" w:lineRule="auto"/>
              <w:jc w:val="center"/>
              <w:rPr>
                <w:rFonts w:ascii="Calibri" w:eastAsia="Times New Roman" w:hAnsi="Calibri" w:cs="Calibri"/>
                <w:b/>
                <w:bCs/>
                <w:color w:val="000000"/>
                <w:sz w:val="20"/>
                <w:szCs w:val="20"/>
                <w:lang w:eastAsia="fr-FR"/>
              </w:rPr>
            </w:pPr>
            <w:r w:rsidRPr="008C0967">
              <w:rPr>
                <w:b/>
                <w:bCs/>
                <w:sz w:val="20"/>
                <w:szCs w:val="20"/>
              </w:rPr>
              <w:t>Crédits consommés</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2380D3D3" w14:textId="77777777" w:rsidR="008C0967" w:rsidRPr="008C0967" w:rsidRDefault="008C0967" w:rsidP="00F12682">
            <w:pPr>
              <w:spacing w:after="0" w:line="240" w:lineRule="auto"/>
              <w:jc w:val="center"/>
              <w:rPr>
                <w:rFonts w:ascii="Calibri" w:eastAsia="Times New Roman" w:hAnsi="Calibri" w:cs="Calibri"/>
                <w:b/>
                <w:bCs/>
                <w:color w:val="000000"/>
                <w:sz w:val="20"/>
                <w:szCs w:val="20"/>
                <w:lang w:eastAsia="fr-FR"/>
              </w:rPr>
            </w:pPr>
            <w:r w:rsidRPr="008C0967">
              <w:rPr>
                <w:rFonts w:ascii="Calibri" w:eastAsia="Times New Roman" w:hAnsi="Calibri" w:cs="Calibri"/>
                <w:b/>
                <w:bCs/>
                <w:color w:val="000000"/>
                <w:sz w:val="20"/>
                <w:szCs w:val="20"/>
                <w:lang w:eastAsia="fr-FR"/>
              </w:rPr>
              <w:t>Taux de consommation</w:t>
            </w:r>
          </w:p>
        </w:tc>
        <w:tc>
          <w:tcPr>
            <w:tcW w:w="1000" w:type="pct"/>
            <w:tcBorders>
              <w:top w:val="single" w:sz="8" w:space="0" w:color="auto"/>
              <w:left w:val="nil"/>
              <w:bottom w:val="single" w:sz="8" w:space="0" w:color="auto"/>
              <w:right w:val="single" w:sz="8" w:space="0" w:color="auto"/>
            </w:tcBorders>
            <w:shd w:val="clear" w:color="auto" w:fill="auto"/>
          </w:tcPr>
          <w:p w14:paraId="40DBF9CF" w14:textId="1CB19464" w:rsidR="008C0967" w:rsidRPr="008C0967" w:rsidRDefault="008C0967" w:rsidP="00F12682">
            <w:pPr>
              <w:spacing w:after="0" w:line="240" w:lineRule="auto"/>
              <w:jc w:val="center"/>
              <w:rPr>
                <w:rFonts w:ascii="Calibri" w:eastAsia="Times New Roman" w:hAnsi="Calibri" w:cs="Calibri"/>
                <w:b/>
                <w:bCs/>
                <w:color w:val="000000"/>
                <w:sz w:val="20"/>
                <w:szCs w:val="20"/>
                <w:lang w:eastAsia="fr-FR"/>
              </w:rPr>
            </w:pPr>
            <w:r w:rsidRPr="008C0967">
              <w:rPr>
                <w:b/>
                <w:bCs/>
                <w:sz w:val="20"/>
                <w:szCs w:val="20"/>
              </w:rPr>
              <w:t>Part relative</w:t>
            </w:r>
          </w:p>
        </w:tc>
      </w:tr>
      <w:tr w:rsidR="000D378C" w:rsidRPr="00216743" w14:paraId="48D72C75" w14:textId="520B5995" w:rsidTr="008C0967">
        <w:trPr>
          <w:trHeight w:val="315"/>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7437D0DF" w14:textId="77777777" w:rsidR="000D378C" w:rsidRPr="00216743" w:rsidRDefault="000D378C" w:rsidP="00F12682">
            <w:pPr>
              <w:spacing w:after="0" w:line="240" w:lineRule="auto"/>
              <w:rPr>
                <w:rFonts w:ascii="Calibri" w:eastAsia="Times New Roman" w:hAnsi="Calibri" w:cs="Calibri"/>
                <w:color w:val="000000"/>
                <w:lang w:eastAsia="fr-FR"/>
              </w:rPr>
            </w:pPr>
            <w:r w:rsidRPr="00216743">
              <w:rPr>
                <w:rFonts w:ascii="Calibri" w:eastAsia="Times New Roman" w:hAnsi="Calibri" w:cs="Calibri"/>
                <w:color w:val="000000"/>
                <w:lang w:eastAsia="fr-FR"/>
              </w:rPr>
              <w:t>ANR</w:t>
            </w:r>
          </w:p>
        </w:tc>
        <w:tc>
          <w:tcPr>
            <w:tcW w:w="1000" w:type="pct"/>
            <w:tcBorders>
              <w:top w:val="nil"/>
              <w:left w:val="nil"/>
              <w:bottom w:val="single" w:sz="8" w:space="0" w:color="auto"/>
              <w:right w:val="single" w:sz="8" w:space="0" w:color="auto"/>
            </w:tcBorders>
            <w:shd w:val="clear" w:color="auto" w:fill="auto"/>
            <w:vAlign w:val="center"/>
            <w:hideMark/>
          </w:tcPr>
          <w:p w14:paraId="1C54FDC4" w14:textId="256BD9B4" w:rsidR="000D378C" w:rsidRPr="00216743" w:rsidRDefault="000D378C" w:rsidP="00F12682">
            <w:pPr>
              <w:spacing w:after="0" w:line="240" w:lineRule="auto"/>
              <w:jc w:val="right"/>
              <w:rPr>
                <w:rFonts w:ascii="Calibri" w:eastAsia="Times New Roman" w:hAnsi="Calibri" w:cs="Calibri"/>
                <w:color w:val="000000"/>
                <w:lang w:eastAsia="fr-FR"/>
              </w:rPr>
            </w:pPr>
            <w:r w:rsidRPr="00216743">
              <w:rPr>
                <w:rFonts w:ascii="Calibri" w:eastAsia="Times New Roman" w:hAnsi="Calibri" w:cs="Calibri"/>
                <w:color w:val="000000"/>
                <w:lang w:eastAsia="fr-FR"/>
              </w:rPr>
              <w:t>7</w:t>
            </w:r>
            <w:r w:rsidR="00A4754A" w:rsidRPr="00216743">
              <w:rPr>
                <w:rFonts w:ascii="Calibri" w:eastAsia="Times New Roman" w:hAnsi="Calibri" w:cs="Calibri"/>
                <w:color w:val="000000"/>
                <w:lang w:eastAsia="fr-FR"/>
              </w:rPr>
              <w:t> </w:t>
            </w:r>
            <w:r w:rsidRPr="00216743">
              <w:rPr>
                <w:rFonts w:ascii="Calibri" w:eastAsia="Times New Roman" w:hAnsi="Calibri" w:cs="Calibri"/>
                <w:color w:val="000000"/>
                <w:lang w:eastAsia="fr-FR"/>
              </w:rPr>
              <w:t>364</w:t>
            </w:r>
            <w:r w:rsidR="00A4754A" w:rsidRPr="00216743">
              <w:rPr>
                <w:rFonts w:ascii="Calibri" w:eastAsia="Times New Roman" w:hAnsi="Calibri" w:cs="Calibri"/>
                <w:color w:val="000000"/>
                <w:lang w:eastAsia="fr-FR"/>
              </w:rPr>
              <w:t> </w:t>
            </w:r>
            <w:r w:rsidRPr="00216743">
              <w:rPr>
                <w:rFonts w:ascii="Calibri" w:eastAsia="Times New Roman" w:hAnsi="Calibri" w:cs="Calibri"/>
                <w:color w:val="000000"/>
                <w:lang w:eastAsia="fr-FR"/>
              </w:rPr>
              <w:t>924</w:t>
            </w:r>
            <w:r w:rsidR="00A4754A" w:rsidRPr="00216743">
              <w:rPr>
                <w:rFonts w:ascii="Calibri" w:eastAsia="Times New Roman" w:hAnsi="Calibri" w:cs="Calibri"/>
                <w:color w:val="000000"/>
                <w:lang w:eastAsia="fr-FR"/>
              </w:rPr>
              <w:t xml:space="preserve"> </w:t>
            </w:r>
            <w:r w:rsidRPr="00216743">
              <w:rPr>
                <w:rFonts w:ascii="Calibri" w:eastAsia="Times New Roman" w:hAnsi="Calibri" w:cs="Calibri"/>
                <w:color w:val="000000"/>
                <w:lang w:eastAsia="fr-FR"/>
              </w:rPr>
              <w:t>548</w:t>
            </w:r>
          </w:p>
        </w:tc>
        <w:tc>
          <w:tcPr>
            <w:tcW w:w="1000" w:type="pct"/>
            <w:tcBorders>
              <w:top w:val="nil"/>
              <w:left w:val="nil"/>
              <w:bottom w:val="single" w:sz="8" w:space="0" w:color="auto"/>
              <w:right w:val="single" w:sz="8" w:space="0" w:color="auto"/>
            </w:tcBorders>
            <w:shd w:val="clear" w:color="auto" w:fill="auto"/>
            <w:vAlign w:val="center"/>
            <w:hideMark/>
          </w:tcPr>
          <w:p w14:paraId="0397FA56" w14:textId="321E0524" w:rsidR="000D378C" w:rsidRPr="00216743" w:rsidRDefault="000D378C" w:rsidP="00F12682">
            <w:pPr>
              <w:spacing w:after="0" w:line="240" w:lineRule="auto"/>
              <w:jc w:val="right"/>
              <w:rPr>
                <w:rFonts w:ascii="Calibri" w:eastAsia="Times New Roman" w:hAnsi="Calibri" w:cs="Calibri"/>
                <w:color w:val="000000"/>
                <w:lang w:eastAsia="fr-FR"/>
              </w:rPr>
            </w:pPr>
            <w:r w:rsidRPr="00216743">
              <w:rPr>
                <w:rFonts w:ascii="Calibri" w:eastAsia="Times New Roman" w:hAnsi="Calibri" w:cs="Calibri"/>
                <w:color w:val="000000"/>
                <w:lang w:eastAsia="fr-FR"/>
              </w:rPr>
              <w:t>726</w:t>
            </w:r>
            <w:r w:rsidR="00A4754A" w:rsidRPr="00216743">
              <w:rPr>
                <w:rFonts w:ascii="Calibri" w:eastAsia="Times New Roman" w:hAnsi="Calibri" w:cs="Calibri"/>
                <w:color w:val="000000"/>
                <w:lang w:eastAsia="fr-FR"/>
              </w:rPr>
              <w:t xml:space="preserve"> </w:t>
            </w:r>
            <w:r w:rsidRPr="00216743">
              <w:rPr>
                <w:rFonts w:ascii="Calibri" w:eastAsia="Times New Roman" w:hAnsi="Calibri" w:cs="Calibri"/>
                <w:color w:val="000000"/>
                <w:lang w:eastAsia="fr-FR"/>
              </w:rPr>
              <w:t>005</w:t>
            </w:r>
            <w:r w:rsidR="00A4754A" w:rsidRPr="00216743">
              <w:rPr>
                <w:rFonts w:ascii="Calibri" w:eastAsia="Times New Roman" w:hAnsi="Calibri" w:cs="Calibri"/>
                <w:color w:val="000000"/>
                <w:lang w:eastAsia="fr-FR"/>
              </w:rPr>
              <w:t xml:space="preserve"> </w:t>
            </w:r>
            <w:r w:rsidRPr="00216743">
              <w:rPr>
                <w:rFonts w:ascii="Calibri" w:eastAsia="Times New Roman" w:hAnsi="Calibri" w:cs="Calibri"/>
                <w:color w:val="000000"/>
                <w:lang w:eastAsia="fr-FR"/>
              </w:rPr>
              <w:t>200</w:t>
            </w:r>
          </w:p>
        </w:tc>
        <w:tc>
          <w:tcPr>
            <w:tcW w:w="1000" w:type="pct"/>
            <w:tcBorders>
              <w:top w:val="nil"/>
              <w:left w:val="nil"/>
              <w:bottom w:val="single" w:sz="8" w:space="0" w:color="auto"/>
              <w:right w:val="single" w:sz="8" w:space="0" w:color="auto"/>
            </w:tcBorders>
            <w:shd w:val="clear" w:color="auto" w:fill="auto"/>
            <w:vAlign w:val="center"/>
            <w:hideMark/>
          </w:tcPr>
          <w:p w14:paraId="786B5635" w14:textId="515EE7E5" w:rsidR="000D378C" w:rsidRPr="00216743" w:rsidRDefault="000D378C" w:rsidP="00F12682">
            <w:pPr>
              <w:spacing w:after="0" w:line="240" w:lineRule="auto"/>
              <w:jc w:val="center"/>
              <w:rPr>
                <w:rFonts w:ascii="Calibri" w:hAnsi="Calibri" w:cs="Calibri"/>
                <w:color w:val="000000"/>
              </w:rPr>
            </w:pPr>
            <w:r w:rsidRPr="00216743">
              <w:rPr>
                <w:rFonts w:ascii="Calibri" w:hAnsi="Calibri" w:cs="Calibri"/>
                <w:color w:val="000000"/>
              </w:rPr>
              <w:t>10%</w:t>
            </w:r>
          </w:p>
        </w:tc>
        <w:tc>
          <w:tcPr>
            <w:tcW w:w="1000" w:type="pct"/>
            <w:tcBorders>
              <w:top w:val="nil"/>
              <w:left w:val="nil"/>
              <w:bottom w:val="single" w:sz="8" w:space="0" w:color="auto"/>
              <w:right w:val="single" w:sz="8" w:space="0" w:color="auto"/>
            </w:tcBorders>
            <w:shd w:val="clear" w:color="auto" w:fill="auto"/>
            <w:vAlign w:val="bottom"/>
          </w:tcPr>
          <w:p w14:paraId="18788BBD" w14:textId="10010596" w:rsidR="000D378C" w:rsidRPr="00216743" w:rsidRDefault="000D378C" w:rsidP="00F12682">
            <w:pPr>
              <w:spacing w:after="0" w:line="240" w:lineRule="auto"/>
              <w:jc w:val="center"/>
              <w:rPr>
                <w:rFonts w:ascii="Calibri" w:hAnsi="Calibri" w:cs="Calibri"/>
                <w:color w:val="000000"/>
              </w:rPr>
            </w:pPr>
            <w:r w:rsidRPr="00216743">
              <w:rPr>
                <w:rFonts w:ascii="Calibri" w:hAnsi="Calibri" w:cs="Calibri"/>
                <w:color w:val="000000"/>
              </w:rPr>
              <w:t>57%</w:t>
            </w:r>
          </w:p>
        </w:tc>
      </w:tr>
      <w:tr w:rsidR="000D378C" w:rsidRPr="00216743" w14:paraId="040BABBC" w14:textId="639586A2" w:rsidTr="008C0967">
        <w:trPr>
          <w:trHeight w:val="315"/>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01D1726E" w14:textId="77777777" w:rsidR="000D378C" w:rsidRPr="00216743" w:rsidRDefault="000D378C" w:rsidP="00F12682">
            <w:pPr>
              <w:spacing w:after="0" w:line="240" w:lineRule="auto"/>
              <w:rPr>
                <w:rFonts w:ascii="Calibri" w:eastAsia="Times New Roman" w:hAnsi="Calibri" w:cs="Calibri"/>
                <w:color w:val="000000"/>
                <w:lang w:eastAsia="fr-FR"/>
              </w:rPr>
            </w:pPr>
            <w:r w:rsidRPr="00216743">
              <w:rPr>
                <w:rFonts w:ascii="Calibri" w:eastAsia="Times New Roman" w:hAnsi="Calibri" w:cs="Calibri"/>
                <w:color w:val="000000"/>
                <w:lang w:eastAsia="fr-FR"/>
              </w:rPr>
              <w:t>Ressources PPTE</w:t>
            </w:r>
          </w:p>
        </w:tc>
        <w:tc>
          <w:tcPr>
            <w:tcW w:w="1000" w:type="pct"/>
            <w:tcBorders>
              <w:top w:val="nil"/>
              <w:left w:val="nil"/>
              <w:bottom w:val="single" w:sz="8" w:space="0" w:color="auto"/>
              <w:right w:val="single" w:sz="8" w:space="0" w:color="auto"/>
            </w:tcBorders>
            <w:shd w:val="clear" w:color="auto" w:fill="auto"/>
            <w:vAlign w:val="center"/>
            <w:hideMark/>
          </w:tcPr>
          <w:p w14:paraId="5B1F84FB" w14:textId="77777777" w:rsidR="000D378C" w:rsidRPr="00216743" w:rsidRDefault="000D378C" w:rsidP="00F12682">
            <w:pPr>
              <w:spacing w:after="0" w:line="240" w:lineRule="auto"/>
              <w:jc w:val="right"/>
              <w:rPr>
                <w:rFonts w:ascii="Calibri" w:eastAsia="Times New Roman" w:hAnsi="Calibri" w:cs="Calibri"/>
                <w:color w:val="000000"/>
                <w:lang w:eastAsia="fr-FR"/>
              </w:rPr>
            </w:pPr>
            <w:r w:rsidRPr="00216743">
              <w:rPr>
                <w:rFonts w:ascii="Calibri" w:eastAsia="Times New Roman" w:hAnsi="Calibri" w:cs="Calibri"/>
                <w:color w:val="000000"/>
                <w:lang w:eastAsia="fr-FR"/>
              </w:rPr>
              <w:t>1 157 000 000</w:t>
            </w:r>
          </w:p>
        </w:tc>
        <w:tc>
          <w:tcPr>
            <w:tcW w:w="1000" w:type="pct"/>
            <w:tcBorders>
              <w:top w:val="nil"/>
              <w:left w:val="nil"/>
              <w:bottom w:val="single" w:sz="8" w:space="0" w:color="auto"/>
              <w:right w:val="single" w:sz="8" w:space="0" w:color="auto"/>
            </w:tcBorders>
            <w:shd w:val="clear" w:color="auto" w:fill="auto"/>
            <w:vAlign w:val="center"/>
            <w:hideMark/>
          </w:tcPr>
          <w:p w14:paraId="633D72AA" w14:textId="77777777" w:rsidR="000D378C" w:rsidRPr="00216743" w:rsidRDefault="000D378C" w:rsidP="00F12682">
            <w:pPr>
              <w:spacing w:after="0" w:line="240" w:lineRule="auto"/>
              <w:jc w:val="right"/>
              <w:rPr>
                <w:rFonts w:ascii="Calibri" w:eastAsia="Times New Roman" w:hAnsi="Calibri" w:cs="Calibri"/>
                <w:color w:val="000000"/>
                <w:lang w:eastAsia="fr-FR"/>
              </w:rPr>
            </w:pPr>
            <w:r w:rsidRPr="00216743">
              <w:rPr>
                <w:rFonts w:ascii="Calibri" w:eastAsia="Times New Roman" w:hAnsi="Calibri" w:cs="Calibri"/>
                <w:color w:val="000000"/>
                <w:lang w:eastAsia="fr-FR"/>
              </w:rPr>
              <w:t>364 210 223</w:t>
            </w:r>
          </w:p>
        </w:tc>
        <w:tc>
          <w:tcPr>
            <w:tcW w:w="1000" w:type="pct"/>
            <w:tcBorders>
              <w:top w:val="nil"/>
              <w:left w:val="nil"/>
              <w:bottom w:val="single" w:sz="8" w:space="0" w:color="auto"/>
              <w:right w:val="single" w:sz="8" w:space="0" w:color="auto"/>
            </w:tcBorders>
            <w:shd w:val="clear" w:color="auto" w:fill="auto"/>
            <w:vAlign w:val="center"/>
            <w:hideMark/>
          </w:tcPr>
          <w:p w14:paraId="4764E0AA" w14:textId="77777777" w:rsidR="000D378C" w:rsidRPr="00216743" w:rsidRDefault="000D378C" w:rsidP="00F12682">
            <w:pPr>
              <w:spacing w:after="0" w:line="240" w:lineRule="auto"/>
              <w:jc w:val="center"/>
              <w:rPr>
                <w:rFonts w:ascii="Calibri" w:eastAsia="Times New Roman" w:hAnsi="Calibri" w:cs="Calibri"/>
                <w:color w:val="000000"/>
                <w:lang w:eastAsia="fr-FR"/>
              </w:rPr>
            </w:pPr>
            <w:r w:rsidRPr="00216743">
              <w:rPr>
                <w:rFonts w:ascii="Calibri" w:eastAsia="Times New Roman" w:hAnsi="Calibri" w:cs="Calibri"/>
                <w:color w:val="000000"/>
                <w:lang w:eastAsia="fr-FR"/>
              </w:rPr>
              <w:t>31,50%</w:t>
            </w:r>
          </w:p>
        </w:tc>
        <w:tc>
          <w:tcPr>
            <w:tcW w:w="1000" w:type="pct"/>
            <w:tcBorders>
              <w:top w:val="nil"/>
              <w:left w:val="nil"/>
              <w:bottom w:val="single" w:sz="8" w:space="0" w:color="auto"/>
              <w:right w:val="single" w:sz="8" w:space="0" w:color="auto"/>
            </w:tcBorders>
            <w:shd w:val="clear" w:color="auto" w:fill="auto"/>
            <w:vAlign w:val="bottom"/>
          </w:tcPr>
          <w:p w14:paraId="7A5ADECC" w14:textId="12400F28" w:rsidR="000D378C" w:rsidRPr="00216743" w:rsidRDefault="000D378C" w:rsidP="00F12682">
            <w:pPr>
              <w:spacing w:after="0" w:line="240" w:lineRule="auto"/>
              <w:jc w:val="center"/>
              <w:rPr>
                <w:rFonts w:ascii="Calibri" w:eastAsia="Times New Roman" w:hAnsi="Calibri" w:cs="Calibri"/>
                <w:color w:val="000000"/>
                <w:lang w:eastAsia="fr-FR"/>
              </w:rPr>
            </w:pPr>
            <w:r w:rsidRPr="00216743">
              <w:rPr>
                <w:rFonts w:ascii="Calibri" w:hAnsi="Calibri" w:cs="Calibri"/>
                <w:color w:val="000000"/>
              </w:rPr>
              <w:t>29%</w:t>
            </w:r>
          </w:p>
        </w:tc>
      </w:tr>
      <w:tr w:rsidR="00216743" w:rsidRPr="00216743" w14:paraId="6D222478" w14:textId="0B22322C" w:rsidTr="008C0967">
        <w:trPr>
          <w:trHeight w:val="315"/>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4EC7F3D5" w14:textId="77777777" w:rsidR="00216743" w:rsidRPr="00216743" w:rsidRDefault="00216743" w:rsidP="00F12682">
            <w:pPr>
              <w:spacing w:after="0" w:line="240" w:lineRule="auto"/>
              <w:rPr>
                <w:rFonts w:ascii="Calibri" w:eastAsia="Times New Roman" w:hAnsi="Calibri" w:cs="Calibri"/>
                <w:color w:val="000000"/>
                <w:lang w:eastAsia="fr-FR"/>
              </w:rPr>
            </w:pPr>
            <w:r w:rsidRPr="00216743">
              <w:rPr>
                <w:rFonts w:ascii="Calibri" w:eastAsia="Times New Roman" w:hAnsi="Calibri" w:cs="Calibri"/>
                <w:color w:val="000000"/>
                <w:lang w:eastAsia="fr-FR"/>
              </w:rPr>
              <w:t>Trésor</w:t>
            </w:r>
          </w:p>
        </w:tc>
        <w:tc>
          <w:tcPr>
            <w:tcW w:w="1000" w:type="pct"/>
            <w:tcBorders>
              <w:top w:val="nil"/>
              <w:left w:val="nil"/>
              <w:bottom w:val="single" w:sz="8" w:space="0" w:color="auto"/>
              <w:right w:val="single" w:sz="8" w:space="0" w:color="auto"/>
            </w:tcBorders>
            <w:shd w:val="clear" w:color="auto" w:fill="auto"/>
            <w:vAlign w:val="bottom"/>
            <w:hideMark/>
          </w:tcPr>
          <w:p w14:paraId="67E2167B" w14:textId="4025DEEB" w:rsidR="00216743" w:rsidRPr="00216743" w:rsidRDefault="00216743" w:rsidP="00F12682">
            <w:pPr>
              <w:spacing w:after="0" w:line="240" w:lineRule="auto"/>
              <w:jc w:val="right"/>
              <w:rPr>
                <w:rFonts w:ascii="Calibri" w:eastAsia="Times New Roman" w:hAnsi="Calibri" w:cs="Calibri"/>
                <w:color w:val="000000"/>
                <w:lang w:eastAsia="fr-FR"/>
              </w:rPr>
            </w:pPr>
            <w:r w:rsidRPr="00216743">
              <w:rPr>
                <w:rFonts w:ascii="Calibri" w:hAnsi="Calibri" w:cs="Calibri"/>
                <w:color w:val="000000"/>
              </w:rPr>
              <w:t>1 441 391 281</w:t>
            </w:r>
          </w:p>
        </w:tc>
        <w:tc>
          <w:tcPr>
            <w:tcW w:w="1000" w:type="pct"/>
            <w:tcBorders>
              <w:top w:val="nil"/>
              <w:left w:val="nil"/>
              <w:bottom w:val="single" w:sz="8" w:space="0" w:color="auto"/>
              <w:right w:val="single" w:sz="8" w:space="0" w:color="auto"/>
            </w:tcBorders>
            <w:shd w:val="clear" w:color="auto" w:fill="auto"/>
            <w:vAlign w:val="bottom"/>
            <w:hideMark/>
          </w:tcPr>
          <w:p w14:paraId="6785604C" w14:textId="0F9EC7BA" w:rsidR="00216743" w:rsidRPr="00216743" w:rsidRDefault="00216743" w:rsidP="00F12682">
            <w:pPr>
              <w:spacing w:after="0" w:line="240" w:lineRule="auto"/>
              <w:jc w:val="right"/>
              <w:rPr>
                <w:rFonts w:ascii="Calibri" w:eastAsia="Times New Roman" w:hAnsi="Calibri" w:cs="Calibri"/>
                <w:color w:val="000000"/>
                <w:lang w:eastAsia="fr-FR"/>
              </w:rPr>
            </w:pPr>
            <w:r w:rsidRPr="00216743">
              <w:rPr>
                <w:rFonts w:ascii="Calibri" w:hAnsi="Calibri" w:cs="Calibri"/>
                <w:color w:val="000000"/>
              </w:rPr>
              <w:t>184 825 445</w:t>
            </w:r>
          </w:p>
        </w:tc>
        <w:tc>
          <w:tcPr>
            <w:tcW w:w="1000" w:type="pct"/>
            <w:tcBorders>
              <w:top w:val="nil"/>
              <w:left w:val="nil"/>
              <w:bottom w:val="single" w:sz="8" w:space="0" w:color="auto"/>
              <w:right w:val="single" w:sz="8" w:space="0" w:color="auto"/>
            </w:tcBorders>
            <w:shd w:val="clear" w:color="auto" w:fill="auto"/>
            <w:vAlign w:val="bottom"/>
            <w:hideMark/>
          </w:tcPr>
          <w:p w14:paraId="02CC27DE" w14:textId="76A02818" w:rsidR="00216743" w:rsidRPr="00216743" w:rsidRDefault="00216743" w:rsidP="00F12682">
            <w:pPr>
              <w:spacing w:after="0" w:line="240" w:lineRule="auto"/>
              <w:jc w:val="center"/>
              <w:rPr>
                <w:rFonts w:ascii="Calibri" w:eastAsia="Times New Roman" w:hAnsi="Calibri" w:cs="Calibri"/>
                <w:color w:val="000000"/>
                <w:lang w:eastAsia="fr-FR"/>
              </w:rPr>
            </w:pPr>
            <w:r w:rsidRPr="00216743">
              <w:rPr>
                <w:rFonts w:ascii="Calibri" w:hAnsi="Calibri" w:cs="Calibri"/>
                <w:color w:val="000000"/>
              </w:rPr>
              <w:t>13%</w:t>
            </w:r>
          </w:p>
        </w:tc>
        <w:tc>
          <w:tcPr>
            <w:tcW w:w="1000" w:type="pct"/>
            <w:tcBorders>
              <w:top w:val="nil"/>
              <w:left w:val="nil"/>
              <w:bottom w:val="single" w:sz="8" w:space="0" w:color="auto"/>
              <w:right w:val="single" w:sz="8" w:space="0" w:color="auto"/>
            </w:tcBorders>
            <w:shd w:val="clear" w:color="auto" w:fill="auto"/>
            <w:vAlign w:val="bottom"/>
          </w:tcPr>
          <w:p w14:paraId="39EB716A" w14:textId="1ED29DB6" w:rsidR="00216743" w:rsidRPr="00216743" w:rsidRDefault="00216743" w:rsidP="00F12682">
            <w:pPr>
              <w:spacing w:after="0" w:line="240" w:lineRule="auto"/>
              <w:jc w:val="center"/>
              <w:rPr>
                <w:rFonts w:ascii="Calibri" w:eastAsia="Times New Roman" w:hAnsi="Calibri" w:cs="Calibri"/>
                <w:color w:val="000000"/>
                <w:lang w:eastAsia="fr-FR"/>
              </w:rPr>
            </w:pPr>
            <w:r w:rsidRPr="00216743">
              <w:rPr>
                <w:rFonts w:ascii="Calibri" w:hAnsi="Calibri" w:cs="Calibri"/>
                <w:color w:val="000000"/>
              </w:rPr>
              <w:t>14%</w:t>
            </w:r>
          </w:p>
        </w:tc>
      </w:tr>
      <w:tr w:rsidR="000D378C" w:rsidRPr="00216743" w14:paraId="2FE8A296" w14:textId="11B3CBF5" w:rsidTr="008C0967">
        <w:trPr>
          <w:trHeight w:val="315"/>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714B16CC" w14:textId="77777777" w:rsidR="000D378C" w:rsidRPr="00216743" w:rsidRDefault="000D378C" w:rsidP="00F12682">
            <w:pPr>
              <w:spacing w:after="0" w:line="240" w:lineRule="auto"/>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Total général</w:t>
            </w:r>
          </w:p>
        </w:tc>
        <w:tc>
          <w:tcPr>
            <w:tcW w:w="1000" w:type="pct"/>
            <w:tcBorders>
              <w:top w:val="nil"/>
              <w:left w:val="nil"/>
              <w:bottom w:val="single" w:sz="8" w:space="0" w:color="auto"/>
              <w:right w:val="single" w:sz="8" w:space="0" w:color="auto"/>
            </w:tcBorders>
            <w:shd w:val="clear" w:color="auto" w:fill="auto"/>
            <w:vAlign w:val="center"/>
            <w:hideMark/>
          </w:tcPr>
          <w:p w14:paraId="68B696D4" w14:textId="77777777" w:rsidR="000D378C" w:rsidRPr="00216743" w:rsidRDefault="000D378C" w:rsidP="00F12682">
            <w:pPr>
              <w:spacing w:after="0" w:line="240" w:lineRule="auto"/>
              <w:jc w:val="right"/>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9 963 315 829</w:t>
            </w:r>
          </w:p>
        </w:tc>
        <w:tc>
          <w:tcPr>
            <w:tcW w:w="1000" w:type="pct"/>
            <w:tcBorders>
              <w:top w:val="nil"/>
              <w:left w:val="nil"/>
              <w:bottom w:val="single" w:sz="8" w:space="0" w:color="auto"/>
              <w:right w:val="single" w:sz="8" w:space="0" w:color="auto"/>
            </w:tcBorders>
            <w:shd w:val="clear" w:color="auto" w:fill="auto"/>
            <w:vAlign w:val="center"/>
            <w:hideMark/>
          </w:tcPr>
          <w:p w14:paraId="3FC533A2" w14:textId="77777777" w:rsidR="000D378C" w:rsidRPr="00216743" w:rsidRDefault="000D378C" w:rsidP="00F12682">
            <w:pPr>
              <w:spacing w:after="0" w:line="240" w:lineRule="auto"/>
              <w:jc w:val="right"/>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1 275 040 868</w:t>
            </w:r>
          </w:p>
        </w:tc>
        <w:tc>
          <w:tcPr>
            <w:tcW w:w="1000" w:type="pct"/>
            <w:tcBorders>
              <w:top w:val="nil"/>
              <w:left w:val="nil"/>
              <w:bottom w:val="single" w:sz="8" w:space="0" w:color="auto"/>
              <w:right w:val="single" w:sz="8" w:space="0" w:color="auto"/>
            </w:tcBorders>
            <w:shd w:val="clear" w:color="auto" w:fill="auto"/>
            <w:vAlign w:val="center"/>
            <w:hideMark/>
          </w:tcPr>
          <w:p w14:paraId="0B5AA7EB" w14:textId="77777777" w:rsidR="000D378C" w:rsidRPr="00216743" w:rsidRDefault="000D378C" w:rsidP="00F12682">
            <w:pPr>
              <w:spacing w:after="0" w:line="240" w:lineRule="auto"/>
              <w:jc w:val="center"/>
              <w:rPr>
                <w:rFonts w:ascii="Calibri" w:eastAsia="Times New Roman" w:hAnsi="Calibri" w:cs="Calibri"/>
                <w:b/>
                <w:bCs/>
                <w:color w:val="000000"/>
                <w:lang w:eastAsia="fr-FR"/>
              </w:rPr>
            </w:pPr>
            <w:r w:rsidRPr="00216743">
              <w:rPr>
                <w:rFonts w:ascii="Calibri" w:eastAsia="Times New Roman" w:hAnsi="Calibri" w:cs="Calibri"/>
                <w:b/>
                <w:bCs/>
                <w:color w:val="000000"/>
                <w:lang w:eastAsia="fr-FR"/>
              </w:rPr>
              <w:t>12,80%</w:t>
            </w:r>
          </w:p>
        </w:tc>
        <w:tc>
          <w:tcPr>
            <w:tcW w:w="1000" w:type="pct"/>
            <w:tcBorders>
              <w:top w:val="nil"/>
              <w:left w:val="nil"/>
              <w:bottom w:val="single" w:sz="8" w:space="0" w:color="auto"/>
              <w:right w:val="single" w:sz="8" w:space="0" w:color="auto"/>
            </w:tcBorders>
            <w:shd w:val="clear" w:color="auto" w:fill="auto"/>
            <w:vAlign w:val="bottom"/>
          </w:tcPr>
          <w:p w14:paraId="39A4401C" w14:textId="3F6AA23E" w:rsidR="000D378C" w:rsidRPr="00216743" w:rsidRDefault="000D378C" w:rsidP="00F12682">
            <w:pPr>
              <w:spacing w:after="0" w:line="240" w:lineRule="auto"/>
              <w:jc w:val="center"/>
              <w:rPr>
                <w:rFonts w:ascii="Calibri" w:eastAsia="Times New Roman" w:hAnsi="Calibri" w:cs="Calibri"/>
                <w:b/>
                <w:bCs/>
                <w:color w:val="000000"/>
                <w:lang w:eastAsia="fr-FR"/>
              </w:rPr>
            </w:pPr>
            <w:r w:rsidRPr="00216743">
              <w:rPr>
                <w:rFonts w:ascii="Calibri" w:hAnsi="Calibri" w:cs="Calibri"/>
                <w:b/>
                <w:color w:val="000000"/>
              </w:rPr>
              <w:t>100%</w:t>
            </w:r>
          </w:p>
        </w:tc>
      </w:tr>
    </w:tbl>
    <w:p w14:paraId="2D39B834" w14:textId="3858E1F1" w:rsidR="00AC2D58" w:rsidRDefault="00AC2D58" w:rsidP="00F12682">
      <w:pPr>
        <w:spacing w:after="120" w:line="276" w:lineRule="auto"/>
        <w:jc w:val="both"/>
        <w:rPr>
          <w:rFonts w:ascii="Calibri" w:eastAsiaTheme="majorEastAsia" w:hAnsi="Calibri" w:cs="Calibri"/>
          <w:iCs/>
          <w:sz w:val="24"/>
        </w:rPr>
      </w:pPr>
    </w:p>
    <w:p w14:paraId="4C4272BB" w14:textId="77777777" w:rsidR="00FB2347" w:rsidRPr="004A5122" w:rsidRDefault="00FB2347" w:rsidP="00F12682">
      <w:pPr>
        <w:pStyle w:val="Titre4"/>
        <w:rPr>
          <w:rFonts w:asciiTheme="minorHAnsi" w:hAnsiTheme="minorHAnsi" w:cstheme="minorHAnsi"/>
        </w:rPr>
      </w:pPr>
      <w:r w:rsidRPr="004A5122">
        <w:rPr>
          <w:rFonts w:asciiTheme="minorHAnsi" w:hAnsiTheme="minorHAnsi" w:cstheme="minorHAnsi"/>
        </w:rPr>
        <w:t>Synthèses des forces et faiblesses, perspectives d’amélioration</w:t>
      </w:r>
    </w:p>
    <w:p w14:paraId="495B3360" w14:textId="77777777" w:rsidR="004562E9" w:rsidRPr="00857DDC" w:rsidRDefault="004562E9" w:rsidP="00F12682">
      <w:pPr>
        <w:spacing w:after="120" w:line="276" w:lineRule="auto"/>
        <w:jc w:val="both"/>
        <w:rPr>
          <w:rFonts w:ascii="Calibri" w:eastAsiaTheme="majorEastAsia" w:hAnsi="Calibri" w:cs="Calibri"/>
          <w:iCs/>
          <w:sz w:val="24"/>
        </w:rPr>
      </w:pPr>
      <w:r w:rsidRPr="00857DDC">
        <w:rPr>
          <w:rFonts w:ascii="Calibri" w:eastAsiaTheme="majorEastAsia" w:hAnsi="Calibri" w:cs="Calibri"/>
          <w:iCs/>
          <w:sz w:val="24"/>
        </w:rPr>
        <w:t xml:space="preserve">Les difficultés rencontrées au cours de l’exécution des activités et qui expliquent les faibles taux de réalisations sont entre autres : </w:t>
      </w:r>
    </w:p>
    <w:p w14:paraId="4ACED5C5" w14:textId="77777777" w:rsidR="004562E9" w:rsidRPr="00857DDC" w:rsidRDefault="004562E9" w:rsidP="00F12682">
      <w:pPr>
        <w:pStyle w:val="Paragraphedeliste"/>
        <w:numPr>
          <w:ilvl w:val="0"/>
          <w:numId w:val="19"/>
        </w:numPr>
        <w:spacing w:after="120" w:line="276" w:lineRule="auto"/>
        <w:ind w:left="714" w:hanging="357"/>
        <w:contextualSpacing w:val="0"/>
        <w:jc w:val="both"/>
        <w:rPr>
          <w:rFonts w:ascii="Calibri" w:eastAsiaTheme="majorEastAsia" w:hAnsi="Calibri" w:cs="Calibri"/>
          <w:iCs/>
          <w:sz w:val="24"/>
        </w:rPr>
      </w:pPr>
      <w:r w:rsidRPr="00857DDC">
        <w:rPr>
          <w:rFonts w:ascii="Calibri" w:eastAsiaTheme="majorEastAsia" w:hAnsi="Calibri" w:cs="Calibri"/>
          <w:iCs/>
          <w:sz w:val="24"/>
        </w:rPr>
        <w:t>L’insuffisance de synergie entre la multitude d'acteurs intervenant dans le secteur de l'environnement, particulièrement dans la GDT,</w:t>
      </w:r>
    </w:p>
    <w:p w14:paraId="7BEBD5FB" w14:textId="0055DF95" w:rsidR="004562E9" w:rsidRPr="00857DDC" w:rsidRDefault="00857DDC" w:rsidP="00F12682">
      <w:pPr>
        <w:pStyle w:val="Paragraphedeliste"/>
        <w:numPr>
          <w:ilvl w:val="0"/>
          <w:numId w:val="19"/>
        </w:numPr>
        <w:spacing w:after="120" w:line="276" w:lineRule="auto"/>
        <w:ind w:left="714" w:hanging="357"/>
        <w:contextualSpacing w:val="0"/>
        <w:jc w:val="both"/>
        <w:rPr>
          <w:rFonts w:ascii="Calibri" w:eastAsiaTheme="majorEastAsia" w:hAnsi="Calibri" w:cs="Calibri"/>
          <w:iCs/>
          <w:sz w:val="24"/>
        </w:rPr>
      </w:pPr>
      <w:r>
        <w:rPr>
          <w:rFonts w:ascii="Calibri" w:eastAsiaTheme="majorEastAsia" w:hAnsi="Calibri" w:cs="Calibri"/>
          <w:iCs/>
          <w:sz w:val="24"/>
        </w:rPr>
        <w:t xml:space="preserve">Le faible </w:t>
      </w:r>
      <w:r w:rsidR="004562E9" w:rsidRPr="00857DDC">
        <w:rPr>
          <w:rFonts w:ascii="Calibri" w:eastAsiaTheme="majorEastAsia" w:hAnsi="Calibri" w:cs="Calibri"/>
          <w:iCs/>
          <w:sz w:val="24"/>
        </w:rPr>
        <w:t xml:space="preserve">niveau de financement des actions de Gestion </w:t>
      </w:r>
      <w:r>
        <w:rPr>
          <w:rFonts w:ascii="Calibri" w:eastAsiaTheme="majorEastAsia" w:hAnsi="Calibri" w:cs="Calibri"/>
          <w:iCs/>
          <w:sz w:val="24"/>
        </w:rPr>
        <w:t>des Ressources Naturelles (GRN)</w:t>
      </w:r>
      <w:r w:rsidR="004562E9" w:rsidRPr="00857DDC">
        <w:rPr>
          <w:rFonts w:ascii="Calibri" w:eastAsiaTheme="majorEastAsia" w:hAnsi="Calibri" w:cs="Calibri"/>
          <w:iCs/>
          <w:sz w:val="24"/>
        </w:rPr>
        <w:t xml:space="preserve"> sur le budget national et celui</w:t>
      </w:r>
      <w:r w:rsidR="003D34E5">
        <w:rPr>
          <w:rFonts w:ascii="Calibri" w:eastAsiaTheme="majorEastAsia" w:hAnsi="Calibri" w:cs="Calibri"/>
          <w:iCs/>
          <w:sz w:val="24"/>
        </w:rPr>
        <w:t xml:space="preserve"> </w:t>
      </w:r>
      <w:r w:rsidR="004562E9" w:rsidRPr="00857DDC">
        <w:rPr>
          <w:rFonts w:ascii="Calibri" w:eastAsiaTheme="majorEastAsia" w:hAnsi="Calibri" w:cs="Calibri"/>
          <w:iCs/>
          <w:sz w:val="24"/>
        </w:rPr>
        <w:t xml:space="preserve">des collectivités ; </w:t>
      </w:r>
    </w:p>
    <w:p w14:paraId="217D0236" w14:textId="1DBA7BCF" w:rsidR="004562E9" w:rsidRPr="00857DDC" w:rsidRDefault="004562E9" w:rsidP="00F12682">
      <w:pPr>
        <w:pStyle w:val="Paragraphedeliste"/>
        <w:numPr>
          <w:ilvl w:val="0"/>
          <w:numId w:val="19"/>
        </w:numPr>
        <w:spacing w:after="120" w:line="276" w:lineRule="auto"/>
        <w:ind w:left="714" w:hanging="357"/>
        <w:contextualSpacing w:val="0"/>
        <w:jc w:val="both"/>
        <w:rPr>
          <w:rFonts w:ascii="Calibri" w:eastAsiaTheme="majorEastAsia" w:hAnsi="Calibri" w:cs="Calibri"/>
          <w:iCs/>
          <w:sz w:val="24"/>
        </w:rPr>
      </w:pPr>
      <w:r w:rsidRPr="00857DDC">
        <w:rPr>
          <w:rFonts w:ascii="Calibri" w:eastAsiaTheme="majorEastAsia" w:hAnsi="Calibri" w:cs="Calibri"/>
          <w:iCs/>
          <w:sz w:val="24"/>
        </w:rPr>
        <w:t>Le sous payement des activités de CES/DRS et de fixat</w:t>
      </w:r>
      <w:r w:rsidR="007A76B6" w:rsidRPr="00857DDC">
        <w:rPr>
          <w:rFonts w:ascii="Calibri" w:eastAsiaTheme="majorEastAsia" w:hAnsi="Calibri" w:cs="Calibri"/>
          <w:iCs/>
          <w:sz w:val="24"/>
        </w:rPr>
        <w:t xml:space="preserve">ion de dunes par certaines </w:t>
      </w:r>
      <w:proofErr w:type="spellStart"/>
      <w:r w:rsidR="007A76B6" w:rsidRPr="00857DDC">
        <w:rPr>
          <w:rFonts w:ascii="Calibri" w:eastAsiaTheme="majorEastAsia" w:hAnsi="Calibri" w:cs="Calibri"/>
          <w:iCs/>
          <w:sz w:val="24"/>
        </w:rPr>
        <w:t>ONGs</w:t>
      </w:r>
      <w:proofErr w:type="spellEnd"/>
      <w:r w:rsidR="007A76B6" w:rsidRPr="00857DDC">
        <w:rPr>
          <w:rFonts w:ascii="Calibri" w:eastAsiaTheme="majorEastAsia" w:hAnsi="Calibri" w:cs="Calibri"/>
          <w:iCs/>
          <w:sz w:val="24"/>
        </w:rPr>
        <w:t> ;</w:t>
      </w:r>
    </w:p>
    <w:p w14:paraId="53CA8731" w14:textId="192DDCF7" w:rsidR="004562E9" w:rsidRPr="00857DDC" w:rsidRDefault="004562E9" w:rsidP="00F12682">
      <w:pPr>
        <w:pStyle w:val="Paragraphedeliste"/>
        <w:numPr>
          <w:ilvl w:val="0"/>
          <w:numId w:val="19"/>
        </w:numPr>
        <w:spacing w:after="120" w:line="276" w:lineRule="auto"/>
        <w:ind w:left="714" w:hanging="357"/>
        <w:contextualSpacing w:val="0"/>
        <w:jc w:val="both"/>
        <w:rPr>
          <w:rFonts w:ascii="Calibri" w:eastAsiaTheme="majorEastAsia" w:hAnsi="Calibri" w:cs="Calibri"/>
          <w:iCs/>
          <w:sz w:val="24"/>
        </w:rPr>
      </w:pPr>
      <w:r w:rsidRPr="00857DDC">
        <w:rPr>
          <w:rFonts w:ascii="Calibri" w:eastAsiaTheme="majorEastAsia" w:hAnsi="Calibri" w:cs="Calibri"/>
          <w:iCs/>
          <w:sz w:val="24"/>
        </w:rPr>
        <w:t xml:space="preserve">Le faible intérêt de la plus part des conseils municipaux pour les dossiers de </w:t>
      </w:r>
      <w:r w:rsidR="007A76B6" w:rsidRPr="00857DDC">
        <w:rPr>
          <w:rFonts w:ascii="Calibri" w:eastAsiaTheme="majorEastAsia" w:hAnsi="Calibri" w:cs="Calibri"/>
          <w:iCs/>
          <w:sz w:val="24"/>
        </w:rPr>
        <w:t>microprojets</w:t>
      </w:r>
      <w:r w:rsidRPr="00857DDC">
        <w:rPr>
          <w:rFonts w:ascii="Calibri" w:eastAsiaTheme="majorEastAsia" w:hAnsi="Calibri" w:cs="Calibri"/>
          <w:iCs/>
          <w:sz w:val="24"/>
        </w:rPr>
        <w:t xml:space="preserve"> de Gestion de Ressources Naturelles (GRN);</w:t>
      </w:r>
    </w:p>
    <w:p w14:paraId="1BB137C6" w14:textId="77777777" w:rsidR="004562E9" w:rsidRPr="00857DDC" w:rsidRDefault="004562E9" w:rsidP="00F12682">
      <w:pPr>
        <w:pStyle w:val="Paragraphedeliste"/>
        <w:numPr>
          <w:ilvl w:val="0"/>
          <w:numId w:val="19"/>
        </w:numPr>
        <w:spacing w:after="120" w:line="276" w:lineRule="auto"/>
        <w:ind w:left="714" w:hanging="357"/>
        <w:contextualSpacing w:val="0"/>
        <w:jc w:val="both"/>
        <w:rPr>
          <w:rFonts w:ascii="Calibri" w:eastAsiaTheme="majorEastAsia" w:hAnsi="Calibri" w:cs="Calibri"/>
          <w:iCs/>
          <w:sz w:val="24"/>
        </w:rPr>
      </w:pPr>
      <w:r w:rsidRPr="00857DDC">
        <w:rPr>
          <w:rFonts w:ascii="Calibri" w:eastAsiaTheme="majorEastAsia" w:hAnsi="Calibri" w:cs="Calibri"/>
          <w:iCs/>
          <w:sz w:val="24"/>
        </w:rPr>
        <w:t>La faible mobilisation des ressources financières (Autorisation des Dépenses) au niveau des paieries régionales ;</w:t>
      </w:r>
    </w:p>
    <w:p w14:paraId="78B559A7" w14:textId="77777777" w:rsidR="004562E9" w:rsidRDefault="004562E9" w:rsidP="00F12682">
      <w:pPr>
        <w:pStyle w:val="Paragraphedeliste"/>
        <w:numPr>
          <w:ilvl w:val="0"/>
          <w:numId w:val="19"/>
        </w:numPr>
        <w:spacing w:after="120" w:line="276" w:lineRule="auto"/>
        <w:ind w:left="714" w:hanging="357"/>
        <w:contextualSpacing w:val="0"/>
        <w:jc w:val="both"/>
        <w:rPr>
          <w:rFonts w:ascii="Calibri" w:eastAsiaTheme="majorEastAsia" w:hAnsi="Calibri" w:cs="Calibri"/>
          <w:iCs/>
          <w:sz w:val="24"/>
        </w:rPr>
      </w:pPr>
      <w:r w:rsidRPr="00857DDC">
        <w:rPr>
          <w:rFonts w:ascii="Calibri" w:eastAsiaTheme="majorEastAsia" w:hAnsi="Calibri" w:cs="Calibri"/>
          <w:iCs/>
          <w:sz w:val="24"/>
        </w:rPr>
        <w:t>Enfin, l’insuffisance dans la collecte des données sur les programmations et les réalisations de certains partenaires (</w:t>
      </w:r>
      <w:proofErr w:type="spellStart"/>
      <w:r w:rsidRPr="00857DDC">
        <w:rPr>
          <w:rFonts w:ascii="Calibri" w:eastAsiaTheme="majorEastAsia" w:hAnsi="Calibri" w:cs="Calibri"/>
          <w:iCs/>
          <w:sz w:val="24"/>
        </w:rPr>
        <w:t>ONGs</w:t>
      </w:r>
      <w:proofErr w:type="spellEnd"/>
      <w:r w:rsidRPr="00857DDC">
        <w:rPr>
          <w:rFonts w:ascii="Calibri" w:eastAsiaTheme="majorEastAsia" w:hAnsi="Calibri" w:cs="Calibri"/>
          <w:iCs/>
          <w:sz w:val="24"/>
        </w:rPr>
        <w:t xml:space="preserve"> et Associations) intervenant dans le secteur.</w:t>
      </w:r>
    </w:p>
    <w:p w14:paraId="7A0AB2F7" w14:textId="77777777" w:rsidR="007F01B2" w:rsidRDefault="007F01B2" w:rsidP="00F12682">
      <w:pPr>
        <w:spacing w:after="120" w:line="276" w:lineRule="auto"/>
        <w:jc w:val="both"/>
        <w:rPr>
          <w:rFonts w:ascii="Calibri" w:eastAsiaTheme="majorEastAsia" w:hAnsi="Calibri" w:cs="Calibri"/>
          <w:iCs/>
          <w:sz w:val="24"/>
        </w:rPr>
      </w:pPr>
    </w:p>
    <w:p w14:paraId="7C8E0D26" w14:textId="77777777" w:rsidR="008C0967" w:rsidRDefault="008C0967" w:rsidP="00F12682">
      <w:pPr>
        <w:spacing w:after="120" w:line="276" w:lineRule="auto"/>
        <w:jc w:val="both"/>
        <w:rPr>
          <w:rFonts w:ascii="Calibri" w:eastAsiaTheme="majorEastAsia" w:hAnsi="Calibri" w:cs="Calibri"/>
          <w:iCs/>
          <w:sz w:val="24"/>
        </w:rPr>
      </w:pPr>
    </w:p>
    <w:p w14:paraId="16F755B2" w14:textId="77777777" w:rsidR="00E26EC3" w:rsidRDefault="00E26EC3" w:rsidP="00F12682">
      <w:pPr>
        <w:spacing w:after="120" w:line="276" w:lineRule="auto"/>
        <w:jc w:val="both"/>
        <w:rPr>
          <w:rFonts w:ascii="Calibri" w:eastAsiaTheme="majorEastAsia" w:hAnsi="Calibri" w:cs="Calibri"/>
          <w:iCs/>
          <w:sz w:val="24"/>
        </w:rPr>
      </w:pPr>
    </w:p>
    <w:p w14:paraId="299F40D7" w14:textId="77777777" w:rsidR="00E26EC3" w:rsidRPr="007F01B2" w:rsidRDefault="00E26EC3" w:rsidP="00F12682">
      <w:pPr>
        <w:spacing w:after="120" w:line="276" w:lineRule="auto"/>
        <w:jc w:val="both"/>
        <w:rPr>
          <w:rFonts w:ascii="Calibri" w:eastAsiaTheme="majorEastAsia" w:hAnsi="Calibri" w:cs="Calibri"/>
          <w:iCs/>
          <w:sz w:val="24"/>
        </w:rPr>
      </w:pPr>
    </w:p>
    <w:p w14:paraId="0EBD63EC" w14:textId="6839C562" w:rsidR="00035CA3" w:rsidRPr="004A5122" w:rsidRDefault="00035CA3" w:rsidP="00F12682">
      <w:pPr>
        <w:pStyle w:val="Titre3"/>
        <w:numPr>
          <w:ilvl w:val="2"/>
          <w:numId w:val="3"/>
        </w:numPr>
        <w:rPr>
          <w:rFonts w:asciiTheme="minorHAnsi" w:hAnsiTheme="minorHAnsi" w:cstheme="minorHAnsi"/>
          <w:i w:val="0"/>
        </w:rPr>
      </w:pPr>
      <w:bookmarkStart w:id="139" w:name="_Toc529305034"/>
      <w:r w:rsidRPr="004A5122">
        <w:rPr>
          <w:rFonts w:asciiTheme="minorHAnsi" w:hAnsiTheme="minorHAnsi" w:cstheme="minorHAnsi"/>
        </w:rPr>
        <w:lastRenderedPageBreak/>
        <w:t>Ministère de l’Hydraul</w:t>
      </w:r>
      <w:r w:rsidR="00FB7BFC">
        <w:rPr>
          <w:rFonts w:asciiTheme="minorHAnsi" w:hAnsiTheme="minorHAnsi" w:cstheme="minorHAnsi"/>
        </w:rPr>
        <w:t>ique et de l’Assainissement (MH</w:t>
      </w:r>
      <w:r w:rsidRPr="004A5122">
        <w:rPr>
          <w:rFonts w:asciiTheme="minorHAnsi" w:hAnsiTheme="minorHAnsi" w:cstheme="minorHAnsi"/>
        </w:rPr>
        <w:t>A)</w:t>
      </w:r>
      <w:bookmarkEnd w:id="139"/>
    </w:p>
    <w:p w14:paraId="12AF0A50" w14:textId="77777777" w:rsidR="00035CA3" w:rsidRPr="00857DDC" w:rsidRDefault="00035CA3" w:rsidP="00F12682">
      <w:pPr>
        <w:pStyle w:val="Titre4"/>
        <w:rPr>
          <w:rFonts w:asciiTheme="minorHAnsi" w:hAnsiTheme="minorHAnsi" w:cstheme="minorHAnsi"/>
        </w:rPr>
      </w:pPr>
      <w:r w:rsidRPr="00857DDC">
        <w:rPr>
          <w:rFonts w:asciiTheme="minorHAnsi" w:hAnsiTheme="minorHAnsi" w:cstheme="minorHAnsi"/>
        </w:rPr>
        <w:t>Analyse de l’évolution et de la pertinence des allocations budgétaires du secteur (financement global) par rapport aux priorités</w:t>
      </w:r>
    </w:p>
    <w:p w14:paraId="602B4DAB" w14:textId="75399FDB" w:rsidR="00035CA3" w:rsidRPr="008C0967" w:rsidRDefault="00035CA3" w:rsidP="00F12682">
      <w:pPr>
        <w:spacing w:after="120" w:line="276" w:lineRule="auto"/>
        <w:jc w:val="both"/>
        <w:rPr>
          <w:rFonts w:ascii="Calibri" w:eastAsiaTheme="majorEastAsia" w:hAnsi="Calibri" w:cs="Calibri"/>
          <w:iCs/>
          <w:sz w:val="24"/>
        </w:rPr>
      </w:pPr>
      <w:r w:rsidRPr="008C0967">
        <w:rPr>
          <w:rFonts w:ascii="Calibri" w:eastAsiaTheme="majorEastAsia" w:hAnsi="Calibri" w:cs="Calibri"/>
          <w:iCs/>
          <w:sz w:val="24"/>
        </w:rPr>
        <w:t xml:space="preserve">Au cours des années 2011 à 2015, le budget du </w:t>
      </w:r>
      <w:r w:rsidR="00757CF6" w:rsidRPr="008C0967">
        <w:rPr>
          <w:rFonts w:ascii="Calibri" w:eastAsiaTheme="majorEastAsia" w:hAnsi="Calibri" w:cs="Calibri"/>
          <w:iCs/>
          <w:sz w:val="24"/>
        </w:rPr>
        <w:t xml:space="preserve">MHA </w:t>
      </w:r>
      <w:r w:rsidRPr="008C0967">
        <w:rPr>
          <w:rFonts w:ascii="Calibri" w:eastAsiaTheme="majorEastAsia" w:hAnsi="Calibri" w:cs="Calibri"/>
          <w:iCs/>
          <w:sz w:val="24"/>
        </w:rPr>
        <w:t>a connu une évolution en dents de scie faufilant entre 15 et 17%.</w:t>
      </w:r>
      <w:r w:rsidR="00D25ED7" w:rsidRPr="008C0967">
        <w:rPr>
          <w:rFonts w:ascii="Calibri" w:eastAsiaTheme="majorEastAsia" w:hAnsi="Calibri" w:cs="Calibri"/>
          <w:iCs/>
          <w:sz w:val="24"/>
        </w:rPr>
        <w:t xml:space="preserve"> </w:t>
      </w:r>
      <w:r w:rsidRPr="008C0967">
        <w:rPr>
          <w:rFonts w:ascii="Calibri" w:eastAsiaTheme="majorEastAsia" w:hAnsi="Calibri" w:cs="Calibri"/>
          <w:iCs/>
          <w:sz w:val="24"/>
        </w:rPr>
        <w:t>Cette évolution s’illustre de la façon suivante</w:t>
      </w:r>
      <w:r w:rsidR="00815EED">
        <w:rPr>
          <w:rFonts w:ascii="Calibri" w:eastAsiaTheme="majorEastAsia" w:hAnsi="Calibri" w:cs="Calibri"/>
          <w:iCs/>
          <w:sz w:val="24"/>
        </w:rPr>
        <w:t xml:space="preserve"> dans le tableau ci-dessous.</w:t>
      </w:r>
    </w:p>
    <w:p w14:paraId="553AA5E0" w14:textId="7D870DCF" w:rsidR="00E92AEE" w:rsidRDefault="00E92AEE" w:rsidP="00F12682">
      <w:pPr>
        <w:spacing w:after="120" w:line="276" w:lineRule="auto"/>
        <w:jc w:val="both"/>
        <w:rPr>
          <w:rFonts w:ascii="Calibri" w:eastAsiaTheme="majorEastAsia" w:hAnsi="Calibri" w:cs="Calibri"/>
          <w:iCs/>
          <w:sz w:val="24"/>
        </w:rPr>
      </w:pPr>
      <w:r w:rsidRPr="008C0967">
        <w:rPr>
          <w:rFonts w:ascii="Calibri" w:eastAsiaTheme="majorEastAsia" w:hAnsi="Calibri" w:cs="Calibri"/>
          <w:iCs/>
          <w:sz w:val="24"/>
        </w:rPr>
        <w:t>Le budget global du volet hydraulique a été faiblement exécuté, avec un taux d’exécution de seulement 56%. L’exécution a été particulièrement faible en 2012 (31%) et en 2015 (38%). Elle a été moyenne en 2011 (58%) et en 2013 (61%). Elle a explosé en 2014 avec un taux de 123%. La faiblesse de l’exécution du budget a été marquée essentiellement par la faiblesse de l’exécution des investissements, avec un taux de 52% seulement.</w:t>
      </w:r>
    </w:p>
    <w:p w14:paraId="4129AC32" w14:textId="77777777" w:rsidR="00815EED" w:rsidRDefault="00815EED" w:rsidP="00F12682">
      <w:pPr>
        <w:spacing w:after="0" w:line="240" w:lineRule="auto"/>
        <w:jc w:val="both"/>
        <w:rPr>
          <w:rFonts w:ascii="Calibri" w:eastAsiaTheme="majorEastAsia" w:hAnsi="Calibri" w:cs="Calibri"/>
          <w:iCs/>
          <w:sz w:val="24"/>
        </w:rPr>
      </w:pPr>
    </w:p>
    <w:p w14:paraId="5A334A7D" w14:textId="2BA63A09" w:rsidR="00815EED" w:rsidRDefault="00815EED" w:rsidP="00F12682">
      <w:pPr>
        <w:pStyle w:val="Lgende"/>
        <w:rPr>
          <w:rFonts w:eastAsiaTheme="majorEastAsia" w:cs="Calibri"/>
          <w:iCs w:val="0"/>
        </w:rPr>
      </w:pPr>
      <w:bookmarkStart w:id="140" w:name="_Toc529305081"/>
      <w:r>
        <w:t xml:space="preserve">Tableau </w:t>
      </w:r>
      <w:r>
        <w:rPr>
          <w:noProof/>
        </w:rPr>
        <w:fldChar w:fldCharType="begin"/>
      </w:r>
      <w:r>
        <w:rPr>
          <w:noProof/>
        </w:rPr>
        <w:instrText xml:space="preserve"> SEQ Tableau \* ARABIC </w:instrText>
      </w:r>
      <w:r>
        <w:rPr>
          <w:noProof/>
        </w:rPr>
        <w:fldChar w:fldCharType="separate"/>
      </w:r>
      <w:r w:rsidR="001C37F0">
        <w:rPr>
          <w:noProof/>
        </w:rPr>
        <w:t>27</w:t>
      </w:r>
      <w:r>
        <w:rPr>
          <w:noProof/>
        </w:rPr>
        <w:fldChar w:fldCharType="end"/>
      </w:r>
      <w:r w:rsidRPr="005970F0">
        <w:rPr>
          <w:rFonts w:eastAsiaTheme="majorEastAsia" w:cs="Calibri"/>
          <w:iCs w:val="0"/>
        </w:rPr>
        <w:t xml:space="preserve"> : </w:t>
      </w:r>
      <w:r>
        <w:rPr>
          <w:rFonts w:eastAsiaTheme="majorEastAsia" w:cs="Calibri"/>
          <w:iCs w:val="0"/>
        </w:rPr>
        <w:t xml:space="preserve">Niveau d’exécution du budget MHA en </w:t>
      </w:r>
      <w:r w:rsidRPr="005970F0">
        <w:rPr>
          <w:rFonts w:eastAsiaTheme="majorEastAsia" w:cs="Calibri"/>
          <w:iCs w:val="0"/>
        </w:rPr>
        <w:t>2016</w:t>
      </w:r>
      <w:bookmarkEnd w:id="140"/>
    </w:p>
    <w:tbl>
      <w:tblPr>
        <w:tblW w:w="5000" w:type="pct"/>
        <w:tblCellMar>
          <w:left w:w="70" w:type="dxa"/>
          <w:right w:w="70" w:type="dxa"/>
        </w:tblCellMar>
        <w:tblLook w:val="04A0" w:firstRow="1" w:lastRow="0" w:firstColumn="1" w:lastColumn="0" w:noHBand="0" w:noVBand="1"/>
      </w:tblPr>
      <w:tblGrid>
        <w:gridCol w:w="3307"/>
        <w:gridCol w:w="1953"/>
        <w:gridCol w:w="1953"/>
        <w:gridCol w:w="2415"/>
      </w:tblGrid>
      <w:tr w:rsidR="00E92AEE" w:rsidRPr="009621BF" w14:paraId="6B8709E0" w14:textId="77777777" w:rsidTr="00815EED">
        <w:tc>
          <w:tcPr>
            <w:tcW w:w="1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A3C981" w14:textId="77777777" w:rsidR="00E92AEE" w:rsidRPr="009621BF" w:rsidRDefault="00E92AEE" w:rsidP="00F12682">
            <w:pPr>
              <w:spacing w:after="0"/>
              <w:jc w:val="center"/>
              <w:rPr>
                <w:lang w:eastAsia="fr-FR"/>
              </w:rPr>
            </w:pPr>
            <w:r>
              <w:rPr>
                <w:b/>
                <w:lang w:eastAsia="fr-FR"/>
              </w:rPr>
              <w:t>Année</w:t>
            </w:r>
          </w:p>
        </w:tc>
        <w:tc>
          <w:tcPr>
            <w:tcW w:w="1014" w:type="pct"/>
            <w:tcBorders>
              <w:top w:val="single" w:sz="4" w:space="0" w:color="auto"/>
              <w:left w:val="nil"/>
              <w:bottom w:val="single" w:sz="4" w:space="0" w:color="auto"/>
              <w:right w:val="single" w:sz="4" w:space="0" w:color="auto"/>
            </w:tcBorders>
            <w:shd w:val="clear" w:color="auto" w:fill="auto"/>
            <w:noWrap/>
            <w:vAlign w:val="center"/>
          </w:tcPr>
          <w:p w14:paraId="1676380D" w14:textId="77777777" w:rsidR="00E92AEE" w:rsidRPr="009621BF" w:rsidRDefault="00E92AEE" w:rsidP="00F12682">
            <w:pPr>
              <w:spacing w:after="0" w:line="240" w:lineRule="auto"/>
              <w:jc w:val="center"/>
              <w:rPr>
                <w:lang w:eastAsia="fr-FR"/>
              </w:rPr>
            </w:pPr>
            <w:r>
              <w:rPr>
                <w:b/>
                <w:lang w:eastAsia="fr-FR"/>
              </w:rPr>
              <w:t>Voté</w:t>
            </w:r>
          </w:p>
        </w:tc>
        <w:tc>
          <w:tcPr>
            <w:tcW w:w="1014" w:type="pct"/>
            <w:tcBorders>
              <w:top w:val="single" w:sz="4" w:space="0" w:color="auto"/>
              <w:left w:val="nil"/>
              <w:bottom w:val="single" w:sz="4" w:space="0" w:color="auto"/>
              <w:right w:val="single" w:sz="4" w:space="0" w:color="auto"/>
            </w:tcBorders>
            <w:shd w:val="clear" w:color="auto" w:fill="auto"/>
            <w:noWrap/>
            <w:vAlign w:val="center"/>
          </w:tcPr>
          <w:p w14:paraId="50510A90" w14:textId="77777777" w:rsidR="00E92AEE" w:rsidRPr="009621BF" w:rsidRDefault="00E92AEE" w:rsidP="00F12682">
            <w:pPr>
              <w:spacing w:after="0" w:line="240" w:lineRule="auto"/>
              <w:jc w:val="center"/>
              <w:rPr>
                <w:lang w:eastAsia="fr-FR"/>
              </w:rPr>
            </w:pPr>
            <w:r>
              <w:rPr>
                <w:b/>
                <w:lang w:eastAsia="fr-FR"/>
              </w:rPr>
              <w:t>Consommé</w:t>
            </w:r>
          </w:p>
        </w:tc>
        <w:tc>
          <w:tcPr>
            <w:tcW w:w="1254" w:type="pct"/>
            <w:tcBorders>
              <w:top w:val="single" w:sz="4" w:space="0" w:color="auto"/>
              <w:left w:val="nil"/>
              <w:bottom w:val="single" w:sz="4" w:space="0" w:color="auto"/>
              <w:right w:val="single" w:sz="4" w:space="0" w:color="auto"/>
            </w:tcBorders>
            <w:shd w:val="clear" w:color="auto" w:fill="auto"/>
            <w:noWrap/>
            <w:vAlign w:val="center"/>
          </w:tcPr>
          <w:p w14:paraId="500F06DC" w14:textId="77777777" w:rsidR="00E92AEE" w:rsidRPr="009621BF" w:rsidRDefault="00E92AEE" w:rsidP="00F12682">
            <w:pPr>
              <w:spacing w:after="0" w:line="240" w:lineRule="auto"/>
              <w:jc w:val="center"/>
              <w:rPr>
                <w:lang w:eastAsia="fr-FR"/>
              </w:rPr>
            </w:pPr>
            <w:r>
              <w:rPr>
                <w:b/>
                <w:lang w:eastAsia="fr-FR"/>
              </w:rPr>
              <w:t>Taux de consommation</w:t>
            </w:r>
          </w:p>
        </w:tc>
      </w:tr>
      <w:tr w:rsidR="00E92AEE" w:rsidRPr="009621BF" w14:paraId="17ED891B" w14:textId="77777777" w:rsidTr="00815EED">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3692BC0E" w14:textId="77777777" w:rsidR="00E92AEE" w:rsidRPr="009621BF" w:rsidRDefault="00E92AEE" w:rsidP="00F12682">
            <w:pPr>
              <w:spacing w:after="0" w:line="240" w:lineRule="auto"/>
              <w:rPr>
                <w:lang w:eastAsia="fr-FR"/>
              </w:rPr>
            </w:pPr>
            <w:r w:rsidRPr="009621BF">
              <w:rPr>
                <w:lang w:eastAsia="fr-FR"/>
              </w:rPr>
              <w:t>2011</w:t>
            </w:r>
          </w:p>
        </w:tc>
        <w:tc>
          <w:tcPr>
            <w:tcW w:w="1014" w:type="pct"/>
            <w:tcBorders>
              <w:top w:val="nil"/>
              <w:left w:val="nil"/>
              <w:bottom w:val="single" w:sz="4" w:space="0" w:color="auto"/>
              <w:right w:val="single" w:sz="4" w:space="0" w:color="auto"/>
            </w:tcBorders>
            <w:shd w:val="clear" w:color="auto" w:fill="auto"/>
            <w:noWrap/>
            <w:vAlign w:val="bottom"/>
          </w:tcPr>
          <w:p w14:paraId="36452B4B" w14:textId="5EBDE08A" w:rsidR="00E92AEE" w:rsidRPr="009621BF" w:rsidRDefault="00E92AEE" w:rsidP="00F12682">
            <w:pPr>
              <w:spacing w:after="0" w:line="240" w:lineRule="auto"/>
              <w:jc w:val="center"/>
              <w:rPr>
                <w:lang w:eastAsia="fr-FR"/>
              </w:rPr>
            </w:pPr>
            <w:r w:rsidRPr="009621BF">
              <w:rPr>
                <w:lang w:eastAsia="fr-FR"/>
              </w:rPr>
              <w:t>45 800</w:t>
            </w:r>
          </w:p>
        </w:tc>
        <w:tc>
          <w:tcPr>
            <w:tcW w:w="1014" w:type="pct"/>
            <w:tcBorders>
              <w:top w:val="nil"/>
              <w:left w:val="nil"/>
              <w:bottom w:val="single" w:sz="4" w:space="0" w:color="auto"/>
              <w:right w:val="single" w:sz="4" w:space="0" w:color="auto"/>
            </w:tcBorders>
            <w:shd w:val="clear" w:color="auto" w:fill="auto"/>
            <w:noWrap/>
            <w:vAlign w:val="bottom"/>
          </w:tcPr>
          <w:p w14:paraId="169ABDA8" w14:textId="355BEC18" w:rsidR="00E92AEE" w:rsidRPr="009621BF" w:rsidRDefault="00E92AEE" w:rsidP="00F12682">
            <w:pPr>
              <w:spacing w:after="0" w:line="240" w:lineRule="auto"/>
              <w:jc w:val="center"/>
              <w:rPr>
                <w:lang w:eastAsia="fr-FR"/>
              </w:rPr>
            </w:pPr>
            <w:r w:rsidRPr="009621BF">
              <w:rPr>
                <w:lang w:eastAsia="fr-FR"/>
              </w:rPr>
              <w:t>26 636</w:t>
            </w:r>
          </w:p>
        </w:tc>
        <w:tc>
          <w:tcPr>
            <w:tcW w:w="1254" w:type="pct"/>
            <w:tcBorders>
              <w:top w:val="nil"/>
              <w:left w:val="nil"/>
              <w:bottom w:val="single" w:sz="4" w:space="0" w:color="auto"/>
              <w:right w:val="single" w:sz="4" w:space="0" w:color="auto"/>
            </w:tcBorders>
            <w:shd w:val="clear" w:color="auto" w:fill="auto"/>
            <w:noWrap/>
            <w:vAlign w:val="bottom"/>
          </w:tcPr>
          <w:p w14:paraId="496A8E9A" w14:textId="227D2605" w:rsidR="00E92AEE" w:rsidRPr="009621BF" w:rsidRDefault="00E92AEE" w:rsidP="00F12682">
            <w:pPr>
              <w:spacing w:after="0" w:line="240" w:lineRule="auto"/>
              <w:jc w:val="center"/>
              <w:rPr>
                <w:lang w:eastAsia="fr-FR"/>
              </w:rPr>
            </w:pPr>
            <w:r w:rsidRPr="009621BF">
              <w:rPr>
                <w:lang w:eastAsia="fr-FR"/>
              </w:rPr>
              <w:t>58%</w:t>
            </w:r>
          </w:p>
        </w:tc>
      </w:tr>
      <w:tr w:rsidR="00E92AEE" w:rsidRPr="009621BF" w14:paraId="21012072" w14:textId="77777777" w:rsidTr="00815EED">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0EB19E83" w14:textId="77777777" w:rsidR="00E92AEE" w:rsidRPr="009621BF" w:rsidRDefault="00E92AEE" w:rsidP="00F12682">
            <w:pPr>
              <w:spacing w:after="0" w:line="240" w:lineRule="auto"/>
              <w:rPr>
                <w:lang w:eastAsia="fr-FR"/>
              </w:rPr>
            </w:pPr>
            <w:r w:rsidRPr="009621BF">
              <w:rPr>
                <w:lang w:eastAsia="fr-FR"/>
              </w:rPr>
              <w:t>2012</w:t>
            </w:r>
          </w:p>
        </w:tc>
        <w:tc>
          <w:tcPr>
            <w:tcW w:w="1014" w:type="pct"/>
            <w:tcBorders>
              <w:top w:val="nil"/>
              <w:left w:val="nil"/>
              <w:bottom w:val="single" w:sz="4" w:space="0" w:color="auto"/>
              <w:right w:val="single" w:sz="4" w:space="0" w:color="auto"/>
            </w:tcBorders>
            <w:shd w:val="clear" w:color="auto" w:fill="auto"/>
            <w:noWrap/>
            <w:vAlign w:val="bottom"/>
          </w:tcPr>
          <w:p w14:paraId="4F1AC8ED" w14:textId="3628445D" w:rsidR="00E92AEE" w:rsidRPr="009621BF" w:rsidRDefault="00E92AEE" w:rsidP="00F12682">
            <w:pPr>
              <w:spacing w:after="0" w:line="240" w:lineRule="auto"/>
              <w:jc w:val="center"/>
              <w:rPr>
                <w:lang w:eastAsia="fr-FR"/>
              </w:rPr>
            </w:pPr>
            <w:r w:rsidRPr="009621BF">
              <w:rPr>
                <w:lang w:eastAsia="fr-FR"/>
              </w:rPr>
              <w:t>49 643</w:t>
            </w:r>
          </w:p>
        </w:tc>
        <w:tc>
          <w:tcPr>
            <w:tcW w:w="1014" w:type="pct"/>
            <w:tcBorders>
              <w:top w:val="nil"/>
              <w:left w:val="nil"/>
              <w:bottom w:val="single" w:sz="4" w:space="0" w:color="auto"/>
              <w:right w:val="single" w:sz="4" w:space="0" w:color="auto"/>
            </w:tcBorders>
            <w:shd w:val="clear" w:color="auto" w:fill="auto"/>
            <w:noWrap/>
            <w:vAlign w:val="bottom"/>
          </w:tcPr>
          <w:p w14:paraId="519B14EC" w14:textId="41D3869E" w:rsidR="00E92AEE" w:rsidRPr="009621BF" w:rsidRDefault="00E92AEE" w:rsidP="00F12682">
            <w:pPr>
              <w:spacing w:after="0" w:line="240" w:lineRule="auto"/>
              <w:jc w:val="center"/>
              <w:rPr>
                <w:lang w:eastAsia="fr-FR"/>
              </w:rPr>
            </w:pPr>
            <w:r w:rsidRPr="009621BF">
              <w:rPr>
                <w:lang w:eastAsia="fr-FR"/>
              </w:rPr>
              <w:t>15 176</w:t>
            </w:r>
          </w:p>
        </w:tc>
        <w:tc>
          <w:tcPr>
            <w:tcW w:w="1254" w:type="pct"/>
            <w:tcBorders>
              <w:top w:val="nil"/>
              <w:left w:val="nil"/>
              <w:bottom w:val="single" w:sz="4" w:space="0" w:color="auto"/>
              <w:right w:val="single" w:sz="4" w:space="0" w:color="auto"/>
            </w:tcBorders>
            <w:shd w:val="clear" w:color="auto" w:fill="auto"/>
            <w:noWrap/>
            <w:vAlign w:val="bottom"/>
          </w:tcPr>
          <w:p w14:paraId="457E7FFF" w14:textId="6AE02547" w:rsidR="00E92AEE" w:rsidRPr="009621BF" w:rsidRDefault="00E92AEE" w:rsidP="00F12682">
            <w:pPr>
              <w:spacing w:after="0" w:line="240" w:lineRule="auto"/>
              <w:jc w:val="center"/>
              <w:rPr>
                <w:lang w:eastAsia="fr-FR"/>
              </w:rPr>
            </w:pPr>
            <w:r w:rsidRPr="009621BF">
              <w:rPr>
                <w:lang w:eastAsia="fr-FR"/>
              </w:rPr>
              <w:t>31%</w:t>
            </w:r>
          </w:p>
        </w:tc>
      </w:tr>
      <w:tr w:rsidR="00E92AEE" w:rsidRPr="009621BF" w14:paraId="6EBBE9B7" w14:textId="77777777" w:rsidTr="00815EED">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434681D7" w14:textId="77777777" w:rsidR="00E92AEE" w:rsidRPr="009621BF" w:rsidRDefault="00E92AEE" w:rsidP="00F12682">
            <w:pPr>
              <w:spacing w:after="0" w:line="240" w:lineRule="auto"/>
              <w:rPr>
                <w:lang w:eastAsia="fr-FR"/>
              </w:rPr>
            </w:pPr>
            <w:r w:rsidRPr="009621BF">
              <w:rPr>
                <w:lang w:eastAsia="fr-FR"/>
              </w:rPr>
              <w:t>2013</w:t>
            </w:r>
          </w:p>
        </w:tc>
        <w:tc>
          <w:tcPr>
            <w:tcW w:w="1014" w:type="pct"/>
            <w:tcBorders>
              <w:top w:val="nil"/>
              <w:left w:val="nil"/>
              <w:bottom w:val="single" w:sz="4" w:space="0" w:color="auto"/>
              <w:right w:val="single" w:sz="4" w:space="0" w:color="auto"/>
            </w:tcBorders>
            <w:shd w:val="clear" w:color="auto" w:fill="auto"/>
            <w:noWrap/>
            <w:vAlign w:val="bottom"/>
          </w:tcPr>
          <w:p w14:paraId="02EFF970" w14:textId="3402F261" w:rsidR="00E92AEE" w:rsidRPr="009621BF" w:rsidRDefault="00E92AEE" w:rsidP="00F12682">
            <w:pPr>
              <w:spacing w:after="0" w:line="240" w:lineRule="auto"/>
              <w:jc w:val="center"/>
              <w:rPr>
                <w:lang w:eastAsia="fr-FR"/>
              </w:rPr>
            </w:pPr>
            <w:r w:rsidRPr="009621BF">
              <w:rPr>
                <w:lang w:eastAsia="fr-FR"/>
              </w:rPr>
              <w:t>60 433</w:t>
            </w:r>
          </w:p>
        </w:tc>
        <w:tc>
          <w:tcPr>
            <w:tcW w:w="1014" w:type="pct"/>
            <w:tcBorders>
              <w:top w:val="nil"/>
              <w:left w:val="nil"/>
              <w:bottom w:val="single" w:sz="4" w:space="0" w:color="auto"/>
              <w:right w:val="single" w:sz="4" w:space="0" w:color="auto"/>
            </w:tcBorders>
            <w:shd w:val="clear" w:color="auto" w:fill="auto"/>
            <w:noWrap/>
            <w:vAlign w:val="bottom"/>
          </w:tcPr>
          <w:p w14:paraId="4B40F97B" w14:textId="70194821" w:rsidR="00E92AEE" w:rsidRPr="009621BF" w:rsidRDefault="00E92AEE" w:rsidP="00F12682">
            <w:pPr>
              <w:spacing w:after="0" w:line="240" w:lineRule="auto"/>
              <w:jc w:val="center"/>
              <w:rPr>
                <w:lang w:eastAsia="fr-FR"/>
              </w:rPr>
            </w:pPr>
            <w:r w:rsidRPr="009621BF">
              <w:rPr>
                <w:lang w:eastAsia="fr-FR"/>
              </w:rPr>
              <w:t>36 753</w:t>
            </w:r>
          </w:p>
        </w:tc>
        <w:tc>
          <w:tcPr>
            <w:tcW w:w="1254" w:type="pct"/>
            <w:tcBorders>
              <w:top w:val="nil"/>
              <w:left w:val="nil"/>
              <w:bottom w:val="single" w:sz="4" w:space="0" w:color="auto"/>
              <w:right w:val="single" w:sz="4" w:space="0" w:color="auto"/>
            </w:tcBorders>
            <w:shd w:val="clear" w:color="auto" w:fill="auto"/>
            <w:noWrap/>
            <w:vAlign w:val="bottom"/>
          </w:tcPr>
          <w:p w14:paraId="16AFBB94" w14:textId="14F1127A" w:rsidR="00E92AEE" w:rsidRPr="009621BF" w:rsidRDefault="00E92AEE" w:rsidP="00F12682">
            <w:pPr>
              <w:spacing w:after="0" w:line="240" w:lineRule="auto"/>
              <w:jc w:val="center"/>
              <w:rPr>
                <w:lang w:eastAsia="fr-FR"/>
              </w:rPr>
            </w:pPr>
            <w:r w:rsidRPr="009621BF">
              <w:rPr>
                <w:lang w:eastAsia="fr-FR"/>
              </w:rPr>
              <w:t>61%</w:t>
            </w:r>
          </w:p>
        </w:tc>
      </w:tr>
      <w:tr w:rsidR="00E92AEE" w:rsidRPr="009621BF" w14:paraId="44BC82BD" w14:textId="77777777" w:rsidTr="00815EED">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3A02003A" w14:textId="77777777" w:rsidR="00E92AEE" w:rsidRPr="009621BF" w:rsidRDefault="00E92AEE" w:rsidP="00F12682">
            <w:pPr>
              <w:spacing w:after="0" w:line="240" w:lineRule="auto"/>
              <w:rPr>
                <w:lang w:eastAsia="fr-FR"/>
              </w:rPr>
            </w:pPr>
            <w:r w:rsidRPr="009621BF">
              <w:rPr>
                <w:lang w:eastAsia="fr-FR"/>
              </w:rPr>
              <w:t>2014</w:t>
            </w:r>
          </w:p>
        </w:tc>
        <w:tc>
          <w:tcPr>
            <w:tcW w:w="1014" w:type="pct"/>
            <w:tcBorders>
              <w:top w:val="nil"/>
              <w:left w:val="nil"/>
              <w:bottom w:val="single" w:sz="4" w:space="0" w:color="auto"/>
              <w:right w:val="single" w:sz="4" w:space="0" w:color="auto"/>
            </w:tcBorders>
            <w:shd w:val="clear" w:color="auto" w:fill="auto"/>
            <w:noWrap/>
            <w:vAlign w:val="bottom"/>
          </w:tcPr>
          <w:p w14:paraId="79CF7687" w14:textId="7F5E88CA" w:rsidR="00E92AEE" w:rsidRPr="009621BF" w:rsidRDefault="00E92AEE" w:rsidP="00F12682">
            <w:pPr>
              <w:spacing w:after="0" w:line="240" w:lineRule="auto"/>
              <w:jc w:val="center"/>
              <w:rPr>
                <w:lang w:eastAsia="fr-FR"/>
              </w:rPr>
            </w:pPr>
            <w:r w:rsidRPr="009621BF">
              <w:rPr>
                <w:lang w:eastAsia="fr-FR"/>
              </w:rPr>
              <w:t>44 632</w:t>
            </w:r>
          </w:p>
        </w:tc>
        <w:tc>
          <w:tcPr>
            <w:tcW w:w="1014" w:type="pct"/>
            <w:tcBorders>
              <w:top w:val="nil"/>
              <w:left w:val="nil"/>
              <w:bottom w:val="single" w:sz="4" w:space="0" w:color="auto"/>
              <w:right w:val="single" w:sz="4" w:space="0" w:color="auto"/>
            </w:tcBorders>
            <w:shd w:val="clear" w:color="auto" w:fill="auto"/>
            <w:noWrap/>
            <w:vAlign w:val="bottom"/>
          </w:tcPr>
          <w:p w14:paraId="2703017F" w14:textId="68B2AF9B" w:rsidR="00E92AEE" w:rsidRPr="009621BF" w:rsidRDefault="00E92AEE" w:rsidP="00F12682">
            <w:pPr>
              <w:spacing w:after="0" w:line="240" w:lineRule="auto"/>
              <w:jc w:val="center"/>
              <w:rPr>
                <w:lang w:eastAsia="fr-FR"/>
              </w:rPr>
            </w:pPr>
            <w:r w:rsidRPr="009621BF">
              <w:rPr>
                <w:lang w:eastAsia="fr-FR"/>
              </w:rPr>
              <w:t>54 990</w:t>
            </w:r>
          </w:p>
        </w:tc>
        <w:tc>
          <w:tcPr>
            <w:tcW w:w="1254" w:type="pct"/>
            <w:tcBorders>
              <w:top w:val="nil"/>
              <w:left w:val="nil"/>
              <w:bottom w:val="single" w:sz="4" w:space="0" w:color="auto"/>
              <w:right w:val="single" w:sz="4" w:space="0" w:color="auto"/>
            </w:tcBorders>
            <w:shd w:val="clear" w:color="auto" w:fill="auto"/>
            <w:noWrap/>
            <w:vAlign w:val="bottom"/>
          </w:tcPr>
          <w:p w14:paraId="395D20B5" w14:textId="2A07C1D3" w:rsidR="00E92AEE" w:rsidRPr="009621BF" w:rsidRDefault="00E92AEE" w:rsidP="00F12682">
            <w:pPr>
              <w:spacing w:after="0" w:line="240" w:lineRule="auto"/>
              <w:jc w:val="center"/>
              <w:rPr>
                <w:lang w:eastAsia="fr-FR"/>
              </w:rPr>
            </w:pPr>
            <w:r w:rsidRPr="009621BF">
              <w:rPr>
                <w:lang w:eastAsia="fr-FR"/>
              </w:rPr>
              <w:t>123%</w:t>
            </w:r>
          </w:p>
        </w:tc>
      </w:tr>
      <w:tr w:rsidR="00E92AEE" w:rsidRPr="009621BF" w14:paraId="3C3C1042" w14:textId="77777777" w:rsidTr="00815EED">
        <w:tc>
          <w:tcPr>
            <w:tcW w:w="1717" w:type="pct"/>
            <w:tcBorders>
              <w:top w:val="nil"/>
              <w:left w:val="single" w:sz="4" w:space="0" w:color="auto"/>
              <w:bottom w:val="single" w:sz="4" w:space="0" w:color="auto"/>
              <w:right w:val="single" w:sz="4" w:space="0" w:color="auto"/>
            </w:tcBorders>
            <w:shd w:val="clear" w:color="auto" w:fill="auto"/>
            <w:noWrap/>
            <w:vAlign w:val="bottom"/>
            <w:hideMark/>
          </w:tcPr>
          <w:p w14:paraId="0EF07557" w14:textId="77777777" w:rsidR="00E92AEE" w:rsidRPr="009621BF" w:rsidRDefault="00E92AEE" w:rsidP="00F12682">
            <w:pPr>
              <w:spacing w:after="0" w:line="240" w:lineRule="auto"/>
              <w:rPr>
                <w:lang w:eastAsia="fr-FR"/>
              </w:rPr>
            </w:pPr>
            <w:r w:rsidRPr="009621BF">
              <w:rPr>
                <w:lang w:eastAsia="fr-FR"/>
              </w:rPr>
              <w:t>2015</w:t>
            </w:r>
          </w:p>
        </w:tc>
        <w:tc>
          <w:tcPr>
            <w:tcW w:w="1014" w:type="pct"/>
            <w:tcBorders>
              <w:top w:val="nil"/>
              <w:left w:val="nil"/>
              <w:bottom w:val="single" w:sz="4" w:space="0" w:color="auto"/>
              <w:right w:val="single" w:sz="4" w:space="0" w:color="auto"/>
            </w:tcBorders>
            <w:shd w:val="clear" w:color="auto" w:fill="auto"/>
            <w:noWrap/>
            <w:vAlign w:val="bottom"/>
          </w:tcPr>
          <w:p w14:paraId="39D23491" w14:textId="06A38071" w:rsidR="00E92AEE" w:rsidRPr="009621BF" w:rsidRDefault="00E92AEE" w:rsidP="00F12682">
            <w:pPr>
              <w:spacing w:after="0" w:line="240" w:lineRule="auto"/>
              <w:jc w:val="center"/>
              <w:rPr>
                <w:lang w:eastAsia="fr-FR"/>
              </w:rPr>
            </w:pPr>
            <w:r w:rsidRPr="009621BF">
              <w:rPr>
                <w:lang w:eastAsia="fr-FR"/>
              </w:rPr>
              <w:t>111 309</w:t>
            </w:r>
          </w:p>
        </w:tc>
        <w:tc>
          <w:tcPr>
            <w:tcW w:w="1014" w:type="pct"/>
            <w:tcBorders>
              <w:top w:val="nil"/>
              <w:left w:val="nil"/>
              <w:bottom w:val="single" w:sz="4" w:space="0" w:color="auto"/>
              <w:right w:val="single" w:sz="4" w:space="0" w:color="auto"/>
            </w:tcBorders>
            <w:shd w:val="clear" w:color="auto" w:fill="auto"/>
            <w:noWrap/>
            <w:vAlign w:val="bottom"/>
          </w:tcPr>
          <w:p w14:paraId="50376DB9" w14:textId="498318C9" w:rsidR="00E92AEE" w:rsidRPr="009621BF" w:rsidRDefault="00E92AEE" w:rsidP="00F12682">
            <w:pPr>
              <w:spacing w:after="0" w:line="240" w:lineRule="auto"/>
              <w:jc w:val="center"/>
              <w:rPr>
                <w:lang w:eastAsia="fr-FR"/>
              </w:rPr>
            </w:pPr>
            <w:r w:rsidRPr="009621BF">
              <w:rPr>
                <w:lang w:eastAsia="fr-FR"/>
              </w:rPr>
              <w:t>42 247</w:t>
            </w:r>
          </w:p>
        </w:tc>
        <w:tc>
          <w:tcPr>
            <w:tcW w:w="1254" w:type="pct"/>
            <w:tcBorders>
              <w:top w:val="nil"/>
              <w:left w:val="nil"/>
              <w:bottom w:val="single" w:sz="4" w:space="0" w:color="auto"/>
              <w:right w:val="single" w:sz="4" w:space="0" w:color="auto"/>
            </w:tcBorders>
            <w:shd w:val="clear" w:color="auto" w:fill="auto"/>
            <w:noWrap/>
            <w:vAlign w:val="bottom"/>
          </w:tcPr>
          <w:p w14:paraId="7979443F" w14:textId="455AB787" w:rsidR="00E92AEE" w:rsidRPr="009621BF" w:rsidRDefault="00E92AEE" w:rsidP="00F12682">
            <w:pPr>
              <w:spacing w:after="0" w:line="240" w:lineRule="auto"/>
              <w:jc w:val="center"/>
              <w:rPr>
                <w:lang w:eastAsia="fr-FR"/>
              </w:rPr>
            </w:pPr>
            <w:r w:rsidRPr="009621BF">
              <w:rPr>
                <w:lang w:eastAsia="fr-FR"/>
              </w:rPr>
              <w:t>38%</w:t>
            </w:r>
          </w:p>
        </w:tc>
      </w:tr>
      <w:tr w:rsidR="00AA1DD3" w:rsidRPr="009621BF" w14:paraId="407D5ED4" w14:textId="77777777" w:rsidTr="00815EED">
        <w:tc>
          <w:tcPr>
            <w:tcW w:w="1717" w:type="pct"/>
            <w:tcBorders>
              <w:top w:val="nil"/>
              <w:left w:val="single" w:sz="4" w:space="0" w:color="auto"/>
              <w:bottom w:val="single" w:sz="4" w:space="0" w:color="auto"/>
              <w:right w:val="single" w:sz="4" w:space="0" w:color="auto"/>
            </w:tcBorders>
            <w:shd w:val="clear" w:color="auto" w:fill="auto"/>
            <w:noWrap/>
            <w:vAlign w:val="bottom"/>
          </w:tcPr>
          <w:p w14:paraId="6748990E" w14:textId="77777777" w:rsidR="00AA1DD3" w:rsidRPr="009621BF" w:rsidRDefault="00AA1DD3" w:rsidP="00F12682">
            <w:pPr>
              <w:spacing w:after="0" w:line="240" w:lineRule="auto"/>
              <w:rPr>
                <w:lang w:eastAsia="fr-FR"/>
              </w:rPr>
            </w:pPr>
            <w:r>
              <w:rPr>
                <w:lang w:eastAsia="fr-FR"/>
              </w:rPr>
              <w:t>2016</w:t>
            </w:r>
          </w:p>
        </w:tc>
        <w:tc>
          <w:tcPr>
            <w:tcW w:w="1014" w:type="pct"/>
            <w:tcBorders>
              <w:top w:val="nil"/>
              <w:left w:val="nil"/>
              <w:bottom w:val="single" w:sz="4" w:space="0" w:color="auto"/>
              <w:right w:val="single" w:sz="4" w:space="0" w:color="auto"/>
            </w:tcBorders>
            <w:shd w:val="clear" w:color="auto" w:fill="auto"/>
            <w:noWrap/>
          </w:tcPr>
          <w:p w14:paraId="67248932" w14:textId="11CC6F9D" w:rsidR="00AA1DD3" w:rsidRPr="00AA1DD3" w:rsidRDefault="00AA1DD3" w:rsidP="00F12682">
            <w:pPr>
              <w:spacing w:after="0" w:line="240" w:lineRule="auto"/>
              <w:jc w:val="center"/>
              <w:rPr>
                <w:lang w:eastAsia="fr-FR"/>
              </w:rPr>
            </w:pPr>
            <w:r w:rsidRPr="00AA1DD3">
              <w:t>65 262</w:t>
            </w:r>
          </w:p>
        </w:tc>
        <w:tc>
          <w:tcPr>
            <w:tcW w:w="1014" w:type="pct"/>
            <w:tcBorders>
              <w:top w:val="nil"/>
              <w:left w:val="nil"/>
              <w:bottom w:val="single" w:sz="4" w:space="0" w:color="auto"/>
              <w:right w:val="single" w:sz="4" w:space="0" w:color="auto"/>
            </w:tcBorders>
            <w:shd w:val="clear" w:color="auto" w:fill="auto"/>
            <w:noWrap/>
          </w:tcPr>
          <w:p w14:paraId="7FB03E91" w14:textId="3F49CFA9" w:rsidR="00AA1DD3" w:rsidRPr="00AA1DD3" w:rsidRDefault="00AA1DD3" w:rsidP="00F12682">
            <w:pPr>
              <w:spacing w:after="0" w:line="240" w:lineRule="auto"/>
              <w:jc w:val="center"/>
              <w:rPr>
                <w:lang w:eastAsia="fr-FR"/>
              </w:rPr>
            </w:pPr>
            <w:r w:rsidRPr="00AA1DD3">
              <w:t>44 702</w:t>
            </w:r>
          </w:p>
        </w:tc>
        <w:tc>
          <w:tcPr>
            <w:tcW w:w="1254" w:type="pct"/>
            <w:tcBorders>
              <w:top w:val="nil"/>
              <w:left w:val="nil"/>
              <w:bottom w:val="single" w:sz="4" w:space="0" w:color="auto"/>
              <w:right w:val="single" w:sz="4" w:space="0" w:color="auto"/>
            </w:tcBorders>
            <w:shd w:val="clear" w:color="auto" w:fill="auto"/>
            <w:noWrap/>
          </w:tcPr>
          <w:p w14:paraId="275D4719" w14:textId="1B6C48BF" w:rsidR="00AA1DD3" w:rsidRPr="00AA1DD3" w:rsidRDefault="00AA1DD3" w:rsidP="00F12682">
            <w:pPr>
              <w:spacing w:after="0" w:line="240" w:lineRule="auto"/>
              <w:jc w:val="center"/>
              <w:rPr>
                <w:lang w:eastAsia="fr-FR"/>
              </w:rPr>
            </w:pPr>
            <w:r w:rsidRPr="00AA1DD3">
              <w:t>68%</w:t>
            </w:r>
          </w:p>
        </w:tc>
      </w:tr>
    </w:tbl>
    <w:p w14:paraId="1C686FB5" w14:textId="77777777" w:rsidR="00E92AEE" w:rsidRDefault="00E92AEE" w:rsidP="00F12682">
      <w:pPr>
        <w:spacing w:after="0" w:line="240" w:lineRule="auto"/>
        <w:jc w:val="both"/>
        <w:rPr>
          <w:rFonts w:ascii="Calibri" w:eastAsiaTheme="majorEastAsia" w:hAnsi="Calibri" w:cs="Calibri"/>
          <w:iCs/>
          <w:sz w:val="24"/>
        </w:rPr>
      </w:pPr>
    </w:p>
    <w:p w14:paraId="0C703EAF" w14:textId="77777777" w:rsidR="006E0D8D" w:rsidRPr="006E0D8D" w:rsidRDefault="006E0D8D" w:rsidP="00F12682">
      <w:pPr>
        <w:pStyle w:val="Titre4"/>
        <w:rPr>
          <w:rFonts w:asciiTheme="minorHAnsi" w:hAnsiTheme="minorHAnsi" w:cstheme="minorHAnsi"/>
        </w:rPr>
      </w:pPr>
      <w:r w:rsidRPr="006E0D8D">
        <w:rPr>
          <w:rFonts w:asciiTheme="minorHAnsi" w:hAnsiTheme="minorHAnsi" w:cstheme="minorHAnsi"/>
        </w:rPr>
        <w:t>Analyse de la performance et l’incidence de diverses sources de financement</w:t>
      </w:r>
    </w:p>
    <w:p w14:paraId="492164BD" w14:textId="77777777" w:rsidR="006E0D8D" w:rsidRPr="006E0D8D" w:rsidRDefault="006E0D8D" w:rsidP="00F12682">
      <w:pPr>
        <w:spacing w:after="120" w:line="276" w:lineRule="auto"/>
        <w:jc w:val="both"/>
        <w:rPr>
          <w:rFonts w:ascii="Calibri" w:eastAsiaTheme="majorEastAsia" w:hAnsi="Calibri" w:cs="Calibri"/>
          <w:iCs/>
          <w:sz w:val="24"/>
        </w:rPr>
      </w:pPr>
      <w:r w:rsidRPr="006E0D8D">
        <w:rPr>
          <w:rFonts w:ascii="Calibri" w:eastAsiaTheme="majorEastAsia" w:hAnsi="Calibri" w:cs="Calibri"/>
          <w:iCs/>
          <w:sz w:val="24"/>
        </w:rPr>
        <w:t xml:space="preserve">Pour mieux apprécier la performance et l’incidence de diverses sources d financement, il convient de conduire l’analyse sur le volet B des dépenses d’investissement. Partant de cette base, il faut noter qu’en 2016, les prévisions étaient faites selon la répartition suivante : </w:t>
      </w:r>
    </w:p>
    <w:p w14:paraId="21228419" w14:textId="44A25A51" w:rsidR="006E0D8D" w:rsidRPr="006E0D8D" w:rsidRDefault="006E0D8D" w:rsidP="00F12682">
      <w:pPr>
        <w:pStyle w:val="Paragraphedeliste"/>
        <w:numPr>
          <w:ilvl w:val="0"/>
          <w:numId w:val="29"/>
        </w:numPr>
        <w:spacing w:after="120" w:line="276" w:lineRule="auto"/>
        <w:ind w:left="567" w:hanging="210"/>
        <w:contextualSpacing w:val="0"/>
        <w:jc w:val="both"/>
        <w:rPr>
          <w:rFonts w:ascii="Calibri" w:eastAsiaTheme="majorEastAsia" w:hAnsi="Calibri" w:cs="Calibri"/>
          <w:iCs/>
          <w:sz w:val="24"/>
        </w:rPr>
      </w:pPr>
      <w:r w:rsidRPr="006E0D8D">
        <w:rPr>
          <w:rFonts w:ascii="Calibri" w:eastAsiaTheme="majorEastAsia" w:hAnsi="Calibri" w:cs="Calibri"/>
          <w:iCs/>
          <w:sz w:val="24"/>
        </w:rPr>
        <w:t>Financement Etat</w:t>
      </w:r>
      <w:r>
        <w:rPr>
          <w:rFonts w:ascii="Calibri" w:eastAsiaTheme="majorEastAsia" w:hAnsi="Calibri" w:cs="Calibri"/>
          <w:iCs/>
          <w:sz w:val="24"/>
        </w:rPr>
        <w:t> :</w:t>
      </w:r>
      <w:r w:rsidRPr="006E0D8D">
        <w:rPr>
          <w:rFonts w:ascii="Calibri" w:eastAsiaTheme="majorEastAsia" w:hAnsi="Calibri" w:cs="Calibri"/>
          <w:iCs/>
          <w:sz w:val="24"/>
        </w:rPr>
        <w:tab/>
      </w:r>
      <w:r w:rsidRPr="006E0D8D">
        <w:rPr>
          <w:rFonts w:ascii="Calibri" w:eastAsiaTheme="majorEastAsia" w:hAnsi="Calibri" w:cs="Calibri"/>
          <w:iCs/>
          <w:sz w:val="24"/>
        </w:rPr>
        <w:tab/>
      </w:r>
      <w:r w:rsidRPr="006E0D8D">
        <w:rPr>
          <w:rFonts w:ascii="Calibri" w:eastAsiaTheme="majorEastAsia" w:hAnsi="Calibri" w:cs="Calibri"/>
          <w:iCs/>
          <w:sz w:val="24"/>
        </w:rPr>
        <w:tab/>
      </w:r>
      <w:r w:rsidRPr="006E0D8D">
        <w:rPr>
          <w:rFonts w:ascii="Calibri" w:eastAsiaTheme="majorEastAsia" w:hAnsi="Calibri" w:cs="Calibri"/>
          <w:iCs/>
          <w:sz w:val="24"/>
        </w:rPr>
        <w:tab/>
      </w:r>
      <w:r w:rsidRPr="006E0D8D">
        <w:rPr>
          <w:rFonts w:ascii="Calibri" w:eastAsiaTheme="majorEastAsia" w:hAnsi="Calibri" w:cs="Calibri"/>
          <w:iCs/>
          <w:sz w:val="24"/>
        </w:rPr>
        <w:tab/>
        <w:t>4 575 </w:t>
      </w:r>
      <w:r w:rsidR="00C21B85">
        <w:rPr>
          <w:rFonts w:ascii="Calibri" w:eastAsiaTheme="majorEastAsia" w:hAnsi="Calibri" w:cs="Calibri"/>
          <w:iCs/>
          <w:sz w:val="24"/>
        </w:rPr>
        <w:t>205 602 F</w:t>
      </w:r>
      <w:r w:rsidRPr="006E0D8D">
        <w:rPr>
          <w:rFonts w:ascii="Calibri" w:eastAsiaTheme="majorEastAsia" w:hAnsi="Calibri" w:cs="Calibri"/>
          <w:iCs/>
          <w:sz w:val="24"/>
        </w:rPr>
        <w:t>CFA.</w:t>
      </w:r>
    </w:p>
    <w:p w14:paraId="443279F7" w14:textId="58C207C7" w:rsidR="006E0D8D" w:rsidRPr="006E0D8D" w:rsidRDefault="006E0D8D" w:rsidP="00F12682">
      <w:pPr>
        <w:pStyle w:val="Paragraphedeliste"/>
        <w:numPr>
          <w:ilvl w:val="0"/>
          <w:numId w:val="29"/>
        </w:numPr>
        <w:spacing w:after="120" w:line="276" w:lineRule="auto"/>
        <w:ind w:left="567" w:hanging="210"/>
        <w:contextualSpacing w:val="0"/>
        <w:jc w:val="both"/>
        <w:rPr>
          <w:rFonts w:ascii="Calibri" w:eastAsiaTheme="majorEastAsia" w:hAnsi="Calibri" w:cs="Calibri"/>
          <w:iCs/>
          <w:sz w:val="24"/>
        </w:rPr>
      </w:pPr>
      <w:r>
        <w:rPr>
          <w:rFonts w:ascii="Calibri" w:eastAsiaTheme="majorEastAsia" w:hAnsi="Calibri" w:cs="Calibri"/>
          <w:iCs/>
          <w:sz w:val="24"/>
        </w:rPr>
        <w:t>Financement extérieur (PTF) :</w:t>
      </w:r>
      <w:r w:rsidR="00C21B85">
        <w:rPr>
          <w:rFonts w:ascii="Calibri" w:eastAsiaTheme="majorEastAsia" w:hAnsi="Calibri" w:cs="Calibri"/>
          <w:iCs/>
          <w:sz w:val="24"/>
        </w:rPr>
        <w:tab/>
      </w:r>
      <w:r w:rsidR="00C21B85">
        <w:rPr>
          <w:rFonts w:ascii="Calibri" w:eastAsiaTheme="majorEastAsia" w:hAnsi="Calibri" w:cs="Calibri"/>
          <w:iCs/>
          <w:sz w:val="24"/>
        </w:rPr>
        <w:tab/>
      </w:r>
      <w:r w:rsidR="00C21B85">
        <w:rPr>
          <w:rFonts w:ascii="Calibri" w:eastAsiaTheme="majorEastAsia" w:hAnsi="Calibri" w:cs="Calibri"/>
          <w:iCs/>
          <w:sz w:val="24"/>
        </w:rPr>
        <w:tab/>
      </w:r>
      <w:r w:rsidR="00C21B85">
        <w:rPr>
          <w:rFonts w:ascii="Calibri" w:eastAsiaTheme="majorEastAsia" w:hAnsi="Calibri" w:cs="Calibri"/>
          <w:iCs/>
          <w:sz w:val="24"/>
        </w:rPr>
        <w:tab/>
        <w:t>58 011 783 315 F</w:t>
      </w:r>
      <w:r w:rsidRPr="006E0D8D">
        <w:rPr>
          <w:rFonts w:ascii="Calibri" w:eastAsiaTheme="majorEastAsia" w:hAnsi="Calibri" w:cs="Calibri"/>
          <w:iCs/>
          <w:sz w:val="24"/>
        </w:rPr>
        <w:t>CFA.</w:t>
      </w:r>
    </w:p>
    <w:p w14:paraId="5F7DCC20" w14:textId="4AD6F54E" w:rsidR="006E0D8D" w:rsidRPr="006E0D8D" w:rsidRDefault="006E0D8D" w:rsidP="00F12682">
      <w:pPr>
        <w:pStyle w:val="Paragraphedeliste"/>
        <w:numPr>
          <w:ilvl w:val="0"/>
          <w:numId w:val="30"/>
        </w:numPr>
        <w:spacing w:after="120" w:line="276" w:lineRule="auto"/>
        <w:ind w:left="1134" w:hanging="218"/>
        <w:contextualSpacing w:val="0"/>
        <w:jc w:val="both"/>
        <w:rPr>
          <w:rFonts w:ascii="Calibri" w:eastAsiaTheme="majorEastAsia" w:hAnsi="Calibri" w:cs="Calibri"/>
          <w:i/>
          <w:iCs/>
          <w:sz w:val="24"/>
        </w:rPr>
      </w:pPr>
      <w:r w:rsidRPr="006E0D8D">
        <w:rPr>
          <w:rFonts w:ascii="Calibri" w:eastAsiaTheme="majorEastAsia" w:hAnsi="Calibri" w:cs="Calibri"/>
          <w:i/>
          <w:iCs/>
          <w:sz w:val="24"/>
        </w:rPr>
        <w:t>Dons (ANR)</w:t>
      </w:r>
      <w:r>
        <w:rPr>
          <w:rFonts w:ascii="Calibri" w:eastAsiaTheme="majorEastAsia" w:hAnsi="Calibri" w:cs="Calibri"/>
          <w:i/>
          <w:iCs/>
          <w:sz w:val="24"/>
        </w:rPr>
        <w:t> :</w:t>
      </w:r>
      <w:r w:rsidR="00C21B85">
        <w:rPr>
          <w:rFonts w:ascii="Calibri" w:eastAsiaTheme="majorEastAsia" w:hAnsi="Calibri" w:cs="Calibri"/>
          <w:i/>
          <w:iCs/>
          <w:sz w:val="24"/>
        </w:rPr>
        <w:tab/>
      </w:r>
      <w:r w:rsidR="00C21B85">
        <w:rPr>
          <w:rFonts w:ascii="Calibri" w:eastAsiaTheme="majorEastAsia" w:hAnsi="Calibri" w:cs="Calibri"/>
          <w:i/>
          <w:iCs/>
          <w:sz w:val="24"/>
        </w:rPr>
        <w:tab/>
      </w:r>
      <w:r w:rsidR="00C21B85">
        <w:rPr>
          <w:rFonts w:ascii="Calibri" w:eastAsiaTheme="majorEastAsia" w:hAnsi="Calibri" w:cs="Calibri"/>
          <w:i/>
          <w:iCs/>
          <w:sz w:val="24"/>
        </w:rPr>
        <w:tab/>
      </w:r>
      <w:r w:rsidR="00C21B85">
        <w:rPr>
          <w:rFonts w:ascii="Calibri" w:eastAsiaTheme="majorEastAsia" w:hAnsi="Calibri" w:cs="Calibri"/>
          <w:i/>
          <w:iCs/>
          <w:sz w:val="24"/>
        </w:rPr>
        <w:tab/>
      </w:r>
      <w:r w:rsidR="00C21B85">
        <w:rPr>
          <w:rFonts w:ascii="Calibri" w:eastAsiaTheme="majorEastAsia" w:hAnsi="Calibri" w:cs="Calibri"/>
          <w:i/>
          <w:iCs/>
          <w:sz w:val="24"/>
        </w:rPr>
        <w:tab/>
        <w:t>42 244 329 462 F</w:t>
      </w:r>
      <w:r w:rsidRPr="006E0D8D">
        <w:rPr>
          <w:rFonts w:ascii="Calibri" w:eastAsiaTheme="majorEastAsia" w:hAnsi="Calibri" w:cs="Calibri"/>
          <w:i/>
          <w:iCs/>
          <w:sz w:val="24"/>
        </w:rPr>
        <w:t>CFA.</w:t>
      </w:r>
    </w:p>
    <w:p w14:paraId="780CC7D4" w14:textId="2D83FE63" w:rsidR="006E0D8D" w:rsidRPr="006E0D8D" w:rsidRDefault="006E0D8D" w:rsidP="00F12682">
      <w:pPr>
        <w:pStyle w:val="Paragraphedeliste"/>
        <w:numPr>
          <w:ilvl w:val="0"/>
          <w:numId w:val="30"/>
        </w:numPr>
        <w:spacing w:after="120" w:line="276" w:lineRule="auto"/>
        <w:ind w:left="1134" w:hanging="218"/>
        <w:contextualSpacing w:val="0"/>
        <w:jc w:val="both"/>
        <w:rPr>
          <w:rFonts w:ascii="Calibri" w:eastAsiaTheme="majorEastAsia" w:hAnsi="Calibri" w:cs="Calibri"/>
          <w:i/>
          <w:iCs/>
          <w:sz w:val="24"/>
        </w:rPr>
      </w:pPr>
      <w:r w:rsidRPr="006E0D8D">
        <w:rPr>
          <w:rFonts w:ascii="Calibri" w:eastAsiaTheme="majorEastAsia" w:hAnsi="Calibri" w:cs="Calibri"/>
          <w:i/>
          <w:iCs/>
          <w:sz w:val="24"/>
        </w:rPr>
        <w:t>Emprunts </w:t>
      </w:r>
      <w:r w:rsidRPr="006E0D8D">
        <w:rPr>
          <w:rFonts w:ascii="Calibri" w:eastAsiaTheme="majorEastAsia" w:hAnsi="Calibri" w:cs="Calibri"/>
          <w:i/>
          <w:iCs/>
          <w:sz w:val="24"/>
        </w:rPr>
        <w:tab/>
      </w:r>
      <w:r>
        <w:rPr>
          <w:rFonts w:ascii="Calibri" w:eastAsiaTheme="majorEastAsia" w:hAnsi="Calibri" w:cs="Calibri"/>
          <w:i/>
          <w:iCs/>
          <w:sz w:val="24"/>
        </w:rPr>
        <w:t>:</w:t>
      </w:r>
      <w:r w:rsidRPr="006E0D8D">
        <w:rPr>
          <w:rFonts w:ascii="Calibri" w:eastAsiaTheme="majorEastAsia" w:hAnsi="Calibri" w:cs="Calibri"/>
          <w:i/>
          <w:iCs/>
          <w:sz w:val="24"/>
        </w:rPr>
        <w:tab/>
      </w:r>
      <w:r w:rsidRPr="006E0D8D">
        <w:rPr>
          <w:rFonts w:ascii="Calibri" w:eastAsiaTheme="majorEastAsia" w:hAnsi="Calibri" w:cs="Calibri"/>
          <w:i/>
          <w:iCs/>
          <w:sz w:val="24"/>
        </w:rPr>
        <w:tab/>
      </w:r>
      <w:r w:rsidRPr="006E0D8D">
        <w:rPr>
          <w:rFonts w:ascii="Calibri" w:eastAsiaTheme="majorEastAsia" w:hAnsi="Calibri" w:cs="Calibri"/>
          <w:i/>
          <w:iCs/>
          <w:sz w:val="24"/>
        </w:rPr>
        <w:tab/>
      </w:r>
      <w:r w:rsidRPr="006E0D8D">
        <w:rPr>
          <w:rFonts w:ascii="Calibri" w:eastAsiaTheme="majorEastAsia" w:hAnsi="Calibri" w:cs="Calibri"/>
          <w:i/>
          <w:iCs/>
          <w:sz w:val="24"/>
        </w:rPr>
        <w:tab/>
      </w:r>
      <w:r>
        <w:rPr>
          <w:rFonts w:ascii="Calibri" w:eastAsiaTheme="majorEastAsia" w:hAnsi="Calibri" w:cs="Calibri"/>
          <w:i/>
          <w:iCs/>
          <w:sz w:val="24"/>
        </w:rPr>
        <w:tab/>
      </w:r>
      <w:r w:rsidR="00C21B85">
        <w:rPr>
          <w:rFonts w:ascii="Calibri" w:eastAsiaTheme="majorEastAsia" w:hAnsi="Calibri" w:cs="Calibri"/>
          <w:i/>
          <w:iCs/>
          <w:sz w:val="24"/>
        </w:rPr>
        <w:t>15 767 453 863 F</w:t>
      </w:r>
      <w:r w:rsidRPr="006E0D8D">
        <w:rPr>
          <w:rFonts w:ascii="Calibri" w:eastAsiaTheme="majorEastAsia" w:hAnsi="Calibri" w:cs="Calibri"/>
          <w:i/>
          <w:iCs/>
          <w:sz w:val="24"/>
        </w:rPr>
        <w:t>CFA.</w:t>
      </w:r>
    </w:p>
    <w:p w14:paraId="1D5B18E9" w14:textId="3DA25C72" w:rsidR="006E0D8D" w:rsidRPr="006E0D8D" w:rsidRDefault="006E0D8D" w:rsidP="00F12682">
      <w:pPr>
        <w:spacing w:after="120" w:line="276" w:lineRule="auto"/>
        <w:ind w:left="851"/>
        <w:rPr>
          <w:rFonts w:ascii="Calibri" w:eastAsiaTheme="majorEastAsia" w:hAnsi="Calibri" w:cs="Calibri"/>
          <w:b/>
          <w:iCs/>
          <w:sz w:val="24"/>
        </w:rPr>
      </w:pPr>
      <w:r w:rsidRPr="006E0D8D">
        <w:rPr>
          <w:rFonts w:ascii="Calibri" w:eastAsiaTheme="majorEastAsia" w:hAnsi="Calibri" w:cs="Calibri"/>
          <w:b/>
          <w:iCs/>
          <w:sz w:val="24"/>
        </w:rPr>
        <w:t>TOTAL</w:t>
      </w:r>
      <w:r>
        <w:rPr>
          <w:rFonts w:ascii="Calibri" w:eastAsiaTheme="majorEastAsia" w:hAnsi="Calibri" w:cs="Calibri"/>
          <w:b/>
          <w:iCs/>
          <w:sz w:val="24"/>
        </w:rPr>
        <w:t> :</w:t>
      </w:r>
      <w:r w:rsidR="00C21B85">
        <w:rPr>
          <w:rFonts w:ascii="Calibri" w:eastAsiaTheme="majorEastAsia" w:hAnsi="Calibri" w:cs="Calibri"/>
          <w:b/>
          <w:iCs/>
          <w:sz w:val="24"/>
        </w:rPr>
        <w:tab/>
      </w:r>
      <w:r w:rsidR="00C21B85">
        <w:rPr>
          <w:rFonts w:ascii="Calibri" w:eastAsiaTheme="majorEastAsia" w:hAnsi="Calibri" w:cs="Calibri"/>
          <w:b/>
          <w:iCs/>
          <w:sz w:val="24"/>
        </w:rPr>
        <w:tab/>
      </w:r>
      <w:r w:rsidR="00C21B85">
        <w:rPr>
          <w:rFonts w:ascii="Calibri" w:eastAsiaTheme="majorEastAsia" w:hAnsi="Calibri" w:cs="Calibri"/>
          <w:b/>
          <w:iCs/>
          <w:sz w:val="24"/>
        </w:rPr>
        <w:tab/>
      </w:r>
      <w:r w:rsidR="00C21B85">
        <w:rPr>
          <w:rFonts w:ascii="Calibri" w:eastAsiaTheme="majorEastAsia" w:hAnsi="Calibri" w:cs="Calibri"/>
          <w:b/>
          <w:iCs/>
          <w:sz w:val="24"/>
        </w:rPr>
        <w:tab/>
      </w:r>
      <w:r w:rsidR="00C21B85">
        <w:rPr>
          <w:rFonts w:ascii="Calibri" w:eastAsiaTheme="majorEastAsia" w:hAnsi="Calibri" w:cs="Calibri"/>
          <w:b/>
          <w:iCs/>
          <w:sz w:val="24"/>
        </w:rPr>
        <w:tab/>
      </w:r>
      <w:r w:rsidR="00C21B85">
        <w:rPr>
          <w:rFonts w:ascii="Calibri" w:eastAsiaTheme="majorEastAsia" w:hAnsi="Calibri" w:cs="Calibri"/>
          <w:b/>
          <w:iCs/>
          <w:sz w:val="24"/>
        </w:rPr>
        <w:tab/>
        <w:t>62 586 988 917 F</w:t>
      </w:r>
      <w:r w:rsidRPr="006E0D8D">
        <w:rPr>
          <w:rFonts w:ascii="Calibri" w:eastAsiaTheme="majorEastAsia" w:hAnsi="Calibri" w:cs="Calibri"/>
          <w:b/>
          <w:iCs/>
          <w:sz w:val="24"/>
        </w:rPr>
        <w:t>CFA.</w:t>
      </w:r>
    </w:p>
    <w:p w14:paraId="4AD77717" w14:textId="77777777" w:rsidR="006E0D8D" w:rsidRPr="006E0D8D" w:rsidRDefault="006E0D8D" w:rsidP="00F12682">
      <w:pPr>
        <w:spacing w:after="120" w:line="276" w:lineRule="auto"/>
        <w:jc w:val="both"/>
        <w:rPr>
          <w:rFonts w:ascii="Calibri" w:eastAsiaTheme="majorEastAsia" w:hAnsi="Calibri" w:cs="Calibri"/>
          <w:iCs/>
          <w:sz w:val="24"/>
        </w:rPr>
      </w:pPr>
      <w:r w:rsidRPr="006E0D8D">
        <w:rPr>
          <w:rFonts w:ascii="Calibri" w:eastAsiaTheme="majorEastAsia" w:hAnsi="Calibri" w:cs="Calibri"/>
          <w:iCs/>
          <w:sz w:val="24"/>
        </w:rPr>
        <w:t>Pour le volet ‘Hydraulique pastorale’, les crédits sont respectivement de 2 417 055 508 F CFA, pour le Programme Hydraulique Villageoise Pastorale Phase 2 et 1 048 105 602 F CA, pour les ressources PPTE ;</w:t>
      </w:r>
    </w:p>
    <w:p w14:paraId="78A30E1A" w14:textId="633C1E7C" w:rsidR="006E0D8D" w:rsidRDefault="006E0D8D" w:rsidP="00F12682">
      <w:pPr>
        <w:spacing w:after="120" w:line="276" w:lineRule="auto"/>
        <w:jc w:val="both"/>
        <w:rPr>
          <w:rFonts w:ascii="Calibri" w:eastAsiaTheme="majorEastAsia" w:hAnsi="Calibri" w:cs="Calibri"/>
          <w:iCs/>
          <w:sz w:val="24"/>
        </w:rPr>
      </w:pPr>
      <w:r w:rsidRPr="006E0D8D">
        <w:rPr>
          <w:rFonts w:ascii="Calibri" w:eastAsiaTheme="majorEastAsia" w:hAnsi="Calibri" w:cs="Calibri"/>
          <w:iCs/>
          <w:sz w:val="24"/>
        </w:rPr>
        <w:t xml:space="preserve">Les dépenses de développement sont fortement tributaire des PTF, avec plus de 93% des prévisions globales, soit plus de douze (12) fois la contribution de l’Etat. Ce qui laisse penser que l’atteinte des objectifs de développement du MH/A, dépend en grande partie des PTF qui, en général, fixe certaines conditions avant le déblocage des fonds. C’est dire tout le risque qu’il y a quant à </w:t>
      </w:r>
      <w:proofErr w:type="gramStart"/>
      <w:r w:rsidRPr="006E0D8D">
        <w:rPr>
          <w:rFonts w:ascii="Calibri" w:eastAsiaTheme="majorEastAsia" w:hAnsi="Calibri" w:cs="Calibri"/>
          <w:iCs/>
          <w:sz w:val="24"/>
        </w:rPr>
        <w:t>la non</w:t>
      </w:r>
      <w:proofErr w:type="gramEnd"/>
      <w:r w:rsidRPr="006E0D8D">
        <w:rPr>
          <w:rFonts w:ascii="Calibri" w:eastAsiaTheme="majorEastAsia" w:hAnsi="Calibri" w:cs="Calibri"/>
          <w:iCs/>
          <w:sz w:val="24"/>
        </w:rPr>
        <w:t xml:space="preserve"> réalisation de certaines infrastructures car, les PTF peuvent à tout moment bloquer leur financement.</w:t>
      </w:r>
      <w:r w:rsidR="003A0923">
        <w:rPr>
          <w:rFonts w:ascii="Calibri" w:eastAsiaTheme="majorEastAsia" w:hAnsi="Calibri" w:cs="Calibri"/>
          <w:iCs/>
          <w:sz w:val="24"/>
        </w:rPr>
        <w:t xml:space="preserve"> </w:t>
      </w:r>
      <w:r w:rsidRPr="006E0D8D">
        <w:rPr>
          <w:rFonts w:ascii="Calibri" w:eastAsiaTheme="majorEastAsia" w:hAnsi="Calibri" w:cs="Calibri"/>
          <w:iCs/>
          <w:sz w:val="24"/>
        </w:rPr>
        <w:t>Le graphique suivant illustr</w:t>
      </w:r>
      <w:r w:rsidR="00C21B85">
        <w:rPr>
          <w:rFonts w:ascii="Calibri" w:eastAsiaTheme="majorEastAsia" w:hAnsi="Calibri" w:cs="Calibri"/>
          <w:iCs/>
          <w:sz w:val="24"/>
        </w:rPr>
        <w:t>e bien cette forte dépendance.</w:t>
      </w:r>
    </w:p>
    <w:p w14:paraId="2260FB6D" w14:textId="78386C49" w:rsidR="006E0D8D" w:rsidRPr="00C21B85" w:rsidRDefault="00C21B85" w:rsidP="00F12682">
      <w:pPr>
        <w:pStyle w:val="Lgende"/>
        <w:rPr>
          <w:rFonts w:eastAsiaTheme="majorEastAsia" w:cs="Calibri"/>
          <w:iCs w:val="0"/>
        </w:rPr>
      </w:pPr>
      <w:bookmarkStart w:id="141" w:name="_Toc529305107"/>
      <w:r>
        <w:lastRenderedPageBreak/>
        <w:t xml:space="preserve">Graphique </w:t>
      </w:r>
      <w:r w:rsidR="00FA3679">
        <w:rPr>
          <w:noProof/>
        </w:rPr>
        <w:fldChar w:fldCharType="begin"/>
      </w:r>
      <w:r w:rsidR="00FA3679">
        <w:rPr>
          <w:noProof/>
        </w:rPr>
        <w:instrText xml:space="preserve"> SEQ Graphique \* ARABIC </w:instrText>
      </w:r>
      <w:r w:rsidR="00FA3679">
        <w:rPr>
          <w:noProof/>
        </w:rPr>
        <w:fldChar w:fldCharType="separate"/>
      </w:r>
      <w:r w:rsidR="001C37F0">
        <w:rPr>
          <w:noProof/>
        </w:rPr>
        <w:t>3</w:t>
      </w:r>
      <w:r w:rsidR="00FA3679">
        <w:rPr>
          <w:noProof/>
        </w:rPr>
        <w:fldChar w:fldCharType="end"/>
      </w:r>
      <w:r w:rsidR="006E0D8D" w:rsidRPr="00C21B85">
        <w:rPr>
          <w:rFonts w:eastAsiaTheme="majorEastAsia" w:cs="Calibri"/>
          <w:iCs w:val="0"/>
        </w:rPr>
        <w:t> : Répartition des crédits d’investissement de développement au titre de l’année 2016</w:t>
      </w:r>
      <w:bookmarkEnd w:id="141"/>
      <w:r w:rsidR="006E0D8D" w:rsidRPr="00C21B85">
        <w:rPr>
          <w:rFonts w:eastAsiaTheme="majorEastAsia" w:cs="Calibri"/>
          <w:iCs w:val="0"/>
        </w:rPr>
        <w:t xml:space="preserve"> </w:t>
      </w:r>
    </w:p>
    <w:p w14:paraId="7D9A415C" w14:textId="77777777" w:rsidR="006E0D8D" w:rsidRPr="006E0D8D" w:rsidRDefault="006E0D8D" w:rsidP="00F12682">
      <w:pPr>
        <w:spacing w:after="0" w:line="240" w:lineRule="auto"/>
        <w:jc w:val="both"/>
        <w:rPr>
          <w:rFonts w:ascii="Calibri" w:eastAsiaTheme="majorEastAsia" w:hAnsi="Calibri" w:cs="Calibri"/>
          <w:iCs/>
          <w:sz w:val="24"/>
        </w:rPr>
      </w:pPr>
      <w:r w:rsidRPr="006E0D8D">
        <w:rPr>
          <w:rFonts w:ascii="Calibri" w:eastAsiaTheme="majorEastAsia" w:hAnsi="Calibri" w:cs="Calibri"/>
          <w:iCs/>
          <w:noProof/>
          <w:sz w:val="24"/>
          <w:lang w:eastAsia="fr-FR"/>
        </w:rPr>
        <w:drawing>
          <wp:inline distT="0" distB="0" distL="0" distR="0" wp14:anchorId="6E98E562" wp14:editId="07E313E2">
            <wp:extent cx="3829050" cy="1943100"/>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CA728A" w14:textId="514D6989" w:rsidR="006E0D8D" w:rsidRDefault="006E0D8D" w:rsidP="00F12682">
      <w:pPr>
        <w:spacing w:after="120" w:line="276" w:lineRule="auto"/>
        <w:jc w:val="both"/>
        <w:rPr>
          <w:rFonts w:ascii="Calibri" w:eastAsiaTheme="majorEastAsia" w:hAnsi="Calibri" w:cs="Calibri"/>
          <w:iCs/>
          <w:sz w:val="20"/>
        </w:rPr>
      </w:pPr>
      <w:r w:rsidRPr="00C21B85">
        <w:rPr>
          <w:rFonts w:ascii="Calibri" w:eastAsiaTheme="majorEastAsia" w:hAnsi="Calibri" w:cs="Calibri"/>
          <w:iCs/>
          <w:sz w:val="20"/>
          <w:u w:val="single"/>
        </w:rPr>
        <w:t>Source</w:t>
      </w:r>
      <w:r w:rsidRPr="00C21B85">
        <w:rPr>
          <w:rFonts w:ascii="Calibri" w:eastAsiaTheme="majorEastAsia" w:hAnsi="Calibri" w:cs="Calibri"/>
          <w:iCs/>
          <w:sz w:val="20"/>
        </w:rPr>
        <w:t> : Etabli sur la base des données du rapport annuel d</w:t>
      </w:r>
      <w:r w:rsidR="008C0967">
        <w:rPr>
          <w:rFonts w:ascii="Calibri" w:eastAsiaTheme="majorEastAsia" w:hAnsi="Calibri" w:cs="Calibri"/>
          <w:iCs/>
          <w:sz w:val="20"/>
        </w:rPr>
        <w:t>’activités 2016 du MH</w:t>
      </w:r>
      <w:r w:rsidRPr="00C21B85">
        <w:rPr>
          <w:rFonts w:ascii="Calibri" w:eastAsiaTheme="majorEastAsia" w:hAnsi="Calibri" w:cs="Calibri"/>
          <w:iCs/>
          <w:sz w:val="20"/>
        </w:rPr>
        <w:t>A</w:t>
      </w:r>
    </w:p>
    <w:p w14:paraId="20278B18" w14:textId="77777777" w:rsidR="008C0967" w:rsidRPr="008C0967" w:rsidRDefault="008C0967" w:rsidP="00F12682">
      <w:pPr>
        <w:jc w:val="both"/>
        <w:rPr>
          <w:rFonts w:cs="Calibri"/>
          <w:sz w:val="24"/>
        </w:rPr>
      </w:pPr>
    </w:p>
    <w:p w14:paraId="358395B6" w14:textId="77777777" w:rsidR="002075EF" w:rsidRPr="00857DDC" w:rsidRDefault="002075EF" w:rsidP="00F12682">
      <w:pPr>
        <w:pStyle w:val="Titre4"/>
        <w:rPr>
          <w:rFonts w:asciiTheme="minorHAnsi" w:hAnsiTheme="minorHAnsi" w:cstheme="minorHAnsi"/>
        </w:rPr>
      </w:pPr>
      <w:r w:rsidRPr="00857DDC">
        <w:rPr>
          <w:rFonts w:asciiTheme="minorHAnsi" w:hAnsiTheme="minorHAnsi" w:cstheme="minorHAnsi"/>
        </w:rPr>
        <w:t>Analyse de l’exécution des dépenses par rapports aux prévisions</w:t>
      </w:r>
    </w:p>
    <w:p w14:paraId="1413356C" w14:textId="4F6DF211" w:rsidR="002075EF" w:rsidRPr="004A5122" w:rsidRDefault="002075EF" w:rsidP="00F12682">
      <w:pPr>
        <w:jc w:val="both"/>
        <w:rPr>
          <w:rFonts w:cs="Calibri"/>
          <w:sz w:val="24"/>
        </w:rPr>
      </w:pPr>
      <w:r w:rsidRPr="004A5122">
        <w:rPr>
          <w:rFonts w:cs="Calibri"/>
          <w:sz w:val="24"/>
        </w:rPr>
        <w:t>Il faut d’abord préciser que la gestion des dépenses de personnel étant du ressort du Ministère des Finances et du Ministère de la fonction Publique, l’analyse va porter exclusivement sur les dépenses des titres 3, 4 et 5 qui fon</w:t>
      </w:r>
      <w:r w:rsidR="008C0967">
        <w:rPr>
          <w:rFonts w:cs="Calibri"/>
          <w:sz w:val="24"/>
        </w:rPr>
        <w:t>t intervenir les services du MH</w:t>
      </w:r>
      <w:r w:rsidRPr="004A5122">
        <w:rPr>
          <w:rFonts w:cs="Calibri"/>
          <w:sz w:val="24"/>
        </w:rPr>
        <w:t xml:space="preserve">A. </w:t>
      </w:r>
    </w:p>
    <w:p w14:paraId="3FF51C98" w14:textId="10588DBD" w:rsidR="002075EF" w:rsidRDefault="002075EF" w:rsidP="00F12682">
      <w:pPr>
        <w:jc w:val="both"/>
        <w:rPr>
          <w:rFonts w:cs="Calibri"/>
          <w:sz w:val="24"/>
        </w:rPr>
      </w:pPr>
      <w:r w:rsidRPr="004A5122">
        <w:rPr>
          <w:rFonts w:cs="Calibri"/>
          <w:sz w:val="24"/>
        </w:rPr>
        <w:t xml:space="preserve">Ainsi, selon le rapport annuel d’activités 2016, l’exécution des dépenses du </w:t>
      </w:r>
      <w:r w:rsidR="00757CF6">
        <w:rPr>
          <w:rFonts w:cs="Calibri"/>
          <w:sz w:val="24"/>
        </w:rPr>
        <w:t xml:space="preserve">MHA </w:t>
      </w:r>
      <w:r w:rsidRPr="004A5122">
        <w:rPr>
          <w:rFonts w:cs="Calibri"/>
          <w:sz w:val="24"/>
        </w:rPr>
        <w:t xml:space="preserve">se pressente comme suit : </w:t>
      </w:r>
    </w:p>
    <w:p w14:paraId="3956BB13" w14:textId="0DB06BC7" w:rsidR="002075EF" w:rsidRPr="00C15E23" w:rsidRDefault="002075EF" w:rsidP="00F12682">
      <w:pPr>
        <w:pStyle w:val="Lgende"/>
        <w:rPr>
          <w:rFonts w:eastAsiaTheme="majorEastAsia" w:cs="Calibri"/>
          <w:iCs w:val="0"/>
          <w:color w:val="auto"/>
        </w:rPr>
      </w:pPr>
      <w:bookmarkStart w:id="142" w:name="_Toc529305082"/>
      <w:r w:rsidRPr="00C15E23">
        <w:rPr>
          <w:rFonts w:cs="Calibri"/>
          <w:color w:val="auto"/>
        </w:rPr>
        <w:t xml:space="preserve">Tableau </w:t>
      </w:r>
      <w:r w:rsidRPr="00C15E23">
        <w:rPr>
          <w:rFonts w:cs="Calibri"/>
          <w:color w:val="auto"/>
        </w:rPr>
        <w:fldChar w:fldCharType="begin"/>
      </w:r>
      <w:r w:rsidRPr="00C15E23">
        <w:rPr>
          <w:rFonts w:cs="Calibri"/>
          <w:color w:val="auto"/>
        </w:rPr>
        <w:instrText xml:space="preserve"> SEQ Tableau \* ARABIC </w:instrText>
      </w:r>
      <w:r w:rsidRPr="00C15E23">
        <w:rPr>
          <w:rFonts w:cs="Calibri"/>
          <w:color w:val="auto"/>
        </w:rPr>
        <w:fldChar w:fldCharType="separate"/>
      </w:r>
      <w:r w:rsidR="001C37F0">
        <w:rPr>
          <w:rFonts w:cs="Calibri"/>
          <w:noProof/>
          <w:color w:val="auto"/>
        </w:rPr>
        <w:t>28</w:t>
      </w:r>
      <w:r w:rsidRPr="00C15E23">
        <w:rPr>
          <w:rFonts w:cs="Calibri"/>
          <w:color w:val="auto"/>
        </w:rPr>
        <w:fldChar w:fldCharType="end"/>
      </w:r>
      <w:r w:rsidRPr="00C15E23">
        <w:rPr>
          <w:rFonts w:eastAsiaTheme="majorEastAsia" w:cs="Calibri"/>
          <w:iCs w:val="0"/>
          <w:color w:val="auto"/>
        </w:rPr>
        <w:t xml:space="preserve"> : Etat d’exécution des crédits alloués au </w:t>
      </w:r>
      <w:r w:rsidR="00757CF6">
        <w:rPr>
          <w:rFonts w:eastAsiaTheme="majorEastAsia" w:cs="Calibri"/>
          <w:iCs w:val="0"/>
          <w:color w:val="auto"/>
        </w:rPr>
        <w:t xml:space="preserve">MHA </w:t>
      </w:r>
      <w:r w:rsidRPr="00C15E23">
        <w:rPr>
          <w:rFonts w:eastAsiaTheme="majorEastAsia" w:cs="Calibri"/>
          <w:iCs w:val="0"/>
          <w:color w:val="auto"/>
        </w:rPr>
        <w:t>en 2016</w:t>
      </w:r>
      <w:bookmarkEnd w:id="142"/>
    </w:p>
    <w:tbl>
      <w:tblPr>
        <w:tblStyle w:val="Grilledutableau"/>
        <w:tblW w:w="9651" w:type="dxa"/>
        <w:tblInd w:w="-5" w:type="dxa"/>
        <w:tblLook w:val="04A0" w:firstRow="1" w:lastRow="0" w:firstColumn="1" w:lastColumn="0" w:noHBand="0" w:noVBand="1"/>
      </w:tblPr>
      <w:tblGrid>
        <w:gridCol w:w="3203"/>
        <w:gridCol w:w="2166"/>
        <w:gridCol w:w="1967"/>
        <w:gridCol w:w="2315"/>
      </w:tblGrid>
      <w:tr w:rsidR="00C15E23" w14:paraId="6C69FDFC" w14:textId="77777777" w:rsidTr="005B4047">
        <w:trPr>
          <w:trHeight w:val="573"/>
        </w:trPr>
        <w:tc>
          <w:tcPr>
            <w:tcW w:w="3203" w:type="dxa"/>
            <w:shd w:val="clear" w:color="auto" w:fill="D9D9D9" w:themeFill="background1" w:themeFillShade="D9"/>
            <w:vAlign w:val="center"/>
          </w:tcPr>
          <w:p w14:paraId="55A7657F" w14:textId="77777777" w:rsidR="00C15E23" w:rsidRPr="009B7EC7" w:rsidRDefault="00C15E23" w:rsidP="00F12682">
            <w:pPr>
              <w:spacing w:line="276" w:lineRule="auto"/>
              <w:jc w:val="center"/>
              <w:rPr>
                <w:b/>
              </w:rPr>
            </w:pPr>
            <w:r w:rsidRPr="009B7EC7">
              <w:rPr>
                <w:b/>
              </w:rPr>
              <w:t>Désignations</w:t>
            </w:r>
          </w:p>
        </w:tc>
        <w:tc>
          <w:tcPr>
            <w:tcW w:w="2166" w:type="dxa"/>
            <w:shd w:val="clear" w:color="auto" w:fill="D9D9D9" w:themeFill="background1" w:themeFillShade="D9"/>
            <w:vAlign w:val="center"/>
          </w:tcPr>
          <w:p w14:paraId="11EDA603" w14:textId="77777777" w:rsidR="00C15E23" w:rsidRPr="006C41D9" w:rsidRDefault="00C15E23" w:rsidP="00F12682">
            <w:pPr>
              <w:spacing w:line="276" w:lineRule="auto"/>
              <w:jc w:val="center"/>
              <w:rPr>
                <w:b/>
              </w:rPr>
            </w:pPr>
            <w:r w:rsidRPr="006C41D9">
              <w:rPr>
                <w:b/>
              </w:rPr>
              <w:t>Crédits votés</w:t>
            </w:r>
          </w:p>
        </w:tc>
        <w:tc>
          <w:tcPr>
            <w:tcW w:w="1967" w:type="dxa"/>
            <w:shd w:val="clear" w:color="auto" w:fill="D9D9D9" w:themeFill="background1" w:themeFillShade="D9"/>
            <w:vAlign w:val="center"/>
          </w:tcPr>
          <w:p w14:paraId="650671A4" w14:textId="77777777" w:rsidR="00C15E23" w:rsidRPr="006C41D9" w:rsidRDefault="00C15E23" w:rsidP="00F12682">
            <w:pPr>
              <w:spacing w:line="276" w:lineRule="auto"/>
              <w:jc w:val="center"/>
              <w:rPr>
                <w:b/>
              </w:rPr>
            </w:pPr>
            <w:r w:rsidRPr="006C41D9">
              <w:rPr>
                <w:b/>
              </w:rPr>
              <w:t xml:space="preserve">Crédits </w:t>
            </w:r>
            <w:r>
              <w:rPr>
                <w:b/>
              </w:rPr>
              <w:t>consomm</w:t>
            </w:r>
            <w:r w:rsidRPr="006C41D9">
              <w:rPr>
                <w:b/>
              </w:rPr>
              <w:t>és</w:t>
            </w:r>
          </w:p>
        </w:tc>
        <w:tc>
          <w:tcPr>
            <w:tcW w:w="2315" w:type="dxa"/>
            <w:shd w:val="clear" w:color="auto" w:fill="D9D9D9" w:themeFill="background1" w:themeFillShade="D9"/>
            <w:vAlign w:val="center"/>
          </w:tcPr>
          <w:p w14:paraId="43429564" w14:textId="77777777" w:rsidR="00C15E23" w:rsidRPr="006C41D9" w:rsidRDefault="00C15E23" w:rsidP="00F12682">
            <w:pPr>
              <w:spacing w:line="276" w:lineRule="auto"/>
              <w:jc w:val="center"/>
              <w:rPr>
                <w:b/>
              </w:rPr>
            </w:pPr>
            <w:r>
              <w:rPr>
                <w:b/>
              </w:rPr>
              <w:t>Taux de consommation</w:t>
            </w:r>
          </w:p>
        </w:tc>
      </w:tr>
      <w:tr w:rsidR="00AA1DD3" w14:paraId="4B0A53D0" w14:textId="77777777" w:rsidTr="001C57F5">
        <w:trPr>
          <w:trHeight w:val="278"/>
        </w:trPr>
        <w:tc>
          <w:tcPr>
            <w:tcW w:w="3203" w:type="dxa"/>
            <w:vAlign w:val="center"/>
          </w:tcPr>
          <w:p w14:paraId="42EE9855" w14:textId="2A9F3F7A" w:rsidR="00AA1DD3" w:rsidRPr="001D09CF" w:rsidRDefault="003B6D99" w:rsidP="00F12682">
            <w:pPr>
              <w:spacing w:line="276" w:lineRule="auto"/>
            </w:pPr>
            <w:r>
              <w:t>Personnel</w:t>
            </w:r>
          </w:p>
        </w:tc>
        <w:tc>
          <w:tcPr>
            <w:tcW w:w="2166" w:type="dxa"/>
          </w:tcPr>
          <w:p w14:paraId="5656DA08" w14:textId="469F5646" w:rsidR="00AA1DD3" w:rsidRDefault="00AA1DD3" w:rsidP="00F12682">
            <w:pPr>
              <w:spacing w:line="276" w:lineRule="auto"/>
              <w:jc w:val="right"/>
            </w:pPr>
            <w:r>
              <w:t>2 056 102 203</w:t>
            </w:r>
          </w:p>
        </w:tc>
        <w:tc>
          <w:tcPr>
            <w:tcW w:w="1967" w:type="dxa"/>
          </w:tcPr>
          <w:p w14:paraId="5CF746FC" w14:textId="0F0D5993" w:rsidR="00AA1DD3" w:rsidRDefault="00AA1DD3" w:rsidP="00F12682">
            <w:pPr>
              <w:spacing w:line="276" w:lineRule="auto"/>
              <w:jc w:val="right"/>
            </w:pPr>
            <w:r>
              <w:t>2 274 279 805</w:t>
            </w:r>
          </w:p>
        </w:tc>
        <w:tc>
          <w:tcPr>
            <w:tcW w:w="2315" w:type="dxa"/>
          </w:tcPr>
          <w:p w14:paraId="156B28D6" w14:textId="0E32217D" w:rsidR="00AA1DD3" w:rsidRDefault="00AA1DD3" w:rsidP="00F12682">
            <w:pPr>
              <w:spacing w:line="276" w:lineRule="auto"/>
              <w:jc w:val="center"/>
            </w:pPr>
            <w:r>
              <w:t>111%</w:t>
            </w:r>
          </w:p>
        </w:tc>
      </w:tr>
      <w:tr w:rsidR="00AA1DD3" w14:paraId="36D97481" w14:textId="77777777" w:rsidTr="005B4047">
        <w:trPr>
          <w:trHeight w:val="278"/>
        </w:trPr>
        <w:tc>
          <w:tcPr>
            <w:tcW w:w="3203" w:type="dxa"/>
          </w:tcPr>
          <w:p w14:paraId="39419286" w14:textId="77777777" w:rsidR="00AA1DD3" w:rsidRPr="001D09CF" w:rsidRDefault="00AA1DD3" w:rsidP="00F12682">
            <w:pPr>
              <w:spacing w:line="276" w:lineRule="auto"/>
            </w:pPr>
            <w:r w:rsidRPr="001D09CF">
              <w:t>Fonctionnement</w:t>
            </w:r>
          </w:p>
        </w:tc>
        <w:tc>
          <w:tcPr>
            <w:tcW w:w="2166" w:type="dxa"/>
          </w:tcPr>
          <w:p w14:paraId="239F00C3" w14:textId="77777777" w:rsidR="00AA1DD3" w:rsidRDefault="00AA1DD3" w:rsidP="00F12682">
            <w:pPr>
              <w:spacing w:line="276" w:lineRule="auto"/>
              <w:jc w:val="right"/>
            </w:pPr>
            <w:r>
              <w:t>604 266 357</w:t>
            </w:r>
          </w:p>
        </w:tc>
        <w:tc>
          <w:tcPr>
            <w:tcW w:w="1967" w:type="dxa"/>
          </w:tcPr>
          <w:p w14:paraId="25ED09C4" w14:textId="77777777" w:rsidR="00AA1DD3" w:rsidRDefault="00AA1DD3" w:rsidP="00F12682">
            <w:pPr>
              <w:spacing w:line="276" w:lineRule="auto"/>
              <w:jc w:val="right"/>
            </w:pPr>
            <w:r>
              <w:t>277 694 562</w:t>
            </w:r>
          </w:p>
        </w:tc>
        <w:tc>
          <w:tcPr>
            <w:tcW w:w="2315" w:type="dxa"/>
          </w:tcPr>
          <w:p w14:paraId="119C5E47" w14:textId="77777777" w:rsidR="00AA1DD3" w:rsidRDefault="00AA1DD3" w:rsidP="00F12682">
            <w:pPr>
              <w:spacing w:line="276" w:lineRule="auto"/>
              <w:jc w:val="center"/>
            </w:pPr>
            <w:r>
              <w:t>46%</w:t>
            </w:r>
          </w:p>
        </w:tc>
      </w:tr>
      <w:tr w:rsidR="00AA1DD3" w14:paraId="6FDD05D4" w14:textId="77777777" w:rsidTr="005B4047">
        <w:trPr>
          <w:trHeight w:val="278"/>
        </w:trPr>
        <w:tc>
          <w:tcPr>
            <w:tcW w:w="3203" w:type="dxa"/>
          </w:tcPr>
          <w:p w14:paraId="4F5740DE" w14:textId="77777777" w:rsidR="00AA1DD3" w:rsidRPr="001D09CF" w:rsidRDefault="00AA1DD3" w:rsidP="00F12682">
            <w:pPr>
              <w:spacing w:line="276" w:lineRule="auto"/>
            </w:pPr>
            <w:r w:rsidRPr="001D09CF">
              <w:t>Transferts courants</w:t>
            </w:r>
          </w:p>
        </w:tc>
        <w:tc>
          <w:tcPr>
            <w:tcW w:w="2166" w:type="dxa"/>
          </w:tcPr>
          <w:p w14:paraId="616073D7" w14:textId="77777777" w:rsidR="00AA1DD3" w:rsidRDefault="00AA1DD3" w:rsidP="00F12682">
            <w:pPr>
              <w:spacing w:line="276" w:lineRule="auto"/>
              <w:jc w:val="right"/>
            </w:pPr>
            <w:r>
              <w:t>15 076 893</w:t>
            </w:r>
          </w:p>
        </w:tc>
        <w:tc>
          <w:tcPr>
            <w:tcW w:w="1967" w:type="dxa"/>
          </w:tcPr>
          <w:p w14:paraId="4C48EE39" w14:textId="77777777" w:rsidR="00AA1DD3" w:rsidRDefault="00AA1DD3" w:rsidP="00F12682">
            <w:pPr>
              <w:spacing w:line="276" w:lineRule="auto"/>
              <w:jc w:val="right"/>
            </w:pPr>
            <w:r>
              <w:t>12 690 777</w:t>
            </w:r>
          </w:p>
        </w:tc>
        <w:tc>
          <w:tcPr>
            <w:tcW w:w="2315" w:type="dxa"/>
          </w:tcPr>
          <w:p w14:paraId="24E7E8DC" w14:textId="77777777" w:rsidR="00AA1DD3" w:rsidRDefault="00AA1DD3" w:rsidP="00F12682">
            <w:pPr>
              <w:spacing w:line="276" w:lineRule="auto"/>
              <w:jc w:val="center"/>
            </w:pPr>
            <w:r>
              <w:t>84%</w:t>
            </w:r>
          </w:p>
        </w:tc>
      </w:tr>
      <w:tr w:rsidR="00AA1DD3" w14:paraId="17407D6C" w14:textId="77777777" w:rsidTr="005B4047">
        <w:trPr>
          <w:trHeight w:val="278"/>
        </w:trPr>
        <w:tc>
          <w:tcPr>
            <w:tcW w:w="3203" w:type="dxa"/>
          </w:tcPr>
          <w:p w14:paraId="0D3581EA" w14:textId="3085E91B" w:rsidR="00AA1DD3" w:rsidRPr="001D09CF" w:rsidRDefault="00AA1DD3" w:rsidP="00F12682">
            <w:pPr>
              <w:spacing w:line="276" w:lineRule="auto"/>
            </w:pPr>
            <w:r w:rsidRPr="001D09CF">
              <w:t>Investissement :</w:t>
            </w:r>
          </w:p>
        </w:tc>
        <w:tc>
          <w:tcPr>
            <w:tcW w:w="2166" w:type="dxa"/>
            <w:shd w:val="clear" w:color="auto" w:fill="auto"/>
            <w:vAlign w:val="bottom"/>
          </w:tcPr>
          <w:p w14:paraId="58C5B710" w14:textId="77777777" w:rsidR="00AA1DD3" w:rsidRPr="009C7D18" w:rsidRDefault="00AA1DD3" w:rsidP="00F12682">
            <w:pPr>
              <w:spacing w:line="276" w:lineRule="auto"/>
              <w:jc w:val="right"/>
            </w:pPr>
            <w:r w:rsidRPr="009C7D18">
              <w:t>62 586 988 917</w:t>
            </w:r>
          </w:p>
        </w:tc>
        <w:tc>
          <w:tcPr>
            <w:tcW w:w="1967" w:type="dxa"/>
            <w:shd w:val="clear" w:color="auto" w:fill="auto"/>
            <w:vAlign w:val="bottom"/>
          </w:tcPr>
          <w:p w14:paraId="340CBE79" w14:textId="77777777" w:rsidR="00AA1DD3" w:rsidRPr="009C7D18" w:rsidRDefault="00AA1DD3" w:rsidP="00F12682">
            <w:pPr>
              <w:jc w:val="right"/>
            </w:pPr>
            <w:r w:rsidRPr="009C7D18">
              <w:t>42 138 223 377</w:t>
            </w:r>
          </w:p>
        </w:tc>
        <w:tc>
          <w:tcPr>
            <w:tcW w:w="2315" w:type="dxa"/>
          </w:tcPr>
          <w:p w14:paraId="67F403BE" w14:textId="77777777" w:rsidR="00AA1DD3" w:rsidRPr="009B7EC7" w:rsidRDefault="00AA1DD3" w:rsidP="00F12682">
            <w:pPr>
              <w:spacing w:line="276" w:lineRule="auto"/>
              <w:jc w:val="center"/>
            </w:pPr>
            <w:r>
              <w:t>67%</w:t>
            </w:r>
          </w:p>
        </w:tc>
      </w:tr>
      <w:tr w:rsidR="00AA1DD3" w14:paraId="13347930" w14:textId="77777777" w:rsidTr="005B4047">
        <w:trPr>
          <w:trHeight w:val="278"/>
        </w:trPr>
        <w:tc>
          <w:tcPr>
            <w:tcW w:w="3203" w:type="dxa"/>
          </w:tcPr>
          <w:p w14:paraId="20185335" w14:textId="0B56205D" w:rsidR="00AA1DD3" w:rsidRPr="00EE2EB7" w:rsidRDefault="00AA1DD3" w:rsidP="00F12682">
            <w:pPr>
              <w:spacing w:line="276" w:lineRule="auto"/>
              <w:jc w:val="center"/>
              <w:rPr>
                <w:i/>
              </w:rPr>
            </w:pPr>
            <w:r w:rsidRPr="00EE2EB7">
              <w:rPr>
                <w:i/>
              </w:rPr>
              <w:t>Investissement (A)</w:t>
            </w:r>
          </w:p>
        </w:tc>
        <w:tc>
          <w:tcPr>
            <w:tcW w:w="2166" w:type="dxa"/>
            <w:shd w:val="clear" w:color="auto" w:fill="auto"/>
            <w:vAlign w:val="bottom"/>
          </w:tcPr>
          <w:p w14:paraId="603CC9DB" w14:textId="77777777" w:rsidR="00AA1DD3" w:rsidRPr="009C7D18" w:rsidRDefault="00AA1DD3" w:rsidP="00F12682">
            <w:pPr>
              <w:spacing w:line="276" w:lineRule="auto"/>
              <w:jc w:val="right"/>
              <w:rPr>
                <w:i/>
              </w:rPr>
            </w:pPr>
            <w:r w:rsidRPr="009C7D18">
              <w:rPr>
                <w:i/>
              </w:rPr>
              <w:t>4 575 205 602</w:t>
            </w:r>
          </w:p>
        </w:tc>
        <w:tc>
          <w:tcPr>
            <w:tcW w:w="1967" w:type="dxa"/>
            <w:shd w:val="clear" w:color="auto" w:fill="auto"/>
            <w:vAlign w:val="bottom"/>
          </w:tcPr>
          <w:p w14:paraId="1718B9D7" w14:textId="77777777" w:rsidR="00AA1DD3" w:rsidRPr="009C7D18" w:rsidRDefault="00AA1DD3" w:rsidP="00F12682">
            <w:pPr>
              <w:jc w:val="right"/>
              <w:rPr>
                <w:i/>
              </w:rPr>
            </w:pPr>
            <w:r w:rsidRPr="009C7D18">
              <w:rPr>
                <w:i/>
              </w:rPr>
              <w:t>3 614 238 058</w:t>
            </w:r>
          </w:p>
        </w:tc>
        <w:tc>
          <w:tcPr>
            <w:tcW w:w="2315" w:type="dxa"/>
          </w:tcPr>
          <w:p w14:paraId="2A9E3A6F" w14:textId="77777777" w:rsidR="00AA1DD3" w:rsidRPr="00EE2EB7" w:rsidRDefault="00AA1DD3" w:rsidP="00F12682">
            <w:pPr>
              <w:spacing w:line="276" w:lineRule="auto"/>
              <w:jc w:val="center"/>
              <w:rPr>
                <w:i/>
              </w:rPr>
            </w:pPr>
            <w:r>
              <w:rPr>
                <w:i/>
              </w:rPr>
              <w:t>79</w:t>
            </w:r>
            <w:r w:rsidRPr="00EE2EB7">
              <w:rPr>
                <w:i/>
              </w:rPr>
              <w:t>%</w:t>
            </w:r>
          </w:p>
        </w:tc>
      </w:tr>
      <w:tr w:rsidR="00AA1DD3" w14:paraId="581D3C15" w14:textId="77777777" w:rsidTr="005B4047">
        <w:trPr>
          <w:trHeight w:val="278"/>
        </w:trPr>
        <w:tc>
          <w:tcPr>
            <w:tcW w:w="3203" w:type="dxa"/>
          </w:tcPr>
          <w:p w14:paraId="5F19D724" w14:textId="02244883" w:rsidR="00AA1DD3" w:rsidRPr="00EE2EB7" w:rsidRDefault="00AA1DD3" w:rsidP="00F12682">
            <w:pPr>
              <w:spacing w:line="276" w:lineRule="auto"/>
              <w:jc w:val="center"/>
              <w:rPr>
                <w:i/>
              </w:rPr>
            </w:pPr>
            <w:r w:rsidRPr="00EE2EB7">
              <w:rPr>
                <w:i/>
              </w:rPr>
              <w:t>Investissement (B)</w:t>
            </w:r>
          </w:p>
        </w:tc>
        <w:tc>
          <w:tcPr>
            <w:tcW w:w="2166" w:type="dxa"/>
            <w:shd w:val="clear" w:color="auto" w:fill="auto"/>
            <w:vAlign w:val="bottom"/>
          </w:tcPr>
          <w:p w14:paraId="7D5F5C76" w14:textId="77777777" w:rsidR="00AA1DD3" w:rsidRPr="009C7D18" w:rsidRDefault="00AA1DD3" w:rsidP="00F12682">
            <w:pPr>
              <w:spacing w:line="276" w:lineRule="auto"/>
              <w:jc w:val="right"/>
              <w:rPr>
                <w:i/>
              </w:rPr>
            </w:pPr>
            <w:r w:rsidRPr="009C7D18">
              <w:rPr>
                <w:i/>
              </w:rPr>
              <w:t>58 011 783 315</w:t>
            </w:r>
          </w:p>
        </w:tc>
        <w:tc>
          <w:tcPr>
            <w:tcW w:w="1967" w:type="dxa"/>
            <w:shd w:val="clear" w:color="auto" w:fill="auto"/>
            <w:vAlign w:val="bottom"/>
          </w:tcPr>
          <w:p w14:paraId="4E6B19A5" w14:textId="77777777" w:rsidR="00AA1DD3" w:rsidRPr="009C7D18" w:rsidRDefault="00AA1DD3" w:rsidP="00F12682">
            <w:pPr>
              <w:jc w:val="right"/>
              <w:rPr>
                <w:i/>
              </w:rPr>
            </w:pPr>
            <w:r w:rsidRPr="009C7D18">
              <w:rPr>
                <w:i/>
              </w:rPr>
              <w:t>38 523 985 319</w:t>
            </w:r>
          </w:p>
        </w:tc>
        <w:tc>
          <w:tcPr>
            <w:tcW w:w="2315" w:type="dxa"/>
          </w:tcPr>
          <w:p w14:paraId="7DC3B5AA" w14:textId="77777777" w:rsidR="00AA1DD3" w:rsidRPr="00EE2EB7" w:rsidRDefault="00AA1DD3" w:rsidP="00F12682">
            <w:pPr>
              <w:spacing w:line="276" w:lineRule="auto"/>
              <w:jc w:val="center"/>
              <w:rPr>
                <w:i/>
              </w:rPr>
            </w:pPr>
            <w:r>
              <w:rPr>
                <w:i/>
              </w:rPr>
              <w:t>66</w:t>
            </w:r>
            <w:r w:rsidRPr="00EE2EB7">
              <w:rPr>
                <w:i/>
              </w:rPr>
              <w:t>%</w:t>
            </w:r>
          </w:p>
        </w:tc>
      </w:tr>
      <w:tr w:rsidR="00AA1DD3" w14:paraId="18B8A0DE" w14:textId="77777777" w:rsidTr="005B4047">
        <w:trPr>
          <w:trHeight w:val="278"/>
        </w:trPr>
        <w:tc>
          <w:tcPr>
            <w:tcW w:w="3203" w:type="dxa"/>
            <w:shd w:val="clear" w:color="auto" w:fill="F2F2F2" w:themeFill="background1" w:themeFillShade="F2"/>
          </w:tcPr>
          <w:p w14:paraId="7496DF3F" w14:textId="77777777" w:rsidR="00AA1DD3" w:rsidRPr="009B7EC7" w:rsidRDefault="00AA1DD3" w:rsidP="00F12682">
            <w:pPr>
              <w:spacing w:line="276" w:lineRule="auto"/>
              <w:jc w:val="center"/>
              <w:rPr>
                <w:b/>
              </w:rPr>
            </w:pPr>
            <w:r w:rsidRPr="009B7EC7">
              <w:rPr>
                <w:b/>
              </w:rPr>
              <w:t>Totaux</w:t>
            </w:r>
          </w:p>
        </w:tc>
        <w:tc>
          <w:tcPr>
            <w:tcW w:w="2166" w:type="dxa"/>
            <w:shd w:val="clear" w:color="auto" w:fill="F2F2F2" w:themeFill="background1" w:themeFillShade="F2"/>
          </w:tcPr>
          <w:p w14:paraId="5AFF6A1F" w14:textId="28B2F54F" w:rsidR="00AA1DD3" w:rsidRPr="009B7EC7" w:rsidRDefault="00AA1DD3" w:rsidP="00F12682">
            <w:pPr>
              <w:jc w:val="right"/>
              <w:rPr>
                <w:b/>
              </w:rPr>
            </w:pPr>
            <w:r>
              <w:rPr>
                <w:b/>
              </w:rPr>
              <w:t>65 262 434 370</w:t>
            </w:r>
          </w:p>
        </w:tc>
        <w:tc>
          <w:tcPr>
            <w:tcW w:w="1967" w:type="dxa"/>
            <w:shd w:val="clear" w:color="auto" w:fill="F2F2F2" w:themeFill="background1" w:themeFillShade="F2"/>
          </w:tcPr>
          <w:p w14:paraId="13971961" w14:textId="58AFA106" w:rsidR="00AA1DD3" w:rsidRPr="009C7D18" w:rsidRDefault="00AA1DD3" w:rsidP="00F12682">
            <w:pPr>
              <w:jc w:val="right"/>
              <w:rPr>
                <w:rFonts w:ascii="Calibri" w:hAnsi="Calibri" w:cs="Calibri"/>
                <w:color w:val="000000"/>
                <w:sz w:val="28"/>
                <w:szCs w:val="28"/>
              </w:rPr>
            </w:pPr>
            <w:r>
              <w:rPr>
                <w:b/>
              </w:rPr>
              <w:t>44 702 888 521</w:t>
            </w:r>
          </w:p>
        </w:tc>
        <w:tc>
          <w:tcPr>
            <w:tcW w:w="2315" w:type="dxa"/>
            <w:shd w:val="clear" w:color="auto" w:fill="F2F2F2" w:themeFill="background1" w:themeFillShade="F2"/>
          </w:tcPr>
          <w:p w14:paraId="26B56A38" w14:textId="653D4FC1" w:rsidR="00AA1DD3" w:rsidRPr="009B7EC7" w:rsidRDefault="00AA1DD3" w:rsidP="00F12682">
            <w:pPr>
              <w:spacing w:line="276" w:lineRule="auto"/>
              <w:jc w:val="center"/>
              <w:rPr>
                <w:b/>
              </w:rPr>
            </w:pPr>
            <w:r>
              <w:rPr>
                <w:b/>
              </w:rPr>
              <w:t>68%</w:t>
            </w:r>
          </w:p>
        </w:tc>
      </w:tr>
    </w:tbl>
    <w:p w14:paraId="1674B466" w14:textId="2659D936" w:rsidR="002075EF" w:rsidRPr="00C15E23" w:rsidRDefault="002075EF" w:rsidP="00F12682">
      <w:pPr>
        <w:jc w:val="both"/>
        <w:rPr>
          <w:rFonts w:cs="Calibri"/>
          <w:sz w:val="20"/>
        </w:rPr>
      </w:pPr>
      <w:r w:rsidRPr="00C15E23">
        <w:rPr>
          <w:rFonts w:cs="Calibri"/>
          <w:sz w:val="20"/>
          <w:u w:val="single"/>
        </w:rPr>
        <w:t>Source</w:t>
      </w:r>
      <w:r w:rsidRPr="00C15E23">
        <w:rPr>
          <w:rFonts w:cs="Calibri"/>
          <w:sz w:val="20"/>
        </w:rPr>
        <w:t> :</w:t>
      </w:r>
      <w:r w:rsidR="00AE78B3">
        <w:rPr>
          <w:rFonts w:cs="Calibri"/>
          <w:sz w:val="20"/>
        </w:rPr>
        <w:t xml:space="preserve"> Rapport d’activités 2016 du MH</w:t>
      </w:r>
      <w:r w:rsidRPr="00C15E23">
        <w:rPr>
          <w:rFonts w:cs="Calibri"/>
          <w:sz w:val="20"/>
        </w:rPr>
        <w:t>A</w:t>
      </w:r>
    </w:p>
    <w:p w14:paraId="619137E8" w14:textId="3DE2FC36" w:rsidR="00C15E23" w:rsidRPr="00C15E23" w:rsidRDefault="00C15E23" w:rsidP="00F12682">
      <w:pPr>
        <w:jc w:val="both"/>
        <w:rPr>
          <w:rFonts w:cs="Calibri"/>
          <w:sz w:val="24"/>
        </w:rPr>
      </w:pPr>
      <w:r w:rsidRPr="00C15E23">
        <w:rPr>
          <w:rFonts w:cs="Calibri"/>
          <w:sz w:val="24"/>
        </w:rPr>
        <w:t xml:space="preserve">De ce tableau, il se dégage que le </w:t>
      </w:r>
      <w:r w:rsidR="00757CF6">
        <w:rPr>
          <w:rFonts w:cs="Calibri"/>
          <w:sz w:val="24"/>
        </w:rPr>
        <w:t xml:space="preserve">MHA </w:t>
      </w:r>
      <w:r w:rsidRPr="00C15E23">
        <w:rPr>
          <w:rFonts w:cs="Calibri"/>
          <w:sz w:val="24"/>
        </w:rPr>
        <w:t>a su consommer plus des deux tiers (2/3) des prévisions budgétaires. Ce qui peut être considérer comme appréciable dans un contexte dominé par le défi sécuritaire qui sévissait dans la part septentrionale du pays.</w:t>
      </w:r>
    </w:p>
    <w:p w14:paraId="1B1AB898" w14:textId="384A2CBE" w:rsidR="00C15E23" w:rsidRPr="00C15E23" w:rsidRDefault="00C15E23" w:rsidP="00F12682">
      <w:pPr>
        <w:jc w:val="both"/>
        <w:rPr>
          <w:rFonts w:cs="Calibri"/>
          <w:sz w:val="24"/>
        </w:rPr>
      </w:pPr>
      <w:r w:rsidRPr="00C15E23">
        <w:rPr>
          <w:rFonts w:cs="Calibri"/>
          <w:sz w:val="24"/>
        </w:rPr>
        <w:t xml:space="preserve">Qu’il s’agisse des ressources internes, comme des ressources externes, avec une telle réalisation, on peut déduire que le </w:t>
      </w:r>
      <w:r w:rsidR="00757CF6">
        <w:rPr>
          <w:rFonts w:cs="Calibri"/>
          <w:sz w:val="24"/>
        </w:rPr>
        <w:t xml:space="preserve">MHA </w:t>
      </w:r>
      <w:r w:rsidRPr="00C15E23">
        <w:rPr>
          <w:rFonts w:cs="Calibri"/>
          <w:sz w:val="24"/>
        </w:rPr>
        <w:t>a pris suffisamment des dispositions idoines pour aboutir à un tel résultat. Il y’a lieu d’encourager le M</w:t>
      </w:r>
      <w:r w:rsidR="00FB7BFC">
        <w:rPr>
          <w:rFonts w:cs="Calibri"/>
          <w:sz w:val="24"/>
        </w:rPr>
        <w:t>HA</w:t>
      </w:r>
      <w:r w:rsidRPr="00C15E23">
        <w:rPr>
          <w:rFonts w:cs="Calibri"/>
          <w:sz w:val="24"/>
        </w:rPr>
        <w:t xml:space="preserve"> dans ce sens.</w:t>
      </w:r>
    </w:p>
    <w:p w14:paraId="6B28559D" w14:textId="77777777" w:rsidR="00C15E23" w:rsidRPr="00C15E23" w:rsidRDefault="00C15E23" w:rsidP="00F12682">
      <w:pPr>
        <w:jc w:val="both"/>
        <w:rPr>
          <w:rFonts w:cs="Calibri"/>
          <w:sz w:val="24"/>
        </w:rPr>
      </w:pPr>
      <w:r w:rsidRPr="00C15E23">
        <w:rPr>
          <w:rFonts w:cs="Calibri"/>
          <w:sz w:val="24"/>
        </w:rPr>
        <w:t>Mais, il faut souligne que l’examen approfondi révèle que certains postes de dépenses affichent des taux de réalisations qui suscitent des interrogations. Ces taux apparaissent dans le tableau suivant :</w:t>
      </w:r>
    </w:p>
    <w:p w14:paraId="0569634C" w14:textId="4006FDBB" w:rsidR="00C15E23" w:rsidRPr="00C15E23" w:rsidRDefault="00C15E23" w:rsidP="00F12682">
      <w:pPr>
        <w:jc w:val="both"/>
        <w:rPr>
          <w:rFonts w:cs="Calibri"/>
          <w:sz w:val="24"/>
        </w:rPr>
      </w:pPr>
      <w:r w:rsidRPr="00C15E23">
        <w:rPr>
          <w:rFonts w:cs="Calibri"/>
          <w:sz w:val="24"/>
        </w:rPr>
        <w:t xml:space="preserve">Concernant le volet </w:t>
      </w:r>
      <w:r w:rsidR="00C21B85">
        <w:rPr>
          <w:rFonts w:cs="Calibri"/>
          <w:sz w:val="24"/>
        </w:rPr>
        <w:t>« </w:t>
      </w:r>
      <w:r w:rsidRPr="00C15E23">
        <w:rPr>
          <w:rFonts w:cs="Calibri"/>
          <w:sz w:val="24"/>
        </w:rPr>
        <w:t>hydraulique pastorale</w:t>
      </w:r>
      <w:r w:rsidR="00C21B85">
        <w:rPr>
          <w:rFonts w:cs="Calibri"/>
          <w:sz w:val="24"/>
        </w:rPr>
        <w:t> »</w:t>
      </w:r>
      <w:r w:rsidRPr="00C15E23">
        <w:rPr>
          <w:rFonts w:cs="Calibri"/>
          <w:sz w:val="24"/>
        </w:rPr>
        <w:t>, les crédits ont connu les réalisations suivantes :</w:t>
      </w:r>
    </w:p>
    <w:p w14:paraId="2AE3A05B" w14:textId="77777777" w:rsidR="00C15E23" w:rsidRDefault="00C15E23" w:rsidP="00F12682">
      <w:pPr>
        <w:jc w:val="both"/>
        <w:rPr>
          <w:rFonts w:cs="Calibri"/>
          <w:sz w:val="24"/>
        </w:rPr>
      </w:pPr>
    </w:p>
    <w:p w14:paraId="2C8BFEDB" w14:textId="5FB097BA" w:rsidR="002075EF" w:rsidRPr="00C21B85" w:rsidRDefault="002075EF" w:rsidP="00F12682">
      <w:pPr>
        <w:pStyle w:val="Lgende"/>
        <w:rPr>
          <w:rFonts w:eastAsiaTheme="majorEastAsia" w:cs="Calibri"/>
          <w:iCs w:val="0"/>
          <w:color w:val="auto"/>
        </w:rPr>
      </w:pPr>
      <w:bookmarkStart w:id="143" w:name="_Toc529305083"/>
      <w:r w:rsidRPr="00C21B85">
        <w:rPr>
          <w:color w:val="auto"/>
        </w:rPr>
        <w:lastRenderedPageBreak/>
        <w:t xml:space="preserve">Tableau </w:t>
      </w:r>
      <w:r w:rsidRPr="00C21B85">
        <w:rPr>
          <w:color w:val="auto"/>
        </w:rPr>
        <w:fldChar w:fldCharType="begin"/>
      </w:r>
      <w:r w:rsidRPr="00C21B85">
        <w:rPr>
          <w:color w:val="auto"/>
        </w:rPr>
        <w:instrText xml:space="preserve"> SEQ Tableau \* ARABIC </w:instrText>
      </w:r>
      <w:r w:rsidRPr="00C21B85">
        <w:rPr>
          <w:color w:val="auto"/>
        </w:rPr>
        <w:fldChar w:fldCharType="separate"/>
      </w:r>
      <w:r w:rsidR="001C37F0">
        <w:rPr>
          <w:noProof/>
          <w:color w:val="auto"/>
        </w:rPr>
        <w:t>29</w:t>
      </w:r>
      <w:r w:rsidRPr="00C21B85">
        <w:rPr>
          <w:color w:val="auto"/>
        </w:rPr>
        <w:fldChar w:fldCharType="end"/>
      </w:r>
      <w:r w:rsidRPr="00C21B85">
        <w:rPr>
          <w:rFonts w:eastAsiaTheme="majorEastAsia" w:cs="Calibri"/>
          <w:iCs w:val="0"/>
          <w:color w:val="auto"/>
        </w:rPr>
        <w:t xml:space="preserve"> : </w:t>
      </w:r>
      <w:r w:rsidR="00C15E23" w:rsidRPr="00C21B85">
        <w:rPr>
          <w:rFonts w:eastAsiaTheme="majorEastAsia" w:cs="Calibri"/>
          <w:iCs w:val="0"/>
          <w:color w:val="auto"/>
        </w:rPr>
        <w:t>Exécution des crédits volet ‘Hydraulique pastorale’ du MHA en 2016</w:t>
      </w:r>
      <w:bookmarkEnd w:id="143"/>
    </w:p>
    <w:tbl>
      <w:tblPr>
        <w:tblStyle w:val="Grilledutableau"/>
        <w:tblW w:w="9651" w:type="dxa"/>
        <w:tblInd w:w="-5" w:type="dxa"/>
        <w:tblLook w:val="04A0" w:firstRow="1" w:lastRow="0" w:firstColumn="1" w:lastColumn="0" w:noHBand="0" w:noVBand="1"/>
      </w:tblPr>
      <w:tblGrid>
        <w:gridCol w:w="3203"/>
        <w:gridCol w:w="2166"/>
        <w:gridCol w:w="1967"/>
        <w:gridCol w:w="2315"/>
      </w:tblGrid>
      <w:tr w:rsidR="00C15E23" w:rsidRPr="00C21B85" w14:paraId="3687A724" w14:textId="77777777" w:rsidTr="00C21B85">
        <w:tc>
          <w:tcPr>
            <w:tcW w:w="3203" w:type="dxa"/>
            <w:shd w:val="clear" w:color="auto" w:fill="D9D9D9" w:themeFill="background1" w:themeFillShade="D9"/>
            <w:vAlign w:val="center"/>
          </w:tcPr>
          <w:p w14:paraId="28371498" w14:textId="77777777" w:rsidR="00C15E23" w:rsidRPr="00C21B85" w:rsidRDefault="00C15E23" w:rsidP="00F12682">
            <w:pPr>
              <w:jc w:val="center"/>
              <w:rPr>
                <w:b/>
              </w:rPr>
            </w:pPr>
            <w:r w:rsidRPr="00C21B85">
              <w:rPr>
                <w:b/>
              </w:rPr>
              <w:t>Désignations</w:t>
            </w:r>
          </w:p>
        </w:tc>
        <w:tc>
          <w:tcPr>
            <w:tcW w:w="2166" w:type="dxa"/>
            <w:shd w:val="clear" w:color="auto" w:fill="D9D9D9" w:themeFill="background1" w:themeFillShade="D9"/>
            <w:vAlign w:val="center"/>
          </w:tcPr>
          <w:p w14:paraId="641DCB48" w14:textId="77777777" w:rsidR="00C15E23" w:rsidRPr="00C21B85" w:rsidRDefault="00C15E23" w:rsidP="00F12682">
            <w:pPr>
              <w:jc w:val="center"/>
              <w:rPr>
                <w:b/>
              </w:rPr>
            </w:pPr>
            <w:r w:rsidRPr="00C21B85">
              <w:rPr>
                <w:b/>
              </w:rPr>
              <w:t>Crédits votés</w:t>
            </w:r>
          </w:p>
        </w:tc>
        <w:tc>
          <w:tcPr>
            <w:tcW w:w="1967" w:type="dxa"/>
            <w:shd w:val="clear" w:color="auto" w:fill="D9D9D9" w:themeFill="background1" w:themeFillShade="D9"/>
            <w:vAlign w:val="center"/>
          </w:tcPr>
          <w:p w14:paraId="660C6E9B" w14:textId="77777777" w:rsidR="00C15E23" w:rsidRPr="00C21B85" w:rsidRDefault="00C15E23" w:rsidP="00F12682">
            <w:pPr>
              <w:jc w:val="center"/>
              <w:rPr>
                <w:b/>
              </w:rPr>
            </w:pPr>
            <w:r w:rsidRPr="00C21B85">
              <w:rPr>
                <w:b/>
              </w:rPr>
              <w:t>Crédits consommés</w:t>
            </w:r>
          </w:p>
        </w:tc>
        <w:tc>
          <w:tcPr>
            <w:tcW w:w="2315" w:type="dxa"/>
            <w:shd w:val="clear" w:color="auto" w:fill="D9D9D9" w:themeFill="background1" w:themeFillShade="D9"/>
            <w:vAlign w:val="center"/>
          </w:tcPr>
          <w:p w14:paraId="05FC2E44" w14:textId="77777777" w:rsidR="00C15E23" w:rsidRPr="00C21B85" w:rsidRDefault="00C15E23" w:rsidP="00F12682">
            <w:pPr>
              <w:jc w:val="center"/>
              <w:rPr>
                <w:b/>
              </w:rPr>
            </w:pPr>
            <w:r w:rsidRPr="00C21B85">
              <w:rPr>
                <w:b/>
              </w:rPr>
              <w:t>Taux de consommation</w:t>
            </w:r>
          </w:p>
        </w:tc>
      </w:tr>
      <w:tr w:rsidR="00C15E23" w:rsidRPr="00C21B85" w14:paraId="547EB067" w14:textId="77777777" w:rsidTr="00C21B85">
        <w:tc>
          <w:tcPr>
            <w:tcW w:w="3203" w:type="dxa"/>
            <w:vAlign w:val="center"/>
          </w:tcPr>
          <w:p w14:paraId="0D23F203" w14:textId="77777777" w:rsidR="00C15E23" w:rsidRPr="00C21B85" w:rsidRDefault="00C15E23" w:rsidP="00F12682">
            <w:r w:rsidRPr="00C21B85">
              <w:t xml:space="preserve">Programme Hydraulique Villageoise Pastorale Phase 2 </w:t>
            </w:r>
          </w:p>
        </w:tc>
        <w:tc>
          <w:tcPr>
            <w:tcW w:w="2166" w:type="dxa"/>
            <w:vAlign w:val="center"/>
          </w:tcPr>
          <w:p w14:paraId="37082014" w14:textId="77777777" w:rsidR="00C15E23" w:rsidRPr="00C21B85" w:rsidRDefault="00C15E23" w:rsidP="00F12682">
            <w:pPr>
              <w:jc w:val="right"/>
            </w:pPr>
            <w:r w:rsidRPr="00C21B85">
              <w:t>2 417 055 508</w:t>
            </w:r>
          </w:p>
        </w:tc>
        <w:tc>
          <w:tcPr>
            <w:tcW w:w="1967" w:type="dxa"/>
            <w:vAlign w:val="center"/>
          </w:tcPr>
          <w:p w14:paraId="4DC36194" w14:textId="77777777" w:rsidR="00C15E23" w:rsidRPr="00C21B85" w:rsidRDefault="00C15E23" w:rsidP="00F12682">
            <w:pPr>
              <w:jc w:val="right"/>
            </w:pPr>
            <w:r w:rsidRPr="00C21B85">
              <w:t>1 973 837 014</w:t>
            </w:r>
          </w:p>
        </w:tc>
        <w:tc>
          <w:tcPr>
            <w:tcW w:w="2315" w:type="dxa"/>
            <w:vAlign w:val="center"/>
          </w:tcPr>
          <w:p w14:paraId="5B833B16" w14:textId="77777777" w:rsidR="00C15E23" w:rsidRPr="00C21B85" w:rsidRDefault="00C15E23" w:rsidP="00F12682">
            <w:pPr>
              <w:jc w:val="center"/>
            </w:pPr>
            <w:r w:rsidRPr="00C21B85">
              <w:t>92%</w:t>
            </w:r>
          </w:p>
        </w:tc>
      </w:tr>
      <w:tr w:rsidR="00C15E23" w:rsidRPr="00C21B85" w14:paraId="5C9E57C4" w14:textId="77777777" w:rsidTr="00C21B85">
        <w:tc>
          <w:tcPr>
            <w:tcW w:w="3203" w:type="dxa"/>
            <w:vAlign w:val="center"/>
          </w:tcPr>
          <w:p w14:paraId="1B425176" w14:textId="77777777" w:rsidR="00C15E23" w:rsidRPr="00C21B85" w:rsidRDefault="00C15E23" w:rsidP="00F12682">
            <w:r w:rsidRPr="00C21B85">
              <w:t>Ressources PPTE</w:t>
            </w:r>
          </w:p>
        </w:tc>
        <w:tc>
          <w:tcPr>
            <w:tcW w:w="2166" w:type="dxa"/>
            <w:vAlign w:val="center"/>
          </w:tcPr>
          <w:p w14:paraId="5A3BE0E0" w14:textId="77777777" w:rsidR="00C15E23" w:rsidRPr="00C21B85" w:rsidRDefault="00C15E23" w:rsidP="00F12682">
            <w:pPr>
              <w:jc w:val="right"/>
            </w:pPr>
            <w:r w:rsidRPr="00C21B85">
              <w:t>1 048 105 602</w:t>
            </w:r>
          </w:p>
        </w:tc>
        <w:tc>
          <w:tcPr>
            <w:tcW w:w="1967" w:type="dxa"/>
            <w:vAlign w:val="center"/>
          </w:tcPr>
          <w:p w14:paraId="462ED661" w14:textId="77777777" w:rsidR="00C15E23" w:rsidRPr="00C21B85" w:rsidRDefault="00C15E23" w:rsidP="00F12682">
            <w:pPr>
              <w:jc w:val="right"/>
            </w:pPr>
            <w:r w:rsidRPr="00C21B85">
              <w:t>356 915 250</w:t>
            </w:r>
          </w:p>
        </w:tc>
        <w:tc>
          <w:tcPr>
            <w:tcW w:w="2315" w:type="dxa"/>
            <w:vAlign w:val="center"/>
          </w:tcPr>
          <w:p w14:paraId="0DE31B63" w14:textId="77777777" w:rsidR="00C15E23" w:rsidRPr="00C21B85" w:rsidRDefault="00C15E23" w:rsidP="00F12682">
            <w:pPr>
              <w:jc w:val="center"/>
            </w:pPr>
            <w:r w:rsidRPr="00C21B85">
              <w:t>34%</w:t>
            </w:r>
          </w:p>
        </w:tc>
      </w:tr>
      <w:tr w:rsidR="00C15E23" w:rsidRPr="00C21B85" w14:paraId="271C779D" w14:textId="77777777" w:rsidTr="00C21B85">
        <w:tc>
          <w:tcPr>
            <w:tcW w:w="3203" w:type="dxa"/>
            <w:shd w:val="clear" w:color="auto" w:fill="F2F2F2" w:themeFill="background1" w:themeFillShade="F2"/>
          </w:tcPr>
          <w:p w14:paraId="4199D9E3" w14:textId="77777777" w:rsidR="00C15E23" w:rsidRPr="00C21B85" w:rsidRDefault="00C15E23" w:rsidP="00F12682">
            <w:pPr>
              <w:jc w:val="center"/>
              <w:rPr>
                <w:b/>
              </w:rPr>
            </w:pPr>
            <w:r w:rsidRPr="00C21B85">
              <w:rPr>
                <w:b/>
              </w:rPr>
              <w:t>Total</w:t>
            </w:r>
          </w:p>
        </w:tc>
        <w:tc>
          <w:tcPr>
            <w:tcW w:w="2166" w:type="dxa"/>
            <w:shd w:val="clear" w:color="auto" w:fill="F2F2F2" w:themeFill="background1" w:themeFillShade="F2"/>
          </w:tcPr>
          <w:p w14:paraId="4648B195" w14:textId="77777777" w:rsidR="00C15E23" w:rsidRPr="00C21B85" w:rsidRDefault="00C15E23" w:rsidP="00F12682">
            <w:pPr>
              <w:jc w:val="right"/>
              <w:rPr>
                <w:b/>
              </w:rPr>
            </w:pPr>
            <w:r w:rsidRPr="00C21B85">
              <w:rPr>
                <w:b/>
              </w:rPr>
              <w:t>3 465 161 110</w:t>
            </w:r>
          </w:p>
        </w:tc>
        <w:tc>
          <w:tcPr>
            <w:tcW w:w="1967" w:type="dxa"/>
            <w:shd w:val="clear" w:color="auto" w:fill="F2F2F2" w:themeFill="background1" w:themeFillShade="F2"/>
          </w:tcPr>
          <w:p w14:paraId="6DD16BFB" w14:textId="77777777" w:rsidR="00C15E23" w:rsidRPr="00C21B85" w:rsidRDefault="00C15E23" w:rsidP="00F12682">
            <w:pPr>
              <w:jc w:val="right"/>
              <w:rPr>
                <w:rFonts w:ascii="Calibri" w:hAnsi="Calibri" w:cs="Calibri"/>
                <w:color w:val="000000"/>
              </w:rPr>
            </w:pPr>
            <w:r w:rsidRPr="00C21B85">
              <w:rPr>
                <w:b/>
              </w:rPr>
              <w:t>2 330 752 264</w:t>
            </w:r>
          </w:p>
        </w:tc>
        <w:tc>
          <w:tcPr>
            <w:tcW w:w="2315" w:type="dxa"/>
            <w:shd w:val="clear" w:color="auto" w:fill="F2F2F2" w:themeFill="background1" w:themeFillShade="F2"/>
          </w:tcPr>
          <w:p w14:paraId="162867A2" w14:textId="77777777" w:rsidR="00C15E23" w:rsidRPr="00C21B85" w:rsidRDefault="00C15E23" w:rsidP="00F12682">
            <w:pPr>
              <w:jc w:val="center"/>
              <w:rPr>
                <w:b/>
              </w:rPr>
            </w:pPr>
            <w:r w:rsidRPr="00C21B85">
              <w:rPr>
                <w:b/>
              </w:rPr>
              <w:t>67%</w:t>
            </w:r>
          </w:p>
        </w:tc>
      </w:tr>
    </w:tbl>
    <w:p w14:paraId="3350B92F" w14:textId="77777777" w:rsidR="002075EF" w:rsidRPr="00C21B85" w:rsidRDefault="002075EF" w:rsidP="00F12682">
      <w:pPr>
        <w:spacing w:after="120" w:line="276" w:lineRule="auto"/>
        <w:jc w:val="both"/>
        <w:rPr>
          <w:rFonts w:ascii="Calibri" w:eastAsiaTheme="majorEastAsia" w:hAnsi="Calibri" w:cs="Calibri"/>
          <w:iCs/>
          <w:sz w:val="20"/>
        </w:rPr>
      </w:pPr>
      <w:r w:rsidRPr="00C21B85">
        <w:rPr>
          <w:rFonts w:ascii="Calibri" w:eastAsiaTheme="majorEastAsia" w:hAnsi="Calibri" w:cs="Calibri"/>
          <w:iCs/>
          <w:sz w:val="20"/>
          <w:u w:val="single"/>
        </w:rPr>
        <w:t>Source</w:t>
      </w:r>
      <w:r w:rsidRPr="00C21B85">
        <w:rPr>
          <w:rFonts w:ascii="Calibri" w:eastAsiaTheme="majorEastAsia" w:hAnsi="Calibri" w:cs="Calibri"/>
          <w:iCs/>
          <w:sz w:val="20"/>
        </w:rPr>
        <w:t> : Rapport d’activités 2016 du MH/A</w:t>
      </w:r>
    </w:p>
    <w:p w14:paraId="20731CB4" w14:textId="77777777" w:rsidR="00C15E23" w:rsidRDefault="00C15E23" w:rsidP="00F12682">
      <w:pPr>
        <w:spacing w:after="120" w:line="276" w:lineRule="auto"/>
        <w:jc w:val="both"/>
        <w:rPr>
          <w:rFonts w:ascii="Calibri" w:eastAsiaTheme="majorEastAsia" w:hAnsi="Calibri" w:cs="Calibri"/>
          <w:iCs/>
          <w:sz w:val="24"/>
        </w:rPr>
      </w:pPr>
      <w:r w:rsidRPr="00C15E23">
        <w:rPr>
          <w:rFonts w:ascii="Calibri" w:eastAsiaTheme="majorEastAsia" w:hAnsi="Calibri" w:cs="Calibri"/>
          <w:iCs/>
          <w:sz w:val="24"/>
        </w:rPr>
        <w:t>Il se dégage alors des difficultés quant à la mobilisation des ressources propres de l’Etat ; ce qui pourrait se traduire par une forte dépendance de l’extérieur des ouv</w:t>
      </w:r>
      <w:r>
        <w:rPr>
          <w:rFonts w:ascii="Calibri" w:eastAsiaTheme="majorEastAsia" w:hAnsi="Calibri" w:cs="Calibri"/>
          <w:iCs/>
          <w:sz w:val="24"/>
        </w:rPr>
        <w:t>rages d’hydraulique pastorale.</w:t>
      </w:r>
    </w:p>
    <w:p w14:paraId="3F8AD2FD" w14:textId="77777777" w:rsidR="002075EF" w:rsidRPr="00CA7747" w:rsidRDefault="002075EF" w:rsidP="00F12682">
      <w:pPr>
        <w:spacing w:after="120" w:line="276" w:lineRule="auto"/>
        <w:jc w:val="both"/>
        <w:rPr>
          <w:rFonts w:ascii="Calibri" w:eastAsiaTheme="majorEastAsia" w:hAnsi="Calibri" w:cs="Calibri"/>
          <w:iCs/>
          <w:sz w:val="24"/>
        </w:rPr>
      </w:pPr>
    </w:p>
    <w:p w14:paraId="4BCD07D4" w14:textId="77777777" w:rsidR="002075EF" w:rsidRPr="00E51AB3" w:rsidRDefault="002075EF" w:rsidP="00F12682">
      <w:pPr>
        <w:pStyle w:val="Titre4"/>
        <w:rPr>
          <w:rFonts w:asciiTheme="minorHAnsi" w:hAnsiTheme="minorHAnsi" w:cstheme="minorHAnsi"/>
        </w:rPr>
      </w:pPr>
      <w:r w:rsidRPr="00E51AB3">
        <w:rPr>
          <w:rFonts w:asciiTheme="minorHAnsi" w:hAnsiTheme="minorHAnsi" w:cstheme="minorHAnsi"/>
        </w:rPr>
        <w:t>Analyse de la capacité d’absorption des financements</w:t>
      </w:r>
    </w:p>
    <w:p w14:paraId="13B23AA4" w14:textId="77777777" w:rsidR="002075EF" w:rsidRPr="00CA7747" w:rsidRDefault="002075EF" w:rsidP="00F12682">
      <w:pPr>
        <w:spacing w:after="120" w:line="276" w:lineRule="auto"/>
        <w:jc w:val="both"/>
        <w:rPr>
          <w:rFonts w:ascii="Calibri" w:eastAsiaTheme="majorEastAsia" w:hAnsi="Calibri" w:cs="Calibri"/>
          <w:iCs/>
          <w:sz w:val="24"/>
        </w:rPr>
      </w:pPr>
      <w:r w:rsidRPr="00CA7747">
        <w:rPr>
          <w:rFonts w:ascii="Calibri" w:eastAsiaTheme="majorEastAsia" w:hAnsi="Calibri" w:cs="Calibri"/>
          <w:iCs/>
          <w:sz w:val="24"/>
        </w:rPr>
        <w:t>La capacité d’absorption s’apprécie en fonction des consommations rapportées aux crédits libérés (pour l’Etat) ou des montants mobilisés (pour les fonds extérieurs). De ce fait, les consommations, au titre de l’année 2016, apparait selon le graphique qui suit :</w:t>
      </w:r>
    </w:p>
    <w:p w14:paraId="37806B43" w14:textId="77777777" w:rsidR="002075EF" w:rsidRPr="00484A10" w:rsidRDefault="002075EF" w:rsidP="00F12682">
      <w:pPr>
        <w:pStyle w:val="Lgende"/>
        <w:rPr>
          <w:rFonts w:eastAsiaTheme="majorEastAsia" w:cs="Calibri"/>
          <w:iCs w:val="0"/>
        </w:rPr>
      </w:pPr>
      <w:bookmarkStart w:id="144" w:name="_Toc529305108"/>
      <w:r>
        <w:t xml:space="preserve">Graphique </w:t>
      </w:r>
      <w:r w:rsidR="00A773EB">
        <w:rPr>
          <w:noProof/>
        </w:rPr>
        <w:fldChar w:fldCharType="begin"/>
      </w:r>
      <w:r w:rsidR="00A773EB">
        <w:rPr>
          <w:noProof/>
        </w:rPr>
        <w:instrText xml:space="preserve"> SEQ Graphique \* ARABIC </w:instrText>
      </w:r>
      <w:r w:rsidR="00A773EB">
        <w:rPr>
          <w:noProof/>
        </w:rPr>
        <w:fldChar w:fldCharType="separate"/>
      </w:r>
      <w:r w:rsidR="001C37F0">
        <w:rPr>
          <w:noProof/>
        </w:rPr>
        <w:t>4</w:t>
      </w:r>
      <w:r w:rsidR="00A773EB">
        <w:rPr>
          <w:noProof/>
        </w:rPr>
        <w:fldChar w:fldCharType="end"/>
      </w:r>
      <w:r w:rsidRPr="00484A10">
        <w:rPr>
          <w:rFonts w:eastAsiaTheme="majorEastAsia" w:cs="Calibri"/>
          <w:iCs w:val="0"/>
        </w:rPr>
        <w:t> : Illustration de la capacité d’absorption des crédits</w:t>
      </w:r>
      <w:bookmarkEnd w:id="144"/>
    </w:p>
    <w:p w14:paraId="549FC055" w14:textId="77777777" w:rsidR="002075EF" w:rsidRPr="00CA7747" w:rsidRDefault="002075EF" w:rsidP="00F12682">
      <w:pPr>
        <w:spacing w:after="120" w:line="276" w:lineRule="auto"/>
        <w:jc w:val="both"/>
        <w:rPr>
          <w:rFonts w:ascii="Calibri" w:eastAsiaTheme="majorEastAsia" w:hAnsi="Calibri" w:cs="Calibri"/>
          <w:iCs/>
          <w:sz w:val="24"/>
        </w:rPr>
      </w:pPr>
      <w:r w:rsidRPr="00CA7747">
        <w:rPr>
          <w:rFonts w:ascii="Calibri" w:eastAsiaTheme="majorEastAsia" w:hAnsi="Calibri" w:cs="Calibri"/>
          <w:iCs/>
          <w:noProof/>
          <w:sz w:val="24"/>
          <w:lang w:eastAsia="fr-FR"/>
        </w:rPr>
        <w:drawing>
          <wp:inline distT="0" distB="0" distL="0" distR="0" wp14:anchorId="42673809" wp14:editId="0CDD9813">
            <wp:extent cx="4524375" cy="2447925"/>
            <wp:effectExtent l="0" t="0" r="9525" b="952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A2524D" w14:textId="77777777" w:rsidR="002075EF" w:rsidRPr="00CA7747" w:rsidRDefault="002075EF" w:rsidP="00F12682">
      <w:pPr>
        <w:spacing w:after="120" w:line="276" w:lineRule="auto"/>
        <w:jc w:val="both"/>
        <w:rPr>
          <w:rFonts w:ascii="Calibri" w:eastAsiaTheme="majorEastAsia" w:hAnsi="Calibri" w:cs="Calibri"/>
          <w:iCs/>
          <w:sz w:val="20"/>
        </w:rPr>
      </w:pPr>
      <w:r w:rsidRPr="00CA7747">
        <w:rPr>
          <w:rFonts w:ascii="Calibri" w:eastAsiaTheme="majorEastAsia" w:hAnsi="Calibri" w:cs="Calibri"/>
          <w:iCs/>
          <w:sz w:val="20"/>
          <w:u w:val="single"/>
        </w:rPr>
        <w:t>Source</w:t>
      </w:r>
      <w:r w:rsidRPr="00CA7747">
        <w:rPr>
          <w:rFonts w:ascii="Calibri" w:eastAsiaTheme="majorEastAsia" w:hAnsi="Calibri" w:cs="Calibri"/>
          <w:iCs/>
          <w:sz w:val="20"/>
        </w:rPr>
        <w:t> : Etabli sur la base des données issues du ra</w:t>
      </w:r>
      <w:r>
        <w:rPr>
          <w:rFonts w:ascii="Calibri" w:eastAsiaTheme="majorEastAsia" w:hAnsi="Calibri" w:cs="Calibri"/>
          <w:iCs/>
          <w:sz w:val="20"/>
        </w:rPr>
        <w:t>pport d’activités 2016 du MH/A</w:t>
      </w:r>
    </w:p>
    <w:p w14:paraId="613C0A25" w14:textId="04661E0B" w:rsidR="002075EF" w:rsidRPr="00E51AB3" w:rsidRDefault="002075EF" w:rsidP="00F12682">
      <w:pPr>
        <w:spacing w:after="120" w:line="276" w:lineRule="auto"/>
        <w:jc w:val="both"/>
        <w:rPr>
          <w:rFonts w:ascii="Calibri" w:eastAsiaTheme="majorEastAsia" w:hAnsi="Calibri" w:cs="Calibri"/>
          <w:iCs/>
          <w:sz w:val="24"/>
        </w:rPr>
      </w:pPr>
      <w:r w:rsidRPr="00E51AB3">
        <w:rPr>
          <w:rFonts w:ascii="Calibri" w:eastAsiaTheme="majorEastAsia" w:hAnsi="Calibri" w:cs="Calibri"/>
          <w:iCs/>
          <w:sz w:val="24"/>
        </w:rPr>
        <w:t xml:space="preserve">Ce graphique montre que le </w:t>
      </w:r>
      <w:r w:rsidR="00757CF6">
        <w:rPr>
          <w:rFonts w:ascii="Calibri" w:eastAsiaTheme="majorEastAsia" w:hAnsi="Calibri" w:cs="Calibri"/>
          <w:iCs/>
          <w:sz w:val="24"/>
        </w:rPr>
        <w:t xml:space="preserve">MHA </w:t>
      </w:r>
      <w:r w:rsidRPr="00E51AB3">
        <w:rPr>
          <w:rFonts w:ascii="Calibri" w:eastAsiaTheme="majorEastAsia" w:hAnsi="Calibri" w:cs="Calibri"/>
          <w:iCs/>
          <w:sz w:val="24"/>
        </w:rPr>
        <w:t xml:space="preserve">a fait preuve d’une grande capacité d’absorption des moyens financiers mis à sa disposition. En effet, sur un les crédits globaux libérés, le </w:t>
      </w:r>
      <w:r w:rsidR="00757CF6">
        <w:rPr>
          <w:rFonts w:ascii="Calibri" w:eastAsiaTheme="majorEastAsia" w:hAnsi="Calibri" w:cs="Calibri"/>
          <w:iCs/>
          <w:sz w:val="24"/>
        </w:rPr>
        <w:t xml:space="preserve">MHA </w:t>
      </w:r>
      <w:r w:rsidRPr="00E51AB3">
        <w:rPr>
          <w:rFonts w:ascii="Calibri" w:eastAsiaTheme="majorEastAsia" w:hAnsi="Calibri" w:cs="Calibri"/>
          <w:iCs/>
          <w:sz w:val="24"/>
        </w:rPr>
        <w:t>a consommé plus de 84%, ce qui constitue un motif de satisfaction</w:t>
      </w:r>
      <w:r w:rsidR="00C15E23" w:rsidRPr="00C15E23">
        <w:t xml:space="preserve"> </w:t>
      </w:r>
      <w:r w:rsidR="00C15E23" w:rsidRPr="00C15E23">
        <w:rPr>
          <w:rFonts w:ascii="Calibri" w:eastAsiaTheme="majorEastAsia" w:hAnsi="Calibri" w:cs="Calibri"/>
          <w:iCs/>
          <w:sz w:val="24"/>
        </w:rPr>
        <w:t>en matière de capacité d’absorption</w:t>
      </w:r>
      <w:r w:rsidRPr="00E51AB3">
        <w:rPr>
          <w:rFonts w:ascii="Calibri" w:eastAsiaTheme="majorEastAsia" w:hAnsi="Calibri" w:cs="Calibri"/>
          <w:iCs/>
          <w:sz w:val="24"/>
        </w:rPr>
        <w:t xml:space="preserve">. </w:t>
      </w:r>
    </w:p>
    <w:p w14:paraId="575E13CB" w14:textId="77777777" w:rsidR="002075EF" w:rsidRPr="00E51AB3" w:rsidRDefault="002075EF" w:rsidP="00F12682">
      <w:pPr>
        <w:spacing w:after="120" w:line="276" w:lineRule="auto"/>
        <w:jc w:val="both"/>
        <w:rPr>
          <w:rFonts w:ascii="Calibri" w:eastAsiaTheme="majorEastAsia" w:hAnsi="Calibri" w:cs="Calibri"/>
          <w:iCs/>
          <w:sz w:val="24"/>
        </w:rPr>
      </w:pPr>
      <w:r w:rsidRPr="00E51AB3">
        <w:rPr>
          <w:rFonts w:ascii="Calibri" w:eastAsiaTheme="majorEastAsia" w:hAnsi="Calibri" w:cs="Calibri"/>
          <w:iCs/>
          <w:sz w:val="24"/>
        </w:rPr>
        <w:t xml:space="preserve">Mieux, il faut noter que les dépenses de fonctionnement et de transfert, ont connu des réalisations qui sont respectivement de 98 et 93%, tandis que les crédits d’investissement n’ont été consommés qu’à hauteur de 61%. </w:t>
      </w:r>
    </w:p>
    <w:p w14:paraId="4F2A313B" w14:textId="77777777" w:rsidR="002075EF" w:rsidRPr="00E51AB3" w:rsidRDefault="002075EF" w:rsidP="00F12682">
      <w:pPr>
        <w:spacing w:after="120" w:line="276" w:lineRule="auto"/>
        <w:jc w:val="both"/>
        <w:rPr>
          <w:rFonts w:ascii="Calibri" w:eastAsiaTheme="majorEastAsia" w:hAnsi="Calibri" w:cs="Calibri"/>
          <w:iCs/>
          <w:sz w:val="24"/>
        </w:rPr>
      </w:pPr>
      <w:r w:rsidRPr="00E51AB3">
        <w:rPr>
          <w:rFonts w:ascii="Calibri" w:eastAsiaTheme="majorEastAsia" w:hAnsi="Calibri" w:cs="Calibri"/>
          <w:iCs/>
          <w:sz w:val="24"/>
        </w:rPr>
        <w:t xml:space="preserve">La raison principale de la sous consommation au niveau des investissements est liée à la libération tardive des crédits du troisième trimestre. Cette libération est intervenue en septembre et les engagements ont été arrêtés en fin octobre. </w:t>
      </w:r>
    </w:p>
    <w:p w14:paraId="20AF8026" w14:textId="3D3F8ED3" w:rsidR="002075EF" w:rsidRDefault="00AE78B3"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En tout état de cause, le MH</w:t>
      </w:r>
      <w:r w:rsidR="002075EF" w:rsidRPr="00E51AB3">
        <w:rPr>
          <w:rFonts w:ascii="Calibri" w:eastAsiaTheme="majorEastAsia" w:hAnsi="Calibri" w:cs="Calibri"/>
          <w:iCs/>
          <w:sz w:val="24"/>
        </w:rPr>
        <w:t>A, à travers ce graphique, a suffisamment démontré qu’il est en mesure de consommer les crédit</w:t>
      </w:r>
      <w:r w:rsidR="002075EF">
        <w:rPr>
          <w:rFonts w:ascii="Calibri" w:eastAsiaTheme="majorEastAsia" w:hAnsi="Calibri" w:cs="Calibri"/>
          <w:iCs/>
          <w:sz w:val="24"/>
        </w:rPr>
        <w:t>s dès lors qu’ils sont libérés.</w:t>
      </w:r>
    </w:p>
    <w:p w14:paraId="1ADD5A56" w14:textId="77777777" w:rsidR="00035CA3" w:rsidRPr="00857DDC" w:rsidRDefault="00035CA3" w:rsidP="00F12682">
      <w:pPr>
        <w:pStyle w:val="Titre4"/>
        <w:rPr>
          <w:rFonts w:asciiTheme="minorHAnsi" w:hAnsiTheme="minorHAnsi" w:cstheme="minorHAnsi"/>
        </w:rPr>
      </w:pPr>
      <w:r w:rsidRPr="00857DDC">
        <w:rPr>
          <w:rFonts w:asciiTheme="minorHAnsi" w:hAnsiTheme="minorHAnsi" w:cstheme="minorHAnsi"/>
        </w:rPr>
        <w:lastRenderedPageBreak/>
        <w:t>Analyse de la performance et l’incidence de diverses sources de financement</w:t>
      </w:r>
    </w:p>
    <w:p w14:paraId="38DF4B1E" w14:textId="60D1ED54" w:rsidR="00035CA3" w:rsidRPr="00857DDC" w:rsidRDefault="00035CA3" w:rsidP="00F12682">
      <w:pPr>
        <w:spacing w:after="120" w:line="276" w:lineRule="auto"/>
        <w:jc w:val="both"/>
        <w:rPr>
          <w:rFonts w:ascii="Calibri" w:eastAsiaTheme="majorEastAsia" w:hAnsi="Calibri" w:cs="Calibri"/>
          <w:iCs/>
          <w:sz w:val="24"/>
        </w:rPr>
      </w:pPr>
      <w:r w:rsidRPr="00857DDC">
        <w:rPr>
          <w:rFonts w:ascii="Calibri" w:eastAsiaTheme="majorEastAsia" w:hAnsi="Calibri" w:cs="Calibri"/>
          <w:iCs/>
          <w:sz w:val="24"/>
        </w:rPr>
        <w:t>Pour mieux apprécier la performance et l’incidence de diverses sources d</w:t>
      </w:r>
      <w:r w:rsidR="00E52B22" w:rsidRPr="00857DDC">
        <w:rPr>
          <w:rFonts w:ascii="Calibri" w:eastAsiaTheme="majorEastAsia" w:hAnsi="Calibri" w:cs="Calibri"/>
          <w:iCs/>
          <w:sz w:val="24"/>
        </w:rPr>
        <w:t>e</w:t>
      </w:r>
      <w:r w:rsidRPr="00857DDC">
        <w:rPr>
          <w:rFonts w:ascii="Calibri" w:eastAsiaTheme="majorEastAsia" w:hAnsi="Calibri" w:cs="Calibri"/>
          <w:iCs/>
          <w:sz w:val="24"/>
        </w:rPr>
        <w:t xml:space="preserve"> financement, il convient de conduire l’analyse sur le volet B des dépenses d’investissement. Partant de cette base, il faut noter qu’en 2016, les prévisions étaient faites selon la répartition suivante : </w:t>
      </w:r>
    </w:p>
    <w:p w14:paraId="69518860" w14:textId="30BDB31A" w:rsidR="00035CA3" w:rsidRPr="00857DDC" w:rsidRDefault="00035CA3" w:rsidP="00F12682">
      <w:pPr>
        <w:pStyle w:val="Paragraphedeliste"/>
        <w:numPr>
          <w:ilvl w:val="0"/>
          <w:numId w:val="19"/>
        </w:numPr>
        <w:spacing w:after="120" w:line="276" w:lineRule="auto"/>
        <w:ind w:left="567" w:hanging="210"/>
        <w:contextualSpacing w:val="0"/>
        <w:jc w:val="both"/>
        <w:rPr>
          <w:rFonts w:ascii="Calibri" w:eastAsiaTheme="majorEastAsia" w:hAnsi="Calibri" w:cs="Calibri"/>
          <w:iCs/>
          <w:sz w:val="24"/>
        </w:rPr>
      </w:pPr>
      <w:r w:rsidRPr="00857DDC">
        <w:rPr>
          <w:rFonts w:ascii="Calibri" w:eastAsiaTheme="majorEastAsia" w:hAnsi="Calibri" w:cs="Calibri"/>
          <w:iCs/>
          <w:sz w:val="24"/>
        </w:rPr>
        <w:t>Financement Etat</w:t>
      </w:r>
      <w:r w:rsidRPr="00857DDC">
        <w:rPr>
          <w:rFonts w:ascii="Calibri" w:eastAsiaTheme="majorEastAsia" w:hAnsi="Calibri" w:cs="Calibri"/>
          <w:iCs/>
          <w:sz w:val="24"/>
        </w:rPr>
        <w:tab/>
      </w:r>
      <w:r w:rsidRPr="00857DDC">
        <w:rPr>
          <w:rFonts w:ascii="Calibri" w:eastAsiaTheme="majorEastAsia" w:hAnsi="Calibri" w:cs="Calibri"/>
          <w:iCs/>
          <w:sz w:val="24"/>
        </w:rPr>
        <w:tab/>
        <w:t xml:space="preserve">: </w:t>
      </w:r>
      <w:r w:rsidRPr="00857DDC">
        <w:rPr>
          <w:rFonts w:ascii="Calibri" w:eastAsiaTheme="majorEastAsia" w:hAnsi="Calibri" w:cs="Calibri"/>
          <w:iCs/>
          <w:sz w:val="24"/>
        </w:rPr>
        <w:tab/>
      </w:r>
      <w:r w:rsidRPr="00857DDC">
        <w:rPr>
          <w:rFonts w:ascii="Calibri" w:eastAsiaTheme="majorEastAsia" w:hAnsi="Calibri" w:cs="Calibri"/>
          <w:iCs/>
          <w:sz w:val="24"/>
        </w:rPr>
        <w:tab/>
      </w:r>
      <w:r w:rsidRPr="00857DDC">
        <w:rPr>
          <w:rFonts w:ascii="Calibri" w:eastAsiaTheme="majorEastAsia" w:hAnsi="Calibri" w:cs="Calibri"/>
          <w:iCs/>
          <w:sz w:val="24"/>
        </w:rPr>
        <w:tab/>
      </w:r>
      <w:r w:rsidR="003D34E5">
        <w:rPr>
          <w:rFonts w:ascii="Calibri" w:eastAsiaTheme="majorEastAsia" w:hAnsi="Calibri" w:cs="Calibri"/>
          <w:iCs/>
          <w:sz w:val="24"/>
        </w:rPr>
        <w:t xml:space="preserve"> </w:t>
      </w:r>
      <w:r w:rsidR="00857DDC">
        <w:rPr>
          <w:rFonts w:ascii="Calibri" w:eastAsiaTheme="majorEastAsia" w:hAnsi="Calibri" w:cs="Calibri"/>
          <w:iCs/>
          <w:sz w:val="24"/>
        </w:rPr>
        <w:t>4 575 205 602 FCFA</w:t>
      </w:r>
    </w:p>
    <w:p w14:paraId="77E9B9D7" w14:textId="3F253646" w:rsidR="00035CA3" w:rsidRPr="00857DDC" w:rsidRDefault="00035CA3" w:rsidP="00F12682">
      <w:pPr>
        <w:pStyle w:val="Paragraphedeliste"/>
        <w:numPr>
          <w:ilvl w:val="0"/>
          <w:numId w:val="19"/>
        </w:numPr>
        <w:spacing w:after="120" w:line="276" w:lineRule="auto"/>
        <w:ind w:left="567" w:hanging="210"/>
        <w:contextualSpacing w:val="0"/>
        <w:jc w:val="both"/>
        <w:rPr>
          <w:rFonts w:ascii="Calibri" w:eastAsiaTheme="majorEastAsia" w:hAnsi="Calibri" w:cs="Calibri"/>
          <w:iCs/>
          <w:sz w:val="24"/>
        </w:rPr>
      </w:pPr>
      <w:r w:rsidRPr="00857DDC">
        <w:rPr>
          <w:rFonts w:ascii="Calibri" w:eastAsiaTheme="majorEastAsia" w:hAnsi="Calibri" w:cs="Calibri"/>
          <w:iCs/>
          <w:sz w:val="24"/>
        </w:rPr>
        <w:t>Financement extérieur (PTF)</w:t>
      </w:r>
      <w:r w:rsidR="00857DDC">
        <w:rPr>
          <w:rFonts w:ascii="Calibri" w:eastAsiaTheme="majorEastAsia" w:hAnsi="Calibri" w:cs="Calibri"/>
          <w:iCs/>
          <w:sz w:val="24"/>
        </w:rPr>
        <w:tab/>
        <w:t xml:space="preserve">: </w:t>
      </w:r>
      <w:r w:rsidR="00857DDC">
        <w:rPr>
          <w:rFonts w:ascii="Calibri" w:eastAsiaTheme="majorEastAsia" w:hAnsi="Calibri" w:cs="Calibri"/>
          <w:iCs/>
          <w:sz w:val="24"/>
        </w:rPr>
        <w:tab/>
      </w:r>
      <w:r w:rsidR="00857DDC">
        <w:rPr>
          <w:rFonts w:ascii="Calibri" w:eastAsiaTheme="majorEastAsia" w:hAnsi="Calibri" w:cs="Calibri"/>
          <w:iCs/>
          <w:sz w:val="24"/>
        </w:rPr>
        <w:tab/>
      </w:r>
      <w:r w:rsidR="00857DDC">
        <w:rPr>
          <w:rFonts w:ascii="Calibri" w:eastAsiaTheme="majorEastAsia" w:hAnsi="Calibri" w:cs="Calibri"/>
          <w:iCs/>
          <w:sz w:val="24"/>
        </w:rPr>
        <w:tab/>
        <w:t>58 011 783 315 FCFA</w:t>
      </w:r>
    </w:p>
    <w:p w14:paraId="5C8B6DAE" w14:textId="3E8BC104" w:rsidR="00035CA3" w:rsidRPr="00857DDC" w:rsidRDefault="00035CA3" w:rsidP="00F12682">
      <w:pPr>
        <w:pStyle w:val="Paragraphedeliste"/>
        <w:spacing w:after="120" w:line="276" w:lineRule="auto"/>
        <w:ind w:left="1275" w:firstLine="141"/>
        <w:contextualSpacing w:val="0"/>
        <w:jc w:val="both"/>
        <w:rPr>
          <w:rFonts w:ascii="Calibri" w:eastAsiaTheme="majorEastAsia" w:hAnsi="Calibri" w:cs="Calibri"/>
          <w:iCs/>
          <w:sz w:val="24"/>
        </w:rPr>
      </w:pPr>
      <w:r w:rsidRPr="00857DDC">
        <w:rPr>
          <w:rFonts w:ascii="Calibri" w:eastAsiaTheme="majorEastAsia" w:hAnsi="Calibri" w:cs="Calibri"/>
          <w:iCs/>
          <w:sz w:val="24"/>
        </w:rPr>
        <w:t>Dons (ANR)</w:t>
      </w:r>
      <w:r w:rsidRPr="00857DDC">
        <w:rPr>
          <w:rFonts w:ascii="Calibri" w:eastAsiaTheme="majorEastAsia" w:hAnsi="Calibri" w:cs="Calibri"/>
          <w:iCs/>
          <w:sz w:val="24"/>
        </w:rPr>
        <w:tab/>
      </w:r>
      <w:r w:rsidRPr="00857DDC">
        <w:rPr>
          <w:rFonts w:ascii="Calibri" w:eastAsiaTheme="majorEastAsia" w:hAnsi="Calibri" w:cs="Calibri"/>
          <w:iCs/>
          <w:sz w:val="24"/>
        </w:rPr>
        <w:tab/>
        <w:t xml:space="preserve">: </w:t>
      </w:r>
      <w:r w:rsidRPr="00857DDC">
        <w:rPr>
          <w:rFonts w:ascii="Calibri" w:eastAsiaTheme="majorEastAsia" w:hAnsi="Calibri" w:cs="Calibri"/>
          <w:iCs/>
          <w:sz w:val="24"/>
        </w:rPr>
        <w:tab/>
      </w:r>
      <w:r w:rsidRPr="00857DDC">
        <w:rPr>
          <w:rFonts w:ascii="Calibri" w:eastAsiaTheme="majorEastAsia" w:hAnsi="Calibri" w:cs="Calibri"/>
          <w:iCs/>
          <w:sz w:val="24"/>
        </w:rPr>
        <w:tab/>
      </w:r>
      <w:r w:rsidRPr="00857DDC">
        <w:rPr>
          <w:rFonts w:ascii="Calibri" w:eastAsiaTheme="majorEastAsia" w:hAnsi="Calibri" w:cs="Calibri"/>
          <w:iCs/>
          <w:sz w:val="24"/>
        </w:rPr>
        <w:tab/>
      </w:r>
      <w:r w:rsidR="00857DDC">
        <w:rPr>
          <w:rFonts w:ascii="Calibri" w:eastAsiaTheme="majorEastAsia" w:hAnsi="Calibri" w:cs="Calibri"/>
          <w:iCs/>
          <w:sz w:val="24"/>
        </w:rPr>
        <w:t>42 244 329 462 FCFA</w:t>
      </w:r>
    </w:p>
    <w:p w14:paraId="6BFBA0B9" w14:textId="38218973" w:rsidR="00035CA3" w:rsidRPr="00857DDC" w:rsidRDefault="00857DDC" w:rsidP="00F12682">
      <w:pPr>
        <w:pStyle w:val="Paragraphedeliste"/>
        <w:spacing w:after="120" w:line="276" w:lineRule="auto"/>
        <w:ind w:left="1134" w:firstLine="282"/>
        <w:contextualSpacing w:val="0"/>
        <w:jc w:val="both"/>
        <w:rPr>
          <w:rFonts w:ascii="Calibri" w:eastAsiaTheme="majorEastAsia" w:hAnsi="Calibri" w:cs="Calibri"/>
          <w:iCs/>
          <w:sz w:val="24"/>
        </w:rPr>
      </w:pPr>
      <w:r>
        <w:rPr>
          <w:rFonts w:ascii="Calibri" w:eastAsiaTheme="majorEastAsia" w:hAnsi="Calibri" w:cs="Calibri"/>
          <w:iCs/>
          <w:sz w:val="24"/>
        </w:rPr>
        <w:t>Emprunts</w:t>
      </w:r>
      <w:r w:rsidR="00035CA3" w:rsidRPr="00857DDC">
        <w:rPr>
          <w:rFonts w:ascii="Calibri" w:eastAsiaTheme="majorEastAsia" w:hAnsi="Calibri" w:cs="Calibri"/>
          <w:iCs/>
          <w:sz w:val="24"/>
        </w:rPr>
        <w:tab/>
      </w:r>
      <w:r w:rsidR="00035CA3" w:rsidRPr="00857DDC">
        <w:rPr>
          <w:rFonts w:ascii="Calibri" w:eastAsiaTheme="majorEastAsia" w:hAnsi="Calibri" w:cs="Calibri"/>
          <w:iCs/>
          <w:sz w:val="24"/>
        </w:rPr>
        <w:tab/>
        <w:t xml:space="preserve">: </w:t>
      </w:r>
      <w:r w:rsidR="00035CA3" w:rsidRPr="00857DDC">
        <w:rPr>
          <w:rFonts w:ascii="Calibri" w:eastAsiaTheme="majorEastAsia" w:hAnsi="Calibri" w:cs="Calibri"/>
          <w:iCs/>
          <w:sz w:val="24"/>
        </w:rPr>
        <w:tab/>
      </w:r>
      <w:r w:rsidR="00035CA3" w:rsidRPr="00857DDC">
        <w:rPr>
          <w:rFonts w:ascii="Calibri" w:eastAsiaTheme="majorEastAsia" w:hAnsi="Calibri" w:cs="Calibri"/>
          <w:iCs/>
          <w:sz w:val="24"/>
        </w:rPr>
        <w:tab/>
      </w:r>
      <w:r w:rsidR="00035CA3" w:rsidRPr="00857DDC">
        <w:rPr>
          <w:rFonts w:ascii="Calibri" w:eastAsiaTheme="majorEastAsia" w:hAnsi="Calibri" w:cs="Calibri"/>
          <w:iCs/>
          <w:sz w:val="24"/>
        </w:rPr>
        <w:tab/>
      </w:r>
      <w:r>
        <w:rPr>
          <w:rFonts w:ascii="Calibri" w:eastAsiaTheme="majorEastAsia" w:hAnsi="Calibri" w:cs="Calibri"/>
          <w:iCs/>
          <w:sz w:val="24"/>
        </w:rPr>
        <w:t>15 767 453 863 F</w:t>
      </w:r>
      <w:r w:rsidR="00035CA3" w:rsidRPr="00857DDC">
        <w:rPr>
          <w:rFonts w:ascii="Calibri" w:eastAsiaTheme="majorEastAsia" w:hAnsi="Calibri" w:cs="Calibri"/>
          <w:iCs/>
          <w:sz w:val="24"/>
        </w:rPr>
        <w:t>CFA</w:t>
      </w:r>
    </w:p>
    <w:p w14:paraId="2F51C45B" w14:textId="788FA6B9" w:rsidR="00035CA3" w:rsidRPr="00857DDC" w:rsidRDefault="00035CA3" w:rsidP="00F12682">
      <w:pPr>
        <w:spacing w:after="120" w:line="276" w:lineRule="auto"/>
        <w:ind w:left="708" w:firstLine="708"/>
        <w:jc w:val="both"/>
        <w:rPr>
          <w:rFonts w:ascii="Calibri" w:eastAsiaTheme="majorEastAsia" w:hAnsi="Calibri" w:cs="Calibri"/>
          <w:b/>
          <w:iCs/>
          <w:sz w:val="24"/>
        </w:rPr>
      </w:pPr>
      <w:r w:rsidRPr="00857DDC">
        <w:rPr>
          <w:rFonts w:ascii="Calibri" w:eastAsiaTheme="majorEastAsia" w:hAnsi="Calibri" w:cs="Calibri"/>
          <w:b/>
          <w:iCs/>
          <w:sz w:val="24"/>
        </w:rPr>
        <w:t>TOTAL</w:t>
      </w:r>
      <w:r w:rsidRPr="00857DDC">
        <w:rPr>
          <w:rFonts w:ascii="Calibri" w:eastAsiaTheme="majorEastAsia" w:hAnsi="Calibri" w:cs="Calibri"/>
          <w:b/>
          <w:iCs/>
          <w:sz w:val="24"/>
        </w:rPr>
        <w:tab/>
      </w:r>
      <w:r w:rsidRPr="00857DDC">
        <w:rPr>
          <w:rFonts w:ascii="Calibri" w:eastAsiaTheme="majorEastAsia" w:hAnsi="Calibri" w:cs="Calibri"/>
          <w:b/>
          <w:iCs/>
          <w:sz w:val="24"/>
        </w:rPr>
        <w:tab/>
      </w:r>
      <w:r w:rsidRPr="00857DDC">
        <w:rPr>
          <w:rFonts w:ascii="Calibri" w:eastAsiaTheme="majorEastAsia" w:hAnsi="Calibri" w:cs="Calibri"/>
          <w:b/>
          <w:iCs/>
          <w:sz w:val="24"/>
        </w:rPr>
        <w:tab/>
        <w:t>:</w:t>
      </w:r>
      <w:r w:rsidRPr="00857DDC">
        <w:rPr>
          <w:rFonts w:ascii="Calibri" w:eastAsiaTheme="majorEastAsia" w:hAnsi="Calibri" w:cs="Calibri"/>
          <w:b/>
          <w:iCs/>
          <w:sz w:val="24"/>
        </w:rPr>
        <w:tab/>
      </w:r>
      <w:r w:rsidRPr="00857DDC">
        <w:rPr>
          <w:rFonts w:ascii="Calibri" w:eastAsiaTheme="majorEastAsia" w:hAnsi="Calibri" w:cs="Calibri"/>
          <w:b/>
          <w:iCs/>
          <w:sz w:val="24"/>
        </w:rPr>
        <w:tab/>
      </w:r>
      <w:r w:rsidRPr="00857DDC">
        <w:rPr>
          <w:rFonts w:ascii="Calibri" w:eastAsiaTheme="majorEastAsia" w:hAnsi="Calibri" w:cs="Calibri"/>
          <w:b/>
          <w:iCs/>
          <w:sz w:val="24"/>
        </w:rPr>
        <w:tab/>
        <w:t>62 586 988 917</w:t>
      </w:r>
      <w:r w:rsidR="00857DDC">
        <w:rPr>
          <w:rFonts w:ascii="Calibri" w:eastAsiaTheme="majorEastAsia" w:hAnsi="Calibri" w:cs="Calibri"/>
          <w:b/>
          <w:iCs/>
          <w:sz w:val="24"/>
        </w:rPr>
        <w:t xml:space="preserve"> FCFA</w:t>
      </w:r>
    </w:p>
    <w:p w14:paraId="55D15CDC" w14:textId="77777777" w:rsidR="00857DDC" w:rsidRDefault="00857DDC" w:rsidP="00F12682">
      <w:pPr>
        <w:spacing w:after="120" w:line="276" w:lineRule="auto"/>
        <w:jc w:val="both"/>
        <w:rPr>
          <w:rFonts w:ascii="Calibri" w:eastAsiaTheme="majorEastAsia" w:hAnsi="Calibri" w:cs="Calibri"/>
          <w:iCs/>
          <w:sz w:val="24"/>
        </w:rPr>
      </w:pPr>
    </w:p>
    <w:p w14:paraId="21AD49C8" w14:textId="618E830E" w:rsidR="00035CA3" w:rsidRDefault="00035CA3" w:rsidP="00F12682">
      <w:pPr>
        <w:spacing w:after="120" w:line="276" w:lineRule="auto"/>
        <w:jc w:val="both"/>
        <w:rPr>
          <w:rFonts w:ascii="Calibri" w:eastAsiaTheme="majorEastAsia" w:hAnsi="Calibri" w:cs="Calibri"/>
          <w:iCs/>
          <w:sz w:val="24"/>
        </w:rPr>
      </w:pPr>
      <w:r w:rsidRPr="00857DDC">
        <w:rPr>
          <w:rFonts w:ascii="Calibri" w:eastAsiaTheme="majorEastAsia" w:hAnsi="Calibri" w:cs="Calibri"/>
          <w:iCs/>
          <w:sz w:val="24"/>
        </w:rPr>
        <w:t>Les dépenses de développement sont fortement tributaire des PTF, avec plus de 93% des prévisions globales, soit plus de douze (12) fois la contribution de l’Etat. Ce qui laisse penser que l’atteinte des o</w:t>
      </w:r>
      <w:r w:rsidR="00FB7BFC">
        <w:rPr>
          <w:rFonts w:ascii="Calibri" w:eastAsiaTheme="majorEastAsia" w:hAnsi="Calibri" w:cs="Calibri"/>
          <w:iCs/>
          <w:sz w:val="24"/>
        </w:rPr>
        <w:t>bjectifs de développement du MH</w:t>
      </w:r>
      <w:r w:rsidRPr="00857DDC">
        <w:rPr>
          <w:rFonts w:ascii="Calibri" w:eastAsiaTheme="majorEastAsia" w:hAnsi="Calibri" w:cs="Calibri"/>
          <w:iCs/>
          <w:sz w:val="24"/>
        </w:rPr>
        <w:t xml:space="preserve">A, dépend en grande partie des PTF qui, en général, fixe certaines conditions avant le déblocage des fonds. C’est dire tout le risque qu’il y a quant à </w:t>
      </w:r>
      <w:proofErr w:type="gramStart"/>
      <w:r w:rsidRPr="00857DDC">
        <w:rPr>
          <w:rFonts w:ascii="Calibri" w:eastAsiaTheme="majorEastAsia" w:hAnsi="Calibri" w:cs="Calibri"/>
          <w:iCs/>
          <w:sz w:val="24"/>
        </w:rPr>
        <w:t>la non</w:t>
      </w:r>
      <w:proofErr w:type="gramEnd"/>
      <w:r w:rsidRPr="00857DDC">
        <w:rPr>
          <w:rFonts w:ascii="Calibri" w:eastAsiaTheme="majorEastAsia" w:hAnsi="Calibri" w:cs="Calibri"/>
          <w:iCs/>
          <w:sz w:val="24"/>
        </w:rPr>
        <w:t xml:space="preserve"> réalisation de certaines infrastructures car, les PTF peuvent à tout moment bloquer leur financement.</w:t>
      </w:r>
      <w:r w:rsidR="00857DDC">
        <w:rPr>
          <w:rFonts w:ascii="Calibri" w:eastAsiaTheme="majorEastAsia" w:hAnsi="Calibri" w:cs="Calibri"/>
          <w:iCs/>
          <w:sz w:val="24"/>
        </w:rPr>
        <w:t xml:space="preserve"> </w:t>
      </w:r>
      <w:r w:rsidRPr="00857DDC">
        <w:rPr>
          <w:rFonts w:ascii="Calibri" w:eastAsiaTheme="majorEastAsia" w:hAnsi="Calibri" w:cs="Calibri"/>
          <w:iCs/>
          <w:sz w:val="24"/>
        </w:rPr>
        <w:t>Le graphique suivant illust</w:t>
      </w:r>
      <w:r w:rsidR="00D25ED7">
        <w:rPr>
          <w:rFonts w:ascii="Calibri" w:eastAsiaTheme="majorEastAsia" w:hAnsi="Calibri" w:cs="Calibri"/>
          <w:iCs/>
          <w:sz w:val="24"/>
        </w:rPr>
        <w:t>re bien cette forte dépendance.</w:t>
      </w:r>
    </w:p>
    <w:p w14:paraId="7BD7909A" w14:textId="77777777" w:rsidR="00D25ED7" w:rsidRPr="00857DDC" w:rsidRDefault="00D25ED7" w:rsidP="00F12682">
      <w:pPr>
        <w:spacing w:after="120" w:line="276" w:lineRule="auto"/>
        <w:jc w:val="both"/>
        <w:rPr>
          <w:rFonts w:ascii="Calibri" w:eastAsiaTheme="majorEastAsia" w:hAnsi="Calibri" w:cs="Calibri"/>
          <w:iCs/>
          <w:sz w:val="24"/>
        </w:rPr>
      </w:pPr>
    </w:p>
    <w:p w14:paraId="0FF44D9C" w14:textId="6952C610" w:rsidR="00035CA3" w:rsidRPr="005970F0" w:rsidRDefault="005970F0" w:rsidP="00F12682">
      <w:pPr>
        <w:pStyle w:val="Lgende"/>
        <w:rPr>
          <w:rFonts w:eastAsiaTheme="majorEastAsia" w:cs="Calibri"/>
          <w:iCs w:val="0"/>
        </w:rPr>
      </w:pPr>
      <w:bookmarkStart w:id="145" w:name="_Toc529305109"/>
      <w:r>
        <w:t xml:space="preserve">Graphique </w:t>
      </w:r>
      <w:r w:rsidR="00A773EB">
        <w:rPr>
          <w:noProof/>
        </w:rPr>
        <w:fldChar w:fldCharType="begin"/>
      </w:r>
      <w:r w:rsidR="00A773EB">
        <w:rPr>
          <w:noProof/>
        </w:rPr>
        <w:instrText xml:space="preserve"> SEQ Graphique \* ARABIC </w:instrText>
      </w:r>
      <w:r w:rsidR="00A773EB">
        <w:rPr>
          <w:noProof/>
        </w:rPr>
        <w:fldChar w:fldCharType="separate"/>
      </w:r>
      <w:r w:rsidR="001C37F0">
        <w:rPr>
          <w:noProof/>
        </w:rPr>
        <w:t>5</w:t>
      </w:r>
      <w:r w:rsidR="00A773EB">
        <w:rPr>
          <w:noProof/>
        </w:rPr>
        <w:fldChar w:fldCharType="end"/>
      </w:r>
      <w:r w:rsidR="00035CA3" w:rsidRPr="005970F0">
        <w:rPr>
          <w:rFonts w:eastAsiaTheme="majorEastAsia" w:cs="Calibri"/>
          <w:iCs w:val="0"/>
        </w:rPr>
        <w:t> : Répartition des crédits d’investissement de dévelop</w:t>
      </w:r>
      <w:r w:rsidR="00857DDC" w:rsidRPr="005970F0">
        <w:rPr>
          <w:rFonts w:eastAsiaTheme="majorEastAsia" w:cs="Calibri"/>
          <w:iCs w:val="0"/>
        </w:rPr>
        <w:t>pement en 2016</w:t>
      </w:r>
      <w:bookmarkEnd w:id="145"/>
    </w:p>
    <w:p w14:paraId="2A5205E2" w14:textId="77777777" w:rsidR="00035CA3" w:rsidRPr="00857DDC" w:rsidRDefault="00035CA3" w:rsidP="00F12682">
      <w:pPr>
        <w:spacing w:after="120" w:line="276" w:lineRule="auto"/>
        <w:jc w:val="both"/>
        <w:rPr>
          <w:rFonts w:ascii="Calibri" w:eastAsiaTheme="majorEastAsia" w:hAnsi="Calibri" w:cs="Calibri"/>
          <w:iCs/>
          <w:sz w:val="24"/>
        </w:rPr>
      </w:pPr>
      <w:r w:rsidRPr="00857DDC">
        <w:rPr>
          <w:rFonts w:ascii="Calibri" w:eastAsiaTheme="majorEastAsia" w:hAnsi="Calibri" w:cs="Calibri"/>
          <w:iCs/>
          <w:noProof/>
          <w:sz w:val="24"/>
          <w:lang w:eastAsia="fr-FR"/>
        </w:rPr>
        <w:drawing>
          <wp:inline distT="0" distB="0" distL="0" distR="0" wp14:anchorId="1AF71717" wp14:editId="08927551">
            <wp:extent cx="3495675" cy="2333625"/>
            <wp:effectExtent l="0" t="0" r="9525" b="952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3649EC" w14:textId="77777777" w:rsidR="00D25ED7" w:rsidRDefault="00D25ED7" w:rsidP="00F12682">
      <w:pPr>
        <w:spacing w:after="120" w:line="276" w:lineRule="auto"/>
        <w:jc w:val="both"/>
        <w:rPr>
          <w:rFonts w:ascii="Calibri" w:eastAsiaTheme="majorEastAsia" w:hAnsi="Calibri" w:cs="Calibri"/>
          <w:iCs/>
          <w:sz w:val="20"/>
        </w:rPr>
      </w:pPr>
      <w:r w:rsidRPr="00D25ED7">
        <w:rPr>
          <w:rFonts w:ascii="Calibri" w:eastAsiaTheme="majorEastAsia" w:hAnsi="Calibri" w:cs="Calibri"/>
          <w:iCs/>
          <w:sz w:val="20"/>
          <w:u w:val="single"/>
        </w:rPr>
        <w:t>Source</w:t>
      </w:r>
      <w:r w:rsidRPr="00D25ED7">
        <w:rPr>
          <w:rFonts w:ascii="Calibri" w:eastAsiaTheme="majorEastAsia" w:hAnsi="Calibri" w:cs="Calibri"/>
          <w:iCs/>
          <w:sz w:val="20"/>
        </w:rPr>
        <w:t> : Rapport d’activités 2016 du MH/A</w:t>
      </w:r>
    </w:p>
    <w:p w14:paraId="5548EBE9" w14:textId="77777777" w:rsidR="0022543C" w:rsidRPr="0022543C" w:rsidRDefault="0022543C" w:rsidP="00F12682">
      <w:pPr>
        <w:spacing w:after="120" w:line="276" w:lineRule="auto"/>
        <w:jc w:val="both"/>
        <w:rPr>
          <w:rFonts w:ascii="Calibri" w:hAnsi="Calibri" w:cs="Calibri"/>
          <w:sz w:val="24"/>
          <w:szCs w:val="24"/>
        </w:rPr>
      </w:pPr>
    </w:p>
    <w:p w14:paraId="2E5812BD" w14:textId="77777777" w:rsidR="0022543C" w:rsidRDefault="0022543C" w:rsidP="00F12682">
      <w:pPr>
        <w:rPr>
          <w:rFonts w:eastAsiaTheme="majorEastAsia" w:cstheme="minorHAnsi"/>
          <w:b/>
          <w:i/>
          <w:iCs/>
          <w:color w:val="2E74B5" w:themeColor="accent1" w:themeShade="BF"/>
          <w:sz w:val="24"/>
        </w:rPr>
      </w:pPr>
      <w:r>
        <w:rPr>
          <w:rFonts w:cstheme="minorHAnsi"/>
        </w:rPr>
        <w:br w:type="page"/>
      </w:r>
    </w:p>
    <w:p w14:paraId="666AAFBC" w14:textId="6916E4E5" w:rsidR="00035CA3" w:rsidRPr="00E51AB3" w:rsidRDefault="00035CA3" w:rsidP="00F12682">
      <w:pPr>
        <w:pStyle w:val="Titre4"/>
        <w:rPr>
          <w:rFonts w:asciiTheme="minorHAnsi" w:hAnsiTheme="minorHAnsi" w:cstheme="minorHAnsi"/>
        </w:rPr>
      </w:pPr>
      <w:r w:rsidRPr="00E51AB3">
        <w:rPr>
          <w:rFonts w:asciiTheme="minorHAnsi" w:hAnsiTheme="minorHAnsi" w:cstheme="minorHAnsi"/>
        </w:rPr>
        <w:lastRenderedPageBreak/>
        <w:t>Synthèses des forces et faiblesses, perspectives d’amélioration</w:t>
      </w:r>
    </w:p>
    <w:p w14:paraId="25E4B4F0" w14:textId="02E9C561" w:rsidR="00035CA3" w:rsidRPr="00E51AB3" w:rsidRDefault="00035CA3" w:rsidP="00F12682">
      <w:pPr>
        <w:spacing w:after="120" w:line="276" w:lineRule="auto"/>
        <w:jc w:val="both"/>
        <w:rPr>
          <w:rFonts w:ascii="Calibri" w:hAnsi="Calibri" w:cs="Calibri"/>
          <w:sz w:val="24"/>
          <w:szCs w:val="24"/>
        </w:rPr>
      </w:pPr>
      <w:r w:rsidRPr="00E51AB3">
        <w:rPr>
          <w:rFonts w:ascii="Calibri" w:hAnsi="Calibri" w:cs="Calibri"/>
          <w:sz w:val="24"/>
          <w:szCs w:val="24"/>
        </w:rPr>
        <w:t>Relativement à ce point, nous tirons, pour l’essentie</w:t>
      </w:r>
      <w:r w:rsidR="00E51AB3">
        <w:rPr>
          <w:rFonts w:ascii="Calibri" w:hAnsi="Calibri" w:cs="Calibri"/>
          <w:sz w:val="24"/>
          <w:szCs w:val="24"/>
        </w:rPr>
        <w:t>l, les enseignements suivants :</w:t>
      </w:r>
    </w:p>
    <w:p w14:paraId="51FE1568" w14:textId="36BE0B9D" w:rsidR="00035CA3" w:rsidRPr="00E51AB3" w:rsidRDefault="00035CA3" w:rsidP="00F12682">
      <w:pPr>
        <w:spacing w:after="120" w:line="276" w:lineRule="auto"/>
        <w:jc w:val="both"/>
        <w:rPr>
          <w:rFonts w:ascii="Calibri" w:hAnsi="Calibri" w:cs="Calibri"/>
          <w:sz w:val="24"/>
          <w:szCs w:val="24"/>
        </w:rPr>
      </w:pPr>
      <w:r w:rsidRPr="00E51AB3">
        <w:rPr>
          <w:rFonts w:ascii="Calibri" w:hAnsi="Calibri" w:cs="Calibri"/>
          <w:b/>
          <w:i/>
          <w:sz w:val="24"/>
          <w:szCs w:val="24"/>
          <w:u w:val="single"/>
        </w:rPr>
        <w:t>Points forts</w:t>
      </w:r>
      <w:r w:rsidRPr="00484A10">
        <w:rPr>
          <w:rFonts w:ascii="Calibri" w:hAnsi="Calibri" w:cs="Calibri"/>
          <w:b/>
          <w:i/>
          <w:sz w:val="24"/>
          <w:szCs w:val="24"/>
        </w:rPr>
        <w:t> :</w:t>
      </w:r>
    </w:p>
    <w:p w14:paraId="1B8815CB" w14:textId="4AC7D7AA" w:rsidR="00035CA3" w:rsidRPr="00E51AB3" w:rsidRDefault="00E51AB3" w:rsidP="00F12682">
      <w:pPr>
        <w:pStyle w:val="Paragraphedeliste"/>
        <w:numPr>
          <w:ilvl w:val="0"/>
          <w:numId w:val="20"/>
        </w:numPr>
        <w:spacing w:after="120" w:line="276" w:lineRule="auto"/>
        <w:ind w:left="567" w:hanging="207"/>
        <w:contextualSpacing w:val="0"/>
        <w:jc w:val="both"/>
        <w:rPr>
          <w:rFonts w:ascii="Calibri" w:hAnsi="Calibri" w:cs="Calibri"/>
          <w:sz w:val="24"/>
          <w:szCs w:val="24"/>
        </w:rPr>
      </w:pPr>
      <w:r w:rsidRPr="00E51AB3">
        <w:rPr>
          <w:rFonts w:ascii="Calibri" w:hAnsi="Calibri" w:cs="Calibri"/>
          <w:sz w:val="24"/>
          <w:szCs w:val="24"/>
          <w:u w:val="single"/>
        </w:rPr>
        <w:t xml:space="preserve">Longue </w:t>
      </w:r>
      <w:r w:rsidR="00035CA3" w:rsidRPr="00E51AB3">
        <w:rPr>
          <w:rFonts w:ascii="Calibri" w:hAnsi="Calibri" w:cs="Calibri"/>
          <w:sz w:val="24"/>
          <w:szCs w:val="24"/>
          <w:u w:val="single"/>
        </w:rPr>
        <w:t>culture en matière de planification et programmation</w:t>
      </w:r>
      <w:r w:rsidR="00035CA3" w:rsidRPr="00484A10">
        <w:rPr>
          <w:rFonts w:ascii="Calibri" w:hAnsi="Calibri" w:cs="Calibri"/>
          <w:sz w:val="24"/>
          <w:szCs w:val="24"/>
        </w:rPr>
        <w:t xml:space="preserve"> : </w:t>
      </w:r>
      <w:r w:rsidR="00035CA3" w:rsidRPr="00E51AB3">
        <w:rPr>
          <w:rFonts w:ascii="Calibri" w:hAnsi="Calibri" w:cs="Calibri"/>
          <w:sz w:val="24"/>
          <w:szCs w:val="24"/>
        </w:rPr>
        <w:t xml:space="preserve">le </w:t>
      </w:r>
      <w:r w:rsidR="00757CF6">
        <w:rPr>
          <w:rFonts w:ascii="Calibri" w:hAnsi="Calibri" w:cs="Calibri"/>
          <w:sz w:val="24"/>
          <w:szCs w:val="24"/>
        </w:rPr>
        <w:t xml:space="preserve">MHA </w:t>
      </w:r>
      <w:r w:rsidR="00035CA3" w:rsidRPr="00E51AB3">
        <w:rPr>
          <w:rFonts w:ascii="Calibri" w:hAnsi="Calibri" w:cs="Calibri"/>
          <w:sz w:val="24"/>
          <w:szCs w:val="24"/>
        </w:rPr>
        <w:t>faisait le budget programme depuis plusieurs années sur la base de politique et stratégies quinquennales qui sont régul</w:t>
      </w:r>
      <w:r>
        <w:rPr>
          <w:rFonts w:ascii="Calibri" w:hAnsi="Calibri" w:cs="Calibri"/>
          <w:sz w:val="24"/>
          <w:szCs w:val="24"/>
        </w:rPr>
        <w:t>ièrement adaptées au contexte ;</w:t>
      </w:r>
    </w:p>
    <w:p w14:paraId="4EB8CC82" w14:textId="51247F57" w:rsidR="00035CA3" w:rsidRPr="00E51AB3" w:rsidRDefault="00E51AB3" w:rsidP="00F12682">
      <w:pPr>
        <w:pStyle w:val="Paragraphedeliste"/>
        <w:numPr>
          <w:ilvl w:val="0"/>
          <w:numId w:val="20"/>
        </w:numPr>
        <w:spacing w:after="120" w:line="276" w:lineRule="auto"/>
        <w:ind w:left="567" w:hanging="207"/>
        <w:contextualSpacing w:val="0"/>
        <w:jc w:val="both"/>
        <w:rPr>
          <w:rFonts w:ascii="Calibri" w:hAnsi="Calibri" w:cs="Calibri"/>
          <w:sz w:val="24"/>
          <w:szCs w:val="24"/>
        </w:rPr>
      </w:pPr>
      <w:r w:rsidRPr="00E51AB3">
        <w:rPr>
          <w:rFonts w:ascii="Calibri" w:hAnsi="Calibri" w:cs="Calibri"/>
          <w:sz w:val="24"/>
          <w:szCs w:val="24"/>
          <w:u w:val="single"/>
        </w:rPr>
        <w:t xml:space="preserve">Esprit </w:t>
      </w:r>
      <w:r w:rsidR="00035CA3" w:rsidRPr="00E51AB3">
        <w:rPr>
          <w:rFonts w:ascii="Calibri" w:hAnsi="Calibri" w:cs="Calibri"/>
          <w:sz w:val="24"/>
          <w:szCs w:val="24"/>
          <w:u w:val="single"/>
        </w:rPr>
        <w:t xml:space="preserve">d’équipe au sein des structures du </w:t>
      </w:r>
      <w:r w:rsidR="00757CF6">
        <w:rPr>
          <w:rFonts w:ascii="Calibri" w:hAnsi="Calibri" w:cs="Calibri"/>
          <w:sz w:val="24"/>
          <w:szCs w:val="24"/>
          <w:u w:val="single"/>
        </w:rPr>
        <w:t xml:space="preserve">MHA </w:t>
      </w:r>
      <w:r w:rsidR="00035CA3" w:rsidRPr="00484A10">
        <w:rPr>
          <w:rFonts w:ascii="Calibri" w:hAnsi="Calibri" w:cs="Calibri"/>
          <w:sz w:val="24"/>
          <w:szCs w:val="24"/>
        </w:rPr>
        <w:t xml:space="preserve">: </w:t>
      </w:r>
      <w:r w:rsidR="00035CA3" w:rsidRPr="00E51AB3">
        <w:rPr>
          <w:rFonts w:ascii="Calibri" w:hAnsi="Calibri" w:cs="Calibri"/>
          <w:sz w:val="24"/>
          <w:szCs w:val="24"/>
        </w:rPr>
        <w:t>les services de la DEP, de la DMP/DSP et de la DRFM, sous la direction du Secrétaire Général, ont affiché un esprit de complémentarité dans un climat convivial ;</w:t>
      </w:r>
    </w:p>
    <w:p w14:paraId="228A872C" w14:textId="35BE7CC6" w:rsidR="00035CA3" w:rsidRPr="00E51AB3" w:rsidRDefault="00E51AB3" w:rsidP="00F12682">
      <w:pPr>
        <w:pStyle w:val="Paragraphedeliste"/>
        <w:numPr>
          <w:ilvl w:val="0"/>
          <w:numId w:val="20"/>
        </w:numPr>
        <w:spacing w:after="120" w:line="276" w:lineRule="auto"/>
        <w:ind w:left="567" w:hanging="207"/>
        <w:contextualSpacing w:val="0"/>
        <w:jc w:val="both"/>
        <w:rPr>
          <w:rFonts w:ascii="Calibri" w:hAnsi="Calibri" w:cs="Calibri"/>
          <w:sz w:val="24"/>
          <w:szCs w:val="24"/>
        </w:rPr>
      </w:pPr>
      <w:r w:rsidRPr="00E51AB3">
        <w:rPr>
          <w:rFonts w:ascii="Calibri" w:hAnsi="Calibri" w:cs="Calibri"/>
          <w:sz w:val="24"/>
          <w:szCs w:val="24"/>
          <w:u w:val="single"/>
        </w:rPr>
        <w:t xml:space="preserve">Anticipation </w:t>
      </w:r>
      <w:r w:rsidR="00035CA3" w:rsidRPr="00E51AB3">
        <w:rPr>
          <w:rFonts w:ascii="Calibri" w:hAnsi="Calibri" w:cs="Calibri"/>
          <w:sz w:val="24"/>
          <w:szCs w:val="24"/>
          <w:u w:val="single"/>
        </w:rPr>
        <w:t xml:space="preserve">et dynamisme des services du </w:t>
      </w:r>
      <w:r w:rsidR="00757CF6">
        <w:rPr>
          <w:rFonts w:ascii="Calibri" w:hAnsi="Calibri" w:cs="Calibri"/>
          <w:sz w:val="24"/>
          <w:szCs w:val="24"/>
          <w:u w:val="single"/>
        </w:rPr>
        <w:t xml:space="preserve">MHA </w:t>
      </w:r>
      <w:r w:rsidR="00035CA3" w:rsidRPr="00E51AB3">
        <w:rPr>
          <w:rFonts w:ascii="Calibri" w:hAnsi="Calibri" w:cs="Calibri"/>
          <w:sz w:val="24"/>
          <w:szCs w:val="24"/>
        </w:rPr>
        <w:t xml:space="preserve">qui </w:t>
      </w:r>
      <w:proofErr w:type="gramStart"/>
      <w:r w:rsidR="00035CA3" w:rsidRPr="00E51AB3">
        <w:rPr>
          <w:rFonts w:ascii="Calibri" w:hAnsi="Calibri" w:cs="Calibri"/>
          <w:sz w:val="24"/>
          <w:szCs w:val="24"/>
        </w:rPr>
        <w:t>interviennent</w:t>
      </w:r>
      <w:proofErr w:type="gramEnd"/>
      <w:r w:rsidR="00035CA3" w:rsidRPr="00E51AB3">
        <w:rPr>
          <w:rFonts w:ascii="Calibri" w:hAnsi="Calibri" w:cs="Calibri"/>
          <w:sz w:val="24"/>
          <w:szCs w:val="24"/>
        </w:rPr>
        <w:t xml:space="preserve"> dans l’exécution des dépenses du ministère ;</w:t>
      </w:r>
    </w:p>
    <w:p w14:paraId="377064B3" w14:textId="20456056" w:rsidR="00035CA3" w:rsidRPr="00E51AB3" w:rsidRDefault="00E51AB3" w:rsidP="00F12682">
      <w:pPr>
        <w:pStyle w:val="Paragraphedeliste"/>
        <w:numPr>
          <w:ilvl w:val="0"/>
          <w:numId w:val="20"/>
        </w:numPr>
        <w:spacing w:after="120" w:line="276" w:lineRule="auto"/>
        <w:ind w:left="567" w:hanging="207"/>
        <w:contextualSpacing w:val="0"/>
        <w:jc w:val="both"/>
        <w:rPr>
          <w:rFonts w:ascii="Calibri" w:hAnsi="Calibri" w:cs="Calibri"/>
          <w:sz w:val="24"/>
          <w:szCs w:val="24"/>
        </w:rPr>
      </w:pPr>
      <w:r w:rsidRPr="00E51AB3">
        <w:rPr>
          <w:rFonts w:ascii="Calibri" w:hAnsi="Calibri" w:cs="Calibri"/>
          <w:sz w:val="24"/>
          <w:szCs w:val="24"/>
          <w:u w:val="single"/>
        </w:rPr>
        <w:t xml:space="preserve">Précieux </w:t>
      </w:r>
      <w:r w:rsidR="00484A10">
        <w:rPr>
          <w:rFonts w:ascii="Calibri" w:hAnsi="Calibri" w:cs="Calibri"/>
          <w:sz w:val="24"/>
          <w:szCs w:val="24"/>
          <w:u w:val="single"/>
        </w:rPr>
        <w:t xml:space="preserve">apport des responsables du </w:t>
      </w:r>
      <w:r w:rsidR="00035CA3" w:rsidRPr="00E51AB3">
        <w:rPr>
          <w:rFonts w:ascii="Calibri" w:hAnsi="Calibri" w:cs="Calibri"/>
          <w:sz w:val="24"/>
          <w:szCs w:val="24"/>
          <w:u w:val="single"/>
        </w:rPr>
        <w:t>Haut-Commissariat à l’Initiative 3N</w:t>
      </w:r>
      <w:r w:rsidR="00035CA3" w:rsidRPr="00E51AB3">
        <w:rPr>
          <w:rFonts w:ascii="Calibri" w:hAnsi="Calibri" w:cs="Calibri"/>
          <w:sz w:val="24"/>
          <w:szCs w:val="24"/>
        </w:rPr>
        <w:t xml:space="preserve">, qui ont toujours soutenu le </w:t>
      </w:r>
      <w:r w:rsidR="00757CF6">
        <w:rPr>
          <w:rFonts w:ascii="Calibri" w:hAnsi="Calibri" w:cs="Calibri"/>
          <w:sz w:val="24"/>
          <w:szCs w:val="24"/>
        </w:rPr>
        <w:t xml:space="preserve">MHA </w:t>
      </w:r>
      <w:r w:rsidR="00035CA3" w:rsidRPr="00E51AB3">
        <w:rPr>
          <w:rFonts w:ascii="Calibri" w:hAnsi="Calibri" w:cs="Calibri"/>
          <w:sz w:val="24"/>
          <w:szCs w:val="24"/>
        </w:rPr>
        <w:t>à travers la mise à disposition d’assistance documentaire et technique en 2016, l’ayant permis de pouvo</w:t>
      </w:r>
      <w:r w:rsidR="00330913" w:rsidRPr="00E51AB3">
        <w:rPr>
          <w:rFonts w:ascii="Calibri" w:hAnsi="Calibri" w:cs="Calibri"/>
          <w:sz w:val="24"/>
          <w:szCs w:val="24"/>
        </w:rPr>
        <w:t>ir élaborer le DPPD 2017-2019.</w:t>
      </w:r>
    </w:p>
    <w:p w14:paraId="5D45CF70" w14:textId="77777777" w:rsidR="00E51AB3" w:rsidRPr="00E51AB3" w:rsidRDefault="00E51AB3" w:rsidP="00F12682">
      <w:pPr>
        <w:spacing w:after="120" w:line="276" w:lineRule="auto"/>
        <w:jc w:val="both"/>
        <w:rPr>
          <w:rFonts w:ascii="Calibri" w:eastAsiaTheme="majorEastAsia" w:hAnsi="Calibri" w:cs="Calibri"/>
          <w:iCs/>
          <w:sz w:val="24"/>
        </w:rPr>
      </w:pPr>
    </w:p>
    <w:p w14:paraId="6DD3E5F7" w14:textId="28D9632A" w:rsidR="00035CA3" w:rsidRDefault="00035CA3" w:rsidP="00F12682">
      <w:pPr>
        <w:spacing w:after="120" w:line="276" w:lineRule="auto"/>
        <w:jc w:val="both"/>
        <w:rPr>
          <w:rFonts w:ascii="Calibri" w:hAnsi="Calibri" w:cs="Calibri"/>
          <w:sz w:val="24"/>
          <w:szCs w:val="24"/>
        </w:rPr>
      </w:pPr>
      <w:r w:rsidRPr="00E51AB3">
        <w:rPr>
          <w:rFonts w:ascii="Calibri" w:hAnsi="Calibri" w:cs="Calibri"/>
          <w:b/>
          <w:i/>
          <w:sz w:val="24"/>
          <w:szCs w:val="24"/>
          <w:u w:val="single"/>
        </w:rPr>
        <w:t>Points à améliorer</w:t>
      </w:r>
      <w:r w:rsidRPr="00484A10">
        <w:rPr>
          <w:rFonts w:ascii="Calibri" w:hAnsi="Calibri" w:cs="Calibri"/>
          <w:b/>
          <w:i/>
          <w:sz w:val="24"/>
          <w:szCs w:val="24"/>
        </w:rPr>
        <w:t xml:space="preserve"> :</w:t>
      </w:r>
    </w:p>
    <w:p w14:paraId="0D729908" w14:textId="6F8031F6" w:rsidR="00C15E23" w:rsidRPr="00C15E23" w:rsidRDefault="00C15E23" w:rsidP="00F12682">
      <w:pPr>
        <w:pStyle w:val="Paragraphedeliste"/>
        <w:numPr>
          <w:ilvl w:val="0"/>
          <w:numId w:val="20"/>
        </w:numPr>
        <w:spacing w:after="120" w:line="276" w:lineRule="auto"/>
        <w:ind w:left="567" w:hanging="207"/>
        <w:contextualSpacing w:val="0"/>
        <w:jc w:val="both"/>
        <w:rPr>
          <w:rFonts w:ascii="Calibri" w:hAnsi="Calibri" w:cs="Calibri"/>
          <w:sz w:val="24"/>
          <w:szCs w:val="24"/>
        </w:rPr>
      </w:pPr>
      <w:r w:rsidRPr="00C15E23">
        <w:rPr>
          <w:rFonts w:ascii="Calibri" w:hAnsi="Calibri" w:cs="Calibri"/>
          <w:sz w:val="24"/>
          <w:szCs w:val="24"/>
        </w:rPr>
        <w:t xml:space="preserve">restrictions budgétaires liées aux libérations tardives des crédits, gel et coupes des crédits : à l’instar des autres ministères le </w:t>
      </w:r>
      <w:r w:rsidR="00757CF6">
        <w:rPr>
          <w:rFonts w:ascii="Calibri" w:hAnsi="Calibri" w:cs="Calibri"/>
          <w:sz w:val="24"/>
          <w:szCs w:val="24"/>
        </w:rPr>
        <w:t xml:space="preserve">MHA </w:t>
      </w:r>
      <w:r w:rsidRPr="00C15E23">
        <w:rPr>
          <w:rFonts w:ascii="Calibri" w:hAnsi="Calibri" w:cs="Calibri"/>
          <w:sz w:val="24"/>
          <w:szCs w:val="24"/>
        </w:rPr>
        <w:t xml:space="preserve">faisait a souffert de la régulation budgétaire en 2016 ; </w:t>
      </w:r>
    </w:p>
    <w:p w14:paraId="118D72BD" w14:textId="77777777" w:rsidR="00E51AB3" w:rsidRPr="00E51AB3" w:rsidRDefault="00E51AB3" w:rsidP="00F12682">
      <w:pPr>
        <w:spacing w:after="120" w:line="276" w:lineRule="auto"/>
        <w:jc w:val="both"/>
        <w:rPr>
          <w:rFonts w:ascii="Calibri" w:eastAsiaTheme="majorEastAsia" w:hAnsi="Calibri" w:cs="Calibri"/>
          <w:iCs/>
          <w:sz w:val="24"/>
        </w:rPr>
      </w:pPr>
    </w:p>
    <w:p w14:paraId="752A24BF" w14:textId="230F9BD1" w:rsidR="00035CA3" w:rsidRDefault="00035CA3" w:rsidP="00F12682">
      <w:pPr>
        <w:spacing w:after="120" w:line="276" w:lineRule="auto"/>
        <w:jc w:val="both"/>
        <w:rPr>
          <w:rFonts w:ascii="Calibri" w:hAnsi="Calibri" w:cs="Calibri"/>
          <w:sz w:val="24"/>
          <w:szCs w:val="24"/>
        </w:rPr>
      </w:pPr>
      <w:r w:rsidRPr="00E51AB3">
        <w:rPr>
          <w:rFonts w:ascii="Calibri" w:hAnsi="Calibri" w:cs="Calibri"/>
          <w:b/>
          <w:i/>
          <w:sz w:val="24"/>
          <w:szCs w:val="24"/>
          <w:u w:val="single"/>
        </w:rPr>
        <w:t>Perspectives d’amélioration</w:t>
      </w:r>
      <w:r w:rsidRPr="00484A10">
        <w:rPr>
          <w:rFonts w:ascii="Calibri" w:hAnsi="Calibri" w:cs="Calibri"/>
          <w:b/>
          <w:i/>
          <w:sz w:val="24"/>
          <w:szCs w:val="24"/>
        </w:rPr>
        <w:t xml:space="preserve"> :</w:t>
      </w:r>
    </w:p>
    <w:p w14:paraId="5AA44561" w14:textId="4B1295F4" w:rsidR="00E51AB3" w:rsidRPr="00C15E23" w:rsidRDefault="00C15E23" w:rsidP="00F12682">
      <w:pPr>
        <w:pStyle w:val="Paragraphedeliste"/>
        <w:numPr>
          <w:ilvl w:val="0"/>
          <w:numId w:val="20"/>
        </w:numPr>
        <w:spacing w:after="120" w:line="276" w:lineRule="auto"/>
        <w:ind w:left="567" w:hanging="207"/>
        <w:contextualSpacing w:val="0"/>
        <w:jc w:val="both"/>
        <w:rPr>
          <w:rFonts w:ascii="Calibri" w:hAnsi="Calibri" w:cs="Calibri"/>
          <w:sz w:val="24"/>
          <w:szCs w:val="24"/>
        </w:rPr>
      </w:pPr>
      <w:r w:rsidRPr="00C15E23">
        <w:rPr>
          <w:rFonts w:ascii="Calibri" w:hAnsi="Calibri" w:cs="Calibri"/>
          <w:sz w:val="24"/>
          <w:szCs w:val="24"/>
        </w:rPr>
        <w:t>L’avènement du budget programme pourrait entrainer plus de réalisme dans la préparation du budget et des souplesses dans la consommation des crédits.</w:t>
      </w:r>
    </w:p>
    <w:p w14:paraId="482D5908" w14:textId="77777777" w:rsidR="00035CA3" w:rsidRDefault="00035CA3" w:rsidP="00F12682">
      <w:pPr>
        <w:spacing w:after="120" w:line="276" w:lineRule="auto"/>
        <w:jc w:val="both"/>
        <w:rPr>
          <w:rFonts w:ascii="Calibri" w:eastAsiaTheme="majorEastAsia" w:hAnsi="Calibri" w:cs="Calibri"/>
          <w:iCs/>
          <w:sz w:val="24"/>
        </w:rPr>
      </w:pPr>
    </w:p>
    <w:p w14:paraId="75AB6CCE" w14:textId="77777777" w:rsidR="00C21B85" w:rsidRPr="00E51AB3" w:rsidRDefault="00C21B85" w:rsidP="00F12682">
      <w:pPr>
        <w:spacing w:after="120" w:line="276" w:lineRule="auto"/>
        <w:jc w:val="both"/>
        <w:rPr>
          <w:rFonts w:ascii="Calibri" w:eastAsiaTheme="majorEastAsia" w:hAnsi="Calibri" w:cs="Calibri"/>
          <w:iCs/>
          <w:sz w:val="24"/>
        </w:rPr>
      </w:pPr>
    </w:p>
    <w:p w14:paraId="67F79EFA" w14:textId="6CBC6E9C" w:rsidR="00361D61" w:rsidRPr="004A5122" w:rsidRDefault="00484A10" w:rsidP="00F12682">
      <w:pPr>
        <w:pStyle w:val="Titre3"/>
        <w:numPr>
          <w:ilvl w:val="2"/>
          <w:numId w:val="3"/>
        </w:numPr>
        <w:rPr>
          <w:rFonts w:asciiTheme="minorHAnsi" w:hAnsiTheme="minorHAnsi" w:cstheme="minorHAnsi"/>
        </w:rPr>
      </w:pPr>
      <w:bookmarkStart w:id="146" w:name="_Toc529305035"/>
      <w:r>
        <w:rPr>
          <w:rFonts w:asciiTheme="minorHAnsi" w:hAnsiTheme="minorHAnsi" w:cstheme="minorHAnsi"/>
        </w:rPr>
        <w:t xml:space="preserve">Ministère du </w:t>
      </w:r>
      <w:r w:rsidR="00361D61" w:rsidRPr="004A5122">
        <w:rPr>
          <w:rFonts w:asciiTheme="minorHAnsi" w:hAnsiTheme="minorHAnsi" w:cstheme="minorHAnsi"/>
        </w:rPr>
        <w:t>Commerce</w:t>
      </w:r>
      <w:r>
        <w:rPr>
          <w:rFonts w:asciiTheme="minorHAnsi" w:hAnsiTheme="minorHAnsi" w:cstheme="minorHAnsi"/>
        </w:rPr>
        <w:t xml:space="preserve"> et de la Promotion du Secteur Privé (MC/PSP)</w:t>
      </w:r>
      <w:bookmarkEnd w:id="146"/>
    </w:p>
    <w:p w14:paraId="2C385397" w14:textId="77777777" w:rsidR="00FB2347" w:rsidRDefault="00FB2347" w:rsidP="00F12682">
      <w:pPr>
        <w:pStyle w:val="Titre4"/>
        <w:rPr>
          <w:rFonts w:asciiTheme="minorHAnsi" w:hAnsiTheme="minorHAnsi" w:cstheme="minorHAnsi"/>
        </w:rPr>
      </w:pPr>
      <w:r w:rsidRPr="004A5122">
        <w:rPr>
          <w:rFonts w:asciiTheme="minorHAnsi" w:hAnsiTheme="minorHAnsi" w:cstheme="minorHAnsi"/>
        </w:rPr>
        <w:t>Analyse de l’évolution et de la pertinence des allocations budgétaires du secteur (financement global) par rapport aux priorités</w:t>
      </w:r>
    </w:p>
    <w:p w14:paraId="01B2B7C0" w14:textId="77777777" w:rsidR="00942A9B" w:rsidRDefault="00957DC3" w:rsidP="00F12682">
      <w:pPr>
        <w:spacing w:after="120" w:line="276" w:lineRule="auto"/>
        <w:jc w:val="both"/>
        <w:rPr>
          <w:rFonts w:ascii="Calibri" w:eastAsiaTheme="majorEastAsia" w:hAnsi="Calibri" w:cs="Calibri"/>
          <w:iCs/>
          <w:sz w:val="24"/>
        </w:rPr>
      </w:pPr>
      <w:r w:rsidRPr="00957DC3">
        <w:rPr>
          <w:rFonts w:ascii="Calibri" w:eastAsiaTheme="majorEastAsia" w:hAnsi="Calibri" w:cs="Calibri"/>
          <w:iCs/>
          <w:sz w:val="24"/>
        </w:rPr>
        <w:t>Au cours des années 2012 à 2016, le budget du MC/PSP a connu une évolution</w:t>
      </w:r>
      <w:r w:rsidR="00942A9B">
        <w:rPr>
          <w:rFonts w:ascii="Calibri" w:eastAsiaTheme="majorEastAsia" w:hAnsi="Calibri" w:cs="Calibri"/>
          <w:iCs/>
          <w:sz w:val="24"/>
        </w:rPr>
        <w:t>.</w:t>
      </w:r>
      <w:r w:rsidRPr="00957DC3">
        <w:rPr>
          <w:rFonts w:ascii="Calibri" w:eastAsiaTheme="majorEastAsia" w:hAnsi="Calibri" w:cs="Calibri"/>
          <w:iCs/>
          <w:sz w:val="24"/>
        </w:rPr>
        <w:t xml:space="preserve"> </w:t>
      </w:r>
      <w:r w:rsidR="00942A9B" w:rsidRPr="00957DC3">
        <w:rPr>
          <w:rFonts w:ascii="Calibri" w:eastAsiaTheme="majorEastAsia" w:hAnsi="Calibri" w:cs="Calibri"/>
          <w:iCs/>
          <w:sz w:val="24"/>
        </w:rPr>
        <w:t>Il</w:t>
      </w:r>
      <w:r w:rsidR="00942A9B">
        <w:rPr>
          <w:rFonts w:ascii="Calibri" w:eastAsiaTheme="majorEastAsia" w:hAnsi="Calibri" w:cs="Calibri"/>
          <w:iCs/>
          <w:sz w:val="24"/>
        </w:rPr>
        <w:t xml:space="preserve"> </w:t>
      </w:r>
      <w:r w:rsidR="00942A9B" w:rsidRPr="00957DC3">
        <w:rPr>
          <w:rFonts w:ascii="Calibri" w:eastAsiaTheme="majorEastAsia" w:hAnsi="Calibri" w:cs="Calibri"/>
          <w:iCs/>
          <w:sz w:val="24"/>
        </w:rPr>
        <w:t>ressort que le budget du MC/PSP a connu un ryt</w:t>
      </w:r>
      <w:r w:rsidR="00942A9B">
        <w:rPr>
          <w:rFonts w:ascii="Calibri" w:eastAsiaTheme="majorEastAsia" w:hAnsi="Calibri" w:cs="Calibri"/>
          <w:iCs/>
          <w:sz w:val="24"/>
        </w:rPr>
        <w:t>hme moyen de progression de 5%.</w:t>
      </w:r>
    </w:p>
    <w:p w14:paraId="745DA148" w14:textId="77777777" w:rsidR="00E51AB3" w:rsidRPr="00E51AB3" w:rsidRDefault="00E51AB3" w:rsidP="00F12682">
      <w:pPr>
        <w:spacing w:after="120" w:line="276" w:lineRule="auto"/>
        <w:jc w:val="both"/>
        <w:rPr>
          <w:rFonts w:ascii="Calibri" w:eastAsiaTheme="majorEastAsia" w:hAnsi="Calibri" w:cs="Calibri"/>
          <w:iCs/>
          <w:sz w:val="24"/>
        </w:rPr>
      </w:pPr>
    </w:p>
    <w:p w14:paraId="57F58BA2" w14:textId="77777777" w:rsidR="00752577" w:rsidRDefault="00752577" w:rsidP="00F12682">
      <w:pPr>
        <w:pStyle w:val="Titre4"/>
        <w:rPr>
          <w:rFonts w:asciiTheme="minorHAnsi" w:hAnsiTheme="minorHAnsi" w:cstheme="minorHAnsi"/>
        </w:rPr>
      </w:pPr>
      <w:r w:rsidRPr="004A5122">
        <w:rPr>
          <w:rFonts w:asciiTheme="minorHAnsi" w:hAnsiTheme="minorHAnsi" w:cstheme="minorHAnsi"/>
        </w:rPr>
        <w:t>Analyse de l’exécution des dépenses par rapports aux prévisions</w:t>
      </w:r>
    </w:p>
    <w:p w14:paraId="3D90F553" w14:textId="77777777" w:rsidR="00041080" w:rsidRDefault="00041080" w:rsidP="00F12682">
      <w:pPr>
        <w:spacing w:after="120" w:line="276" w:lineRule="auto"/>
        <w:jc w:val="both"/>
        <w:rPr>
          <w:rFonts w:ascii="Calibri" w:eastAsiaTheme="majorEastAsia" w:hAnsi="Calibri" w:cs="Calibri"/>
          <w:iCs/>
          <w:sz w:val="24"/>
        </w:rPr>
      </w:pPr>
      <w:r w:rsidRPr="005112E8">
        <w:rPr>
          <w:rFonts w:ascii="Calibri" w:eastAsiaTheme="majorEastAsia" w:hAnsi="Calibri" w:cs="Calibri"/>
          <w:iCs/>
          <w:sz w:val="24"/>
        </w:rPr>
        <w:t>Au titre de l’année 2016, l’exécution du budget du MC/PSP se présente selon le tableau qui suit :</w:t>
      </w:r>
    </w:p>
    <w:p w14:paraId="03D3A592" w14:textId="77777777" w:rsidR="0022543C" w:rsidRDefault="0022543C" w:rsidP="00F12682">
      <w:pPr>
        <w:spacing w:after="120" w:line="276" w:lineRule="auto"/>
        <w:jc w:val="both"/>
        <w:rPr>
          <w:rFonts w:ascii="Calibri" w:eastAsiaTheme="majorEastAsia" w:hAnsi="Calibri" w:cs="Calibri"/>
          <w:iCs/>
          <w:sz w:val="24"/>
        </w:rPr>
      </w:pPr>
    </w:p>
    <w:p w14:paraId="69837B66" w14:textId="77777777" w:rsidR="0022543C" w:rsidRPr="005112E8" w:rsidRDefault="0022543C" w:rsidP="00F12682">
      <w:pPr>
        <w:spacing w:after="120" w:line="276" w:lineRule="auto"/>
        <w:jc w:val="both"/>
        <w:rPr>
          <w:rFonts w:ascii="Calibri" w:eastAsiaTheme="majorEastAsia" w:hAnsi="Calibri" w:cs="Calibri"/>
          <w:iCs/>
          <w:sz w:val="24"/>
        </w:rPr>
      </w:pPr>
    </w:p>
    <w:p w14:paraId="7D204212" w14:textId="77777777" w:rsidR="00041080" w:rsidRPr="00855DFA" w:rsidRDefault="00041080" w:rsidP="00F12682">
      <w:pPr>
        <w:pStyle w:val="Lgende"/>
        <w:rPr>
          <w:rFonts w:eastAsiaTheme="majorEastAsia" w:cs="Calibri"/>
          <w:iCs w:val="0"/>
        </w:rPr>
      </w:pPr>
      <w:bookmarkStart w:id="147" w:name="_Toc529305084"/>
      <w:r>
        <w:lastRenderedPageBreak/>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30</w:t>
      </w:r>
      <w:r w:rsidR="00A773EB">
        <w:rPr>
          <w:noProof/>
        </w:rPr>
        <w:fldChar w:fldCharType="end"/>
      </w:r>
      <w:r w:rsidRPr="00855DFA">
        <w:rPr>
          <w:rFonts w:eastAsiaTheme="majorEastAsia" w:cs="Calibri"/>
          <w:iCs w:val="0"/>
        </w:rPr>
        <w:t> : Etat d’exécution des crédits alloués au MC/PSP en 2016</w:t>
      </w:r>
      <w:bookmarkEnd w:id="147"/>
    </w:p>
    <w:tbl>
      <w:tblPr>
        <w:tblStyle w:val="Grilledutableau"/>
        <w:tblW w:w="5000" w:type="pct"/>
        <w:tblLook w:val="04A0" w:firstRow="1" w:lastRow="0" w:firstColumn="1" w:lastColumn="0" w:noHBand="0" w:noVBand="1"/>
      </w:tblPr>
      <w:tblGrid>
        <w:gridCol w:w="2684"/>
        <w:gridCol w:w="2293"/>
        <w:gridCol w:w="2363"/>
        <w:gridCol w:w="2288"/>
      </w:tblGrid>
      <w:tr w:rsidR="00CD7123" w:rsidRPr="00522678" w14:paraId="25D7974D" w14:textId="77777777" w:rsidTr="008269D4">
        <w:tc>
          <w:tcPr>
            <w:tcW w:w="1394" w:type="pct"/>
            <w:shd w:val="clear" w:color="auto" w:fill="D9D9D9" w:themeFill="background1" w:themeFillShade="D9"/>
            <w:vAlign w:val="center"/>
          </w:tcPr>
          <w:p w14:paraId="5993B355" w14:textId="77777777" w:rsidR="00CD7123" w:rsidRPr="00522678" w:rsidRDefault="00CD7123" w:rsidP="00F12682">
            <w:pPr>
              <w:jc w:val="center"/>
              <w:rPr>
                <w:b/>
                <w:sz w:val="20"/>
              </w:rPr>
            </w:pPr>
            <w:r w:rsidRPr="00522678">
              <w:rPr>
                <w:b/>
                <w:sz w:val="20"/>
              </w:rPr>
              <w:t>Désignations</w:t>
            </w:r>
          </w:p>
        </w:tc>
        <w:tc>
          <w:tcPr>
            <w:tcW w:w="1191" w:type="pct"/>
            <w:shd w:val="clear" w:color="auto" w:fill="D9D9D9" w:themeFill="background1" w:themeFillShade="D9"/>
            <w:vAlign w:val="center"/>
          </w:tcPr>
          <w:p w14:paraId="1253BB65" w14:textId="77777777" w:rsidR="00CD7123" w:rsidRPr="00522678" w:rsidRDefault="00CD7123" w:rsidP="00F12682">
            <w:pPr>
              <w:jc w:val="center"/>
              <w:rPr>
                <w:b/>
                <w:sz w:val="20"/>
              </w:rPr>
            </w:pPr>
            <w:r w:rsidRPr="00522678">
              <w:rPr>
                <w:b/>
                <w:sz w:val="20"/>
              </w:rPr>
              <w:t>Crédits votés</w:t>
            </w:r>
          </w:p>
        </w:tc>
        <w:tc>
          <w:tcPr>
            <w:tcW w:w="1227" w:type="pct"/>
            <w:shd w:val="clear" w:color="auto" w:fill="D9D9D9" w:themeFill="background1" w:themeFillShade="D9"/>
            <w:vAlign w:val="center"/>
          </w:tcPr>
          <w:p w14:paraId="4E20070B" w14:textId="77777777" w:rsidR="00CD7123" w:rsidRPr="00522678" w:rsidRDefault="00CD7123" w:rsidP="00F12682">
            <w:pPr>
              <w:jc w:val="center"/>
              <w:rPr>
                <w:b/>
                <w:sz w:val="20"/>
              </w:rPr>
            </w:pPr>
            <w:r w:rsidRPr="00522678">
              <w:rPr>
                <w:b/>
                <w:sz w:val="20"/>
              </w:rPr>
              <w:t>Crédits consommés</w:t>
            </w:r>
          </w:p>
        </w:tc>
        <w:tc>
          <w:tcPr>
            <w:tcW w:w="1188" w:type="pct"/>
            <w:shd w:val="clear" w:color="auto" w:fill="D9D9D9" w:themeFill="background1" w:themeFillShade="D9"/>
            <w:vAlign w:val="center"/>
          </w:tcPr>
          <w:p w14:paraId="3DBB207D" w14:textId="77777777" w:rsidR="00CD7123" w:rsidRPr="00522678" w:rsidRDefault="00CD7123" w:rsidP="00F12682">
            <w:pPr>
              <w:jc w:val="center"/>
              <w:rPr>
                <w:b/>
                <w:sz w:val="20"/>
              </w:rPr>
            </w:pPr>
            <w:r w:rsidRPr="00522678">
              <w:rPr>
                <w:b/>
                <w:sz w:val="20"/>
              </w:rPr>
              <w:t>Taux de consommation</w:t>
            </w:r>
          </w:p>
        </w:tc>
      </w:tr>
      <w:tr w:rsidR="00CD7123" w14:paraId="19B58490" w14:textId="77777777" w:rsidTr="008269D4">
        <w:tc>
          <w:tcPr>
            <w:tcW w:w="1394" w:type="pct"/>
          </w:tcPr>
          <w:p w14:paraId="5AD42C61" w14:textId="77777777" w:rsidR="00CD7123" w:rsidRPr="005112E8" w:rsidRDefault="00CD7123" w:rsidP="00F12682">
            <w:r w:rsidRPr="005112E8">
              <w:t>Personnel</w:t>
            </w:r>
          </w:p>
        </w:tc>
        <w:tc>
          <w:tcPr>
            <w:tcW w:w="1191" w:type="pct"/>
          </w:tcPr>
          <w:p w14:paraId="18B7630D" w14:textId="5412138B" w:rsidR="00CD7123" w:rsidRPr="009B7EC7" w:rsidRDefault="00CD7123" w:rsidP="00F12682">
            <w:pPr>
              <w:jc w:val="right"/>
            </w:pPr>
            <w:r>
              <w:t>870 469 741</w:t>
            </w:r>
          </w:p>
        </w:tc>
        <w:tc>
          <w:tcPr>
            <w:tcW w:w="1227" w:type="pct"/>
          </w:tcPr>
          <w:p w14:paraId="477FE3C8" w14:textId="7E47CB91" w:rsidR="00CD7123" w:rsidRPr="009B7EC7" w:rsidRDefault="00CD7123" w:rsidP="00F12682">
            <w:pPr>
              <w:jc w:val="right"/>
            </w:pPr>
            <w:r>
              <w:t>870 469 741</w:t>
            </w:r>
          </w:p>
        </w:tc>
        <w:tc>
          <w:tcPr>
            <w:tcW w:w="1188" w:type="pct"/>
          </w:tcPr>
          <w:p w14:paraId="105251BE" w14:textId="235962A7" w:rsidR="00CD7123" w:rsidRPr="009B7EC7" w:rsidRDefault="00CD7123" w:rsidP="00F12682">
            <w:pPr>
              <w:jc w:val="center"/>
            </w:pPr>
            <w:r>
              <w:t>100%</w:t>
            </w:r>
          </w:p>
        </w:tc>
      </w:tr>
      <w:tr w:rsidR="00CD7123" w14:paraId="79167C0E" w14:textId="77777777" w:rsidTr="008269D4">
        <w:tc>
          <w:tcPr>
            <w:tcW w:w="1394" w:type="pct"/>
          </w:tcPr>
          <w:p w14:paraId="63AB5962" w14:textId="77777777" w:rsidR="00CD7123" w:rsidRPr="005112E8" w:rsidRDefault="00CD7123" w:rsidP="00F12682">
            <w:r w:rsidRPr="005112E8">
              <w:t>Fonctionnement</w:t>
            </w:r>
          </w:p>
        </w:tc>
        <w:tc>
          <w:tcPr>
            <w:tcW w:w="1191" w:type="pct"/>
          </w:tcPr>
          <w:p w14:paraId="3F90F2F9" w14:textId="70AE014C" w:rsidR="00CD7123" w:rsidRDefault="00CD7123" w:rsidP="00F12682">
            <w:pPr>
              <w:jc w:val="right"/>
            </w:pPr>
            <w:r>
              <w:t>356 698 079</w:t>
            </w:r>
          </w:p>
        </w:tc>
        <w:tc>
          <w:tcPr>
            <w:tcW w:w="1227" w:type="pct"/>
          </w:tcPr>
          <w:p w14:paraId="6578F6A3" w14:textId="1F6FB88D" w:rsidR="00CD7123" w:rsidRDefault="00CD7123" w:rsidP="00F12682">
            <w:pPr>
              <w:jc w:val="right"/>
            </w:pPr>
            <w:r>
              <w:t>232 041 796</w:t>
            </w:r>
          </w:p>
        </w:tc>
        <w:tc>
          <w:tcPr>
            <w:tcW w:w="1188" w:type="pct"/>
          </w:tcPr>
          <w:p w14:paraId="6C9AB35D" w14:textId="1C07BC23" w:rsidR="00CD7123" w:rsidRDefault="00CD7123" w:rsidP="00F12682">
            <w:pPr>
              <w:jc w:val="center"/>
            </w:pPr>
            <w:r>
              <w:t>65%</w:t>
            </w:r>
          </w:p>
        </w:tc>
      </w:tr>
      <w:tr w:rsidR="00CD7123" w14:paraId="1A694F9C" w14:textId="77777777" w:rsidTr="008269D4">
        <w:tc>
          <w:tcPr>
            <w:tcW w:w="1394" w:type="pct"/>
          </w:tcPr>
          <w:p w14:paraId="6EA21B78" w14:textId="77777777" w:rsidR="00CD7123" w:rsidRPr="005112E8" w:rsidRDefault="00CD7123" w:rsidP="00F12682">
            <w:r w:rsidRPr="005112E8">
              <w:t xml:space="preserve">Transferts &amp; </w:t>
            </w:r>
            <w:proofErr w:type="spellStart"/>
            <w:r w:rsidRPr="005112E8">
              <w:t>Sub</w:t>
            </w:r>
            <w:proofErr w:type="spellEnd"/>
            <w:r w:rsidRPr="005112E8">
              <w:t>.</w:t>
            </w:r>
          </w:p>
        </w:tc>
        <w:tc>
          <w:tcPr>
            <w:tcW w:w="1191" w:type="pct"/>
          </w:tcPr>
          <w:p w14:paraId="5C04CA7F" w14:textId="179181E5" w:rsidR="00CD7123" w:rsidRDefault="00CD7123" w:rsidP="00F12682">
            <w:pPr>
              <w:jc w:val="right"/>
            </w:pPr>
            <w:r>
              <w:t>774 722 176</w:t>
            </w:r>
          </w:p>
        </w:tc>
        <w:tc>
          <w:tcPr>
            <w:tcW w:w="1227" w:type="pct"/>
          </w:tcPr>
          <w:p w14:paraId="306D9B5B" w14:textId="78848B55" w:rsidR="00CD7123" w:rsidRDefault="00CD7123" w:rsidP="00F12682">
            <w:pPr>
              <w:jc w:val="right"/>
            </w:pPr>
            <w:r>
              <w:t>757 329 862</w:t>
            </w:r>
          </w:p>
        </w:tc>
        <w:tc>
          <w:tcPr>
            <w:tcW w:w="1188" w:type="pct"/>
          </w:tcPr>
          <w:p w14:paraId="77EDBAA9" w14:textId="0FE245C0" w:rsidR="00CD7123" w:rsidRDefault="00CD7123" w:rsidP="00F12682">
            <w:pPr>
              <w:jc w:val="center"/>
            </w:pPr>
            <w:r>
              <w:t>98%</w:t>
            </w:r>
          </w:p>
        </w:tc>
      </w:tr>
      <w:tr w:rsidR="00CD7123" w14:paraId="17487EF1" w14:textId="77777777" w:rsidTr="008269D4">
        <w:tc>
          <w:tcPr>
            <w:tcW w:w="1394" w:type="pct"/>
          </w:tcPr>
          <w:p w14:paraId="551FD888" w14:textId="77777777" w:rsidR="00CD7123" w:rsidRPr="005112E8" w:rsidRDefault="00CD7123" w:rsidP="00F12682">
            <w:r w:rsidRPr="005112E8">
              <w:t>Investissement</w:t>
            </w:r>
          </w:p>
        </w:tc>
        <w:tc>
          <w:tcPr>
            <w:tcW w:w="1191" w:type="pct"/>
          </w:tcPr>
          <w:p w14:paraId="41C2B079" w14:textId="22F79643" w:rsidR="00CD7123" w:rsidRPr="009B7EC7" w:rsidRDefault="00CD7123" w:rsidP="00F12682">
            <w:pPr>
              <w:jc w:val="right"/>
            </w:pPr>
            <w:r>
              <w:t>8 728 645 150</w:t>
            </w:r>
          </w:p>
        </w:tc>
        <w:tc>
          <w:tcPr>
            <w:tcW w:w="1227" w:type="pct"/>
          </w:tcPr>
          <w:p w14:paraId="3CDC7E62" w14:textId="39478B29" w:rsidR="00CD7123" w:rsidRPr="009B7EC7" w:rsidRDefault="00CD7123" w:rsidP="00F12682">
            <w:pPr>
              <w:jc w:val="right"/>
            </w:pPr>
            <w:r>
              <w:t>6 711 555 328</w:t>
            </w:r>
          </w:p>
        </w:tc>
        <w:tc>
          <w:tcPr>
            <w:tcW w:w="1188" w:type="pct"/>
          </w:tcPr>
          <w:p w14:paraId="71E95C53" w14:textId="08B26AB5" w:rsidR="00CD7123" w:rsidRPr="009B7EC7" w:rsidRDefault="00CD7123" w:rsidP="00F12682">
            <w:pPr>
              <w:jc w:val="center"/>
            </w:pPr>
            <w:r>
              <w:t>77%</w:t>
            </w:r>
          </w:p>
        </w:tc>
      </w:tr>
      <w:tr w:rsidR="00CD7123" w14:paraId="29A2B237" w14:textId="77777777" w:rsidTr="008269D4">
        <w:tc>
          <w:tcPr>
            <w:tcW w:w="1394" w:type="pct"/>
            <w:shd w:val="clear" w:color="auto" w:fill="F2F2F2" w:themeFill="background1" w:themeFillShade="F2"/>
          </w:tcPr>
          <w:p w14:paraId="533AB36C" w14:textId="77777777" w:rsidR="00CD7123" w:rsidRPr="009B7EC7" w:rsidRDefault="00CD7123" w:rsidP="00F12682">
            <w:pPr>
              <w:jc w:val="center"/>
              <w:rPr>
                <w:b/>
              </w:rPr>
            </w:pPr>
            <w:r w:rsidRPr="009B7EC7">
              <w:rPr>
                <w:b/>
              </w:rPr>
              <w:t>Totaux</w:t>
            </w:r>
          </w:p>
        </w:tc>
        <w:tc>
          <w:tcPr>
            <w:tcW w:w="1191" w:type="pct"/>
            <w:shd w:val="clear" w:color="auto" w:fill="F2F2F2" w:themeFill="background1" w:themeFillShade="F2"/>
          </w:tcPr>
          <w:p w14:paraId="0E022834" w14:textId="02340142" w:rsidR="00CD7123" w:rsidRPr="009B7EC7" w:rsidRDefault="00CD7123" w:rsidP="00F12682">
            <w:pPr>
              <w:jc w:val="right"/>
              <w:rPr>
                <w:b/>
              </w:rPr>
            </w:pPr>
            <w:r>
              <w:rPr>
                <w:b/>
              </w:rPr>
              <w:t>10 730 535 146</w:t>
            </w:r>
          </w:p>
        </w:tc>
        <w:tc>
          <w:tcPr>
            <w:tcW w:w="1227" w:type="pct"/>
            <w:shd w:val="clear" w:color="auto" w:fill="F2F2F2" w:themeFill="background1" w:themeFillShade="F2"/>
          </w:tcPr>
          <w:p w14:paraId="6D0F6395" w14:textId="5B4220D1" w:rsidR="00CD7123" w:rsidRPr="009B7EC7" w:rsidRDefault="00CD7123" w:rsidP="00F12682">
            <w:pPr>
              <w:jc w:val="right"/>
              <w:rPr>
                <w:b/>
              </w:rPr>
            </w:pPr>
            <w:r>
              <w:rPr>
                <w:b/>
              </w:rPr>
              <w:t>8 292 257 779</w:t>
            </w:r>
          </w:p>
        </w:tc>
        <w:tc>
          <w:tcPr>
            <w:tcW w:w="1188" w:type="pct"/>
            <w:shd w:val="clear" w:color="auto" w:fill="F2F2F2" w:themeFill="background1" w:themeFillShade="F2"/>
          </w:tcPr>
          <w:p w14:paraId="026C4544" w14:textId="12F1E0AC" w:rsidR="00CD7123" w:rsidRPr="009B7EC7" w:rsidRDefault="00CD7123" w:rsidP="00F12682">
            <w:pPr>
              <w:jc w:val="center"/>
              <w:rPr>
                <w:b/>
              </w:rPr>
            </w:pPr>
            <w:r>
              <w:rPr>
                <w:b/>
              </w:rPr>
              <w:t>80%</w:t>
            </w:r>
          </w:p>
        </w:tc>
      </w:tr>
    </w:tbl>
    <w:p w14:paraId="619BA69E" w14:textId="77777777" w:rsidR="00041080" w:rsidRPr="006C65EE" w:rsidRDefault="00041080" w:rsidP="00F12682">
      <w:pPr>
        <w:jc w:val="both"/>
        <w:rPr>
          <w:rFonts w:cs="Calibri"/>
          <w:sz w:val="20"/>
        </w:rPr>
      </w:pPr>
      <w:r w:rsidRPr="006C65EE">
        <w:rPr>
          <w:rFonts w:cs="Calibri"/>
          <w:sz w:val="20"/>
          <w:u w:val="single"/>
        </w:rPr>
        <w:t>Source</w:t>
      </w:r>
      <w:r w:rsidRPr="006C65EE">
        <w:rPr>
          <w:rFonts w:cs="Calibri"/>
          <w:sz w:val="20"/>
        </w:rPr>
        <w:t xml:space="preserve"> : </w:t>
      </w:r>
      <w:r w:rsidRPr="004A7DD0">
        <w:rPr>
          <w:rFonts w:cs="Calibri"/>
          <w:sz w:val="20"/>
        </w:rPr>
        <w:t>DRFM/MC/PSP</w:t>
      </w:r>
      <w:r>
        <w:rPr>
          <w:rFonts w:cs="Calibri"/>
          <w:sz w:val="20"/>
        </w:rPr>
        <w:t>, 2016</w:t>
      </w:r>
    </w:p>
    <w:p w14:paraId="5B5BCF97" w14:textId="77777777" w:rsidR="00922E87" w:rsidRDefault="00922E87" w:rsidP="00F12682">
      <w:pPr>
        <w:spacing w:after="0" w:line="240" w:lineRule="auto"/>
        <w:jc w:val="both"/>
        <w:rPr>
          <w:rFonts w:ascii="Calibri" w:eastAsiaTheme="majorEastAsia" w:hAnsi="Calibri" w:cs="Calibri"/>
          <w:iCs/>
          <w:sz w:val="24"/>
        </w:rPr>
      </w:pPr>
    </w:p>
    <w:p w14:paraId="0DDA45AB" w14:textId="77777777"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Ce tableau nous enseigne les leçons suivantes :</w:t>
      </w:r>
    </w:p>
    <w:p w14:paraId="09AF7263" w14:textId="0077DDA5" w:rsidR="00922E87" w:rsidRPr="00922E87" w:rsidRDefault="00922E87"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22E87">
        <w:rPr>
          <w:rFonts w:ascii="Calibri" w:eastAsiaTheme="majorEastAsia" w:hAnsi="Calibri" w:cs="Calibri"/>
          <w:iCs/>
          <w:sz w:val="24"/>
        </w:rPr>
        <w:t>l’excellent niveau d’exécution des dépenses du personnel qui sont réalisées à hauteur de 99</w:t>
      </w:r>
      <w:r>
        <w:rPr>
          <w:rFonts w:ascii="Calibri" w:eastAsiaTheme="majorEastAsia" w:hAnsi="Calibri" w:cs="Calibri"/>
          <w:iCs/>
          <w:sz w:val="24"/>
        </w:rPr>
        <w:t>% ;</w:t>
      </w:r>
    </w:p>
    <w:p w14:paraId="2AC3FB76" w14:textId="77777777" w:rsidR="00922E87" w:rsidRPr="00922E87" w:rsidRDefault="00922E87"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22E87">
        <w:rPr>
          <w:rFonts w:ascii="Calibri" w:eastAsiaTheme="majorEastAsia" w:hAnsi="Calibri" w:cs="Calibri"/>
          <w:iCs/>
          <w:sz w:val="24"/>
        </w:rPr>
        <w:t>à contrario, le bas niveau de réalisation concerne le fonctionnement qui affiche 66%.</w:t>
      </w:r>
    </w:p>
    <w:p w14:paraId="3B9299E3" w14:textId="398E3192"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 xml:space="preserve">En valeur absolue, il se dégage qu’au titre de l’OPVN, près de 2 milliards n’ont pas été libérés du fait de la régulation. La conséquence d’une telle situation est l’accumulation des arriérés qui peuvent être soit des factures impayées à l’OPVN et/ou des Restes à payer au Trésor. </w:t>
      </w:r>
    </w:p>
    <w:p w14:paraId="02265FE7" w14:textId="290F9665"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Par ailleurs, selon le rapport d’activités de l’OPVN au titre de l’année 2016, la ligne budgétaire qui était initialement votée à 10 milliards a été réduite à la somme de 8 milliards de F CFA. Sur les 8 milliards retenus, 6</w:t>
      </w:r>
      <w:r>
        <w:rPr>
          <w:rFonts w:ascii="Calibri" w:eastAsiaTheme="majorEastAsia" w:hAnsi="Calibri" w:cs="Calibri"/>
          <w:iCs/>
          <w:sz w:val="24"/>
        </w:rPr>
        <w:t> </w:t>
      </w:r>
      <w:r w:rsidRPr="00922E87">
        <w:rPr>
          <w:rFonts w:ascii="Calibri" w:eastAsiaTheme="majorEastAsia" w:hAnsi="Calibri" w:cs="Calibri"/>
          <w:iCs/>
          <w:sz w:val="24"/>
        </w:rPr>
        <w:t>041</w:t>
      </w:r>
      <w:r>
        <w:rPr>
          <w:rFonts w:ascii="Calibri" w:eastAsiaTheme="majorEastAsia" w:hAnsi="Calibri" w:cs="Calibri"/>
          <w:iCs/>
          <w:sz w:val="24"/>
        </w:rPr>
        <w:t> </w:t>
      </w:r>
      <w:r w:rsidRPr="00922E87">
        <w:rPr>
          <w:rFonts w:ascii="Calibri" w:eastAsiaTheme="majorEastAsia" w:hAnsi="Calibri" w:cs="Calibri"/>
          <w:iCs/>
          <w:sz w:val="24"/>
        </w:rPr>
        <w:t>000</w:t>
      </w:r>
      <w:r>
        <w:rPr>
          <w:rFonts w:ascii="Calibri" w:eastAsiaTheme="majorEastAsia" w:hAnsi="Calibri" w:cs="Calibri"/>
          <w:iCs/>
          <w:sz w:val="24"/>
        </w:rPr>
        <w:t> </w:t>
      </w:r>
      <w:r w:rsidRPr="00922E87">
        <w:rPr>
          <w:rFonts w:ascii="Calibri" w:eastAsiaTheme="majorEastAsia" w:hAnsi="Calibri" w:cs="Calibri"/>
          <w:iCs/>
          <w:sz w:val="24"/>
        </w:rPr>
        <w:t>000</w:t>
      </w:r>
      <w:r>
        <w:rPr>
          <w:rFonts w:ascii="Calibri" w:eastAsiaTheme="majorEastAsia" w:hAnsi="Calibri" w:cs="Calibri"/>
          <w:iCs/>
          <w:sz w:val="24"/>
        </w:rPr>
        <w:t xml:space="preserve"> F</w:t>
      </w:r>
      <w:r w:rsidRPr="00922E87">
        <w:rPr>
          <w:rFonts w:ascii="Calibri" w:eastAsiaTheme="majorEastAsia" w:hAnsi="Calibri" w:cs="Calibri"/>
          <w:iCs/>
          <w:sz w:val="24"/>
        </w:rPr>
        <w:t>CFA ont été effectivement libérés, mandatés e</w:t>
      </w:r>
      <w:r>
        <w:rPr>
          <w:rFonts w:ascii="Calibri" w:eastAsiaTheme="majorEastAsia" w:hAnsi="Calibri" w:cs="Calibri"/>
          <w:iCs/>
          <w:sz w:val="24"/>
        </w:rPr>
        <w:t>t payés. Les 1 959 000 000 F</w:t>
      </w:r>
      <w:r w:rsidR="00CD7123">
        <w:rPr>
          <w:rFonts w:ascii="Calibri" w:eastAsiaTheme="majorEastAsia" w:hAnsi="Calibri" w:cs="Calibri"/>
          <w:iCs/>
          <w:sz w:val="24"/>
        </w:rPr>
        <w:t xml:space="preserve">CFA </w:t>
      </w:r>
      <w:r w:rsidRPr="00922E87">
        <w:rPr>
          <w:rFonts w:ascii="Calibri" w:eastAsiaTheme="majorEastAsia" w:hAnsi="Calibri" w:cs="Calibri"/>
          <w:iCs/>
          <w:sz w:val="24"/>
        </w:rPr>
        <w:t xml:space="preserve">restants ont été simplement gelés par le </w:t>
      </w:r>
      <w:r>
        <w:rPr>
          <w:rFonts w:ascii="Calibri" w:eastAsiaTheme="majorEastAsia" w:hAnsi="Calibri" w:cs="Calibri"/>
          <w:iCs/>
          <w:sz w:val="24"/>
        </w:rPr>
        <w:t>Ministère des Finances.</w:t>
      </w:r>
    </w:p>
    <w:p w14:paraId="1539CA82" w14:textId="7DEF8A48"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L’implication majeure des deux (2) facteurs ci-dessus est le recours (qui peut être abusif) à l’endettement de la structure sans l’aval de la tutelle ou du Ministère des Finances. C’est ainsi en 2016, la SONIBANK et la BSIC ont été sollicitées pour appuyer l’OPVN la première pour une ligne de crédit de 10 milliards dans le but de régulariser des impayés causés par le programme d’achat de 30</w:t>
      </w:r>
      <w:r>
        <w:rPr>
          <w:rFonts w:ascii="Calibri" w:eastAsiaTheme="majorEastAsia" w:hAnsi="Calibri" w:cs="Calibri"/>
          <w:iCs/>
          <w:sz w:val="24"/>
        </w:rPr>
        <w:t> </w:t>
      </w:r>
      <w:r w:rsidRPr="00922E87">
        <w:rPr>
          <w:rFonts w:ascii="Calibri" w:eastAsiaTheme="majorEastAsia" w:hAnsi="Calibri" w:cs="Calibri"/>
          <w:iCs/>
          <w:sz w:val="24"/>
        </w:rPr>
        <w:t>000</w:t>
      </w:r>
      <w:r>
        <w:rPr>
          <w:rFonts w:ascii="Calibri" w:eastAsiaTheme="majorEastAsia" w:hAnsi="Calibri" w:cs="Calibri"/>
          <w:iCs/>
          <w:sz w:val="24"/>
        </w:rPr>
        <w:t xml:space="preserve"> </w:t>
      </w:r>
      <w:r w:rsidRPr="00922E87">
        <w:rPr>
          <w:rFonts w:ascii="Calibri" w:eastAsiaTheme="majorEastAsia" w:hAnsi="Calibri" w:cs="Calibri"/>
          <w:iCs/>
          <w:sz w:val="24"/>
        </w:rPr>
        <w:t>tonnes complémentaires de l’année 2015 et la seconde pour renouveler le reliquat du prêt de 2,100 milliards contracté en 2015 dans le cadre de l’amortissement du prêt ITFC/BID soit la somme de 1</w:t>
      </w:r>
      <w:r>
        <w:rPr>
          <w:rFonts w:ascii="Calibri" w:eastAsiaTheme="majorEastAsia" w:hAnsi="Calibri" w:cs="Calibri"/>
          <w:iCs/>
          <w:sz w:val="24"/>
        </w:rPr>
        <w:t> </w:t>
      </w:r>
      <w:r w:rsidRPr="00922E87">
        <w:rPr>
          <w:rFonts w:ascii="Calibri" w:eastAsiaTheme="majorEastAsia" w:hAnsi="Calibri" w:cs="Calibri"/>
          <w:iCs/>
          <w:sz w:val="24"/>
        </w:rPr>
        <w:t>073</w:t>
      </w:r>
      <w:r>
        <w:rPr>
          <w:rFonts w:ascii="Calibri" w:eastAsiaTheme="majorEastAsia" w:hAnsi="Calibri" w:cs="Calibri"/>
          <w:iCs/>
          <w:sz w:val="24"/>
        </w:rPr>
        <w:t> </w:t>
      </w:r>
      <w:r w:rsidRPr="00922E87">
        <w:rPr>
          <w:rFonts w:ascii="Calibri" w:eastAsiaTheme="majorEastAsia" w:hAnsi="Calibri" w:cs="Calibri"/>
          <w:iCs/>
          <w:sz w:val="24"/>
        </w:rPr>
        <w:t>893</w:t>
      </w:r>
      <w:r>
        <w:rPr>
          <w:rFonts w:ascii="Calibri" w:eastAsiaTheme="majorEastAsia" w:hAnsi="Calibri" w:cs="Calibri"/>
          <w:iCs/>
          <w:sz w:val="24"/>
        </w:rPr>
        <w:t> </w:t>
      </w:r>
      <w:r w:rsidRPr="00922E87">
        <w:rPr>
          <w:rFonts w:ascii="Calibri" w:eastAsiaTheme="majorEastAsia" w:hAnsi="Calibri" w:cs="Calibri"/>
          <w:iCs/>
          <w:sz w:val="24"/>
        </w:rPr>
        <w:t>140</w:t>
      </w:r>
      <w:r>
        <w:rPr>
          <w:rFonts w:ascii="Calibri" w:eastAsiaTheme="majorEastAsia" w:hAnsi="Calibri" w:cs="Calibri"/>
          <w:iCs/>
          <w:sz w:val="24"/>
        </w:rPr>
        <w:t xml:space="preserve"> </w:t>
      </w:r>
      <w:r w:rsidRPr="00922E87">
        <w:rPr>
          <w:rFonts w:ascii="Calibri" w:eastAsiaTheme="majorEastAsia" w:hAnsi="Calibri" w:cs="Calibri"/>
          <w:iCs/>
          <w:sz w:val="24"/>
        </w:rPr>
        <w:t>FCFA, échéance 6 mois à compter du 16/08/2016. Les activités bancaires menées par l’office lui ont coûté des charges financières annuelles de la somme de 1</w:t>
      </w:r>
      <w:r>
        <w:rPr>
          <w:rFonts w:ascii="Calibri" w:eastAsiaTheme="majorEastAsia" w:hAnsi="Calibri" w:cs="Calibri"/>
          <w:iCs/>
          <w:sz w:val="24"/>
        </w:rPr>
        <w:t> </w:t>
      </w:r>
      <w:r w:rsidRPr="00922E87">
        <w:rPr>
          <w:rFonts w:ascii="Calibri" w:eastAsiaTheme="majorEastAsia" w:hAnsi="Calibri" w:cs="Calibri"/>
          <w:iCs/>
          <w:sz w:val="24"/>
        </w:rPr>
        <w:t>707</w:t>
      </w:r>
      <w:r>
        <w:rPr>
          <w:rFonts w:ascii="Calibri" w:eastAsiaTheme="majorEastAsia" w:hAnsi="Calibri" w:cs="Calibri"/>
          <w:iCs/>
          <w:sz w:val="24"/>
        </w:rPr>
        <w:t> </w:t>
      </w:r>
      <w:r w:rsidRPr="00922E87">
        <w:rPr>
          <w:rFonts w:ascii="Calibri" w:eastAsiaTheme="majorEastAsia" w:hAnsi="Calibri" w:cs="Calibri"/>
          <w:iCs/>
          <w:sz w:val="24"/>
        </w:rPr>
        <w:t>245</w:t>
      </w:r>
      <w:r>
        <w:rPr>
          <w:rFonts w:ascii="Calibri" w:eastAsiaTheme="majorEastAsia" w:hAnsi="Calibri" w:cs="Calibri"/>
          <w:iCs/>
          <w:sz w:val="24"/>
        </w:rPr>
        <w:t> </w:t>
      </w:r>
      <w:r w:rsidRPr="00922E87">
        <w:rPr>
          <w:rFonts w:ascii="Calibri" w:eastAsiaTheme="majorEastAsia" w:hAnsi="Calibri" w:cs="Calibri"/>
          <w:iCs/>
          <w:sz w:val="24"/>
        </w:rPr>
        <w:t>725</w:t>
      </w:r>
      <w:r>
        <w:rPr>
          <w:rFonts w:ascii="Calibri" w:eastAsiaTheme="majorEastAsia" w:hAnsi="Calibri" w:cs="Calibri"/>
          <w:iCs/>
          <w:sz w:val="24"/>
        </w:rPr>
        <w:t xml:space="preserve"> </w:t>
      </w:r>
      <w:r w:rsidRPr="00922E87">
        <w:rPr>
          <w:rFonts w:ascii="Calibri" w:eastAsiaTheme="majorEastAsia" w:hAnsi="Calibri" w:cs="Calibri"/>
          <w:iCs/>
          <w:sz w:val="24"/>
        </w:rPr>
        <w:t>FCFA. Les produits financiers générés par le nantissement des 300 millions logés à la BIA quant</w:t>
      </w:r>
      <w:r w:rsidR="004D4B16">
        <w:rPr>
          <w:rFonts w:ascii="Calibri" w:eastAsiaTheme="majorEastAsia" w:hAnsi="Calibri" w:cs="Calibri"/>
          <w:iCs/>
          <w:sz w:val="24"/>
        </w:rPr>
        <w:t xml:space="preserve"> à eux s’élèvent à la somme de </w:t>
      </w:r>
      <w:r w:rsidRPr="00922E87">
        <w:rPr>
          <w:rFonts w:ascii="Calibri" w:eastAsiaTheme="majorEastAsia" w:hAnsi="Calibri" w:cs="Calibri"/>
          <w:iCs/>
          <w:sz w:val="24"/>
        </w:rPr>
        <w:t>9</w:t>
      </w:r>
      <w:r>
        <w:rPr>
          <w:rFonts w:ascii="Calibri" w:eastAsiaTheme="majorEastAsia" w:hAnsi="Calibri" w:cs="Calibri"/>
          <w:iCs/>
          <w:sz w:val="24"/>
        </w:rPr>
        <w:t> </w:t>
      </w:r>
      <w:r w:rsidRPr="00922E87">
        <w:rPr>
          <w:rFonts w:ascii="Calibri" w:eastAsiaTheme="majorEastAsia" w:hAnsi="Calibri" w:cs="Calibri"/>
          <w:iCs/>
          <w:sz w:val="24"/>
        </w:rPr>
        <w:t>634</w:t>
      </w:r>
      <w:r>
        <w:rPr>
          <w:rFonts w:ascii="Calibri" w:eastAsiaTheme="majorEastAsia" w:hAnsi="Calibri" w:cs="Calibri"/>
          <w:iCs/>
          <w:sz w:val="24"/>
        </w:rPr>
        <w:t> </w:t>
      </w:r>
      <w:r w:rsidRPr="00922E87">
        <w:rPr>
          <w:rFonts w:ascii="Calibri" w:eastAsiaTheme="majorEastAsia" w:hAnsi="Calibri" w:cs="Calibri"/>
          <w:iCs/>
          <w:sz w:val="24"/>
        </w:rPr>
        <w:t>289</w:t>
      </w:r>
      <w:r>
        <w:rPr>
          <w:rFonts w:ascii="Calibri" w:eastAsiaTheme="majorEastAsia" w:hAnsi="Calibri" w:cs="Calibri"/>
          <w:iCs/>
          <w:sz w:val="24"/>
        </w:rPr>
        <w:t xml:space="preserve"> </w:t>
      </w:r>
      <w:r w:rsidRPr="00922E87">
        <w:rPr>
          <w:rFonts w:ascii="Calibri" w:eastAsiaTheme="majorEastAsia" w:hAnsi="Calibri" w:cs="Calibri"/>
          <w:iCs/>
          <w:sz w:val="24"/>
        </w:rPr>
        <w:t>FCFA.</w:t>
      </w:r>
    </w:p>
    <w:p w14:paraId="651A896F" w14:textId="77777777"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 xml:space="preserve">Il ressort clairement un gaspillage d’argent du fait l’endettement, ce qui pourrait être maitrisé si le Compte Unique du Trésor était opérationnel. En effet, avec le CUT, un regard prudent et professionnel sera porté sur des telles activités afin d’apporter les conseils utiles en la matière. </w:t>
      </w:r>
    </w:p>
    <w:p w14:paraId="6156CA09" w14:textId="77777777" w:rsidR="00E51AB3" w:rsidRPr="00E51AB3" w:rsidRDefault="00E51AB3" w:rsidP="00F12682">
      <w:pPr>
        <w:spacing w:after="0" w:line="240" w:lineRule="auto"/>
        <w:jc w:val="both"/>
        <w:rPr>
          <w:rFonts w:ascii="Calibri" w:eastAsiaTheme="majorEastAsia" w:hAnsi="Calibri" w:cs="Calibri"/>
          <w:iCs/>
          <w:sz w:val="24"/>
        </w:rPr>
      </w:pPr>
    </w:p>
    <w:p w14:paraId="733FD702" w14:textId="77777777" w:rsidR="00FB2347" w:rsidRDefault="00FB2347" w:rsidP="00F12682">
      <w:pPr>
        <w:pStyle w:val="Titre4"/>
        <w:rPr>
          <w:rFonts w:asciiTheme="minorHAnsi" w:hAnsiTheme="minorHAnsi" w:cstheme="minorHAnsi"/>
        </w:rPr>
      </w:pPr>
      <w:r w:rsidRPr="004A5122">
        <w:rPr>
          <w:rFonts w:asciiTheme="minorHAnsi" w:hAnsiTheme="minorHAnsi" w:cstheme="minorHAnsi"/>
        </w:rPr>
        <w:t>Analyse de la capacité d’absorption des financements</w:t>
      </w:r>
    </w:p>
    <w:p w14:paraId="25384DD0" w14:textId="38322E68"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Les crédits libérés en 2016 au profit des services du MC/PSP ont été globalement et entièrement consommés puisqu’ils affic</w:t>
      </w:r>
      <w:r w:rsidR="00216743">
        <w:rPr>
          <w:rFonts w:ascii="Calibri" w:eastAsiaTheme="majorEastAsia" w:hAnsi="Calibri" w:cs="Calibri"/>
          <w:iCs/>
          <w:sz w:val="24"/>
        </w:rPr>
        <w:t>hent un taux de consommation de</w:t>
      </w:r>
      <w:r w:rsidRPr="00922E87">
        <w:rPr>
          <w:rFonts w:ascii="Calibri" w:eastAsiaTheme="majorEastAsia" w:hAnsi="Calibri" w:cs="Calibri"/>
          <w:iCs/>
          <w:sz w:val="24"/>
        </w:rPr>
        <w:t xml:space="preserve"> 99%. Mais ce ratio cache des disparités énormes selon qu’il s’agit des dépenses de fonctionnement global (achats des biens et services et transferts) ou des dépenses d’investissement. </w:t>
      </w:r>
    </w:p>
    <w:p w14:paraId="7C0DE0A7" w14:textId="77777777"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 xml:space="preserve">Les dépenses de fonctionnement (titre III) ont connu des consommations de 91% du fait de l’arrêt des engagements intervenu juste un mois après la libération des crédits du dernier trimestre. </w:t>
      </w:r>
    </w:p>
    <w:p w14:paraId="3B705A6F" w14:textId="77777777"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lastRenderedPageBreak/>
        <w:t xml:space="preserve">Cette situation a entrainé la constitution d’arriérés au niveau du Ministère, car les engagements juridiques ont été faits peu de temps avant l’arrêt des engagements comptables au Ministère des Finances. </w:t>
      </w:r>
    </w:p>
    <w:p w14:paraId="604A203A" w14:textId="77777777"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 xml:space="preserve">La conséquence des arriérés est la réduction de marge de manœuvre (année suivante) des structures car il sera d’abord procédé au règlement des arriérés avant tout nouvel engagement. </w:t>
      </w:r>
    </w:p>
    <w:p w14:paraId="16C32AFD" w14:textId="3FA0970E"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 xml:space="preserve">Quant aux dépenses d’investissement, constituées principalement de la ‘subvention à l’OPVN, ils ont été entièrement consommés. </w:t>
      </w:r>
    </w:p>
    <w:p w14:paraId="09A21667" w14:textId="77777777" w:rsidR="002075EF" w:rsidRDefault="002075EF" w:rsidP="00F12682">
      <w:pPr>
        <w:spacing w:after="0" w:line="240" w:lineRule="auto"/>
        <w:jc w:val="both"/>
        <w:rPr>
          <w:rFonts w:ascii="Calibri" w:eastAsiaTheme="majorEastAsia" w:hAnsi="Calibri" w:cs="Calibri"/>
          <w:iCs/>
          <w:sz w:val="24"/>
        </w:rPr>
      </w:pPr>
    </w:p>
    <w:p w14:paraId="26264F1E" w14:textId="77777777" w:rsidR="00CD7123" w:rsidRPr="00855DFA" w:rsidRDefault="00CD7123" w:rsidP="00F12682">
      <w:pPr>
        <w:pStyle w:val="Lgende"/>
        <w:rPr>
          <w:rFonts w:eastAsiaTheme="majorEastAsia" w:cs="Calibri"/>
          <w:iCs w:val="0"/>
        </w:rPr>
      </w:pPr>
      <w:bookmarkStart w:id="148" w:name="_Toc529305085"/>
      <w:r>
        <w:t xml:space="preserve">Tableau </w:t>
      </w:r>
      <w:r>
        <w:rPr>
          <w:noProof/>
        </w:rPr>
        <w:fldChar w:fldCharType="begin"/>
      </w:r>
      <w:r>
        <w:rPr>
          <w:noProof/>
        </w:rPr>
        <w:instrText xml:space="preserve"> SEQ Tableau \* ARABIC </w:instrText>
      </w:r>
      <w:r>
        <w:rPr>
          <w:noProof/>
        </w:rPr>
        <w:fldChar w:fldCharType="separate"/>
      </w:r>
      <w:r w:rsidR="001C37F0">
        <w:rPr>
          <w:noProof/>
        </w:rPr>
        <w:t>31</w:t>
      </w:r>
      <w:r>
        <w:rPr>
          <w:noProof/>
        </w:rPr>
        <w:fldChar w:fldCharType="end"/>
      </w:r>
      <w:r w:rsidRPr="00855DFA">
        <w:rPr>
          <w:rFonts w:eastAsiaTheme="majorEastAsia" w:cs="Calibri"/>
          <w:iCs w:val="0"/>
        </w:rPr>
        <w:t> : Etat d’exécution des crédits alloués au MC/PSP en 2016</w:t>
      </w:r>
      <w:bookmarkEnd w:id="148"/>
    </w:p>
    <w:tbl>
      <w:tblPr>
        <w:tblStyle w:val="Grilledutableau"/>
        <w:tblW w:w="7344" w:type="dxa"/>
        <w:tblInd w:w="137" w:type="dxa"/>
        <w:tblLook w:val="04A0" w:firstRow="1" w:lastRow="0" w:firstColumn="1" w:lastColumn="0" w:noHBand="0" w:noVBand="1"/>
      </w:tblPr>
      <w:tblGrid>
        <w:gridCol w:w="1873"/>
        <w:gridCol w:w="1713"/>
        <w:gridCol w:w="1936"/>
        <w:gridCol w:w="1822"/>
      </w:tblGrid>
      <w:tr w:rsidR="00CD7123" w:rsidRPr="00522678" w14:paraId="2100B8F8" w14:textId="77777777" w:rsidTr="0022543C">
        <w:tc>
          <w:tcPr>
            <w:tcW w:w="1873" w:type="dxa"/>
            <w:shd w:val="clear" w:color="auto" w:fill="D9D9D9" w:themeFill="background1" w:themeFillShade="D9"/>
            <w:vAlign w:val="center"/>
          </w:tcPr>
          <w:p w14:paraId="26B60991" w14:textId="77777777" w:rsidR="00CD7123" w:rsidRPr="00522678" w:rsidRDefault="00CD7123" w:rsidP="00F12682">
            <w:pPr>
              <w:jc w:val="center"/>
              <w:rPr>
                <w:b/>
                <w:sz w:val="20"/>
              </w:rPr>
            </w:pPr>
            <w:r w:rsidRPr="00522678">
              <w:rPr>
                <w:b/>
                <w:sz w:val="20"/>
              </w:rPr>
              <w:t>Désignations</w:t>
            </w:r>
          </w:p>
        </w:tc>
        <w:tc>
          <w:tcPr>
            <w:tcW w:w="1713" w:type="dxa"/>
            <w:shd w:val="clear" w:color="auto" w:fill="D9D9D9" w:themeFill="background1" w:themeFillShade="D9"/>
            <w:vAlign w:val="center"/>
          </w:tcPr>
          <w:p w14:paraId="16774E71" w14:textId="77777777" w:rsidR="00CD7123" w:rsidRPr="00522678" w:rsidRDefault="00CD7123" w:rsidP="00F12682">
            <w:pPr>
              <w:jc w:val="center"/>
              <w:rPr>
                <w:b/>
                <w:sz w:val="20"/>
              </w:rPr>
            </w:pPr>
            <w:r w:rsidRPr="00522678">
              <w:rPr>
                <w:b/>
                <w:sz w:val="20"/>
              </w:rPr>
              <w:t>Crédits libérés</w:t>
            </w:r>
          </w:p>
        </w:tc>
        <w:tc>
          <w:tcPr>
            <w:tcW w:w="1936" w:type="dxa"/>
            <w:shd w:val="clear" w:color="auto" w:fill="D9D9D9" w:themeFill="background1" w:themeFillShade="D9"/>
            <w:vAlign w:val="center"/>
          </w:tcPr>
          <w:p w14:paraId="7A090868" w14:textId="77777777" w:rsidR="00CD7123" w:rsidRPr="00522678" w:rsidRDefault="00CD7123" w:rsidP="00F12682">
            <w:pPr>
              <w:jc w:val="center"/>
              <w:rPr>
                <w:b/>
                <w:sz w:val="20"/>
              </w:rPr>
            </w:pPr>
            <w:r w:rsidRPr="00522678">
              <w:rPr>
                <w:b/>
                <w:sz w:val="20"/>
              </w:rPr>
              <w:t>Crédits consommés</w:t>
            </w:r>
          </w:p>
        </w:tc>
        <w:tc>
          <w:tcPr>
            <w:tcW w:w="1822" w:type="dxa"/>
            <w:shd w:val="clear" w:color="auto" w:fill="D9D9D9" w:themeFill="background1" w:themeFillShade="D9"/>
            <w:vAlign w:val="center"/>
          </w:tcPr>
          <w:p w14:paraId="28640AD8" w14:textId="77777777" w:rsidR="00CD7123" w:rsidRPr="00522678" w:rsidRDefault="00CD7123" w:rsidP="00F12682">
            <w:pPr>
              <w:jc w:val="center"/>
              <w:rPr>
                <w:b/>
                <w:sz w:val="20"/>
              </w:rPr>
            </w:pPr>
            <w:r w:rsidRPr="00522678">
              <w:rPr>
                <w:b/>
                <w:sz w:val="20"/>
              </w:rPr>
              <w:t>Taux d’absorption</w:t>
            </w:r>
          </w:p>
        </w:tc>
      </w:tr>
      <w:tr w:rsidR="00CD7123" w14:paraId="26A0E01B" w14:textId="77777777" w:rsidTr="0022543C">
        <w:tc>
          <w:tcPr>
            <w:tcW w:w="1873" w:type="dxa"/>
          </w:tcPr>
          <w:p w14:paraId="33C4B3EC" w14:textId="77777777" w:rsidR="00CD7123" w:rsidRPr="005112E8" w:rsidRDefault="00CD7123" w:rsidP="00F12682">
            <w:r w:rsidRPr="005112E8">
              <w:t>Personnel</w:t>
            </w:r>
          </w:p>
        </w:tc>
        <w:tc>
          <w:tcPr>
            <w:tcW w:w="1713" w:type="dxa"/>
          </w:tcPr>
          <w:p w14:paraId="0D34CCEA" w14:textId="77777777" w:rsidR="00CD7123" w:rsidRPr="009B7EC7" w:rsidRDefault="00CD7123" w:rsidP="00F12682">
            <w:pPr>
              <w:jc w:val="right"/>
            </w:pPr>
            <w:r>
              <w:t>870 469 741</w:t>
            </w:r>
          </w:p>
        </w:tc>
        <w:tc>
          <w:tcPr>
            <w:tcW w:w="1936" w:type="dxa"/>
          </w:tcPr>
          <w:p w14:paraId="3DA5F2FE" w14:textId="77777777" w:rsidR="00CD7123" w:rsidRPr="009B7EC7" w:rsidRDefault="00CD7123" w:rsidP="00F12682">
            <w:pPr>
              <w:jc w:val="right"/>
            </w:pPr>
            <w:r>
              <w:t>870 469 741</w:t>
            </w:r>
          </w:p>
        </w:tc>
        <w:tc>
          <w:tcPr>
            <w:tcW w:w="1822" w:type="dxa"/>
          </w:tcPr>
          <w:p w14:paraId="0241853B" w14:textId="77777777" w:rsidR="00CD7123" w:rsidRPr="009B7EC7" w:rsidRDefault="00CD7123" w:rsidP="00F12682">
            <w:pPr>
              <w:jc w:val="center"/>
            </w:pPr>
            <w:r>
              <w:t>100%</w:t>
            </w:r>
          </w:p>
        </w:tc>
      </w:tr>
      <w:tr w:rsidR="00CD7123" w14:paraId="2C8F2E7E" w14:textId="77777777" w:rsidTr="0022543C">
        <w:tc>
          <w:tcPr>
            <w:tcW w:w="1873" w:type="dxa"/>
          </w:tcPr>
          <w:p w14:paraId="04C24415" w14:textId="77777777" w:rsidR="00CD7123" w:rsidRPr="005112E8" w:rsidRDefault="00CD7123" w:rsidP="00F12682">
            <w:r w:rsidRPr="005112E8">
              <w:t>Fonctionnement</w:t>
            </w:r>
          </w:p>
        </w:tc>
        <w:tc>
          <w:tcPr>
            <w:tcW w:w="1713" w:type="dxa"/>
          </w:tcPr>
          <w:p w14:paraId="2C4E92CE" w14:textId="77777777" w:rsidR="00CD7123" w:rsidRPr="009B7EC7" w:rsidRDefault="00CD7123" w:rsidP="00F12682">
            <w:pPr>
              <w:jc w:val="right"/>
            </w:pPr>
            <w:r>
              <w:t>254 685 464</w:t>
            </w:r>
          </w:p>
        </w:tc>
        <w:tc>
          <w:tcPr>
            <w:tcW w:w="1936" w:type="dxa"/>
          </w:tcPr>
          <w:p w14:paraId="5D62B004" w14:textId="77777777" w:rsidR="00CD7123" w:rsidRDefault="00CD7123" w:rsidP="00F12682">
            <w:pPr>
              <w:jc w:val="right"/>
            </w:pPr>
            <w:r>
              <w:t>232 041 796</w:t>
            </w:r>
          </w:p>
        </w:tc>
        <w:tc>
          <w:tcPr>
            <w:tcW w:w="1822" w:type="dxa"/>
          </w:tcPr>
          <w:p w14:paraId="6FAF20EE" w14:textId="77777777" w:rsidR="00CD7123" w:rsidRPr="009B7EC7" w:rsidRDefault="00CD7123" w:rsidP="00F12682">
            <w:pPr>
              <w:jc w:val="center"/>
            </w:pPr>
            <w:r>
              <w:t>91%</w:t>
            </w:r>
          </w:p>
        </w:tc>
      </w:tr>
      <w:tr w:rsidR="00CD7123" w14:paraId="04CA8893" w14:textId="77777777" w:rsidTr="0022543C">
        <w:tc>
          <w:tcPr>
            <w:tcW w:w="1873" w:type="dxa"/>
          </w:tcPr>
          <w:p w14:paraId="0BF75E22" w14:textId="77777777" w:rsidR="00CD7123" w:rsidRPr="005112E8" w:rsidRDefault="00CD7123" w:rsidP="00F12682">
            <w:r w:rsidRPr="005112E8">
              <w:t xml:space="preserve">Transferts &amp; </w:t>
            </w:r>
            <w:proofErr w:type="spellStart"/>
            <w:r w:rsidRPr="005112E8">
              <w:t>Sub</w:t>
            </w:r>
            <w:proofErr w:type="spellEnd"/>
            <w:r w:rsidRPr="005112E8">
              <w:t>.</w:t>
            </w:r>
          </w:p>
        </w:tc>
        <w:tc>
          <w:tcPr>
            <w:tcW w:w="1713" w:type="dxa"/>
          </w:tcPr>
          <w:p w14:paraId="3F9D1E92" w14:textId="77777777" w:rsidR="00CD7123" w:rsidRPr="009B7EC7" w:rsidRDefault="00CD7123" w:rsidP="00F12682">
            <w:pPr>
              <w:jc w:val="right"/>
            </w:pPr>
            <w:r>
              <w:t>763 942 314</w:t>
            </w:r>
          </w:p>
        </w:tc>
        <w:tc>
          <w:tcPr>
            <w:tcW w:w="1936" w:type="dxa"/>
          </w:tcPr>
          <w:p w14:paraId="09AAA6F3" w14:textId="77777777" w:rsidR="00CD7123" w:rsidRDefault="00CD7123" w:rsidP="00F12682">
            <w:pPr>
              <w:jc w:val="right"/>
            </w:pPr>
            <w:r>
              <w:t>757 329 862</w:t>
            </w:r>
          </w:p>
        </w:tc>
        <w:tc>
          <w:tcPr>
            <w:tcW w:w="1822" w:type="dxa"/>
          </w:tcPr>
          <w:p w14:paraId="36B97BAE" w14:textId="77777777" w:rsidR="00CD7123" w:rsidRPr="009B7EC7" w:rsidRDefault="00CD7123" w:rsidP="00F12682">
            <w:pPr>
              <w:jc w:val="center"/>
            </w:pPr>
            <w:r>
              <w:t>99%</w:t>
            </w:r>
          </w:p>
        </w:tc>
      </w:tr>
      <w:tr w:rsidR="00CD7123" w14:paraId="244B5D8B" w14:textId="77777777" w:rsidTr="0022543C">
        <w:tc>
          <w:tcPr>
            <w:tcW w:w="1873" w:type="dxa"/>
          </w:tcPr>
          <w:p w14:paraId="68E61204" w14:textId="77777777" w:rsidR="00CD7123" w:rsidRPr="005112E8" w:rsidRDefault="00CD7123" w:rsidP="00F12682">
            <w:r w:rsidRPr="005112E8">
              <w:t>Investissement</w:t>
            </w:r>
          </w:p>
        </w:tc>
        <w:tc>
          <w:tcPr>
            <w:tcW w:w="1713" w:type="dxa"/>
          </w:tcPr>
          <w:p w14:paraId="1941FB23" w14:textId="77777777" w:rsidR="00CD7123" w:rsidRPr="009B7EC7" w:rsidRDefault="00CD7123" w:rsidP="00F12682">
            <w:pPr>
              <w:jc w:val="right"/>
            </w:pPr>
            <w:r>
              <w:t>6 713 181 300</w:t>
            </w:r>
          </w:p>
        </w:tc>
        <w:tc>
          <w:tcPr>
            <w:tcW w:w="1936" w:type="dxa"/>
          </w:tcPr>
          <w:p w14:paraId="134C3460" w14:textId="77777777" w:rsidR="00CD7123" w:rsidRPr="009B7EC7" w:rsidRDefault="00CD7123" w:rsidP="00F12682">
            <w:pPr>
              <w:jc w:val="right"/>
            </w:pPr>
            <w:r>
              <w:t>6 711 555 328</w:t>
            </w:r>
          </w:p>
        </w:tc>
        <w:tc>
          <w:tcPr>
            <w:tcW w:w="1822" w:type="dxa"/>
          </w:tcPr>
          <w:p w14:paraId="3014AD5C" w14:textId="77777777" w:rsidR="00CD7123" w:rsidRPr="009B7EC7" w:rsidRDefault="00CD7123" w:rsidP="00F12682">
            <w:pPr>
              <w:jc w:val="center"/>
            </w:pPr>
            <w:r>
              <w:t>100%</w:t>
            </w:r>
          </w:p>
        </w:tc>
      </w:tr>
      <w:tr w:rsidR="00CD7123" w14:paraId="4ED200BE" w14:textId="77777777" w:rsidTr="0022543C">
        <w:tc>
          <w:tcPr>
            <w:tcW w:w="1873" w:type="dxa"/>
            <w:shd w:val="clear" w:color="auto" w:fill="F2F2F2" w:themeFill="background1" w:themeFillShade="F2"/>
          </w:tcPr>
          <w:p w14:paraId="7A505D08" w14:textId="77777777" w:rsidR="00CD7123" w:rsidRPr="009B7EC7" w:rsidRDefault="00CD7123" w:rsidP="00F12682">
            <w:pPr>
              <w:jc w:val="center"/>
              <w:rPr>
                <w:b/>
              </w:rPr>
            </w:pPr>
            <w:r w:rsidRPr="009B7EC7">
              <w:rPr>
                <w:b/>
              </w:rPr>
              <w:t>Totaux</w:t>
            </w:r>
          </w:p>
        </w:tc>
        <w:tc>
          <w:tcPr>
            <w:tcW w:w="1713" w:type="dxa"/>
            <w:shd w:val="clear" w:color="auto" w:fill="F2F2F2" w:themeFill="background1" w:themeFillShade="F2"/>
          </w:tcPr>
          <w:p w14:paraId="4BBB8DD9" w14:textId="77777777" w:rsidR="00CD7123" w:rsidRPr="009B7EC7" w:rsidRDefault="00CD7123" w:rsidP="00F12682">
            <w:pPr>
              <w:jc w:val="right"/>
              <w:rPr>
                <w:b/>
              </w:rPr>
            </w:pPr>
            <w:r>
              <w:rPr>
                <w:b/>
              </w:rPr>
              <w:t>8 602 278 819</w:t>
            </w:r>
          </w:p>
        </w:tc>
        <w:tc>
          <w:tcPr>
            <w:tcW w:w="1936" w:type="dxa"/>
            <w:shd w:val="clear" w:color="auto" w:fill="F2F2F2" w:themeFill="background1" w:themeFillShade="F2"/>
          </w:tcPr>
          <w:p w14:paraId="753DA90D" w14:textId="77777777" w:rsidR="00CD7123" w:rsidRPr="009B7EC7" w:rsidRDefault="00CD7123" w:rsidP="00F12682">
            <w:pPr>
              <w:jc w:val="right"/>
              <w:rPr>
                <w:b/>
              </w:rPr>
            </w:pPr>
            <w:r>
              <w:rPr>
                <w:b/>
              </w:rPr>
              <w:t>8 292 257 779</w:t>
            </w:r>
          </w:p>
        </w:tc>
        <w:tc>
          <w:tcPr>
            <w:tcW w:w="1822" w:type="dxa"/>
            <w:shd w:val="clear" w:color="auto" w:fill="F2F2F2" w:themeFill="background1" w:themeFillShade="F2"/>
          </w:tcPr>
          <w:p w14:paraId="514E95B4" w14:textId="77777777" w:rsidR="00CD7123" w:rsidRPr="009B7EC7" w:rsidRDefault="00CD7123" w:rsidP="00F12682">
            <w:pPr>
              <w:jc w:val="center"/>
              <w:rPr>
                <w:b/>
              </w:rPr>
            </w:pPr>
            <w:r>
              <w:rPr>
                <w:b/>
              </w:rPr>
              <w:t>99%</w:t>
            </w:r>
          </w:p>
        </w:tc>
      </w:tr>
    </w:tbl>
    <w:p w14:paraId="69735781" w14:textId="77777777" w:rsidR="00CD7123" w:rsidRPr="006C65EE" w:rsidRDefault="00CD7123" w:rsidP="00F12682">
      <w:pPr>
        <w:jc w:val="both"/>
        <w:rPr>
          <w:rFonts w:cs="Calibri"/>
          <w:sz w:val="20"/>
        </w:rPr>
      </w:pPr>
      <w:r w:rsidRPr="006C65EE">
        <w:rPr>
          <w:rFonts w:cs="Calibri"/>
          <w:sz w:val="20"/>
          <w:u w:val="single"/>
        </w:rPr>
        <w:t>Source</w:t>
      </w:r>
      <w:r w:rsidRPr="006C65EE">
        <w:rPr>
          <w:rFonts w:cs="Calibri"/>
          <w:sz w:val="20"/>
        </w:rPr>
        <w:t xml:space="preserve"> : </w:t>
      </w:r>
      <w:r w:rsidRPr="004A7DD0">
        <w:rPr>
          <w:rFonts w:cs="Calibri"/>
          <w:sz w:val="20"/>
        </w:rPr>
        <w:t>DRFM/MC/PSP</w:t>
      </w:r>
      <w:r>
        <w:rPr>
          <w:rFonts w:cs="Calibri"/>
          <w:sz w:val="20"/>
        </w:rPr>
        <w:t>, 2016</w:t>
      </w:r>
    </w:p>
    <w:p w14:paraId="2F1DD2A2" w14:textId="77777777" w:rsidR="00CD7123" w:rsidRPr="00E51AB3" w:rsidRDefault="00CD7123" w:rsidP="00F12682">
      <w:pPr>
        <w:spacing w:after="0" w:line="240" w:lineRule="auto"/>
        <w:jc w:val="both"/>
        <w:rPr>
          <w:rFonts w:ascii="Calibri" w:eastAsiaTheme="majorEastAsia" w:hAnsi="Calibri" w:cs="Calibri"/>
          <w:iCs/>
          <w:sz w:val="24"/>
        </w:rPr>
      </w:pPr>
    </w:p>
    <w:p w14:paraId="2A422C0F" w14:textId="77777777" w:rsidR="002075EF" w:rsidRDefault="002075EF" w:rsidP="00F12682">
      <w:pPr>
        <w:pStyle w:val="Titre4"/>
        <w:rPr>
          <w:rFonts w:asciiTheme="minorHAnsi" w:hAnsiTheme="minorHAnsi" w:cstheme="minorHAnsi"/>
        </w:rPr>
      </w:pPr>
      <w:r w:rsidRPr="004A5122">
        <w:rPr>
          <w:rFonts w:asciiTheme="minorHAnsi" w:hAnsiTheme="minorHAnsi" w:cstheme="minorHAnsi"/>
        </w:rPr>
        <w:t>Analyse de la performance et l’incidence de diverses sources de financement</w:t>
      </w:r>
    </w:p>
    <w:p w14:paraId="17827641" w14:textId="77777777"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La programmation 2016 du MC/PSP étant présentée ci-haut, au cours de l’année 2016, le budget de l’OPVN, principale structure du MC/PSP, intervenant dans la SANDAD se présente selon le graphique suivant :</w:t>
      </w:r>
    </w:p>
    <w:p w14:paraId="02FF608D" w14:textId="664EE582" w:rsidR="00922E87" w:rsidRPr="00457FB2" w:rsidRDefault="00457FB2" w:rsidP="00F12682">
      <w:pPr>
        <w:pStyle w:val="Lgende"/>
        <w:rPr>
          <w:rFonts w:eastAsiaTheme="majorEastAsia" w:cs="Calibri"/>
          <w:iCs w:val="0"/>
        </w:rPr>
      </w:pPr>
      <w:bookmarkStart w:id="149" w:name="_Toc529305110"/>
      <w:r>
        <w:t xml:space="preserve">Graphique </w:t>
      </w:r>
      <w:r w:rsidR="00FA3679">
        <w:rPr>
          <w:noProof/>
        </w:rPr>
        <w:fldChar w:fldCharType="begin"/>
      </w:r>
      <w:r w:rsidR="00FA3679">
        <w:rPr>
          <w:noProof/>
        </w:rPr>
        <w:instrText xml:space="preserve"> SEQ Graphique \* ARABIC </w:instrText>
      </w:r>
      <w:r w:rsidR="00FA3679">
        <w:rPr>
          <w:noProof/>
        </w:rPr>
        <w:fldChar w:fldCharType="separate"/>
      </w:r>
      <w:r w:rsidR="001C37F0">
        <w:rPr>
          <w:noProof/>
        </w:rPr>
        <w:t>6</w:t>
      </w:r>
      <w:r w:rsidR="00FA3679">
        <w:rPr>
          <w:noProof/>
        </w:rPr>
        <w:fldChar w:fldCharType="end"/>
      </w:r>
      <w:r w:rsidR="00922E87" w:rsidRPr="00457FB2">
        <w:rPr>
          <w:rFonts w:eastAsiaTheme="majorEastAsia" w:cs="Calibri"/>
          <w:iCs w:val="0"/>
        </w:rPr>
        <w:t> : Réparation par source de financement du budget de l’OPVN en 2016</w:t>
      </w:r>
      <w:bookmarkEnd w:id="149"/>
    </w:p>
    <w:p w14:paraId="1A27B8E6" w14:textId="77777777" w:rsidR="00922E87" w:rsidRPr="00922E87" w:rsidRDefault="00922E87" w:rsidP="00F12682">
      <w:pPr>
        <w:spacing w:after="0" w:line="240" w:lineRule="auto"/>
        <w:jc w:val="both"/>
        <w:rPr>
          <w:rFonts w:ascii="Calibri" w:eastAsiaTheme="majorEastAsia" w:hAnsi="Calibri" w:cs="Calibri"/>
          <w:iCs/>
          <w:sz w:val="24"/>
        </w:rPr>
      </w:pPr>
      <w:r w:rsidRPr="00922E87">
        <w:rPr>
          <w:rFonts w:ascii="Calibri" w:eastAsiaTheme="majorEastAsia" w:hAnsi="Calibri" w:cs="Calibri"/>
          <w:iCs/>
          <w:noProof/>
          <w:sz w:val="24"/>
          <w:lang w:eastAsia="fr-FR"/>
        </w:rPr>
        <w:drawing>
          <wp:inline distT="0" distB="0" distL="0" distR="0" wp14:anchorId="002A5AD0" wp14:editId="1B6811C5">
            <wp:extent cx="3771900" cy="2114550"/>
            <wp:effectExtent l="0" t="0" r="0" b="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ED0177" w14:textId="77777777" w:rsidR="00922E87" w:rsidRPr="00457FB2" w:rsidRDefault="00922E87" w:rsidP="00F12682">
      <w:pPr>
        <w:spacing w:after="0" w:line="240" w:lineRule="auto"/>
        <w:jc w:val="both"/>
        <w:rPr>
          <w:rFonts w:ascii="Calibri" w:eastAsiaTheme="majorEastAsia" w:hAnsi="Calibri" w:cs="Calibri"/>
          <w:iCs/>
          <w:sz w:val="20"/>
        </w:rPr>
      </w:pPr>
      <w:r w:rsidRPr="00457FB2">
        <w:rPr>
          <w:rFonts w:ascii="Calibri" w:eastAsiaTheme="majorEastAsia" w:hAnsi="Calibri" w:cs="Calibri"/>
          <w:iCs/>
          <w:sz w:val="20"/>
          <w:u w:val="single"/>
        </w:rPr>
        <w:t>Source</w:t>
      </w:r>
      <w:r w:rsidRPr="00457FB2">
        <w:rPr>
          <w:rFonts w:ascii="Calibri" w:eastAsiaTheme="majorEastAsia" w:hAnsi="Calibri" w:cs="Calibri"/>
          <w:iCs/>
          <w:sz w:val="20"/>
        </w:rPr>
        <w:t> : Rapport annuel d’activités 2016 de l’OPVN</w:t>
      </w:r>
    </w:p>
    <w:p w14:paraId="59FAA5B1" w14:textId="77777777" w:rsidR="0022543C" w:rsidRDefault="0022543C" w:rsidP="00F12682">
      <w:pPr>
        <w:spacing w:after="120" w:line="276" w:lineRule="auto"/>
        <w:jc w:val="both"/>
        <w:rPr>
          <w:rFonts w:ascii="Calibri" w:eastAsiaTheme="majorEastAsia" w:hAnsi="Calibri" w:cs="Calibri"/>
          <w:iCs/>
          <w:sz w:val="24"/>
        </w:rPr>
      </w:pPr>
    </w:p>
    <w:p w14:paraId="1F5DD54D" w14:textId="77777777"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 xml:space="preserve">Il ressort de ce graphique que le budget du MC/PSP est fortement tributaire des fonds issus de la subvention qu’ils soient sous forme directe ou indirecte (exploitation) ; avec 99% des prévisions. </w:t>
      </w:r>
    </w:p>
    <w:p w14:paraId="6DCC9EBF" w14:textId="6981FABA" w:rsidR="00922E87" w:rsidRPr="00922E87"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 xml:space="preserve">Au titre des fonds extérieurs, l’OPVN espère la contribution du Japon qui tourne au tour de 1% du </w:t>
      </w:r>
      <w:r w:rsidR="00F94046">
        <w:rPr>
          <w:rFonts w:ascii="Calibri" w:eastAsiaTheme="majorEastAsia" w:hAnsi="Calibri" w:cs="Calibri"/>
          <w:iCs/>
          <w:sz w:val="24"/>
        </w:rPr>
        <w:t>budget global de la structure.</w:t>
      </w:r>
    </w:p>
    <w:p w14:paraId="3DD107A3" w14:textId="0680280C" w:rsidR="00E51AB3" w:rsidRPr="00E51AB3" w:rsidRDefault="00922E87" w:rsidP="00F12682">
      <w:pPr>
        <w:spacing w:after="120" w:line="276" w:lineRule="auto"/>
        <w:jc w:val="both"/>
        <w:rPr>
          <w:rFonts w:ascii="Calibri" w:eastAsiaTheme="majorEastAsia" w:hAnsi="Calibri" w:cs="Calibri"/>
          <w:iCs/>
          <w:sz w:val="24"/>
        </w:rPr>
      </w:pPr>
      <w:r w:rsidRPr="00922E87">
        <w:rPr>
          <w:rFonts w:ascii="Calibri" w:eastAsiaTheme="majorEastAsia" w:hAnsi="Calibri" w:cs="Calibri"/>
          <w:iCs/>
          <w:sz w:val="24"/>
        </w:rPr>
        <w:t>La situation peut être interprétée comme une bonne volonté affichée pour rendre disponibles les denrées afin de contribuer à garantir la sécurité alimentaire en cas de besoin. Toutefois, il ressort que, face aux défis, les crédits doivent être accrus.</w:t>
      </w:r>
    </w:p>
    <w:p w14:paraId="73286707" w14:textId="77777777" w:rsidR="00FB2347" w:rsidRDefault="00FB2347" w:rsidP="00F12682">
      <w:pPr>
        <w:pStyle w:val="Titre4"/>
        <w:rPr>
          <w:rFonts w:asciiTheme="minorHAnsi" w:hAnsiTheme="minorHAnsi" w:cstheme="minorHAnsi"/>
        </w:rPr>
      </w:pPr>
      <w:r w:rsidRPr="004A5122">
        <w:rPr>
          <w:rFonts w:asciiTheme="minorHAnsi" w:hAnsiTheme="minorHAnsi" w:cstheme="minorHAnsi"/>
        </w:rPr>
        <w:lastRenderedPageBreak/>
        <w:t>Synthèses des forces et faiblesses, perspectives d’amélioration</w:t>
      </w:r>
    </w:p>
    <w:p w14:paraId="6823E302" w14:textId="77777777" w:rsidR="002F086A" w:rsidRPr="009C2AAD" w:rsidRDefault="002F086A" w:rsidP="00F12682">
      <w:pPr>
        <w:spacing w:line="276" w:lineRule="auto"/>
        <w:jc w:val="both"/>
        <w:rPr>
          <w:sz w:val="24"/>
        </w:rPr>
      </w:pPr>
      <w:r w:rsidRPr="009C2AAD">
        <w:rPr>
          <w:sz w:val="24"/>
        </w:rPr>
        <w:t xml:space="preserve">Relativement à ce point, nous tirons, pour l’essentiel, les enseignements suivants : </w:t>
      </w:r>
    </w:p>
    <w:p w14:paraId="43C8A489" w14:textId="09B1EBA4" w:rsidR="002F086A" w:rsidRPr="009C2AAD" w:rsidRDefault="002F086A" w:rsidP="00F12682">
      <w:pPr>
        <w:spacing w:line="276" w:lineRule="auto"/>
        <w:jc w:val="both"/>
        <w:rPr>
          <w:sz w:val="24"/>
        </w:rPr>
      </w:pPr>
      <w:r w:rsidRPr="009C2AAD">
        <w:rPr>
          <w:b/>
          <w:sz w:val="24"/>
          <w:u w:val="single"/>
        </w:rPr>
        <w:t>Points forts</w:t>
      </w:r>
      <w:r w:rsidRPr="009C2AAD">
        <w:rPr>
          <w:sz w:val="24"/>
        </w:rPr>
        <w:t xml:space="preserve"> : </w:t>
      </w:r>
    </w:p>
    <w:p w14:paraId="035CE953" w14:textId="77777777"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bonne volonté affichée par les responsables du MC/PSP : il faut apprécier la promptitude avec laquelle l’arrêté a été pris et les dispositions prises pour garantir la bonne tenue des travaux du Comité. Nous espérons que cette marque d’attention va se poursuivre ;</w:t>
      </w:r>
    </w:p>
    <w:p w14:paraId="1E6FC88E" w14:textId="77777777"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esprit d’équipe au sein du MC/PSP : entre les services de la DEP, de la DMP/DSP et de la DRFM, il se dégage un climat convivial, les cadres travaillent en parfaite harmonie ;</w:t>
      </w:r>
    </w:p>
    <w:p w14:paraId="416DBA4A" w14:textId="77777777"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 xml:space="preserve">précieux apport des responsables du ‘Haut-Commissariat à l’Initiative 3N’, qui ont toujours soutenu le MC/PSP à travers la mise à disposition d’assistance documentaire et technique en 2016, l’ayant permis de pouvoir élaborer le DPPD 2017-2019 ; </w:t>
      </w:r>
    </w:p>
    <w:p w14:paraId="29908665" w14:textId="7002FBC3"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 xml:space="preserve">existence de documents tenant pouvant ternir lieu de politiques et stratégies concernant les deux principaux volets dont a en charge le MC/PSP : (i) Développement du Commerce et (ii) Promotion du Secteur Privé. Toutefois, il faut signaler le caractère disparate des différents documents. Il est donc nécessaire </w:t>
      </w:r>
      <w:r>
        <w:rPr>
          <w:rFonts w:ascii="Calibri" w:eastAsiaTheme="majorEastAsia" w:hAnsi="Calibri" w:cs="Calibri"/>
          <w:iCs/>
          <w:sz w:val="24"/>
        </w:rPr>
        <w:t>de procéder à leur unification ;</w:t>
      </w:r>
    </w:p>
    <w:p w14:paraId="28809E8B" w14:textId="77777777"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fort engouement des cadres du MC/PSP envers cette initiative. Ils font preuve de disponibilité et sont attentifs au déroulement des travaux. Il faut noter aussi leur contribution à travers des interventions pertinentes au cours des travaux. Il serait intéressant qu’ils continuent dans cette lancée.</w:t>
      </w:r>
    </w:p>
    <w:p w14:paraId="6D8CCEF4" w14:textId="77777777" w:rsidR="002F086A" w:rsidRPr="009C2AAD" w:rsidRDefault="002F086A" w:rsidP="00F12682">
      <w:pPr>
        <w:spacing w:line="276" w:lineRule="auto"/>
        <w:jc w:val="both"/>
        <w:rPr>
          <w:b/>
          <w:sz w:val="24"/>
          <w:u w:val="single"/>
        </w:rPr>
      </w:pPr>
    </w:p>
    <w:p w14:paraId="694F09C5" w14:textId="668C0565" w:rsidR="002F086A" w:rsidRPr="009C2AAD" w:rsidRDefault="002F086A" w:rsidP="00F12682">
      <w:pPr>
        <w:spacing w:line="276" w:lineRule="auto"/>
        <w:jc w:val="both"/>
        <w:rPr>
          <w:b/>
          <w:sz w:val="24"/>
        </w:rPr>
      </w:pPr>
      <w:r w:rsidRPr="009C2AAD">
        <w:rPr>
          <w:b/>
          <w:sz w:val="24"/>
          <w:u w:val="single"/>
        </w:rPr>
        <w:t>Points à améliorer</w:t>
      </w:r>
      <w:r w:rsidR="00942A9B">
        <w:rPr>
          <w:b/>
          <w:sz w:val="24"/>
        </w:rPr>
        <w:t xml:space="preserve"> :</w:t>
      </w:r>
    </w:p>
    <w:p w14:paraId="1836AB27" w14:textId="77777777"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absence d’encadrement interne : les anciens cadres ne consacrent pas suffisamment du temps aux jeunes pour leur apprendre la pratique qui est un complément à la théorie apprise pendant plusieurs années académiques ;</w:t>
      </w:r>
    </w:p>
    <w:p w14:paraId="0450AFD1" w14:textId="77777777"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absence d’encadrement financier : les ministères en charge de la préparation et de l’exécution du budget ne fournissent pas un encadrement adéquat aux ministères dépensiers ;</w:t>
      </w:r>
    </w:p>
    <w:p w14:paraId="2675A4B1" w14:textId="77777777"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recours abusif de certaines structures à l’emprunt auprès des banques commerciales sans l’aval du Ministère des Finances ; ce qui a occasionné d’importantes charges financières.</w:t>
      </w:r>
    </w:p>
    <w:p w14:paraId="027E6020" w14:textId="77777777" w:rsidR="00C77474" w:rsidRPr="009C2AAD" w:rsidRDefault="00C77474" w:rsidP="00F12682">
      <w:pPr>
        <w:spacing w:line="276" w:lineRule="auto"/>
        <w:jc w:val="both"/>
        <w:rPr>
          <w:b/>
          <w:sz w:val="24"/>
          <w:u w:val="single"/>
        </w:rPr>
      </w:pPr>
    </w:p>
    <w:p w14:paraId="0A3BE3E2" w14:textId="2A018C93" w:rsidR="002F086A" w:rsidRPr="009C2AAD" w:rsidRDefault="002F086A" w:rsidP="00F12682">
      <w:pPr>
        <w:spacing w:line="276" w:lineRule="auto"/>
        <w:jc w:val="both"/>
        <w:rPr>
          <w:b/>
          <w:sz w:val="24"/>
        </w:rPr>
      </w:pPr>
      <w:r w:rsidRPr="009C2AAD">
        <w:rPr>
          <w:b/>
          <w:sz w:val="24"/>
          <w:u w:val="single"/>
        </w:rPr>
        <w:t>Perspectives d’amélioration</w:t>
      </w:r>
      <w:r w:rsidRPr="009C2AAD">
        <w:rPr>
          <w:b/>
          <w:sz w:val="24"/>
        </w:rPr>
        <w:t> :</w:t>
      </w:r>
    </w:p>
    <w:p w14:paraId="36A216D1" w14:textId="77777777"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l’avènement du budget programme pourrait entrainer plus de réalisme dans la préparation du budget et des souplesses dans la consommation des crédits ;</w:t>
      </w:r>
    </w:p>
    <w:p w14:paraId="03520EDF" w14:textId="77777777" w:rsidR="002F086A" w:rsidRPr="002F086A" w:rsidRDefault="002F086A"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2F086A">
        <w:rPr>
          <w:rFonts w:ascii="Calibri" w:eastAsiaTheme="majorEastAsia" w:hAnsi="Calibri" w:cs="Calibri"/>
          <w:iCs/>
          <w:sz w:val="24"/>
        </w:rPr>
        <w:t>l’idée de création d’un Compte Unique du Trésor (CUT) sera concrétisée afin de permettre à la tutelle et au Ministère des Finances d’avoir un regard vigilent sur la politique d’endettement des structures.</w:t>
      </w:r>
    </w:p>
    <w:p w14:paraId="37C20B3C" w14:textId="77777777" w:rsidR="003A0923" w:rsidRDefault="003A0923" w:rsidP="00F12682"/>
    <w:p w14:paraId="15AE7B7F" w14:textId="75D8D85F" w:rsidR="003A0923" w:rsidRDefault="009C2AAD" w:rsidP="00F12682">
      <w:pPr>
        <w:pStyle w:val="Titre3"/>
        <w:numPr>
          <w:ilvl w:val="2"/>
          <w:numId w:val="3"/>
        </w:numPr>
        <w:rPr>
          <w:rFonts w:asciiTheme="minorHAnsi" w:hAnsiTheme="minorHAnsi" w:cstheme="minorHAnsi"/>
        </w:rPr>
      </w:pPr>
      <w:bookmarkStart w:id="150" w:name="_Toc529305036"/>
      <w:r w:rsidRPr="009C2AAD">
        <w:rPr>
          <w:rFonts w:asciiTheme="minorHAnsi" w:hAnsiTheme="minorHAnsi" w:cstheme="minorHAnsi"/>
        </w:rPr>
        <w:lastRenderedPageBreak/>
        <w:t>Dispositif National de Prévention et de Gestion des Crises Alimentaires (DNPGCA)</w:t>
      </w:r>
      <w:bookmarkEnd w:id="150"/>
    </w:p>
    <w:p w14:paraId="2760B000" w14:textId="77777777" w:rsidR="00080F9D" w:rsidRPr="00080F9D" w:rsidRDefault="00080F9D" w:rsidP="00F12682">
      <w:pPr>
        <w:pStyle w:val="Titre4"/>
        <w:rPr>
          <w:rFonts w:asciiTheme="minorHAnsi" w:hAnsiTheme="minorHAnsi" w:cstheme="minorHAnsi"/>
        </w:rPr>
      </w:pPr>
      <w:r w:rsidRPr="00080F9D">
        <w:rPr>
          <w:rFonts w:asciiTheme="minorHAnsi" w:hAnsiTheme="minorHAnsi" w:cstheme="minorHAnsi"/>
        </w:rPr>
        <w:t>Analyse de l’évolution et de la pertinence des allocations budgétaires du secteur (financement global) par rapport aux priorités</w:t>
      </w:r>
    </w:p>
    <w:p w14:paraId="434CB0F7" w14:textId="75BAFAE0" w:rsidR="00080F9D" w:rsidRPr="009C2AAD" w:rsidRDefault="00080F9D" w:rsidP="00F12682">
      <w:pPr>
        <w:spacing w:after="120" w:line="276" w:lineRule="auto"/>
        <w:jc w:val="both"/>
        <w:rPr>
          <w:rFonts w:ascii="Calibri" w:eastAsiaTheme="majorEastAsia" w:hAnsi="Calibri" w:cs="Calibri"/>
          <w:iCs/>
          <w:sz w:val="24"/>
        </w:rPr>
      </w:pPr>
      <w:r w:rsidRPr="009C2AAD">
        <w:rPr>
          <w:rFonts w:ascii="Calibri" w:eastAsiaTheme="majorEastAsia" w:hAnsi="Calibri" w:cs="Calibri"/>
          <w:iCs/>
          <w:sz w:val="24"/>
        </w:rPr>
        <w:t>Au cours des années antérieures, il n’existait pas au DNPGCA de document qui puisse permettre de</w:t>
      </w:r>
      <w:r w:rsidR="00CD7123">
        <w:rPr>
          <w:rFonts w:ascii="Calibri" w:eastAsiaTheme="majorEastAsia" w:hAnsi="Calibri" w:cs="Calibri"/>
          <w:iCs/>
          <w:sz w:val="24"/>
        </w:rPr>
        <w:t xml:space="preserve"> </w:t>
      </w:r>
      <w:r w:rsidRPr="009C2AAD">
        <w:rPr>
          <w:rFonts w:ascii="Calibri" w:eastAsiaTheme="majorEastAsia" w:hAnsi="Calibri" w:cs="Calibri"/>
          <w:iCs/>
          <w:sz w:val="24"/>
        </w:rPr>
        <w:t xml:space="preserve">suivre l’évolution du budget sur la base prévisionnelle. </w:t>
      </w:r>
    </w:p>
    <w:p w14:paraId="702DB9B6" w14:textId="77777777" w:rsidR="00080F9D" w:rsidRPr="009C2AAD" w:rsidRDefault="00080F9D" w:rsidP="00F12682">
      <w:pPr>
        <w:spacing w:after="120" w:line="276" w:lineRule="auto"/>
        <w:jc w:val="both"/>
        <w:rPr>
          <w:rFonts w:ascii="Calibri" w:eastAsiaTheme="majorEastAsia" w:hAnsi="Calibri" w:cs="Calibri"/>
          <w:iCs/>
          <w:sz w:val="24"/>
        </w:rPr>
      </w:pPr>
      <w:r w:rsidRPr="009C2AAD">
        <w:rPr>
          <w:rFonts w:ascii="Calibri" w:eastAsiaTheme="majorEastAsia" w:hAnsi="Calibri" w:cs="Calibri"/>
          <w:iCs/>
          <w:sz w:val="24"/>
        </w:rPr>
        <w:t>C’est pour cette raison qu’un Plan Triennal a été élaboré en 2016, pour la période 2017-2019.</w:t>
      </w:r>
    </w:p>
    <w:p w14:paraId="253A6DFC" w14:textId="77777777" w:rsidR="00080F9D" w:rsidRPr="00CD7123" w:rsidRDefault="00080F9D" w:rsidP="00F12682">
      <w:pPr>
        <w:spacing w:after="120" w:line="276" w:lineRule="auto"/>
        <w:jc w:val="both"/>
        <w:rPr>
          <w:rFonts w:ascii="Calibri" w:eastAsiaTheme="majorEastAsia" w:hAnsi="Calibri" w:cs="Calibri"/>
          <w:iCs/>
          <w:strike/>
          <w:sz w:val="24"/>
        </w:rPr>
      </w:pPr>
    </w:p>
    <w:p w14:paraId="13D53AF1" w14:textId="75450BF3" w:rsidR="00080F9D" w:rsidRPr="00080F9D" w:rsidRDefault="00080F9D" w:rsidP="00F12682">
      <w:pPr>
        <w:pStyle w:val="Titre4"/>
        <w:rPr>
          <w:rFonts w:asciiTheme="minorHAnsi" w:hAnsiTheme="minorHAnsi" w:cstheme="minorHAnsi"/>
        </w:rPr>
      </w:pPr>
      <w:r w:rsidRPr="00080F9D">
        <w:rPr>
          <w:rFonts w:asciiTheme="minorHAnsi" w:hAnsiTheme="minorHAnsi" w:cstheme="minorHAnsi"/>
        </w:rPr>
        <w:t>Analyse de l’exécution des dépenses par rapports aux prévisions</w:t>
      </w:r>
    </w:p>
    <w:p w14:paraId="7642E1D3" w14:textId="77777777" w:rsidR="00080F9D" w:rsidRPr="009C2AAD" w:rsidRDefault="00080F9D" w:rsidP="00F12682">
      <w:pPr>
        <w:spacing w:line="276" w:lineRule="auto"/>
        <w:jc w:val="both"/>
        <w:rPr>
          <w:rFonts w:ascii="Calibri" w:hAnsi="Calibri" w:cs="Calibri"/>
          <w:sz w:val="24"/>
        </w:rPr>
      </w:pPr>
      <w:r w:rsidRPr="009C2AAD">
        <w:rPr>
          <w:rFonts w:ascii="Calibri" w:hAnsi="Calibri" w:cs="Calibri"/>
          <w:sz w:val="24"/>
        </w:rPr>
        <w:t>En se référant à la situation des crédits fournie par la Ministère des Finances,  l’exécution du budget du DNPGCA se présente selon le tableau qui suit :</w:t>
      </w:r>
    </w:p>
    <w:p w14:paraId="7EDE5748" w14:textId="091796A6" w:rsidR="00080F9D" w:rsidRPr="009C2AAD" w:rsidRDefault="00B878AE" w:rsidP="00F12682">
      <w:pPr>
        <w:pStyle w:val="Lgende"/>
        <w:rPr>
          <w:rFonts w:cs="Calibri"/>
          <w:sz w:val="24"/>
        </w:rPr>
      </w:pPr>
      <w:bookmarkStart w:id="151" w:name="_Toc529305086"/>
      <w:r>
        <w:t xml:space="preserve">Tableau </w:t>
      </w:r>
      <w:r w:rsidR="0092517C">
        <w:rPr>
          <w:noProof/>
        </w:rPr>
        <w:fldChar w:fldCharType="begin"/>
      </w:r>
      <w:r w:rsidR="0092517C">
        <w:rPr>
          <w:noProof/>
        </w:rPr>
        <w:instrText xml:space="preserve"> SEQ Tableau \* ARABIC </w:instrText>
      </w:r>
      <w:r w:rsidR="0092517C">
        <w:rPr>
          <w:noProof/>
        </w:rPr>
        <w:fldChar w:fldCharType="separate"/>
      </w:r>
      <w:r w:rsidR="001C37F0">
        <w:rPr>
          <w:noProof/>
        </w:rPr>
        <w:t>32</w:t>
      </w:r>
      <w:r w:rsidR="0092517C">
        <w:rPr>
          <w:noProof/>
        </w:rPr>
        <w:fldChar w:fldCharType="end"/>
      </w:r>
      <w:r w:rsidR="009C2AAD">
        <w:rPr>
          <w:rFonts w:cs="Calibri"/>
          <w:sz w:val="24"/>
        </w:rPr>
        <w:t xml:space="preserve"> : </w:t>
      </w:r>
      <w:r w:rsidR="00080F9D" w:rsidRPr="009C2AAD">
        <w:rPr>
          <w:rFonts w:cs="Calibri"/>
          <w:sz w:val="24"/>
        </w:rPr>
        <w:t>Etat d’exécution des crédits alloués au DNPGCA</w:t>
      </w:r>
      <w:r w:rsidR="009C2AAD">
        <w:rPr>
          <w:rFonts w:cs="Calibri"/>
          <w:sz w:val="24"/>
        </w:rPr>
        <w:t xml:space="preserve"> en 2016</w:t>
      </w:r>
      <w:bookmarkEnd w:id="151"/>
    </w:p>
    <w:tbl>
      <w:tblPr>
        <w:tblStyle w:val="Grilledutableau"/>
        <w:tblW w:w="9767" w:type="dxa"/>
        <w:tblInd w:w="-147" w:type="dxa"/>
        <w:tblLook w:val="04A0" w:firstRow="1" w:lastRow="0" w:firstColumn="1" w:lastColumn="0" w:noHBand="0" w:noVBand="1"/>
      </w:tblPr>
      <w:tblGrid>
        <w:gridCol w:w="3232"/>
        <w:gridCol w:w="2422"/>
        <w:gridCol w:w="2220"/>
        <w:gridCol w:w="1893"/>
      </w:tblGrid>
      <w:tr w:rsidR="00080F9D" w:rsidRPr="002C277C" w14:paraId="76B5E065" w14:textId="77777777" w:rsidTr="0022543C">
        <w:tc>
          <w:tcPr>
            <w:tcW w:w="3232" w:type="dxa"/>
            <w:shd w:val="clear" w:color="auto" w:fill="auto"/>
            <w:vAlign w:val="center"/>
          </w:tcPr>
          <w:p w14:paraId="32C75A45" w14:textId="77777777" w:rsidR="00080F9D" w:rsidRPr="002C277C" w:rsidRDefault="00080F9D" w:rsidP="00F12682">
            <w:pPr>
              <w:spacing w:line="276" w:lineRule="auto"/>
              <w:jc w:val="center"/>
              <w:rPr>
                <w:rFonts w:ascii="Calibri" w:hAnsi="Calibri" w:cs="Calibri"/>
                <w:b/>
              </w:rPr>
            </w:pPr>
            <w:r w:rsidRPr="002C277C">
              <w:rPr>
                <w:rFonts w:ascii="Calibri" w:hAnsi="Calibri" w:cs="Calibri"/>
                <w:b/>
              </w:rPr>
              <w:t>Désignations</w:t>
            </w:r>
          </w:p>
        </w:tc>
        <w:tc>
          <w:tcPr>
            <w:tcW w:w="2422" w:type="dxa"/>
            <w:shd w:val="clear" w:color="auto" w:fill="auto"/>
            <w:vAlign w:val="center"/>
          </w:tcPr>
          <w:p w14:paraId="24DEDF50" w14:textId="77777777" w:rsidR="00080F9D" w:rsidRPr="002C277C" w:rsidRDefault="00080F9D" w:rsidP="00F12682">
            <w:pPr>
              <w:spacing w:line="276" w:lineRule="auto"/>
              <w:jc w:val="center"/>
              <w:rPr>
                <w:rFonts w:ascii="Calibri" w:hAnsi="Calibri" w:cs="Calibri"/>
                <w:b/>
              </w:rPr>
            </w:pPr>
            <w:r w:rsidRPr="002C277C">
              <w:rPr>
                <w:rFonts w:ascii="Calibri" w:hAnsi="Calibri" w:cs="Calibri"/>
                <w:b/>
              </w:rPr>
              <w:t>Crédits votés</w:t>
            </w:r>
          </w:p>
        </w:tc>
        <w:tc>
          <w:tcPr>
            <w:tcW w:w="2220" w:type="dxa"/>
            <w:shd w:val="clear" w:color="auto" w:fill="auto"/>
            <w:vAlign w:val="center"/>
          </w:tcPr>
          <w:p w14:paraId="1529B62A" w14:textId="77777777" w:rsidR="00080F9D" w:rsidRPr="002C277C" w:rsidRDefault="00080F9D" w:rsidP="00F12682">
            <w:pPr>
              <w:spacing w:line="276" w:lineRule="auto"/>
              <w:jc w:val="center"/>
              <w:rPr>
                <w:rFonts w:ascii="Calibri" w:hAnsi="Calibri" w:cs="Calibri"/>
                <w:b/>
              </w:rPr>
            </w:pPr>
            <w:r w:rsidRPr="002C277C">
              <w:rPr>
                <w:rFonts w:ascii="Calibri" w:hAnsi="Calibri" w:cs="Calibri"/>
                <w:b/>
              </w:rPr>
              <w:t>Crédits consommés</w:t>
            </w:r>
          </w:p>
        </w:tc>
        <w:tc>
          <w:tcPr>
            <w:tcW w:w="1893" w:type="dxa"/>
            <w:shd w:val="clear" w:color="auto" w:fill="auto"/>
            <w:vAlign w:val="center"/>
          </w:tcPr>
          <w:p w14:paraId="7C3E2246" w14:textId="77777777" w:rsidR="00080F9D" w:rsidRPr="002C277C" w:rsidRDefault="00080F9D" w:rsidP="00F12682">
            <w:pPr>
              <w:spacing w:line="276" w:lineRule="auto"/>
              <w:jc w:val="center"/>
              <w:rPr>
                <w:rFonts w:ascii="Calibri" w:hAnsi="Calibri" w:cs="Calibri"/>
                <w:b/>
              </w:rPr>
            </w:pPr>
            <w:r w:rsidRPr="002C277C">
              <w:rPr>
                <w:rFonts w:ascii="Calibri" w:hAnsi="Calibri" w:cs="Calibri"/>
                <w:b/>
              </w:rPr>
              <w:t>Taux d’exécution</w:t>
            </w:r>
          </w:p>
        </w:tc>
      </w:tr>
      <w:tr w:rsidR="00080F9D" w:rsidRPr="002C277C" w14:paraId="1A34723D" w14:textId="77777777" w:rsidTr="0022543C">
        <w:tc>
          <w:tcPr>
            <w:tcW w:w="3232" w:type="dxa"/>
            <w:shd w:val="clear" w:color="auto" w:fill="auto"/>
          </w:tcPr>
          <w:p w14:paraId="3A6E8465" w14:textId="77777777" w:rsidR="00080F9D" w:rsidRPr="0022543C" w:rsidRDefault="00080F9D" w:rsidP="00F12682">
            <w:pPr>
              <w:spacing w:line="276" w:lineRule="auto"/>
              <w:rPr>
                <w:rFonts w:ascii="Calibri" w:hAnsi="Calibri" w:cs="Calibri"/>
              </w:rPr>
            </w:pPr>
            <w:r w:rsidRPr="0022543C">
              <w:rPr>
                <w:rFonts w:ascii="Calibri" w:hAnsi="Calibri" w:cs="Calibri"/>
              </w:rPr>
              <w:t>Fonctionnement</w:t>
            </w:r>
          </w:p>
        </w:tc>
        <w:tc>
          <w:tcPr>
            <w:tcW w:w="2422" w:type="dxa"/>
            <w:shd w:val="clear" w:color="auto" w:fill="auto"/>
          </w:tcPr>
          <w:p w14:paraId="3CD9DA5A" w14:textId="77777777" w:rsidR="00080F9D" w:rsidRPr="002C277C" w:rsidRDefault="00080F9D" w:rsidP="00F12682">
            <w:pPr>
              <w:spacing w:line="276" w:lineRule="auto"/>
              <w:jc w:val="right"/>
              <w:rPr>
                <w:rFonts w:ascii="Calibri" w:hAnsi="Calibri" w:cs="Calibri"/>
              </w:rPr>
            </w:pPr>
            <w:r w:rsidRPr="002C277C">
              <w:rPr>
                <w:rFonts w:ascii="Calibri" w:hAnsi="Calibri" w:cs="Calibri"/>
              </w:rPr>
              <w:t>356 569 553</w:t>
            </w:r>
          </w:p>
        </w:tc>
        <w:tc>
          <w:tcPr>
            <w:tcW w:w="2220" w:type="dxa"/>
            <w:shd w:val="clear" w:color="auto" w:fill="auto"/>
          </w:tcPr>
          <w:p w14:paraId="0C9A895D" w14:textId="77777777" w:rsidR="00080F9D" w:rsidRPr="002C277C" w:rsidRDefault="00080F9D" w:rsidP="00F12682">
            <w:pPr>
              <w:spacing w:line="276" w:lineRule="auto"/>
              <w:jc w:val="right"/>
              <w:rPr>
                <w:rFonts w:ascii="Calibri" w:hAnsi="Calibri" w:cs="Calibri"/>
              </w:rPr>
            </w:pPr>
            <w:r w:rsidRPr="002C277C">
              <w:rPr>
                <w:rFonts w:ascii="Calibri" w:eastAsiaTheme="majorEastAsia" w:hAnsi="Calibri" w:cs="Calibri"/>
                <w:iCs/>
              </w:rPr>
              <w:t>271 775 999</w:t>
            </w:r>
          </w:p>
        </w:tc>
        <w:tc>
          <w:tcPr>
            <w:tcW w:w="1893" w:type="dxa"/>
            <w:shd w:val="clear" w:color="auto" w:fill="auto"/>
          </w:tcPr>
          <w:p w14:paraId="1F946005" w14:textId="77777777" w:rsidR="00080F9D" w:rsidRPr="002C277C" w:rsidRDefault="00080F9D" w:rsidP="00F12682">
            <w:pPr>
              <w:spacing w:line="276" w:lineRule="auto"/>
              <w:jc w:val="center"/>
              <w:rPr>
                <w:rFonts w:ascii="Calibri" w:hAnsi="Calibri" w:cs="Calibri"/>
              </w:rPr>
            </w:pPr>
            <w:r w:rsidRPr="002C277C">
              <w:rPr>
                <w:rFonts w:ascii="Calibri" w:hAnsi="Calibri" w:cs="Calibri"/>
              </w:rPr>
              <w:t>76%</w:t>
            </w:r>
          </w:p>
        </w:tc>
      </w:tr>
      <w:tr w:rsidR="00080F9D" w:rsidRPr="002C277C" w14:paraId="01EC15CD" w14:textId="77777777" w:rsidTr="0022543C">
        <w:tc>
          <w:tcPr>
            <w:tcW w:w="3232" w:type="dxa"/>
            <w:shd w:val="clear" w:color="auto" w:fill="auto"/>
          </w:tcPr>
          <w:p w14:paraId="690F6081" w14:textId="77777777" w:rsidR="00080F9D" w:rsidRPr="0022543C" w:rsidRDefault="00080F9D" w:rsidP="00F12682">
            <w:pPr>
              <w:spacing w:line="276" w:lineRule="auto"/>
              <w:rPr>
                <w:rFonts w:ascii="Calibri" w:hAnsi="Calibri" w:cs="Calibri"/>
              </w:rPr>
            </w:pPr>
            <w:r w:rsidRPr="0022543C">
              <w:rPr>
                <w:rFonts w:ascii="Calibri" w:hAnsi="Calibri" w:cs="Calibri"/>
              </w:rPr>
              <w:t>Investissement</w:t>
            </w:r>
          </w:p>
        </w:tc>
        <w:tc>
          <w:tcPr>
            <w:tcW w:w="2422" w:type="dxa"/>
            <w:shd w:val="clear" w:color="auto" w:fill="auto"/>
          </w:tcPr>
          <w:p w14:paraId="0DF6269C" w14:textId="77777777" w:rsidR="00080F9D" w:rsidRPr="002C277C" w:rsidRDefault="00080F9D" w:rsidP="00F12682">
            <w:pPr>
              <w:spacing w:line="276" w:lineRule="auto"/>
              <w:jc w:val="right"/>
              <w:rPr>
                <w:rFonts w:ascii="Calibri" w:hAnsi="Calibri" w:cs="Calibri"/>
              </w:rPr>
            </w:pPr>
            <w:r w:rsidRPr="002C277C">
              <w:rPr>
                <w:rFonts w:ascii="Calibri" w:hAnsi="Calibri" w:cs="Calibri"/>
              </w:rPr>
              <w:t>20 061 955 696</w:t>
            </w:r>
          </w:p>
        </w:tc>
        <w:tc>
          <w:tcPr>
            <w:tcW w:w="2220" w:type="dxa"/>
            <w:shd w:val="clear" w:color="auto" w:fill="auto"/>
          </w:tcPr>
          <w:p w14:paraId="3733D7CF" w14:textId="77777777" w:rsidR="00080F9D" w:rsidRPr="002C277C" w:rsidRDefault="00080F9D" w:rsidP="00F12682">
            <w:pPr>
              <w:spacing w:line="276" w:lineRule="auto"/>
              <w:jc w:val="right"/>
              <w:rPr>
                <w:rFonts w:ascii="Calibri" w:hAnsi="Calibri" w:cs="Calibri"/>
              </w:rPr>
            </w:pPr>
            <w:r w:rsidRPr="002C277C">
              <w:rPr>
                <w:rFonts w:ascii="Calibri" w:hAnsi="Calibri" w:cs="Calibri"/>
              </w:rPr>
              <w:t>7 844 199 443</w:t>
            </w:r>
          </w:p>
        </w:tc>
        <w:tc>
          <w:tcPr>
            <w:tcW w:w="1893" w:type="dxa"/>
            <w:shd w:val="clear" w:color="auto" w:fill="auto"/>
          </w:tcPr>
          <w:p w14:paraId="5AEAEF52" w14:textId="77777777" w:rsidR="00080F9D" w:rsidRPr="002C277C" w:rsidRDefault="00080F9D" w:rsidP="00F12682">
            <w:pPr>
              <w:spacing w:line="276" w:lineRule="auto"/>
              <w:jc w:val="center"/>
              <w:rPr>
                <w:rFonts w:ascii="Calibri" w:hAnsi="Calibri" w:cs="Calibri"/>
              </w:rPr>
            </w:pPr>
            <w:r w:rsidRPr="002C277C">
              <w:rPr>
                <w:rFonts w:ascii="Calibri" w:hAnsi="Calibri" w:cs="Calibri"/>
              </w:rPr>
              <w:t>39%</w:t>
            </w:r>
          </w:p>
        </w:tc>
      </w:tr>
      <w:tr w:rsidR="00080F9D" w:rsidRPr="002C277C" w14:paraId="54F93991" w14:textId="77777777" w:rsidTr="0022543C">
        <w:tc>
          <w:tcPr>
            <w:tcW w:w="3232" w:type="dxa"/>
            <w:shd w:val="clear" w:color="auto" w:fill="auto"/>
          </w:tcPr>
          <w:p w14:paraId="590D1A5C" w14:textId="77777777" w:rsidR="00080F9D" w:rsidRPr="002C277C" w:rsidRDefault="00080F9D" w:rsidP="00F12682">
            <w:pPr>
              <w:spacing w:line="276" w:lineRule="auto"/>
              <w:jc w:val="center"/>
              <w:rPr>
                <w:rFonts w:ascii="Calibri" w:hAnsi="Calibri" w:cs="Calibri"/>
                <w:b/>
              </w:rPr>
            </w:pPr>
            <w:r w:rsidRPr="002C277C">
              <w:rPr>
                <w:rFonts w:ascii="Calibri" w:hAnsi="Calibri" w:cs="Calibri"/>
                <w:b/>
              </w:rPr>
              <w:t>Totaux</w:t>
            </w:r>
          </w:p>
        </w:tc>
        <w:tc>
          <w:tcPr>
            <w:tcW w:w="2422" w:type="dxa"/>
            <w:shd w:val="clear" w:color="auto" w:fill="auto"/>
          </w:tcPr>
          <w:p w14:paraId="66B920CD" w14:textId="77777777" w:rsidR="00080F9D" w:rsidRPr="002C277C" w:rsidRDefault="00080F9D" w:rsidP="00F12682">
            <w:pPr>
              <w:spacing w:line="276" w:lineRule="auto"/>
              <w:jc w:val="right"/>
              <w:rPr>
                <w:rFonts w:ascii="Calibri" w:hAnsi="Calibri" w:cs="Calibri"/>
                <w:b/>
              </w:rPr>
            </w:pPr>
            <w:r w:rsidRPr="002C277C">
              <w:rPr>
                <w:rFonts w:ascii="Calibri" w:hAnsi="Calibri" w:cs="Calibri"/>
                <w:b/>
              </w:rPr>
              <w:t>20 418 525 249</w:t>
            </w:r>
          </w:p>
        </w:tc>
        <w:tc>
          <w:tcPr>
            <w:tcW w:w="2220" w:type="dxa"/>
            <w:shd w:val="clear" w:color="auto" w:fill="auto"/>
          </w:tcPr>
          <w:p w14:paraId="672C4019" w14:textId="77777777" w:rsidR="00080F9D" w:rsidRPr="002C277C" w:rsidRDefault="00080F9D" w:rsidP="00F12682">
            <w:pPr>
              <w:spacing w:line="276" w:lineRule="auto"/>
              <w:jc w:val="right"/>
              <w:rPr>
                <w:rFonts w:ascii="Calibri" w:hAnsi="Calibri" w:cs="Calibri"/>
                <w:b/>
              </w:rPr>
            </w:pPr>
            <w:r w:rsidRPr="002C277C">
              <w:rPr>
                <w:rFonts w:ascii="Calibri" w:hAnsi="Calibri" w:cs="Calibri"/>
                <w:b/>
              </w:rPr>
              <w:t>8 115 975 442</w:t>
            </w:r>
          </w:p>
        </w:tc>
        <w:tc>
          <w:tcPr>
            <w:tcW w:w="1893" w:type="dxa"/>
            <w:shd w:val="clear" w:color="auto" w:fill="auto"/>
          </w:tcPr>
          <w:p w14:paraId="27A3E0F1" w14:textId="77777777" w:rsidR="00080F9D" w:rsidRPr="002C277C" w:rsidRDefault="00080F9D" w:rsidP="00F12682">
            <w:pPr>
              <w:spacing w:line="276" w:lineRule="auto"/>
              <w:jc w:val="center"/>
              <w:rPr>
                <w:rFonts w:ascii="Calibri" w:hAnsi="Calibri" w:cs="Calibri"/>
                <w:b/>
              </w:rPr>
            </w:pPr>
            <w:r w:rsidRPr="002C277C">
              <w:rPr>
                <w:rFonts w:ascii="Calibri" w:hAnsi="Calibri" w:cs="Calibri"/>
                <w:b/>
              </w:rPr>
              <w:t>40%</w:t>
            </w:r>
          </w:p>
        </w:tc>
      </w:tr>
    </w:tbl>
    <w:p w14:paraId="59425DE8" w14:textId="77777777" w:rsidR="00080F9D" w:rsidRPr="009C2AAD" w:rsidRDefault="00080F9D" w:rsidP="00F12682">
      <w:pPr>
        <w:spacing w:line="276" w:lineRule="auto"/>
        <w:jc w:val="both"/>
        <w:rPr>
          <w:rFonts w:ascii="Calibri" w:hAnsi="Calibri" w:cs="Calibri"/>
          <w:sz w:val="18"/>
        </w:rPr>
      </w:pPr>
      <w:r w:rsidRPr="009C2AAD">
        <w:rPr>
          <w:rFonts w:ascii="Calibri" w:hAnsi="Calibri" w:cs="Calibri"/>
          <w:sz w:val="18"/>
          <w:u w:val="single"/>
        </w:rPr>
        <w:t>Source</w:t>
      </w:r>
      <w:r w:rsidRPr="009C2AAD">
        <w:rPr>
          <w:rFonts w:ascii="Calibri" w:hAnsi="Calibri" w:cs="Calibri"/>
          <w:sz w:val="18"/>
        </w:rPr>
        <w:t> : Situation des crédits du MF</w:t>
      </w:r>
    </w:p>
    <w:p w14:paraId="62195FED" w14:textId="77777777" w:rsidR="00080F9D" w:rsidRPr="009C2AAD" w:rsidRDefault="00080F9D" w:rsidP="00F12682">
      <w:pPr>
        <w:spacing w:line="276" w:lineRule="auto"/>
        <w:jc w:val="both"/>
        <w:rPr>
          <w:rFonts w:ascii="Calibri" w:hAnsi="Calibri" w:cs="Calibri"/>
          <w:sz w:val="24"/>
        </w:rPr>
      </w:pPr>
      <w:r w:rsidRPr="009C2AAD">
        <w:rPr>
          <w:rFonts w:ascii="Calibri" w:hAnsi="Calibri" w:cs="Calibri"/>
          <w:sz w:val="24"/>
        </w:rPr>
        <w:t>Il ressort que les crédits n’ont été consommés qu’à hauteur des 2/5ème. Mais ce ratio cache des disparités, car le tableau nous enseigne aussi les leçons suivantes :</w:t>
      </w:r>
    </w:p>
    <w:p w14:paraId="0281EE5A" w14:textId="43EFD85D"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l’excellent niveau d’exécution des dépenses de fonctionnement qui affichent un taux d</w:t>
      </w:r>
      <w:r w:rsidR="00215346">
        <w:rPr>
          <w:rFonts w:ascii="Calibri" w:eastAsiaTheme="majorEastAsia" w:hAnsi="Calibri" w:cs="Calibri"/>
          <w:iCs/>
          <w:sz w:val="24"/>
        </w:rPr>
        <w:t>’</w:t>
      </w:r>
      <w:r w:rsidRPr="009C2AAD">
        <w:rPr>
          <w:rFonts w:ascii="Calibri" w:eastAsiaTheme="majorEastAsia" w:hAnsi="Calibri" w:cs="Calibri"/>
          <w:iCs/>
          <w:sz w:val="24"/>
        </w:rPr>
        <w:t xml:space="preserve">exécution des 76% ; </w:t>
      </w:r>
    </w:p>
    <w:p w14:paraId="4DA1B1B6"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à contrario, le bas niveau de réalisation concerne les investissements avec 39%.</w:t>
      </w:r>
    </w:p>
    <w:p w14:paraId="4F2B63BE" w14:textId="77777777" w:rsidR="00080F9D" w:rsidRPr="009C2AAD" w:rsidRDefault="00080F9D" w:rsidP="00F12682">
      <w:pPr>
        <w:spacing w:line="276" w:lineRule="auto"/>
        <w:jc w:val="both"/>
        <w:rPr>
          <w:rFonts w:ascii="Calibri" w:hAnsi="Calibri" w:cs="Calibri"/>
          <w:sz w:val="24"/>
        </w:rPr>
      </w:pPr>
      <w:r w:rsidRPr="009C2AAD">
        <w:rPr>
          <w:rFonts w:ascii="Calibri" w:hAnsi="Calibri" w:cs="Calibri"/>
          <w:sz w:val="24"/>
        </w:rPr>
        <w:t xml:space="preserve">Toutefois, il faut noter qu’en valeur absolue, il se dégage que les investissements présentent une consommation équivalente à près de 8 milliards, contre des consommations pour le fonctionnement de 0,3 milliards. </w:t>
      </w:r>
    </w:p>
    <w:p w14:paraId="4E9E4B96" w14:textId="77777777" w:rsidR="00080F9D" w:rsidRPr="009C2AAD" w:rsidRDefault="00080F9D" w:rsidP="00F12682">
      <w:pPr>
        <w:spacing w:line="276" w:lineRule="auto"/>
        <w:jc w:val="both"/>
        <w:rPr>
          <w:rFonts w:ascii="Calibri" w:hAnsi="Calibri" w:cs="Calibri"/>
          <w:sz w:val="24"/>
        </w:rPr>
      </w:pPr>
      <w:r w:rsidRPr="009C2AAD">
        <w:rPr>
          <w:rFonts w:ascii="Calibri" w:hAnsi="Calibri" w:cs="Calibri"/>
          <w:sz w:val="24"/>
        </w:rPr>
        <w:t xml:space="preserve">Le volume important des crédits non consommés se justifie par </w:t>
      </w:r>
      <w:proofErr w:type="gramStart"/>
      <w:r w:rsidRPr="009C2AAD">
        <w:rPr>
          <w:rFonts w:ascii="Calibri" w:hAnsi="Calibri" w:cs="Calibri"/>
          <w:sz w:val="24"/>
        </w:rPr>
        <w:t>la</w:t>
      </w:r>
      <w:proofErr w:type="gramEnd"/>
      <w:r w:rsidRPr="009C2AAD">
        <w:rPr>
          <w:rFonts w:ascii="Calibri" w:hAnsi="Calibri" w:cs="Calibri"/>
          <w:sz w:val="24"/>
        </w:rPr>
        <w:t xml:space="preserve"> non libération des crédits du fait de la régulation budgétaire. La conséquence d’une telle situation est l’accumulation des arriérés. </w:t>
      </w:r>
    </w:p>
    <w:p w14:paraId="29C691FC" w14:textId="77777777" w:rsidR="00080F9D" w:rsidRPr="009C2AAD" w:rsidRDefault="00080F9D" w:rsidP="00F12682">
      <w:pPr>
        <w:spacing w:line="276" w:lineRule="auto"/>
        <w:jc w:val="both"/>
        <w:rPr>
          <w:rFonts w:ascii="Calibri" w:hAnsi="Calibri" w:cs="Calibri"/>
          <w:sz w:val="24"/>
        </w:rPr>
      </w:pPr>
      <w:r w:rsidRPr="009C2AAD">
        <w:rPr>
          <w:rFonts w:ascii="Calibri" w:hAnsi="Calibri" w:cs="Calibri"/>
          <w:sz w:val="24"/>
        </w:rPr>
        <w:t xml:space="preserve">Compte tenu de la pertinence des objectifs poursuivis par le DNPGCA, il serait souhaitable de considérer ses dépenses comme faisant partie des dépenses incompressibles. </w:t>
      </w:r>
    </w:p>
    <w:p w14:paraId="41DB37E1" w14:textId="77777777" w:rsidR="00080F9D" w:rsidRPr="009C2AAD" w:rsidRDefault="00080F9D" w:rsidP="00F12682">
      <w:pPr>
        <w:spacing w:line="276" w:lineRule="auto"/>
        <w:jc w:val="both"/>
        <w:rPr>
          <w:rFonts w:ascii="Calibri" w:hAnsi="Calibri" w:cs="Calibri"/>
          <w:sz w:val="24"/>
        </w:rPr>
      </w:pPr>
    </w:p>
    <w:p w14:paraId="11FB8995" w14:textId="77777777" w:rsidR="00080F9D" w:rsidRPr="00080F9D" w:rsidRDefault="00080F9D" w:rsidP="00F12682">
      <w:pPr>
        <w:pStyle w:val="Titre4"/>
        <w:rPr>
          <w:rFonts w:asciiTheme="minorHAnsi" w:hAnsiTheme="minorHAnsi" w:cstheme="minorHAnsi"/>
        </w:rPr>
      </w:pPr>
      <w:r w:rsidRPr="00080F9D">
        <w:rPr>
          <w:rFonts w:asciiTheme="minorHAnsi" w:hAnsiTheme="minorHAnsi" w:cstheme="minorHAnsi"/>
        </w:rPr>
        <w:t>Analyse de la capacité d’absorption des financements</w:t>
      </w:r>
    </w:p>
    <w:p w14:paraId="79D9E09B" w14:textId="77777777" w:rsidR="00080F9D" w:rsidRPr="009C2AAD" w:rsidRDefault="00080F9D" w:rsidP="00F12682">
      <w:pPr>
        <w:spacing w:line="276" w:lineRule="auto"/>
        <w:jc w:val="both"/>
        <w:rPr>
          <w:rFonts w:ascii="Calibri" w:hAnsi="Calibri" w:cs="Calibri"/>
          <w:sz w:val="24"/>
        </w:rPr>
      </w:pPr>
      <w:r w:rsidRPr="009C2AAD">
        <w:rPr>
          <w:rFonts w:ascii="Calibri" w:hAnsi="Calibri" w:cs="Calibri"/>
          <w:sz w:val="24"/>
        </w:rPr>
        <w:t xml:space="preserve">Selon les informations recueillies auprès des services du DNPGCA, les crédits qui leur ont été libérés en 2016, ont été quasiment consommés. </w:t>
      </w:r>
    </w:p>
    <w:p w14:paraId="368AA574" w14:textId="77777777" w:rsidR="00080F9D" w:rsidRPr="009C2AAD" w:rsidRDefault="00080F9D" w:rsidP="00F12682">
      <w:pPr>
        <w:spacing w:line="276" w:lineRule="auto"/>
        <w:jc w:val="both"/>
        <w:rPr>
          <w:rFonts w:ascii="Calibri" w:hAnsi="Calibri" w:cs="Calibri"/>
          <w:sz w:val="24"/>
        </w:rPr>
      </w:pPr>
      <w:r w:rsidRPr="009C2AAD">
        <w:rPr>
          <w:rFonts w:ascii="Calibri" w:hAnsi="Calibri" w:cs="Calibri"/>
          <w:sz w:val="24"/>
        </w:rPr>
        <w:t xml:space="preserve">Par ailleurs, pour les fonds extérieurs, les réalisations tournent autour de 90%, du fait de la mobilisation intervenue au cours du dernier trimestre de l’année 2016.  En effet, pour les PTF </w:t>
      </w:r>
      <w:r w:rsidRPr="009C2AAD">
        <w:rPr>
          <w:rFonts w:ascii="Calibri" w:hAnsi="Calibri" w:cs="Calibri"/>
          <w:sz w:val="24"/>
        </w:rPr>
        <w:lastRenderedPageBreak/>
        <w:t xml:space="preserve">traditionnels, les conventions ayant été renouvelées en cours d’année, les fonds n’ont pu être mis à disposition qu’après satisfaction de certaines formalités. </w:t>
      </w:r>
    </w:p>
    <w:p w14:paraId="7FFA1274" w14:textId="66D9141A" w:rsidR="00080F9D" w:rsidRDefault="00080F9D" w:rsidP="00F12682">
      <w:pPr>
        <w:spacing w:line="276" w:lineRule="auto"/>
        <w:jc w:val="both"/>
        <w:rPr>
          <w:rFonts w:ascii="Calibri" w:hAnsi="Calibri" w:cs="Calibri"/>
          <w:sz w:val="24"/>
        </w:rPr>
      </w:pPr>
      <w:r w:rsidRPr="009C2AAD">
        <w:rPr>
          <w:rFonts w:ascii="Calibri" w:hAnsi="Calibri" w:cs="Calibri"/>
          <w:sz w:val="24"/>
        </w:rPr>
        <w:t>Toujours est-il que globalement, les services ont fait preuve de capacité d’absorption avec une absorption gl</w:t>
      </w:r>
      <w:r w:rsidR="00215346">
        <w:rPr>
          <w:rFonts w:ascii="Calibri" w:hAnsi="Calibri" w:cs="Calibri"/>
          <w:sz w:val="24"/>
        </w:rPr>
        <w:t>obale des fonds qui est de 95%.</w:t>
      </w:r>
    </w:p>
    <w:p w14:paraId="1DDE0810" w14:textId="77777777" w:rsidR="00CD7123" w:rsidRPr="009C2AAD" w:rsidRDefault="00CD7123" w:rsidP="00F12682">
      <w:pPr>
        <w:spacing w:after="120" w:line="276" w:lineRule="auto"/>
        <w:jc w:val="both"/>
        <w:rPr>
          <w:rFonts w:ascii="Calibri" w:eastAsiaTheme="majorEastAsia" w:hAnsi="Calibri" w:cs="Calibri"/>
          <w:iCs/>
          <w:sz w:val="24"/>
        </w:rPr>
      </w:pPr>
    </w:p>
    <w:p w14:paraId="69E80794" w14:textId="77777777" w:rsidR="00CD7123" w:rsidRPr="00080F9D" w:rsidRDefault="00CD7123" w:rsidP="00F12682">
      <w:pPr>
        <w:pStyle w:val="Titre4"/>
        <w:rPr>
          <w:rFonts w:asciiTheme="minorHAnsi" w:hAnsiTheme="minorHAnsi" w:cstheme="minorHAnsi"/>
        </w:rPr>
      </w:pPr>
      <w:r w:rsidRPr="00080F9D">
        <w:rPr>
          <w:rFonts w:asciiTheme="minorHAnsi" w:hAnsiTheme="minorHAnsi" w:cstheme="minorHAnsi"/>
        </w:rPr>
        <w:t>Analyse de la performance et l’incidence de diverses sources de financement</w:t>
      </w:r>
    </w:p>
    <w:p w14:paraId="0577BAB2" w14:textId="77777777" w:rsidR="00CD7123" w:rsidRPr="009C2AAD" w:rsidRDefault="00CD7123" w:rsidP="00F12682">
      <w:pPr>
        <w:spacing w:after="120" w:line="276" w:lineRule="auto"/>
        <w:jc w:val="both"/>
        <w:rPr>
          <w:rFonts w:ascii="Calibri" w:eastAsiaTheme="majorEastAsia" w:hAnsi="Calibri" w:cs="Calibri"/>
          <w:iCs/>
          <w:sz w:val="24"/>
        </w:rPr>
      </w:pPr>
      <w:r w:rsidRPr="009C2AAD">
        <w:rPr>
          <w:rFonts w:ascii="Calibri" w:eastAsiaTheme="majorEastAsia" w:hAnsi="Calibri" w:cs="Calibri"/>
          <w:iCs/>
          <w:sz w:val="24"/>
        </w:rPr>
        <w:t>Sur la base des informations contenue à page 36 du rapport annuel d’activités 2016 du DNPGCA, la contribution des différents bailleurs à l’exécution des activités de la structure se présente selon le graphique suivant :</w:t>
      </w:r>
    </w:p>
    <w:p w14:paraId="5D41F0CA" w14:textId="77777777" w:rsidR="00CD7123" w:rsidRPr="009C2AAD" w:rsidRDefault="00CD7123" w:rsidP="00F12682">
      <w:pPr>
        <w:pStyle w:val="Lgende"/>
        <w:rPr>
          <w:rFonts w:eastAsiaTheme="majorEastAsia" w:cs="Calibri"/>
          <w:iCs w:val="0"/>
        </w:rPr>
      </w:pPr>
      <w:bookmarkStart w:id="152" w:name="_Toc529305111"/>
      <w:r>
        <w:t xml:space="preserve">Graphique </w:t>
      </w:r>
      <w:r>
        <w:rPr>
          <w:noProof/>
        </w:rPr>
        <w:fldChar w:fldCharType="begin"/>
      </w:r>
      <w:r>
        <w:rPr>
          <w:noProof/>
        </w:rPr>
        <w:instrText xml:space="preserve"> SEQ Graphique \* ARABIC </w:instrText>
      </w:r>
      <w:r>
        <w:rPr>
          <w:noProof/>
        </w:rPr>
        <w:fldChar w:fldCharType="separate"/>
      </w:r>
      <w:r w:rsidR="001C37F0">
        <w:rPr>
          <w:noProof/>
        </w:rPr>
        <w:t>7</w:t>
      </w:r>
      <w:r>
        <w:rPr>
          <w:noProof/>
        </w:rPr>
        <w:fldChar w:fldCharType="end"/>
      </w:r>
      <w:r w:rsidRPr="009C2AAD">
        <w:rPr>
          <w:rFonts w:eastAsiaTheme="majorEastAsia" w:cs="Calibri"/>
        </w:rPr>
        <w:t> : Réparation par source de financement de l’exécution financière du DNPGCA</w:t>
      </w:r>
      <w:r>
        <w:rPr>
          <w:rFonts w:eastAsiaTheme="majorEastAsia" w:cs="Calibri"/>
        </w:rPr>
        <w:t xml:space="preserve"> en 2016</w:t>
      </w:r>
      <w:bookmarkEnd w:id="152"/>
    </w:p>
    <w:p w14:paraId="45BF6314" w14:textId="77777777" w:rsidR="00CD7123" w:rsidRPr="009C2AAD" w:rsidRDefault="00CD7123" w:rsidP="00F12682">
      <w:pPr>
        <w:spacing w:after="120" w:line="276" w:lineRule="auto"/>
        <w:jc w:val="both"/>
        <w:rPr>
          <w:rFonts w:ascii="Calibri" w:eastAsiaTheme="majorEastAsia" w:hAnsi="Calibri" w:cs="Calibri"/>
          <w:iCs/>
          <w:sz w:val="24"/>
        </w:rPr>
      </w:pPr>
      <w:r w:rsidRPr="009C2AAD">
        <w:rPr>
          <w:rFonts w:ascii="Calibri" w:eastAsiaTheme="majorEastAsia" w:hAnsi="Calibri" w:cs="Calibri"/>
          <w:iCs/>
          <w:noProof/>
          <w:sz w:val="24"/>
          <w:lang w:eastAsia="fr-FR"/>
        </w:rPr>
        <w:drawing>
          <wp:inline distT="0" distB="0" distL="0" distR="0" wp14:anchorId="68F7FDBE" wp14:editId="0CCE44B5">
            <wp:extent cx="3371850" cy="2743200"/>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A48CD1B" w14:textId="77777777" w:rsidR="00CD7123" w:rsidRPr="009C2AAD" w:rsidRDefault="00CD7123" w:rsidP="00F12682">
      <w:pPr>
        <w:spacing w:after="120" w:line="276" w:lineRule="auto"/>
        <w:jc w:val="both"/>
        <w:rPr>
          <w:rFonts w:ascii="Calibri" w:eastAsiaTheme="majorEastAsia" w:hAnsi="Calibri" w:cs="Calibri"/>
          <w:iCs/>
          <w:sz w:val="18"/>
        </w:rPr>
      </w:pPr>
      <w:r w:rsidRPr="009C2AAD">
        <w:rPr>
          <w:rFonts w:ascii="Calibri" w:eastAsiaTheme="majorEastAsia" w:hAnsi="Calibri" w:cs="Calibri"/>
          <w:iCs/>
          <w:sz w:val="18"/>
          <w:u w:val="single"/>
        </w:rPr>
        <w:t>Source</w:t>
      </w:r>
      <w:r w:rsidRPr="009C2AAD">
        <w:rPr>
          <w:rFonts w:ascii="Calibri" w:eastAsiaTheme="majorEastAsia" w:hAnsi="Calibri" w:cs="Calibri"/>
          <w:iCs/>
          <w:sz w:val="18"/>
        </w:rPr>
        <w:t> : Rapport annuel d’activités 2016 du DNPGCA</w:t>
      </w:r>
    </w:p>
    <w:p w14:paraId="4282DC04" w14:textId="11C1D544" w:rsidR="00CD7123" w:rsidRPr="009C2AAD" w:rsidRDefault="00CD7123" w:rsidP="00F12682">
      <w:pPr>
        <w:spacing w:after="120" w:line="276" w:lineRule="auto"/>
        <w:jc w:val="both"/>
        <w:rPr>
          <w:rFonts w:ascii="Calibri" w:eastAsiaTheme="majorEastAsia" w:hAnsi="Calibri" w:cs="Calibri"/>
          <w:iCs/>
          <w:sz w:val="24"/>
        </w:rPr>
      </w:pPr>
      <w:r w:rsidRPr="009C2AAD">
        <w:rPr>
          <w:rFonts w:ascii="Calibri" w:eastAsiaTheme="majorEastAsia" w:hAnsi="Calibri" w:cs="Calibri"/>
          <w:iCs/>
          <w:sz w:val="24"/>
        </w:rPr>
        <w:t>Il ressort de ce graphique que le dépenses ont été quasiment assurées par l’extérieur qui a fourni 98% des sommes, soit dans le cadre du Fonds Commun (89%) ou en dehors du Fonds Commun (9%). Cette situation symbolise la volonté des PTF à appuyer l’Etat du Niger dans la lutte l’insécurité alimentaire. La conséquence d’une telle situation est la multitude de procédures ; ce qui entraine des difficultés dans l’exécution des fonds voire le risque de se retrouver avec des dépenses inéligibles, en cas d’audit.</w:t>
      </w:r>
    </w:p>
    <w:p w14:paraId="313F6AFB" w14:textId="77777777" w:rsidR="00CD7123" w:rsidRDefault="00CD7123" w:rsidP="00F12682">
      <w:pPr>
        <w:spacing w:after="120" w:line="276" w:lineRule="auto"/>
        <w:jc w:val="both"/>
        <w:rPr>
          <w:rFonts w:ascii="Calibri" w:eastAsiaTheme="majorEastAsia" w:hAnsi="Calibri" w:cs="Calibri"/>
          <w:iCs/>
          <w:sz w:val="24"/>
        </w:rPr>
      </w:pPr>
      <w:r w:rsidRPr="009C2AAD">
        <w:rPr>
          <w:rFonts w:ascii="Calibri" w:eastAsiaTheme="majorEastAsia" w:hAnsi="Calibri" w:cs="Calibri"/>
          <w:iCs/>
          <w:sz w:val="24"/>
        </w:rPr>
        <w:t>Pour ce faire nous suggérons l’élaboration d’un manuel unique de procédures unique.</w:t>
      </w:r>
    </w:p>
    <w:p w14:paraId="7E679557" w14:textId="77777777" w:rsidR="00215346" w:rsidRPr="009C2AAD" w:rsidRDefault="00215346" w:rsidP="00F12682">
      <w:pPr>
        <w:spacing w:line="276" w:lineRule="auto"/>
        <w:jc w:val="both"/>
        <w:rPr>
          <w:rFonts w:ascii="Calibri" w:hAnsi="Calibri" w:cs="Calibri"/>
          <w:sz w:val="24"/>
        </w:rPr>
      </w:pPr>
    </w:p>
    <w:p w14:paraId="7D5DBFA6" w14:textId="77777777" w:rsidR="00080F9D" w:rsidRPr="00080F9D" w:rsidRDefault="00080F9D" w:rsidP="00F12682">
      <w:pPr>
        <w:pStyle w:val="Titre4"/>
        <w:rPr>
          <w:rFonts w:asciiTheme="minorHAnsi" w:hAnsiTheme="minorHAnsi" w:cstheme="minorHAnsi"/>
        </w:rPr>
      </w:pPr>
      <w:r w:rsidRPr="00080F9D">
        <w:rPr>
          <w:rFonts w:asciiTheme="minorHAnsi" w:hAnsiTheme="minorHAnsi" w:cstheme="minorHAnsi"/>
        </w:rPr>
        <w:t>Synthèses des forces et faiblesses, perspectives d’amélioration</w:t>
      </w:r>
    </w:p>
    <w:p w14:paraId="108E4CBA" w14:textId="77777777" w:rsidR="00080F9D" w:rsidRPr="009C2AAD" w:rsidRDefault="00080F9D" w:rsidP="00F12682">
      <w:pPr>
        <w:spacing w:line="276" w:lineRule="auto"/>
        <w:jc w:val="both"/>
        <w:rPr>
          <w:rFonts w:ascii="Calibri" w:hAnsi="Calibri" w:cs="Calibri"/>
          <w:sz w:val="24"/>
        </w:rPr>
      </w:pPr>
      <w:r w:rsidRPr="009C2AAD">
        <w:rPr>
          <w:rFonts w:ascii="Calibri" w:hAnsi="Calibri" w:cs="Calibri"/>
          <w:sz w:val="24"/>
        </w:rPr>
        <w:t xml:space="preserve">Relativement à ce point, nous tirons, pour l’essentiel, les enseignements suivants : </w:t>
      </w:r>
    </w:p>
    <w:p w14:paraId="3E223424" w14:textId="4D7FB30B" w:rsidR="00080F9D" w:rsidRPr="009C2AAD" w:rsidRDefault="00080F9D" w:rsidP="00F12682">
      <w:pPr>
        <w:spacing w:line="276" w:lineRule="auto"/>
        <w:jc w:val="both"/>
        <w:rPr>
          <w:rFonts w:ascii="Calibri" w:hAnsi="Calibri" w:cs="Calibri"/>
          <w:b/>
          <w:sz w:val="24"/>
        </w:rPr>
      </w:pPr>
      <w:r w:rsidRPr="009C2AAD">
        <w:rPr>
          <w:rFonts w:ascii="Calibri" w:hAnsi="Calibri" w:cs="Calibri"/>
          <w:b/>
          <w:sz w:val="24"/>
        </w:rPr>
        <w:t>Points forts :</w:t>
      </w:r>
    </w:p>
    <w:p w14:paraId="4137283D"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cadre organisationnel bien défini : les tâches sont clairement déterminées pour toutes les structures constitutives du DNPGCA ;</w:t>
      </w:r>
    </w:p>
    <w:p w14:paraId="7C0F79DC" w14:textId="77777777" w:rsidR="00080F9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lastRenderedPageBreak/>
        <w:t>volonté des PTF à appuyer le Niger en matière de sécurité alimentaire.</w:t>
      </w:r>
    </w:p>
    <w:p w14:paraId="62C03AAF" w14:textId="77777777" w:rsidR="009C2AAD" w:rsidRPr="009C2AAD" w:rsidRDefault="009C2AAD" w:rsidP="00F12682">
      <w:pPr>
        <w:spacing w:after="120" w:line="276" w:lineRule="auto"/>
        <w:jc w:val="both"/>
        <w:rPr>
          <w:rFonts w:ascii="Calibri" w:eastAsiaTheme="majorEastAsia" w:hAnsi="Calibri" w:cs="Calibri"/>
          <w:iCs/>
          <w:sz w:val="24"/>
        </w:rPr>
      </w:pPr>
    </w:p>
    <w:p w14:paraId="78C2D49F" w14:textId="52EC477F" w:rsidR="00080F9D" w:rsidRPr="009C2AAD" w:rsidRDefault="00080F9D" w:rsidP="00F12682">
      <w:pPr>
        <w:spacing w:line="276" w:lineRule="auto"/>
        <w:jc w:val="both"/>
        <w:rPr>
          <w:rFonts w:ascii="Calibri" w:hAnsi="Calibri" w:cs="Calibri"/>
          <w:b/>
          <w:sz w:val="24"/>
        </w:rPr>
      </w:pPr>
      <w:r w:rsidRPr="009C2AAD">
        <w:rPr>
          <w:rFonts w:ascii="Calibri" w:hAnsi="Calibri" w:cs="Calibri"/>
          <w:b/>
          <w:sz w:val="24"/>
        </w:rPr>
        <w:t>Points à améliorer :</w:t>
      </w:r>
    </w:p>
    <w:p w14:paraId="6563C096"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disfonctionnement organisationnel qui ne favorise pas une bonne mise en œuvre du plan triennal ;</w:t>
      </w:r>
    </w:p>
    <w:p w14:paraId="3EE018D4"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existence de plusieurs procédures ce qui constitue un frein dans l’exécution des activités ;</w:t>
      </w:r>
    </w:p>
    <w:p w14:paraId="36254ACB"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absence de stratégie commune de communication fiable du DNPGCA avec les autres structures partenaires ;</w:t>
      </w:r>
    </w:p>
    <w:p w14:paraId="4FB3160D"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faible capacité en production des bilans techniques et financiers ;</w:t>
      </w:r>
    </w:p>
    <w:p w14:paraId="2461D56E"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absence à l’interne d’outils de suivi et évaluation des activités ;</w:t>
      </w:r>
    </w:p>
    <w:p w14:paraId="5845953B"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insuffisance de dynamisme et de synergie pour rendre opérationnel et améliorer la coordination du DNPGCA tant au niveau central que régional ;</w:t>
      </w:r>
    </w:p>
    <w:p w14:paraId="007AE216" w14:textId="77777777" w:rsidR="00080F9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insuffisance de coordination avec les acteurs sectoriels.</w:t>
      </w:r>
    </w:p>
    <w:p w14:paraId="0E7CBD7A" w14:textId="77777777" w:rsidR="009C2AAD" w:rsidRPr="009C2AAD" w:rsidRDefault="009C2AAD" w:rsidP="00F12682">
      <w:pPr>
        <w:spacing w:after="120" w:line="276" w:lineRule="auto"/>
        <w:jc w:val="both"/>
        <w:rPr>
          <w:rFonts w:ascii="Calibri" w:eastAsiaTheme="majorEastAsia" w:hAnsi="Calibri" w:cs="Calibri"/>
          <w:iCs/>
          <w:sz w:val="24"/>
        </w:rPr>
      </w:pPr>
    </w:p>
    <w:p w14:paraId="05401DD1" w14:textId="0148D92D" w:rsidR="00080F9D" w:rsidRPr="009C2AAD" w:rsidRDefault="00080F9D" w:rsidP="00F12682">
      <w:pPr>
        <w:spacing w:line="276" w:lineRule="auto"/>
        <w:jc w:val="both"/>
        <w:rPr>
          <w:rFonts w:ascii="Calibri" w:hAnsi="Calibri" w:cs="Calibri"/>
          <w:b/>
          <w:sz w:val="24"/>
        </w:rPr>
      </w:pPr>
      <w:r w:rsidRPr="009C2AAD">
        <w:rPr>
          <w:rFonts w:ascii="Calibri" w:hAnsi="Calibri" w:cs="Calibri"/>
          <w:b/>
          <w:sz w:val="24"/>
        </w:rPr>
        <w:t>Perspectives d’amélioration :</w:t>
      </w:r>
    </w:p>
    <w:p w14:paraId="07C49AC5"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l’élaboration du Plan Triennal, car il permet de savoir à terme les actions à mener ;</w:t>
      </w:r>
    </w:p>
    <w:p w14:paraId="1C722D40" w14:textId="77777777" w:rsidR="00080F9D" w:rsidRPr="009C2AAD" w:rsidRDefault="00080F9D" w:rsidP="00F12682">
      <w:pPr>
        <w:pStyle w:val="Paragraphedeliste"/>
        <w:numPr>
          <w:ilvl w:val="0"/>
          <w:numId w:val="26"/>
        </w:numPr>
        <w:spacing w:after="120" w:line="276" w:lineRule="auto"/>
        <w:ind w:left="567" w:hanging="210"/>
        <w:contextualSpacing w:val="0"/>
        <w:jc w:val="both"/>
        <w:rPr>
          <w:rFonts w:ascii="Calibri" w:eastAsiaTheme="majorEastAsia" w:hAnsi="Calibri" w:cs="Calibri"/>
          <w:iCs/>
          <w:sz w:val="24"/>
        </w:rPr>
      </w:pPr>
      <w:r w:rsidRPr="009C2AAD">
        <w:rPr>
          <w:rFonts w:ascii="Calibri" w:eastAsiaTheme="majorEastAsia" w:hAnsi="Calibri" w:cs="Calibri"/>
          <w:iCs/>
          <w:sz w:val="24"/>
        </w:rPr>
        <w:t>l’avènement du budget programme pourrait entrainer plus de réalisme dans la préparation du budget et des souplesses dans la consommation des crédits.</w:t>
      </w:r>
    </w:p>
    <w:p w14:paraId="13B1604D" w14:textId="77777777" w:rsidR="003A0923" w:rsidRDefault="003A0923" w:rsidP="00F12682"/>
    <w:p w14:paraId="3457E06D" w14:textId="77777777" w:rsidR="00942A9B" w:rsidRDefault="00942A9B" w:rsidP="00F12682"/>
    <w:p w14:paraId="00C25200" w14:textId="0CD919B2" w:rsidR="007F358B" w:rsidRDefault="007F358B" w:rsidP="00F12682">
      <w:pPr>
        <w:pStyle w:val="Titre3"/>
        <w:numPr>
          <w:ilvl w:val="2"/>
          <w:numId w:val="3"/>
        </w:numPr>
        <w:rPr>
          <w:rFonts w:asciiTheme="minorHAnsi" w:hAnsiTheme="minorHAnsi" w:cstheme="minorHAnsi"/>
        </w:rPr>
      </w:pPr>
      <w:bookmarkStart w:id="153" w:name="_Toc529305037"/>
      <w:r w:rsidRPr="007F358B">
        <w:rPr>
          <w:rFonts w:asciiTheme="minorHAnsi" w:hAnsiTheme="minorHAnsi" w:cstheme="minorHAnsi"/>
        </w:rPr>
        <w:t>Ministère des Actions humanitaires et de la Gestion des Catastrophes (MAH/GC)</w:t>
      </w:r>
      <w:bookmarkEnd w:id="153"/>
    </w:p>
    <w:p w14:paraId="0DB28B46"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l’évolution et de la pertinence des allocations budgétaires du secteur (financement global) par rapport aux priorités</w:t>
      </w:r>
    </w:p>
    <w:p w14:paraId="2B78BE38" w14:textId="5A5C8594" w:rsidR="007F358B" w:rsidRPr="00E51AB3" w:rsidRDefault="0015471F" w:rsidP="00F12682">
      <w:pPr>
        <w:spacing w:after="120" w:line="276" w:lineRule="auto"/>
        <w:jc w:val="both"/>
        <w:rPr>
          <w:rFonts w:ascii="Calibri" w:eastAsiaTheme="majorEastAsia" w:hAnsi="Calibri" w:cs="Calibri"/>
          <w:iCs/>
          <w:sz w:val="24"/>
        </w:rPr>
      </w:pPr>
      <w:r w:rsidRPr="0015471F">
        <w:rPr>
          <w:rFonts w:ascii="Calibri" w:eastAsiaTheme="majorEastAsia" w:hAnsi="Calibri" w:cs="Calibri"/>
          <w:iCs/>
          <w:sz w:val="24"/>
        </w:rPr>
        <w:t>Le MAH/GC étant créé en 2016, il n’y a pas de base pour apprécier l’évolution des allocations budgétaires.</w:t>
      </w:r>
    </w:p>
    <w:p w14:paraId="11A002BA" w14:textId="77777777" w:rsidR="007F358B" w:rsidRDefault="007F358B" w:rsidP="00F12682">
      <w:pPr>
        <w:spacing w:after="120" w:line="276" w:lineRule="auto"/>
        <w:jc w:val="both"/>
        <w:rPr>
          <w:rFonts w:ascii="Calibri" w:eastAsiaTheme="majorEastAsia" w:hAnsi="Calibri" w:cs="Calibri"/>
          <w:iCs/>
          <w:sz w:val="24"/>
        </w:rPr>
      </w:pPr>
    </w:p>
    <w:p w14:paraId="4295440E"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l’exécution des dépenses par rapports aux prévisions</w:t>
      </w:r>
    </w:p>
    <w:p w14:paraId="6601ED9C" w14:textId="4861D89F" w:rsidR="008C4721" w:rsidRDefault="00711691" w:rsidP="00F12682">
      <w:pPr>
        <w:spacing w:after="120" w:line="276" w:lineRule="auto"/>
        <w:jc w:val="both"/>
        <w:rPr>
          <w:rFonts w:ascii="Calibri" w:eastAsiaTheme="majorEastAsia" w:hAnsi="Calibri" w:cs="Calibri"/>
          <w:iCs/>
          <w:sz w:val="24"/>
        </w:rPr>
      </w:pPr>
      <w:r w:rsidRPr="0022543C">
        <w:rPr>
          <w:rFonts w:ascii="Calibri" w:eastAsiaTheme="majorEastAsia" w:hAnsi="Calibri" w:cs="Calibri"/>
          <w:iCs/>
          <w:sz w:val="24"/>
        </w:rPr>
        <w:t>Au titre d l’année 2016, le MAH/GC a bénéficié de crédits sur deux (2) rubriques budgétaires pour les dépenses de fonctionnement, d’une part, et d’investissement administratif, d’autre part. L’état d’exécution se présente selon le tableau suivant.</w:t>
      </w:r>
      <w:r w:rsidR="008C4721" w:rsidRPr="0022543C">
        <w:rPr>
          <w:rFonts w:ascii="Calibri" w:eastAsiaTheme="majorEastAsia" w:hAnsi="Calibri" w:cs="Calibri"/>
          <w:iCs/>
          <w:sz w:val="24"/>
        </w:rPr>
        <w:t xml:space="preserve"> Il ressort de ce tableau que les dépenses liées aux charges de personnel et aux subventions n’apparaissent pas au niveau du MAH/GC. L’explication fondamentale est le fait que le Ministère venait d’être créé, donc le personnel émargeait ailleurs et il n’y a pas d’établisseme</w:t>
      </w:r>
      <w:r w:rsidR="0022543C">
        <w:rPr>
          <w:rFonts w:ascii="Calibri" w:eastAsiaTheme="majorEastAsia" w:hAnsi="Calibri" w:cs="Calibri"/>
          <w:iCs/>
          <w:sz w:val="24"/>
        </w:rPr>
        <w:t>nt public qui lui est rattaché.</w:t>
      </w:r>
    </w:p>
    <w:p w14:paraId="4FD8B9EF" w14:textId="77777777" w:rsidR="0022543C" w:rsidRPr="0022543C" w:rsidRDefault="0022543C" w:rsidP="00F12682">
      <w:pPr>
        <w:spacing w:after="120" w:line="276" w:lineRule="auto"/>
        <w:jc w:val="both"/>
        <w:rPr>
          <w:rFonts w:ascii="Calibri" w:eastAsiaTheme="majorEastAsia" w:hAnsi="Calibri" w:cs="Calibri"/>
          <w:iCs/>
          <w:sz w:val="24"/>
        </w:rPr>
      </w:pPr>
    </w:p>
    <w:p w14:paraId="32AFA1AC" w14:textId="7452CE52" w:rsidR="00711691" w:rsidRPr="00522678" w:rsidRDefault="00711691" w:rsidP="00F12682">
      <w:pPr>
        <w:pStyle w:val="Lgende"/>
        <w:rPr>
          <w:rFonts w:eastAsiaTheme="majorEastAsia" w:cs="Calibri"/>
          <w:iCs w:val="0"/>
        </w:rPr>
      </w:pPr>
      <w:bookmarkStart w:id="154" w:name="_Toc529305087"/>
      <w:r>
        <w:lastRenderedPageBreak/>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33</w:t>
      </w:r>
      <w:r w:rsidR="00A773EB">
        <w:rPr>
          <w:noProof/>
        </w:rPr>
        <w:fldChar w:fldCharType="end"/>
      </w:r>
      <w:r w:rsidRPr="00522678">
        <w:rPr>
          <w:rFonts w:eastAsiaTheme="majorEastAsia" w:cs="Calibri"/>
          <w:iCs w:val="0"/>
        </w:rPr>
        <w:t xml:space="preserve"> : Etat d’exécution des crédits </w:t>
      </w:r>
      <w:r w:rsidR="00266848">
        <w:rPr>
          <w:rFonts w:eastAsiaTheme="majorEastAsia" w:cs="Calibri"/>
          <w:iCs w:val="0"/>
        </w:rPr>
        <w:t>votés</w:t>
      </w:r>
      <w:r w:rsidRPr="00522678">
        <w:rPr>
          <w:rFonts w:eastAsiaTheme="majorEastAsia" w:cs="Calibri"/>
          <w:iCs w:val="0"/>
        </w:rPr>
        <w:t xml:space="preserve"> au MAH/GC en 2016</w:t>
      </w:r>
      <w:bookmarkEnd w:id="154"/>
    </w:p>
    <w:tbl>
      <w:tblPr>
        <w:tblStyle w:val="Grilledutableau"/>
        <w:tblW w:w="5000" w:type="pct"/>
        <w:tblLook w:val="04A0" w:firstRow="1" w:lastRow="0" w:firstColumn="1" w:lastColumn="0" w:noHBand="0" w:noVBand="1"/>
      </w:tblPr>
      <w:tblGrid>
        <w:gridCol w:w="2695"/>
        <w:gridCol w:w="2193"/>
        <w:gridCol w:w="2268"/>
        <w:gridCol w:w="2472"/>
      </w:tblGrid>
      <w:tr w:rsidR="00CD7123" w:rsidRPr="00522678" w14:paraId="5BABF24A" w14:textId="77777777" w:rsidTr="00226F3F">
        <w:tc>
          <w:tcPr>
            <w:tcW w:w="1399" w:type="pct"/>
            <w:shd w:val="clear" w:color="auto" w:fill="auto"/>
            <w:vAlign w:val="center"/>
          </w:tcPr>
          <w:p w14:paraId="16DA0C51" w14:textId="77777777" w:rsidR="00CD7123" w:rsidRPr="00522678" w:rsidRDefault="00CD7123" w:rsidP="00F12682">
            <w:pPr>
              <w:jc w:val="center"/>
              <w:rPr>
                <w:b/>
                <w:sz w:val="20"/>
              </w:rPr>
            </w:pPr>
            <w:r w:rsidRPr="00522678">
              <w:rPr>
                <w:b/>
                <w:sz w:val="20"/>
              </w:rPr>
              <w:t>Désignations</w:t>
            </w:r>
          </w:p>
        </w:tc>
        <w:tc>
          <w:tcPr>
            <w:tcW w:w="1139" w:type="pct"/>
            <w:shd w:val="clear" w:color="auto" w:fill="auto"/>
            <w:vAlign w:val="center"/>
          </w:tcPr>
          <w:p w14:paraId="4617482E" w14:textId="77777777" w:rsidR="00CD7123" w:rsidRPr="00522678" w:rsidRDefault="00CD7123" w:rsidP="00F12682">
            <w:pPr>
              <w:jc w:val="center"/>
              <w:rPr>
                <w:b/>
                <w:sz w:val="20"/>
              </w:rPr>
            </w:pPr>
            <w:r w:rsidRPr="00522678">
              <w:rPr>
                <w:b/>
                <w:sz w:val="20"/>
              </w:rPr>
              <w:t>Crédits votés</w:t>
            </w:r>
          </w:p>
        </w:tc>
        <w:tc>
          <w:tcPr>
            <w:tcW w:w="1178" w:type="pct"/>
            <w:shd w:val="clear" w:color="auto" w:fill="auto"/>
            <w:vAlign w:val="center"/>
          </w:tcPr>
          <w:p w14:paraId="52168831" w14:textId="77777777" w:rsidR="00CD7123" w:rsidRPr="00522678" w:rsidRDefault="00CD7123" w:rsidP="00F12682">
            <w:pPr>
              <w:jc w:val="center"/>
              <w:rPr>
                <w:b/>
                <w:sz w:val="20"/>
              </w:rPr>
            </w:pPr>
            <w:r w:rsidRPr="00522678">
              <w:rPr>
                <w:b/>
                <w:sz w:val="20"/>
              </w:rPr>
              <w:t>Crédits consommés</w:t>
            </w:r>
          </w:p>
        </w:tc>
        <w:tc>
          <w:tcPr>
            <w:tcW w:w="1284" w:type="pct"/>
            <w:shd w:val="clear" w:color="auto" w:fill="auto"/>
            <w:vAlign w:val="center"/>
          </w:tcPr>
          <w:p w14:paraId="4573ABB3" w14:textId="77777777" w:rsidR="00CD7123" w:rsidRPr="00522678" w:rsidRDefault="00CD7123" w:rsidP="00F12682">
            <w:pPr>
              <w:jc w:val="center"/>
              <w:rPr>
                <w:b/>
                <w:sz w:val="20"/>
              </w:rPr>
            </w:pPr>
            <w:r w:rsidRPr="00522678">
              <w:rPr>
                <w:b/>
                <w:sz w:val="20"/>
              </w:rPr>
              <w:t>Taux de consommation</w:t>
            </w:r>
          </w:p>
        </w:tc>
      </w:tr>
      <w:tr w:rsidR="00CD7123" w14:paraId="24CC5C96" w14:textId="77777777" w:rsidTr="00226F3F">
        <w:tc>
          <w:tcPr>
            <w:tcW w:w="1399" w:type="pct"/>
            <w:shd w:val="clear" w:color="auto" w:fill="auto"/>
          </w:tcPr>
          <w:p w14:paraId="6E7ADCAB" w14:textId="77777777" w:rsidR="00CD7123" w:rsidRPr="00457FB2" w:rsidRDefault="00CD7123" w:rsidP="00F12682">
            <w:r w:rsidRPr="00457FB2">
              <w:t>Fonctionnement</w:t>
            </w:r>
          </w:p>
        </w:tc>
        <w:tc>
          <w:tcPr>
            <w:tcW w:w="1139" w:type="pct"/>
            <w:shd w:val="clear" w:color="auto" w:fill="auto"/>
            <w:vAlign w:val="center"/>
          </w:tcPr>
          <w:p w14:paraId="7A7084FA" w14:textId="4E7BCC30" w:rsidR="00CD7123" w:rsidRPr="009B7EC7" w:rsidRDefault="00CD7123" w:rsidP="00F12682">
            <w:pPr>
              <w:jc w:val="right"/>
            </w:pPr>
            <w:r>
              <w:t>50 000 000</w:t>
            </w:r>
          </w:p>
        </w:tc>
        <w:tc>
          <w:tcPr>
            <w:tcW w:w="1178" w:type="pct"/>
            <w:shd w:val="clear" w:color="auto" w:fill="auto"/>
            <w:vAlign w:val="center"/>
          </w:tcPr>
          <w:p w14:paraId="29C757B4" w14:textId="54772286" w:rsidR="00CD7123" w:rsidRPr="009B7EC7" w:rsidRDefault="00CD7123" w:rsidP="00F12682">
            <w:pPr>
              <w:jc w:val="right"/>
            </w:pPr>
            <w:r>
              <w:t>39 193 531</w:t>
            </w:r>
          </w:p>
        </w:tc>
        <w:tc>
          <w:tcPr>
            <w:tcW w:w="1284" w:type="pct"/>
            <w:shd w:val="clear" w:color="auto" w:fill="auto"/>
            <w:vAlign w:val="center"/>
          </w:tcPr>
          <w:p w14:paraId="5F7C671C" w14:textId="7DF1FDC5" w:rsidR="00CD7123" w:rsidRPr="009B7EC7" w:rsidRDefault="00CD7123" w:rsidP="00F12682">
            <w:pPr>
              <w:jc w:val="center"/>
            </w:pPr>
            <w:r>
              <w:t>78,39%</w:t>
            </w:r>
          </w:p>
        </w:tc>
      </w:tr>
      <w:tr w:rsidR="00CD7123" w14:paraId="6C8B4E51" w14:textId="77777777" w:rsidTr="00226F3F">
        <w:tc>
          <w:tcPr>
            <w:tcW w:w="1399" w:type="pct"/>
            <w:shd w:val="clear" w:color="auto" w:fill="auto"/>
          </w:tcPr>
          <w:p w14:paraId="4F08B77D" w14:textId="77777777" w:rsidR="00CD7123" w:rsidRPr="00457FB2" w:rsidRDefault="00CD7123" w:rsidP="00F12682">
            <w:r w:rsidRPr="00457FB2">
              <w:t>Investissement</w:t>
            </w:r>
          </w:p>
        </w:tc>
        <w:tc>
          <w:tcPr>
            <w:tcW w:w="1139" w:type="pct"/>
            <w:shd w:val="clear" w:color="auto" w:fill="auto"/>
            <w:vAlign w:val="center"/>
          </w:tcPr>
          <w:p w14:paraId="1C741DD0" w14:textId="567CC631" w:rsidR="00CD7123" w:rsidRPr="009B7EC7" w:rsidRDefault="00CD7123" w:rsidP="00F12682">
            <w:pPr>
              <w:jc w:val="right"/>
            </w:pPr>
            <w:r>
              <w:t>50 000 000</w:t>
            </w:r>
          </w:p>
        </w:tc>
        <w:tc>
          <w:tcPr>
            <w:tcW w:w="1178" w:type="pct"/>
            <w:shd w:val="clear" w:color="auto" w:fill="auto"/>
            <w:vAlign w:val="center"/>
          </w:tcPr>
          <w:p w14:paraId="347D6D56" w14:textId="3B38A284" w:rsidR="00CD7123" w:rsidRPr="009B7EC7" w:rsidRDefault="00CD7123" w:rsidP="00F12682">
            <w:pPr>
              <w:jc w:val="right"/>
            </w:pPr>
            <w:r>
              <w:t>19 018 003</w:t>
            </w:r>
          </w:p>
        </w:tc>
        <w:tc>
          <w:tcPr>
            <w:tcW w:w="1284" w:type="pct"/>
            <w:shd w:val="clear" w:color="auto" w:fill="auto"/>
            <w:vAlign w:val="center"/>
          </w:tcPr>
          <w:p w14:paraId="4AD8418D" w14:textId="7C643C40" w:rsidR="00CD7123" w:rsidRPr="009B7EC7" w:rsidRDefault="00CD7123" w:rsidP="00F12682">
            <w:pPr>
              <w:jc w:val="center"/>
            </w:pPr>
            <w:r>
              <w:t>38,04%</w:t>
            </w:r>
          </w:p>
        </w:tc>
      </w:tr>
      <w:tr w:rsidR="00CD7123" w14:paraId="52A820E3" w14:textId="77777777" w:rsidTr="00226F3F">
        <w:tc>
          <w:tcPr>
            <w:tcW w:w="1399" w:type="pct"/>
            <w:shd w:val="clear" w:color="auto" w:fill="auto"/>
          </w:tcPr>
          <w:p w14:paraId="37487A74" w14:textId="77777777" w:rsidR="00CD7123" w:rsidRPr="009B7EC7" w:rsidRDefault="00CD7123" w:rsidP="00F12682">
            <w:pPr>
              <w:jc w:val="center"/>
              <w:rPr>
                <w:b/>
              </w:rPr>
            </w:pPr>
            <w:r w:rsidRPr="009B7EC7">
              <w:rPr>
                <w:b/>
              </w:rPr>
              <w:t>Totaux</w:t>
            </w:r>
          </w:p>
        </w:tc>
        <w:tc>
          <w:tcPr>
            <w:tcW w:w="1139" w:type="pct"/>
            <w:shd w:val="clear" w:color="auto" w:fill="auto"/>
            <w:vAlign w:val="center"/>
          </w:tcPr>
          <w:p w14:paraId="728E85E2" w14:textId="50E5F54B" w:rsidR="00CD7123" w:rsidRPr="009B7EC7" w:rsidRDefault="00CD7123" w:rsidP="00F12682">
            <w:pPr>
              <w:jc w:val="right"/>
              <w:rPr>
                <w:b/>
              </w:rPr>
            </w:pPr>
            <w:r>
              <w:rPr>
                <w:b/>
              </w:rPr>
              <w:t>100 000 000</w:t>
            </w:r>
          </w:p>
        </w:tc>
        <w:tc>
          <w:tcPr>
            <w:tcW w:w="1178" w:type="pct"/>
            <w:shd w:val="clear" w:color="auto" w:fill="auto"/>
            <w:vAlign w:val="center"/>
          </w:tcPr>
          <w:p w14:paraId="5624A9E8" w14:textId="1B421830" w:rsidR="00CD7123" w:rsidRPr="009B7EC7" w:rsidRDefault="00CD7123" w:rsidP="00F12682">
            <w:pPr>
              <w:jc w:val="right"/>
              <w:rPr>
                <w:b/>
              </w:rPr>
            </w:pPr>
            <w:r>
              <w:rPr>
                <w:b/>
              </w:rPr>
              <w:t>58 211 534</w:t>
            </w:r>
          </w:p>
        </w:tc>
        <w:tc>
          <w:tcPr>
            <w:tcW w:w="1284" w:type="pct"/>
            <w:shd w:val="clear" w:color="auto" w:fill="auto"/>
            <w:vAlign w:val="center"/>
          </w:tcPr>
          <w:p w14:paraId="57970358" w14:textId="0093A689" w:rsidR="00CD7123" w:rsidRPr="009B7EC7" w:rsidRDefault="00CD7123" w:rsidP="00F12682">
            <w:pPr>
              <w:jc w:val="center"/>
              <w:rPr>
                <w:b/>
              </w:rPr>
            </w:pPr>
            <w:r>
              <w:rPr>
                <w:b/>
              </w:rPr>
              <w:t>58,21%</w:t>
            </w:r>
          </w:p>
        </w:tc>
      </w:tr>
    </w:tbl>
    <w:p w14:paraId="170273D1" w14:textId="77777777" w:rsidR="00711691" w:rsidRPr="006C65EE" w:rsidRDefault="00711691" w:rsidP="00F12682">
      <w:pPr>
        <w:jc w:val="both"/>
        <w:rPr>
          <w:rFonts w:cs="Calibri"/>
          <w:sz w:val="20"/>
        </w:rPr>
      </w:pPr>
      <w:r w:rsidRPr="006C65EE">
        <w:rPr>
          <w:rFonts w:cs="Calibri"/>
          <w:sz w:val="20"/>
          <w:u w:val="single"/>
        </w:rPr>
        <w:t>Source</w:t>
      </w:r>
      <w:r w:rsidRPr="006C65EE">
        <w:rPr>
          <w:rFonts w:cs="Calibri"/>
          <w:sz w:val="20"/>
        </w:rPr>
        <w:t xml:space="preserve"> : </w:t>
      </w:r>
      <w:r w:rsidRPr="00B539EB">
        <w:rPr>
          <w:rFonts w:cs="Calibri"/>
          <w:sz w:val="20"/>
        </w:rPr>
        <w:t>DRFM/MAH/GC</w:t>
      </w:r>
      <w:r>
        <w:rPr>
          <w:rFonts w:cs="Calibri"/>
          <w:sz w:val="20"/>
        </w:rPr>
        <w:t>, 2016</w:t>
      </w:r>
    </w:p>
    <w:p w14:paraId="31B9656D" w14:textId="76519B72" w:rsidR="00711691" w:rsidRPr="00B539EB" w:rsidRDefault="00711691" w:rsidP="00F12682">
      <w:pPr>
        <w:spacing w:after="120" w:line="276" w:lineRule="auto"/>
        <w:jc w:val="both"/>
        <w:rPr>
          <w:rFonts w:ascii="Calibri" w:eastAsiaTheme="majorEastAsia" w:hAnsi="Calibri" w:cs="Calibri"/>
          <w:iCs/>
          <w:sz w:val="24"/>
        </w:rPr>
      </w:pPr>
      <w:r w:rsidRPr="00B539EB">
        <w:rPr>
          <w:rFonts w:ascii="Calibri" w:eastAsiaTheme="majorEastAsia" w:hAnsi="Calibri" w:cs="Calibri"/>
          <w:iCs/>
          <w:sz w:val="24"/>
        </w:rPr>
        <w:t>Toutefois, compte tenu de sa vocation, on ne saurait comprendre le fait qu’il n’y ait pas de dépenses dédiées aux ménages. Selon les explications, les crédits et fonds entrant dans ce cadre ont été gérés par une autre structure rattachée.</w:t>
      </w:r>
      <w:r>
        <w:rPr>
          <w:rFonts w:ascii="Calibri" w:eastAsiaTheme="majorEastAsia" w:hAnsi="Calibri" w:cs="Calibri"/>
          <w:iCs/>
          <w:sz w:val="24"/>
        </w:rPr>
        <w:t xml:space="preserve"> </w:t>
      </w:r>
    </w:p>
    <w:p w14:paraId="3A55F516" w14:textId="77777777" w:rsidR="007F358B" w:rsidRPr="00E51AB3" w:rsidRDefault="007F358B" w:rsidP="00F12682">
      <w:pPr>
        <w:spacing w:after="120" w:line="276" w:lineRule="auto"/>
        <w:jc w:val="both"/>
        <w:rPr>
          <w:rFonts w:ascii="Calibri" w:eastAsiaTheme="majorEastAsia" w:hAnsi="Calibri" w:cs="Calibri"/>
          <w:iCs/>
          <w:sz w:val="24"/>
        </w:rPr>
      </w:pPr>
    </w:p>
    <w:p w14:paraId="0EA8263C"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la capacité d’absorption des financements</w:t>
      </w:r>
    </w:p>
    <w:p w14:paraId="0AD02210" w14:textId="2CABB355" w:rsidR="0015471F" w:rsidRDefault="0015471F" w:rsidP="00F12682">
      <w:pPr>
        <w:spacing w:after="120" w:line="276" w:lineRule="auto"/>
        <w:jc w:val="both"/>
        <w:rPr>
          <w:rFonts w:ascii="Calibri" w:eastAsiaTheme="majorEastAsia" w:hAnsi="Calibri" w:cs="Calibri"/>
          <w:iCs/>
          <w:sz w:val="24"/>
        </w:rPr>
      </w:pPr>
      <w:r w:rsidRPr="0015471F">
        <w:rPr>
          <w:rFonts w:ascii="Calibri" w:eastAsiaTheme="majorEastAsia" w:hAnsi="Calibri" w:cs="Calibri"/>
          <w:iCs/>
          <w:sz w:val="24"/>
        </w:rPr>
        <w:t>La capacité d’absorption des crédits de 2016 par le MAH /GC est illus</w:t>
      </w:r>
      <w:r w:rsidR="00942A9B">
        <w:rPr>
          <w:rFonts w:ascii="Calibri" w:eastAsiaTheme="majorEastAsia" w:hAnsi="Calibri" w:cs="Calibri"/>
          <w:iCs/>
          <w:sz w:val="24"/>
        </w:rPr>
        <w:t xml:space="preserve">trée par le </w:t>
      </w:r>
      <w:r w:rsidR="00CD7123">
        <w:rPr>
          <w:rFonts w:ascii="Calibri" w:eastAsiaTheme="majorEastAsia" w:hAnsi="Calibri" w:cs="Calibri"/>
          <w:iCs/>
          <w:sz w:val="24"/>
        </w:rPr>
        <w:t>tableau</w:t>
      </w:r>
      <w:r w:rsidR="00942A9B">
        <w:rPr>
          <w:rFonts w:ascii="Calibri" w:eastAsiaTheme="majorEastAsia" w:hAnsi="Calibri" w:cs="Calibri"/>
          <w:iCs/>
          <w:sz w:val="24"/>
        </w:rPr>
        <w:t xml:space="preserve"> suivant</w:t>
      </w:r>
      <w:r w:rsidR="008C4721">
        <w:rPr>
          <w:rFonts w:ascii="Calibri" w:eastAsiaTheme="majorEastAsia" w:hAnsi="Calibri" w:cs="Calibri"/>
          <w:iCs/>
          <w:sz w:val="24"/>
        </w:rPr>
        <w:t>.</w:t>
      </w:r>
    </w:p>
    <w:p w14:paraId="7C437613" w14:textId="77777777" w:rsidR="008C4721" w:rsidRPr="0022543C" w:rsidRDefault="008C4721" w:rsidP="00F12682">
      <w:pPr>
        <w:spacing w:after="120" w:line="276" w:lineRule="auto"/>
        <w:jc w:val="both"/>
        <w:rPr>
          <w:rFonts w:ascii="Calibri" w:eastAsiaTheme="majorEastAsia" w:hAnsi="Calibri" w:cs="Calibri"/>
          <w:iCs/>
          <w:sz w:val="24"/>
        </w:rPr>
      </w:pPr>
      <w:r w:rsidRPr="0022543C">
        <w:rPr>
          <w:rFonts w:ascii="Calibri" w:eastAsiaTheme="majorEastAsia" w:hAnsi="Calibri" w:cs="Calibri"/>
          <w:iCs/>
          <w:sz w:val="24"/>
        </w:rPr>
        <w:t>Il ressort de ce tableau que sous l’angle de la capacité d’absorption des crédits, les performances du MAH/GC sont très satisfaisantes. En effet, le Ministère a pu consommer la quasi-totalité des crédits libérés, soit 97% des crédits mis à sa disposition.</w:t>
      </w:r>
    </w:p>
    <w:p w14:paraId="038F1291" w14:textId="77777777" w:rsidR="00CD7123" w:rsidRDefault="00CD7123" w:rsidP="00F12682">
      <w:pPr>
        <w:spacing w:after="120" w:line="276" w:lineRule="auto"/>
        <w:jc w:val="both"/>
        <w:rPr>
          <w:rFonts w:ascii="Calibri" w:eastAsiaTheme="majorEastAsia" w:hAnsi="Calibri" w:cs="Calibri"/>
          <w:iCs/>
          <w:sz w:val="24"/>
        </w:rPr>
      </w:pPr>
    </w:p>
    <w:p w14:paraId="708ABAE0" w14:textId="77777777" w:rsidR="00CD7123" w:rsidRPr="00522678" w:rsidRDefault="00CD7123" w:rsidP="00F12682">
      <w:pPr>
        <w:pStyle w:val="Lgende"/>
        <w:rPr>
          <w:rFonts w:eastAsiaTheme="majorEastAsia" w:cs="Calibri"/>
          <w:iCs w:val="0"/>
        </w:rPr>
      </w:pPr>
      <w:bookmarkStart w:id="155" w:name="_Toc529305088"/>
      <w:r>
        <w:t xml:space="preserve">Tableau </w:t>
      </w:r>
      <w:r>
        <w:rPr>
          <w:noProof/>
        </w:rPr>
        <w:fldChar w:fldCharType="begin"/>
      </w:r>
      <w:r>
        <w:rPr>
          <w:noProof/>
        </w:rPr>
        <w:instrText xml:space="preserve"> SEQ Tableau \* ARABIC </w:instrText>
      </w:r>
      <w:r>
        <w:rPr>
          <w:noProof/>
        </w:rPr>
        <w:fldChar w:fldCharType="separate"/>
      </w:r>
      <w:r w:rsidR="001C37F0">
        <w:rPr>
          <w:noProof/>
        </w:rPr>
        <w:t>34</w:t>
      </w:r>
      <w:r>
        <w:rPr>
          <w:noProof/>
        </w:rPr>
        <w:fldChar w:fldCharType="end"/>
      </w:r>
      <w:r w:rsidRPr="00522678">
        <w:rPr>
          <w:rFonts w:eastAsiaTheme="majorEastAsia" w:cs="Calibri"/>
          <w:iCs w:val="0"/>
        </w:rPr>
        <w:t> : Etat d’exécution des crédits alloués au MAH/GC en 2016</w:t>
      </w:r>
      <w:bookmarkEnd w:id="155"/>
    </w:p>
    <w:tbl>
      <w:tblPr>
        <w:tblStyle w:val="Grilledutableau"/>
        <w:tblW w:w="5000" w:type="pct"/>
        <w:tblLook w:val="04A0" w:firstRow="1" w:lastRow="0" w:firstColumn="1" w:lastColumn="0" w:noHBand="0" w:noVBand="1"/>
      </w:tblPr>
      <w:tblGrid>
        <w:gridCol w:w="2735"/>
        <w:gridCol w:w="2395"/>
        <w:gridCol w:w="2301"/>
        <w:gridCol w:w="2197"/>
      </w:tblGrid>
      <w:tr w:rsidR="00CD7123" w:rsidRPr="00522678" w14:paraId="579DFBE5" w14:textId="77777777" w:rsidTr="00226F3F">
        <w:tc>
          <w:tcPr>
            <w:tcW w:w="1420" w:type="pct"/>
            <w:shd w:val="clear" w:color="auto" w:fill="auto"/>
            <w:vAlign w:val="center"/>
          </w:tcPr>
          <w:p w14:paraId="15300E3A" w14:textId="77777777" w:rsidR="00CD7123" w:rsidRPr="00522678" w:rsidRDefault="00CD7123" w:rsidP="00F12682">
            <w:pPr>
              <w:jc w:val="center"/>
              <w:rPr>
                <w:b/>
                <w:sz w:val="20"/>
              </w:rPr>
            </w:pPr>
            <w:r w:rsidRPr="00522678">
              <w:rPr>
                <w:b/>
                <w:sz w:val="20"/>
              </w:rPr>
              <w:t>Désignations</w:t>
            </w:r>
          </w:p>
        </w:tc>
        <w:tc>
          <w:tcPr>
            <w:tcW w:w="1244" w:type="pct"/>
            <w:shd w:val="clear" w:color="auto" w:fill="auto"/>
            <w:vAlign w:val="center"/>
          </w:tcPr>
          <w:p w14:paraId="2DF29CFB" w14:textId="77777777" w:rsidR="00CD7123" w:rsidRPr="00522678" w:rsidRDefault="00CD7123" w:rsidP="00F12682">
            <w:pPr>
              <w:jc w:val="center"/>
              <w:rPr>
                <w:b/>
                <w:sz w:val="20"/>
              </w:rPr>
            </w:pPr>
            <w:r w:rsidRPr="00522678">
              <w:rPr>
                <w:b/>
                <w:sz w:val="20"/>
              </w:rPr>
              <w:t>Crédits libérés</w:t>
            </w:r>
          </w:p>
        </w:tc>
        <w:tc>
          <w:tcPr>
            <w:tcW w:w="1195" w:type="pct"/>
            <w:shd w:val="clear" w:color="auto" w:fill="auto"/>
            <w:vAlign w:val="center"/>
          </w:tcPr>
          <w:p w14:paraId="4F7D17A2" w14:textId="77777777" w:rsidR="00CD7123" w:rsidRPr="00522678" w:rsidRDefault="00CD7123" w:rsidP="00F12682">
            <w:pPr>
              <w:jc w:val="center"/>
              <w:rPr>
                <w:b/>
                <w:sz w:val="20"/>
              </w:rPr>
            </w:pPr>
            <w:r w:rsidRPr="00522678">
              <w:rPr>
                <w:b/>
                <w:sz w:val="20"/>
              </w:rPr>
              <w:t>Crédits consommés</w:t>
            </w:r>
          </w:p>
        </w:tc>
        <w:tc>
          <w:tcPr>
            <w:tcW w:w="1141" w:type="pct"/>
            <w:shd w:val="clear" w:color="auto" w:fill="auto"/>
            <w:vAlign w:val="center"/>
          </w:tcPr>
          <w:p w14:paraId="679B9B34" w14:textId="77777777" w:rsidR="00CD7123" w:rsidRPr="00522678" w:rsidRDefault="00CD7123" w:rsidP="00F12682">
            <w:pPr>
              <w:jc w:val="center"/>
              <w:rPr>
                <w:b/>
                <w:sz w:val="20"/>
              </w:rPr>
            </w:pPr>
            <w:r w:rsidRPr="00522678">
              <w:rPr>
                <w:b/>
                <w:sz w:val="20"/>
              </w:rPr>
              <w:t>Taux d’absorption</w:t>
            </w:r>
          </w:p>
        </w:tc>
      </w:tr>
      <w:tr w:rsidR="00CD7123" w14:paraId="10004DA8" w14:textId="77777777" w:rsidTr="00226F3F">
        <w:tc>
          <w:tcPr>
            <w:tcW w:w="1420" w:type="pct"/>
            <w:shd w:val="clear" w:color="auto" w:fill="auto"/>
          </w:tcPr>
          <w:p w14:paraId="62D57082" w14:textId="77777777" w:rsidR="00CD7123" w:rsidRPr="00457FB2" w:rsidRDefault="00CD7123" w:rsidP="00F12682">
            <w:r w:rsidRPr="00457FB2">
              <w:t>Fonctionnement</w:t>
            </w:r>
          </w:p>
        </w:tc>
        <w:tc>
          <w:tcPr>
            <w:tcW w:w="1244" w:type="pct"/>
            <w:shd w:val="clear" w:color="auto" w:fill="auto"/>
            <w:vAlign w:val="center"/>
          </w:tcPr>
          <w:p w14:paraId="014C3C5C" w14:textId="77777777" w:rsidR="00CD7123" w:rsidRPr="009B7EC7" w:rsidRDefault="00CD7123" w:rsidP="00F12682">
            <w:pPr>
              <w:jc w:val="right"/>
            </w:pPr>
            <w:r>
              <w:t>40 000 000</w:t>
            </w:r>
          </w:p>
        </w:tc>
        <w:tc>
          <w:tcPr>
            <w:tcW w:w="1195" w:type="pct"/>
            <w:shd w:val="clear" w:color="auto" w:fill="auto"/>
            <w:vAlign w:val="center"/>
          </w:tcPr>
          <w:p w14:paraId="64B43A96" w14:textId="77777777" w:rsidR="00CD7123" w:rsidRPr="009B7EC7" w:rsidRDefault="00CD7123" w:rsidP="00F12682">
            <w:pPr>
              <w:jc w:val="right"/>
            </w:pPr>
            <w:r>
              <w:t>39 193 531</w:t>
            </w:r>
          </w:p>
        </w:tc>
        <w:tc>
          <w:tcPr>
            <w:tcW w:w="1141" w:type="pct"/>
            <w:shd w:val="clear" w:color="auto" w:fill="auto"/>
            <w:vAlign w:val="center"/>
          </w:tcPr>
          <w:p w14:paraId="1C44A1CF" w14:textId="77777777" w:rsidR="00CD7123" w:rsidRPr="009B7EC7" w:rsidRDefault="00CD7123" w:rsidP="00F12682">
            <w:pPr>
              <w:jc w:val="center"/>
            </w:pPr>
            <w:r>
              <w:t>98%</w:t>
            </w:r>
          </w:p>
        </w:tc>
      </w:tr>
      <w:tr w:rsidR="00CD7123" w14:paraId="203DF65D" w14:textId="77777777" w:rsidTr="00226F3F">
        <w:tc>
          <w:tcPr>
            <w:tcW w:w="1420" w:type="pct"/>
            <w:shd w:val="clear" w:color="auto" w:fill="auto"/>
          </w:tcPr>
          <w:p w14:paraId="76AFD622" w14:textId="77777777" w:rsidR="00CD7123" w:rsidRPr="00457FB2" w:rsidRDefault="00CD7123" w:rsidP="00F12682">
            <w:r w:rsidRPr="00457FB2">
              <w:t>Investissement</w:t>
            </w:r>
          </w:p>
        </w:tc>
        <w:tc>
          <w:tcPr>
            <w:tcW w:w="1244" w:type="pct"/>
            <w:shd w:val="clear" w:color="auto" w:fill="auto"/>
            <w:vAlign w:val="center"/>
          </w:tcPr>
          <w:p w14:paraId="4918B0F0" w14:textId="77777777" w:rsidR="00CD7123" w:rsidRPr="009B7EC7" w:rsidRDefault="00CD7123" w:rsidP="00F12682">
            <w:pPr>
              <w:jc w:val="right"/>
            </w:pPr>
            <w:r>
              <w:t>20 000 000</w:t>
            </w:r>
          </w:p>
        </w:tc>
        <w:tc>
          <w:tcPr>
            <w:tcW w:w="1195" w:type="pct"/>
            <w:shd w:val="clear" w:color="auto" w:fill="auto"/>
            <w:vAlign w:val="center"/>
          </w:tcPr>
          <w:p w14:paraId="5348D1E2" w14:textId="77777777" w:rsidR="00CD7123" w:rsidRPr="009B7EC7" w:rsidRDefault="00CD7123" w:rsidP="00F12682">
            <w:pPr>
              <w:jc w:val="right"/>
            </w:pPr>
            <w:r>
              <w:t>19 018 003</w:t>
            </w:r>
          </w:p>
        </w:tc>
        <w:tc>
          <w:tcPr>
            <w:tcW w:w="1141" w:type="pct"/>
            <w:shd w:val="clear" w:color="auto" w:fill="auto"/>
            <w:vAlign w:val="center"/>
          </w:tcPr>
          <w:p w14:paraId="039257C6" w14:textId="77777777" w:rsidR="00CD7123" w:rsidRPr="009B7EC7" w:rsidRDefault="00CD7123" w:rsidP="00F12682">
            <w:pPr>
              <w:jc w:val="center"/>
            </w:pPr>
            <w:r>
              <w:t>95%</w:t>
            </w:r>
          </w:p>
        </w:tc>
      </w:tr>
      <w:tr w:rsidR="00CD7123" w14:paraId="6A9F7324" w14:textId="77777777" w:rsidTr="00226F3F">
        <w:tc>
          <w:tcPr>
            <w:tcW w:w="1420" w:type="pct"/>
            <w:shd w:val="clear" w:color="auto" w:fill="auto"/>
          </w:tcPr>
          <w:p w14:paraId="04210071" w14:textId="77777777" w:rsidR="00CD7123" w:rsidRPr="009B7EC7" w:rsidRDefault="00CD7123" w:rsidP="00F12682">
            <w:pPr>
              <w:jc w:val="center"/>
              <w:rPr>
                <w:b/>
              </w:rPr>
            </w:pPr>
            <w:r w:rsidRPr="009B7EC7">
              <w:rPr>
                <w:b/>
              </w:rPr>
              <w:t>Totaux</w:t>
            </w:r>
          </w:p>
        </w:tc>
        <w:tc>
          <w:tcPr>
            <w:tcW w:w="1244" w:type="pct"/>
            <w:shd w:val="clear" w:color="auto" w:fill="auto"/>
            <w:vAlign w:val="center"/>
          </w:tcPr>
          <w:p w14:paraId="74A374AE" w14:textId="77777777" w:rsidR="00CD7123" w:rsidRPr="009B7EC7" w:rsidRDefault="00CD7123" w:rsidP="00F12682">
            <w:pPr>
              <w:jc w:val="right"/>
              <w:rPr>
                <w:b/>
              </w:rPr>
            </w:pPr>
            <w:r>
              <w:rPr>
                <w:b/>
              </w:rPr>
              <w:t>60 000 000</w:t>
            </w:r>
          </w:p>
        </w:tc>
        <w:tc>
          <w:tcPr>
            <w:tcW w:w="1195" w:type="pct"/>
            <w:shd w:val="clear" w:color="auto" w:fill="auto"/>
            <w:vAlign w:val="center"/>
          </w:tcPr>
          <w:p w14:paraId="3DC027AE" w14:textId="77777777" w:rsidR="00CD7123" w:rsidRPr="009B7EC7" w:rsidRDefault="00CD7123" w:rsidP="00F12682">
            <w:pPr>
              <w:jc w:val="right"/>
              <w:rPr>
                <w:b/>
              </w:rPr>
            </w:pPr>
            <w:r>
              <w:rPr>
                <w:b/>
              </w:rPr>
              <w:t>58 211 534</w:t>
            </w:r>
          </w:p>
        </w:tc>
        <w:tc>
          <w:tcPr>
            <w:tcW w:w="1141" w:type="pct"/>
            <w:shd w:val="clear" w:color="auto" w:fill="auto"/>
            <w:vAlign w:val="center"/>
          </w:tcPr>
          <w:p w14:paraId="30BA0004" w14:textId="77777777" w:rsidR="00CD7123" w:rsidRPr="009B7EC7" w:rsidRDefault="00CD7123" w:rsidP="00F12682">
            <w:pPr>
              <w:jc w:val="center"/>
              <w:rPr>
                <w:b/>
              </w:rPr>
            </w:pPr>
            <w:r>
              <w:rPr>
                <w:b/>
              </w:rPr>
              <w:t>97%</w:t>
            </w:r>
          </w:p>
        </w:tc>
      </w:tr>
    </w:tbl>
    <w:p w14:paraId="0211162E" w14:textId="77777777" w:rsidR="00CD7123" w:rsidRPr="006C65EE" w:rsidRDefault="00CD7123" w:rsidP="00F12682">
      <w:pPr>
        <w:jc w:val="both"/>
        <w:rPr>
          <w:rFonts w:cs="Calibri"/>
          <w:sz w:val="20"/>
        </w:rPr>
      </w:pPr>
      <w:r w:rsidRPr="006C65EE">
        <w:rPr>
          <w:rFonts w:cs="Calibri"/>
          <w:sz w:val="20"/>
          <w:u w:val="single"/>
        </w:rPr>
        <w:t>Source</w:t>
      </w:r>
      <w:r w:rsidRPr="006C65EE">
        <w:rPr>
          <w:rFonts w:cs="Calibri"/>
          <w:sz w:val="20"/>
        </w:rPr>
        <w:t xml:space="preserve"> : </w:t>
      </w:r>
      <w:r w:rsidRPr="00B539EB">
        <w:rPr>
          <w:rFonts w:cs="Calibri"/>
          <w:sz w:val="20"/>
        </w:rPr>
        <w:t>DRFM/MAH/GC</w:t>
      </w:r>
      <w:r>
        <w:rPr>
          <w:rFonts w:cs="Calibri"/>
          <w:sz w:val="20"/>
        </w:rPr>
        <w:t>, 2016</w:t>
      </w:r>
    </w:p>
    <w:p w14:paraId="2B1AFBBA" w14:textId="77777777" w:rsidR="0015471F" w:rsidRPr="0015471F" w:rsidRDefault="0015471F" w:rsidP="00F12682">
      <w:pPr>
        <w:spacing w:after="120" w:line="276" w:lineRule="auto"/>
        <w:jc w:val="both"/>
        <w:rPr>
          <w:rFonts w:ascii="Calibri" w:eastAsiaTheme="majorEastAsia" w:hAnsi="Calibri" w:cs="Calibri"/>
          <w:iCs/>
          <w:sz w:val="24"/>
        </w:rPr>
      </w:pPr>
      <w:r w:rsidRPr="0015471F">
        <w:rPr>
          <w:rFonts w:ascii="Calibri" w:eastAsiaTheme="majorEastAsia" w:hAnsi="Calibri" w:cs="Calibri"/>
          <w:iCs/>
          <w:sz w:val="24"/>
        </w:rPr>
        <w:t xml:space="preserve">Toutefois, il convient de relativiser, car en 2016, le MAH/GC n’a bénéficié que de crédits de fonctionnement et d’investissement administratif, dont les réalisations ne souffrent pas de procédures lourdes, car n’entrant pas dans le cadre de la passation des marchés publics. </w:t>
      </w:r>
    </w:p>
    <w:p w14:paraId="4754FAA4" w14:textId="77777777" w:rsidR="007F358B" w:rsidRDefault="007F358B" w:rsidP="00F12682">
      <w:pPr>
        <w:spacing w:after="0" w:line="240" w:lineRule="auto"/>
        <w:jc w:val="both"/>
        <w:rPr>
          <w:rFonts w:ascii="Calibri" w:eastAsiaTheme="majorEastAsia" w:hAnsi="Calibri" w:cs="Calibri"/>
          <w:iCs/>
          <w:sz w:val="24"/>
        </w:rPr>
      </w:pPr>
    </w:p>
    <w:p w14:paraId="22113782" w14:textId="77777777" w:rsidR="00CD7123" w:rsidRPr="0015471F" w:rsidRDefault="00CD7123" w:rsidP="00F12682">
      <w:pPr>
        <w:pStyle w:val="Titre4"/>
        <w:rPr>
          <w:rFonts w:asciiTheme="minorHAnsi" w:hAnsiTheme="minorHAnsi" w:cstheme="minorHAnsi"/>
        </w:rPr>
      </w:pPr>
      <w:r w:rsidRPr="0015471F">
        <w:rPr>
          <w:rFonts w:asciiTheme="minorHAnsi" w:hAnsiTheme="minorHAnsi" w:cstheme="minorHAnsi"/>
        </w:rPr>
        <w:t>Analyse de la performance et l’incidence de diverses sources de financement</w:t>
      </w:r>
    </w:p>
    <w:p w14:paraId="098B462E" w14:textId="77777777" w:rsidR="00CD7123" w:rsidRPr="0015471F" w:rsidRDefault="00CD7123" w:rsidP="00F12682">
      <w:pPr>
        <w:spacing w:after="120" w:line="276" w:lineRule="auto"/>
        <w:jc w:val="both"/>
        <w:rPr>
          <w:rFonts w:ascii="Calibri" w:eastAsiaTheme="majorEastAsia" w:hAnsi="Calibri" w:cs="Calibri"/>
          <w:iCs/>
          <w:sz w:val="24"/>
        </w:rPr>
      </w:pPr>
      <w:r w:rsidRPr="0015471F">
        <w:rPr>
          <w:rFonts w:ascii="Calibri" w:eastAsiaTheme="majorEastAsia" w:hAnsi="Calibri" w:cs="Calibri"/>
          <w:iCs/>
          <w:sz w:val="24"/>
        </w:rPr>
        <w:t xml:space="preserve">En 2016, le budget du MAH/GC repose exclusivement sur la contribution de l’Etat, sans aucun autre apport. </w:t>
      </w:r>
    </w:p>
    <w:p w14:paraId="3F0FFEEB" w14:textId="77777777" w:rsidR="00CD7123" w:rsidRPr="00E51AB3" w:rsidRDefault="00CD7123" w:rsidP="00F12682">
      <w:pPr>
        <w:spacing w:after="120" w:line="276" w:lineRule="auto"/>
        <w:jc w:val="both"/>
        <w:rPr>
          <w:rFonts w:ascii="Calibri" w:eastAsiaTheme="majorEastAsia" w:hAnsi="Calibri" w:cs="Calibri"/>
          <w:iCs/>
          <w:sz w:val="24"/>
        </w:rPr>
      </w:pPr>
    </w:p>
    <w:p w14:paraId="22203CF2"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Synthèses des forces et faiblesses, perspectives d’amélioration</w:t>
      </w:r>
    </w:p>
    <w:p w14:paraId="01AE7C26" w14:textId="77777777" w:rsidR="0015471F" w:rsidRPr="0015471F" w:rsidRDefault="0015471F" w:rsidP="00F12682">
      <w:pPr>
        <w:spacing w:after="120" w:line="276" w:lineRule="auto"/>
        <w:jc w:val="both"/>
        <w:rPr>
          <w:rFonts w:ascii="Calibri" w:eastAsiaTheme="majorEastAsia" w:hAnsi="Calibri" w:cs="Calibri"/>
          <w:iCs/>
          <w:sz w:val="24"/>
        </w:rPr>
      </w:pPr>
      <w:r w:rsidRPr="0015471F">
        <w:rPr>
          <w:rFonts w:ascii="Calibri" w:eastAsiaTheme="majorEastAsia" w:hAnsi="Calibri" w:cs="Calibri"/>
          <w:iCs/>
          <w:sz w:val="24"/>
        </w:rPr>
        <w:t xml:space="preserve">Avec des faibles crédits, le MAH/GC a fait montre d’une forte capacité d’absorption des crédits. Cette bonne prouesse est justifiée par certains points, en dépit de quelques faiblesses à améliorer. </w:t>
      </w:r>
    </w:p>
    <w:p w14:paraId="1DDD684B" w14:textId="52881B07" w:rsidR="0015471F" w:rsidRPr="0015471F" w:rsidRDefault="0015471F" w:rsidP="00F12682">
      <w:pPr>
        <w:spacing w:after="120" w:line="276" w:lineRule="auto"/>
        <w:jc w:val="both"/>
        <w:rPr>
          <w:rFonts w:ascii="Calibri" w:eastAsiaTheme="majorEastAsia" w:hAnsi="Calibri" w:cs="Calibri"/>
          <w:b/>
          <w:iCs/>
          <w:sz w:val="24"/>
        </w:rPr>
      </w:pPr>
      <w:r w:rsidRPr="0015471F">
        <w:rPr>
          <w:rFonts w:ascii="Calibri" w:eastAsiaTheme="majorEastAsia" w:hAnsi="Calibri" w:cs="Calibri"/>
          <w:b/>
          <w:iCs/>
          <w:sz w:val="24"/>
          <w:u w:val="single"/>
        </w:rPr>
        <w:t>Points forts</w:t>
      </w:r>
      <w:r w:rsidRPr="0015471F">
        <w:rPr>
          <w:rFonts w:ascii="Calibri" w:eastAsiaTheme="majorEastAsia" w:hAnsi="Calibri" w:cs="Calibri"/>
          <w:b/>
          <w:iCs/>
          <w:sz w:val="24"/>
        </w:rPr>
        <w:t xml:space="preserve"> : </w:t>
      </w:r>
    </w:p>
    <w:p w14:paraId="51F6B859" w14:textId="3FBE3E8B" w:rsidR="0015471F" w:rsidRPr="0015471F" w:rsidRDefault="0015471F" w:rsidP="00F12682">
      <w:pPr>
        <w:pStyle w:val="Paragraphedeliste"/>
        <w:numPr>
          <w:ilvl w:val="0"/>
          <w:numId w:val="32"/>
        </w:numPr>
        <w:spacing w:after="120" w:line="276" w:lineRule="auto"/>
        <w:ind w:left="567" w:hanging="210"/>
        <w:contextualSpacing w:val="0"/>
        <w:jc w:val="both"/>
        <w:rPr>
          <w:rFonts w:ascii="Calibri" w:eastAsiaTheme="majorEastAsia" w:hAnsi="Calibri" w:cs="Calibri"/>
          <w:iCs/>
          <w:sz w:val="24"/>
        </w:rPr>
      </w:pPr>
      <w:r w:rsidRPr="0015471F">
        <w:rPr>
          <w:rFonts w:ascii="Calibri" w:eastAsiaTheme="majorEastAsia" w:hAnsi="Calibri" w:cs="Calibri"/>
          <w:iCs/>
          <w:sz w:val="24"/>
        </w:rPr>
        <w:t xml:space="preserve">Esprit d’équipe au sein des cadres du MAH/GC : les services techniques affichent un esprit de convivialité et de confiance dans la conduite des activités ; </w:t>
      </w:r>
    </w:p>
    <w:p w14:paraId="010B1A88" w14:textId="3BAF8324" w:rsidR="0015471F" w:rsidRDefault="0015471F" w:rsidP="00F12682">
      <w:pPr>
        <w:pStyle w:val="Paragraphedeliste"/>
        <w:numPr>
          <w:ilvl w:val="0"/>
          <w:numId w:val="32"/>
        </w:numPr>
        <w:spacing w:after="120" w:line="276" w:lineRule="auto"/>
        <w:ind w:left="567" w:hanging="210"/>
        <w:contextualSpacing w:val="0"/>
        <w:jc w:val="both"/>
        <w:rPr>
          <w:rFonts w:ascii="Calibri" w:eastAsiaTheme="majorEastAsia" w:hAnsi="Calibri" w:cs="Calibri"/>
          <w:iCs/>
          <w:sz w:val="24"/>
        </w:rPr>
      </w:pPr>
      <w:r w:rsidRPr="0015471F">
        <w:rPr>
          <w:rFonts w:ascii="Calibri" w:eastAsiaTheme="majorEastAsia" w:hAnsi="Calibri" w:cs="Calibri"/>
          <w:iCs/>
          <w:sz w:val="24"/>
        </w:rPr>
        <w:lastRenderedPageBreak/>
        <w:t>Fort engagement des responsables du MAH/GC à travailler convenablement pour permettre au MAH/GC</w:t>
      </w:r>
      <w:r w:rsidR="00942A9B">
        <w:rPr>
          <w:rFonts w:ascii="Calibri" w:eastAsiaTheme="majorEastAsia" w:hAnsi="Calibri" w:cs="Calibri"/>
          <w:iCs/>
          <w:sz w:val="24"/>
        </w:rPr>
        <w:t xml:space="preserve"> de satisfaire les populations.</w:t>
      </w:r>
    </w:p>
    <w:p w14:paraId="671214A9" w14:textId="77777777" w:rsidR="00942A9B" w:rsidRPr="00942A9B" w:rsidRDefault="00942A9B" w:rsidP="00F12682">
      <w:pPr>
        <w:spacing w:after="0" w:line="240" w:lineRule="auto"/>
        <w:jc w:val="both"/>
        <w:rPr>
          <w:rFonts w:ascii="Calibri" w:eastAsiaTheme="majorEastAsia" w:hAnsi="Calibri" w:cs="Calibri"/>
          <w:iCs/>
          <w:sz w:val="24"/>
        </w:rPr>
      </w:pPr>
    </w:p>
    <w:p w14:paraId="220591F9" w14:textId="2EC9991C" w:rsidR="0015471F" w:rsidRPr="0015471F" w:rsidRDefault="0015471F" w:rsidP="00F12682">
      <w:pPr>
        <w:spacing w:after="120" w:line="276" w:lineRule="auto"/>
        <w:jc w:val="both"/>
        <w:rPr>
          <w:rFonts w:ascii="Calibri" w:eastAsiaTheme="majorEastAsia" w:hAnsi="Calibri" w:cs="Calibri"/>
          <w:b/>
          <w:iCs/>
          <w:sz w:val="24"/>
        </w:rPr>
      </w:pPr>
      <w:r w:rsidRPr="0015471F">
        <w:rPr>
          <w:rFonts w:ascii="Calibri" w:eastAsiaTheme="majorEastAsia" w:hAnsi="Calibri" w:cs="Calibri"/>
          <w:b/>
          <w:iCs/>
          <w:sz w:val="24"/>
          <w:u w:val="single"/>
        </w:rPr>
        <w:t>Points à améliorer</w:t>
      </w:r>
      <w:r w:rsidRPr="0015471F">
        <w:rPr>
          <w:rFonts w:ascii="Calibri" w:eastAsiaTheme="majorEastAsia" w:hAnsi="Calibri" w:cs="Calibri"/>
          <w:b/>
          <w:iCs/>
          <w:sz w:val="24"/>
        </w:rPr>
        <w:t xml:space="preserve"> :</w:t>
      </w:r>
    </w:p>
    <w:p w14:paraId="4ABDCAA2" w14:textId="072AAAFA" w:rsidR="0015471F" w:rsidRPr="0015471F" w:rsidRDefault="0015471F" w:rsidP="00F12682">
      <w:pPr>
        <w:pStyle w:val="Paragraphedeliste"/>
        <w:numPr>
          <w:ilvl w:val="0"/>
          <w:numId w:val="32"/>
        </w:numPr>
        <w:spacing w:after="120" w:line="276" w:lineRule="auto"/>
        <w:ind w:left="567" w:hanging="210"/>
        <w:contextualSpacing w:val="0"/>
        <w:jc w:val="both"/>
        <w:rPr>
          <w:rFonts w:ascii="Calibri" w:eastAsiaTheme="majorEastAsia" w:hAnsi="Calibri" w:cs="Calibri"/>
          <w:iCs/>
          <w:sz w:val="24"/>
        </w:rPr>
      </w:pPr>
      <w:r w:rsidRPr="0015471F">
        <w:rPr>
          <w:rFonts w:ascii="Calibri" w:eastAsiaTheme="majorEastAsia" w:hAnsi="Calibri" w:cs="Calibri"/>
          <w:iCs/>
          <w:sz w:val="24"/>
        </w:rPr>
        <w:t>Interférence de la CCA dans la gestion des ressources du MAH/GC : ce qui ne permet pas au MAH/GC de conduire valablement sa mission ;</w:t>
      </w:r>
    </w:p>
    <w:p w14:paraId="6E1391A3" w14:textId="63895D0C" w:rsidR="0015471F" w:rsidRPr="0015471F" w:rsidRDefault="0015471F" w:rsidP="00F12682">
      <w:pPr>
        <w:pStyle w:val="Paragraphedeliste"/>
        <w:numPr>
          <w:ilvl w:val="0"/>
          <w:numId w:val="32"/>
        </w:numPr>
        <w:spacing w:after="120" w:line="276" w:lineRule="auto"/>
        <w:ind w:left="567" w:hanging="210"/>
        <w:contextualSpacing w:val="0"/>
        <w:jc w:val="both"/>
        <w:rPr>
          <w:rFonts w:ascii="Calibri" w:eastAsiaTheme="majorEastAsia" w:hAnsi="Calibri" w:cs="Calibri"/>
          <w:iCs/>
          <w:sz w:val="24"/>
        </w:rPr>
      </w:pPr>
      <w:r w:rsidRPr="0015471F">
        <w:rPr>
          <w:rFonts w:ascii="Calibri" w:eastAsiaTheme="majorEastAsia" w:hAnsi="Calibri" w:cs="Calibri"/>
          <w:iCs/>
          <w:sz w:val="24"/>
        </w:rPr>
        <w:t>Insuffisance des crédits : le MAH/GC a souffert du manque de ressources financières nécessaires à l’atteinte des objectifs qui lui sont assignés ;</w:t>
      </w:r>
    </w:p>
    <w:p w14:paraId="7FC70835" w14:textId="7352018D" w:rsidR="0015471F" w:rsidRPr="0015471F" w:rsidRDefault="0015471F" w:rsidP="00F12682">
      <w:pPr>
        <w:pStyle w:val="Paragraphedeliste"/>
        <w:numPr>
          <w:ilvl w:val="0"/>
          <w:numId w:val="32"/>
        </w:numPr>
        <w:spacing w:after="120" w:line="276" w:lineRule="auto"/>
        <w:ind w:left="567" w:hanging="210"/>
        <w:contextualSpacing w:val="0"/>
        <w:jc w:val="both"/>
        <w:rPr>
          <w:rFonts w:ascii="Calibri" w:eastAsiaTheme="majorEastAsia" w:hAnsi="Calibri" w:cs="Calibri"/>
          <w:iCs/>
          <w:sz w:val="24"/>
        </w:rPr>
      </w:pPr>
      <w:r w:rsidRPr="0015471F">
        <w:rPr>
          <w:rFonts w:ascii="Calibri" w:eastAsiaTheme="majorEastAsia" w:hAnsi="Calibri" w:cs="Calibri"/>
          <w:iCs/>
          <w:sz w:val="24"/>
        </w:rPr>
        <w:t>Exiguïté des locaux qui abrite le MAH/GC : en 2016, le MAH</w:t>
      </w:r>
      <w:r w:rsidR="00F94046">
        <w:rPr>
          <w:rFonts w:ascii="Calibri" w:eastAsiaTheme="majorEastAsia" w:hAnsi="Calibri" w:cs="Calibri"/>
          <w:iCs/>
          <w:sz w:val="24"/>
        </w:rPr>
        <w:t>/</w:t>
      </w:r>
      <w:r w:rsidRPr="0015471F">
        <w:rPr>
          <w:rFonts w:ascii="Calibri" w:eastAsiaTheme="majorEastAsia" w:hAnsi="Calibri" w:cs="Calibri"/>
          <w:iCs/>
          <w:sz w:val="24"/>
        </w:rPr>
        <w:t xml:space="preserve">GC cohabitait avec la CCA dans le bâtiment destinée à cette dernière ; </w:t>
      </w:r>
    </w:p>
    <w:p w14:paraId="1192CBF9" w14:textId="5F8224D7" w:rsidR="0015471F" w:rsidRDefault="0015471F" w:rsidP="00F12682">
      <w:pPr>
        <w:pStyle w:val="Paragraphedeliste"/>
        <w:numPr>
          <w:ilvl w:val="0"/>
          <w:numId w:val="32"/>
        </w:numPr>
        <w:spacing w:after="120" w:line="276" w:lineRule="auto"/>
        <w:ind w:left="567" w:hanging="210"/>
        <w:contextualSpacing w:val="0"/>
        <w:jc w:val="both"/>
        <w:rPr>
          <w:rFonts w:ascii="Calibri" w:eastAsiaTheme="majorEastAsia" w:hAnsi="Calibri" w:cs="Calibri"/>
          <w:iCs/>
          <w:sz w:val="24"/>
        </w:rPr>
      </w:pPr>
      <w:r w:rsidRPr="0015471F">
        <w:rPr>
          <w:rFonts w:ascii="Calibri" w:eastAsiaTheme="majorEastAsia" w:hAnsi="Calibri" w:cs="Calibri"/>
          <w:iCs/>
          <w:sz w:val="24"/>
        </w:rPr>
        <w:t>Insuffisance des ressources humaines : au niveau de plusieurs structures du MAH/GC, il n’y a que le responsable, appuyé, des fois, d’appelés de service civique national</w:t>
      </w:r>
      <w:r w:rsidR="00942A9B">
        <w:rPr>
          <w:rFonts w:ascii="Calibri" w:eastAsiaTheme="majorEastAsia" w:hAnsi="Calibri" w:cs="Calibri"/>
          <w:iCs/>
          <w:sz w:val="24"/>
        </w:rPr>
        <w:t>.</w:t>
      </w:r>
    </w:p>
    <w:p w14:paraId="30E86BF3" w14:textId="77777777" w:rsidR="00942A9B" w:rsidRPr="00942A9B" w:rsidRDefault="00942A9B" w:rsidP="00F12682">
      <w:pPr>
        <w:spacing w:after="0" w:line="240" w:lineRule="auto"/>
        <w:jc w:val="both"/>
        <w:rPr>
          <w:rFonts w:ascii="Calibri" w:eastAsiaTheme="majorEastAsia" w:hAnsi="Calibri" w:cs="Calibri"/>
          <w:iCs/>
          <w:sz w:val="24"/>
        </w:rPr>
      </w:pPr>
    </w:p>
    <w:p w14:paraId="47A7C687" w14:textId="7976BAD9" w:rsidR="0015471F" w:rsidRPr="0015471F" w:rsidRDefault="0015471F" w:rsidP="00F12682">
      <w:pPr>
        <w:spacing w:after="120" w:line="276" w:lineRule="auto"/>
        <w:jc w:val="both"/>
        <w:rPr>
          <w:rFonts w:ascii="Calibri" w:eastAsiaTheme="majorEastAsia" w:hAnsi="Calibri" w:cs="Calibri"/>
          <w:b/>
          <w:iCs/>
          <w:sz w:val="24"/>
        </w:rPr>
      </w:pPr>
      <w:r w:rsidRPr="0015471F">
        <w:rPr>
          <w:rFonts w:ascii="Calibri" w:eastAsiaTheme="majorEastAsia" w:hAnsi="Calibri" w:cs="Calibri"/>
          <w:b/>
          <w:iCs/>
          <w:sz w:val="24"/>
          <w:u w:val="single"/>
        </w:rPr>
        <w:t>Perspective d’amélioration</w:t>
      </w:r>
      <w:r w:rsidRPr="0015471F">
        <w:rPr>
          <w:rFonts w:ascii="Calibri" w:eastAsiaTheme="majorEastAsia" w:hAnsi="Calibri" w:cs="Calibri"/>
          <w:b/>
          <w:iCs/>
          <w:sz w:val="24"/>
        </w:rPr>
        <w:t xml:space="preserve"> :</w:t>
      </w:r>
    </w:p>
    <w:p w14:paraId="0A78164B" w14:textId="6DE7896F" w:rsidR="0015471F" w:rsidRPr="0015471F" w:rsidRDefault="0015471F" w:rsidP="00F12682">
      <w:pPr>
        <w:pStyle w:val="Paragraphedeliste"/>
        <w:numPr>
          <w:ilvl w:val="0"/>
          <w:numId w:val="32"/>
        </w:numPr>
        <w:spacing w:after="120" w:line="276" w:lineRule="auto"/>
        <w:ind w:left="567" w:hanging="210"/>
        <w:contextualSpacing w:val="0"/>
        <w:jc w:val="both"/>
        <w:rPr>
          <w:rFonts w:ascii="Calibri" w:eastAsiaTheme="majorEastAsia" w:hAnsi="Calibri" w:cs="Calibri"/>
          <w:iCs/>
          <w:sz w:val="24"/>
        </w:rPr>
      </w:pPr>
      <w:r w:rsidRPr="0015471F">
        <w:rPr>
          <w:rFonts w:ascii="Calibri" w:eastAsiaTheme="majorEastAsia" w:hAnsi="Calibri" w:cs="Calibri"/>
          <w:iCs/>
          <w:sz w:val="24"/>
        </w:rPr>
        <w:t xml:space="preserve">Prise de texte règlementaire relatif aux attributions du MAH/GC : ce qui permettra de clarifier les missions du MAH/GC afin d’éviter les interférences ; </w:t>
      </w:r>
    </w:p>
    <w:p w14:paraId="3BFBE847" w14:textId="2C127B94" w:rsidR="0015471F" w:rsidRPr="0015471F" w:rsidRDefault="0015471F" w:rsidP="00F12682">
      <w:pPr>
        <w:pStyle w:val="Paragraphedeliste"/>
        <w:numPr>
          <w:ilvl w:val="0"/>
          <w:numId w:val="32"/>
        </w:numPr>
        <w:spacing w:after="120" w:line="276" w:lineRule="auto"/>
        <w:ind w:left="567" w:hanging="210"/>
        <w:contextualSpacing w:val="0"/>
        <w:jc w:val="both"/>
        <w:rPr>
          <w:rFonts w:ascii="Calibri" w:eastAsiaTheme="majorEastAsia" w:hAnsi="Calibri" w:cs="Calibri"/>
          <w:iCs/>
          <w:sz w:val="24"/>
        </w:rPr>
      </w:pPr>
      <w:r w:rsidRPr="0015471F">
        <w:rPr>
          <w:rFonts w:ascii="Calibri" w:eastAsiaTheme="majorEastAsia" w:hAnsi="Calibri" w:cs="Calibri"/>
          <w:iCs/>
          <w:sz w:val="24"/>
        </w:rPr>
        <w:t>Local identifié pour abriter les services du MAH/GC : ce qui créera les meilleures conditions de travail des cadres du Ministère.</w:t>
      </w:r>
    </w:p>
    <w:p w14:paraId="0D6A649A" w14:textId="77777777" w:rsidR="007F358B" w:rsidRPr="00942A9B" w:rsidRDefault="007F358B" w:rsidP="00F12682">
      <w:pPr>
        <w:spacing w:after="0" w:line="240" w:lineRule="auto"/>
        <w:jc w:val="both"/>
        <w:rPr>
          <w:rFonts w:ascii="Calibri" w:eastAsiaTheme="majorEastAsia" w:hAnsi="Calibri" w:cs="Calibri"/>
          <w:iCs/>
          <w:sz w:val="24"/>
        </w:rPr>
      </w:pPr>
    </w:p>
    <w:p w14:paraId="45A21BB9" w14:textId="77777777" w:rsidR="007F358B" w:rsidRPr="00942A9B" w:rsidRDefault="007F358B" w:rsidP="00F12682">
      <w:pPr>
        <w:spacing w:after="0" w:line="240" w:lineRule="auto"/>
        <w:jc w:val="both"/>
        <w:rPr>
          <w:rFonts w:ascii="Calibri" w:eastAsiaTheme="majorEastAsia" w:hAnsi="Calibri" w:cs="Calibri"/>
          <w:iCs/>
          <w:sz w:val="24"/>
        </w:rPr>
      </w:pPr>
    </w:p>
    <w:p w14:paraId="770E4F63" w14:textId="0A4E3881" w:rsidR="007F358B" w:rsidRDefault="007F358B" w:rsidP="00F12682">
      <w:pPr>
        <w:pStyle w:val="Titre3"/>
        <w:numPr>
          <w:ilvl w:val="2"/>
          <w:numId w:val="3"/>
        </w:numPr>
        <w:rPr>
          <w:rFonts w:asciiTheme="minorHAnsi" w:hAnsiTheme="minorHAnsi" w:cstheme="minorHAnsi"/>
        </w:rPr>
      </w:pPr>
      <w:bookmarkStart w:id="156" w:name="_Toc529305038"/>
      <w:r>
        <w:rPr>
          <w:rFonts w:asciiTheme="minorHAnsi" w:hAnsiTheme="minorHAnsi" w:cstheme="minorHAnsi"/>
        </w:rPr>
        <w:t xml:space="preserve">Directeur de la </w:t>
      </w:r>
      <w:r w:rsidRPr="004A5122">
        <w:rPr>
          <w:rFonts w:asciiTheme="minorHAnsi" w:hAnsiTheme="minorHAnsi" w:cstheme="minorHAnsi"/>
        </w:rPr>
        <w:t>Nutrition</w:t>
      </w:r>
      <w:r>
        <w:rPr>
          <w:rFonts w:asciiTheme="minorHAnsi" w:hAnsiTheme="minorHAnsi" w:cstheme="minorHAnsi"/>
        </w:rPr>
        <w:t xml:space="preserve"> du Ministère de la Santé Publique</w:t>
      </w:r>
      <w:r w:rsidR="00A35E93">
        <w:rPr>
          <w:rFonts w:asciiTheme="minorHAnsi" w:hAnsiTheme="minorHAnsi" w:cstheme="minorHAnsi"/>
        </w:rPr>
        <w:t xml:space="preserve"> (DN/MSP)</w:t>
      </w:r>
      <w:bookmarkEnd w:id="156"/>
    </w:p>
    <w:p w14:paraId="0EF96599"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l’évolution et de la pertinence des allocations budgétaires du secteur (financement global) par rapport aux priorités</w:t>
      </w:r>
    </w:p>
    <w:p w14:paraId="1E577247" w14:textId="77777777" w:rsidR="00843E0F" w:rsidRP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Sur les cinq (5) années antérieures à 2016, les allocations budgétaires de la Direction de la Nutrition du Ministère de la Santé Publique a connu une fluctuation ascendante  qui peut être appréhendée à travers le graphique suivant :</w:t>
      </w:r>
    </w:p>
    <w:p w14:paraId="1BC7DBCC" w14:textId="77777777" w:rsidR="00843E0F" w:rsidRP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On peut remarquer que, malgré une évolution positive, en général, le budget de la DN/MSP  a subi une légère régression en 2014 du fait  du défi de l’insécurité qui a pris une ampleur au cours de l’année précédente.</w:t>
      </w:r>
    </w:p>
    <w:p w14:paraId="7A627743" w14:textId="2E304D40" w:rsidR="007F358B"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Toutefois, cette évolution ne s’est pas faite en conformité avec la progression du budget du MSP encore avec l’augmentati</w:t>
      </w:r>
      <w:r>
        <w:rPr>
          <w:rFonts w:ascii="Calibri" w:eastAsiaTheme="majorEastAsia" w:hAnsi="Calibri" w:cs="Calibri"/>
          <w:iCs/>
          <w:sz w:val="24"/>
        </w:rPr>
        <w:t>on du budget général de l’Etat.</w:t>
      </w:r>
    </w:p>
    <w:p w14:paraId="39B06A86" w14:textId="77777777" w:rsidR="00226F3F" w:rsidRPr="00E51AB3" w:rsidRDefault="00226F3F" w:rsidP="00F12682">
      <w:pPr>
        <w:spacing w:after="120" w:line="276" w:lineRule="auto"/>
        <w:jc w:val="both"/>
        <w:rPr>
          <w:rFonts w:ascii="Calibri" w:eastAsiaTheme="majorEastAsia" w:hAnsi="Calibri" w:cs="Calibri"/>
          <w:iCs/>
          <w:sz w:val="24"/>
        </w:rPr>
      </w:pPr>
    </w:p>
    <w:p w14:paraId="6CD6BD51"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l’exécution des dépenses par rapports aux prévisions</w:t>
      </w:r>
    </w:p>
    <w:p w14:paraId="04AA1920" w14:textId="6DDAD39D" w:rsidR="00843E0F" w:rsidRP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 xml:space="preserve">En se référant aux documents produits dans le cadre de la revue annuelle 2016 de la </w:t>
      </w:r>
      <w:r w:rsidR="00196874">
        <w:rPr>
          <w:rFonts w:ascii="Calibri" w:eastAsiaTheme="majorEastAsia" w:hAnsi="Calibri" w:cs="Calibri"/>
          <w:iCs/>
          <w:sz w:val="24"/>
        </w:rPr>
        <w:t>Direction de la Nutrition</w:t>
      </w:r>
      <w:r w:rsidRPr="00843E0F">
        <w:rPr>
          <w:rFonts w:ascii="Calibri" w:eastAsiaTheme="majorEastAsia" w:hAnsi="Calibri" w:cs="Calibri"/>
          <w:iCs/>
          <w:sz w:val="24"/>
        </w:rPr>
        <w:t xml:space="preserve">, le niveau global d’exécution du PAA de 75%. </w:t>
      </w:r>
    </w:p>
    <w:p w14:paraId="0C928D36" w14:textId="77777777" w:rsidR="00843E0F" w:rsidRP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Cette performance s’explique par les éléments suivants :</w:t>
      </w:r>
    </w:p>
    <w:p w14:paraId="6D400703" w14:textId="24022B36" w:rsidR="00843E0F" w:rsidRPr="00843E0F"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lastRenderedPageBreak/>
        <w:t>séparation et respect des tâches au sein des structures du MSP : pour booster les consommations, l</w:t>
      </w:r>
      <w:r w:rsidR="00196874">
        <w:rPr>
          <w:rFonts w:ascii="Calibri" w:eastAsiaTheme="majorEastAsia" w:hAnsi="Calibri" w:cs="Calibri"/>
          <w:iCs/>
          <w:sz w:val="24"/>
        </w:rPr>
        <w:t>a</w:t>
      </w:r>
      <w:r w:rsidRPr="00843E0F">
        <w:rPr>
          <w:rFonts w:ascii="Calibri" w:eastAsiaTheme="majorEastAsia" w:hAnsi="Calibri" w:cs="Calibri"/>
          <w:iCs/>
          <w:sz w:val="24"/>
        </w:rPr>
        <w:t xml:space="preserve"> </w:t>
      </w:r>
      <w:r w:rsidR="00196874">
        <w:rPr>
          <w:rFonts w:ascii="Calibri" w:eastAsiaTheme="majorEastAsia" w:hAnsi="Calibri" w:cs="Calibri"/>
          <w:iCs/>
          <w:sz w:val="24"/>
        </w:rPr>
        <w:t>Direction de la Nutrition</w:t>
      </w:r>
      <w:r w:rsidR="00196874" w:rsidRPr="00843E0F">
        <w:rPr>
          <w:rFonts w:ascii="Calibri" w:eastAsiaTheme="majorEastAsia" w:hAnsi="Calibri" w:cs="Calibri"/>
          <w:iCs/>
          <w:sz w:val="24"/>
        </w:rPr>
        <w:t xml:space="preserve"> </w:t>
      </w:r>
      <w:r w:rsidRPr="00843E0F">
        <w:rPr>
          <w:rFonts w:ascii="Calibri" w:eastAsiaTheme="majorEastAsia" w:hAnsi="Calibri" w:cs="Calibri"/>
          <w:iCs/>
          <w:sz w:val="24"/>
        </w:rPr>
        <w:t xml:space="preserve">comprend dans son staff un Gestionnaire chargé des questions techniques liées à la mobilisation et l’exécution du PAA ; </w:t>
      </w:r>
    </w:p>
    <w:p w14:paraId="4C59F959" w14:textId="77777777" w:rsidR="00843E0F" w:rsidRPr="00843E0F"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encadrement des bailleurs de fonds à travers la mise à disposition du MSP d’assistance technique nationale et/ou internationale ;</w:t>
      </w:r>
    </w:p>
    <w:p w14:paraId="32BF9D88" w14:textId="77777777" w:rsidR="00843E0F" w:rsidRPr="00843E0F"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existence d’un Fonds Commun à travers lequel des renforcements de capacités sont organisés à l’endroit des cadres sur les thématiques relatives à la gestion fiduciaire ;</w:t>
      </w:r>
    </w:p>
    <w:p w14:paraId="7C0B27D8" w14:textId="77777777" w:rsidR="00843E0F"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existence d’un système de suivi des structures dans le cadre l’exécution des activités inscrites au PAA.</w:t>
      </w:r>
    </w:p>
    <w:p w14:paraId="3FF35864" w14:textId="77777777" w:rsidR="00226F3F" w:rsidRPr="00226F3F" w:rsidRDefault="00226F3F" w:rsidP="00F12682">
      <w:pPr>
        <w:spacing w:after="120" w:line="276" w:lineRule="auto"/>
        <w:jc w:val="both"/>
        <w:rPr>
          <w:rFonts w:ascii="Calibri" w:eastAsiaTheme="majorEastAsia" w:hAnsi="Calibri" w:cs="Calibri"/>
          <w:iCs/>
          <w:sz w:val="24"/>
        </w:rPr>
      </w:pPr>
    </w:p>
    <w:p w14:paraId="6656F5BC"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la capacité d’absorption des financements</w:t>
      </w:r>
    </w:p>
    <w:p w14:paraId="39DC1A0B" w14:textId="7D3E405C" w:rsidR="00843E0F"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 xml:space="preserve">Les données de réalisation du PAA 2016 de la </w:t>
      </w:r>
      <w:r w:rsidR="00196874">
        <w:rPr>
          <w:rFonts w:ascii="Calibri" w:eastAsiaTheme="majorEastAsia" w:hAnsi="Calibri" w:cs="Calibri"/>
          <w:iCs/>
          <w:sz w:val="24"/>
        </w:rPr>
        <w:t>Direction de la Nutrition</w:t>
      </w:r>
      <w:r w:rsidR="00196874" w:rsidRPr="00843E0F">
        <w:rPr>
          <w:rFonts w:ascii="Calibri" w:eastAsiaTheme="majorEastAsia" w:hAnsi="Calibri" w:cs="Calibri"/>
          <w:iCs/>
          <w:sz w:val="24"/>
        </w:rPr>
        <w:t xml:space="preserve"> </w:t>
      </w:r>
      <w:r w:rsidRPr="00843E0F">
        <w:rPr>
          <w:rFonts w:ascii="Calibri" w:eastAsiaTheme="majorEastAsia" w:hAnsi="Calibri" w:cs="Calibri"/>
          <w:iCs/>
          <w:sz w:val="24"/>
        </w:rPr>
        <w:t>s’illustrent à travers la graphique suivant :</w:t>
      </w:r>
    </w:p>
    <w:p w14:paraId="5838098D" w14:textId="77777777" w:rsidR="00196874" w:rsidRPr="00843E0F" w:rsidRDefault="00196874" w:rsidP="00F12682">
      <w:pPr>
        <w:spacing w:after="120" w:line="276" w:lineRule="auto"/>
        <w:jc w:val="both"/>
        <w:rPr>
          <w:rFonts w:ascii="Calibri" w:eastAsiaTheme="majorEastAsia" w:hAnsi="Calibri" w:cs="Calibri"/>
          <w:iCs/>
          <w:sz w:val="24"/>
        </w:rPr>
      </w:pPr>
    </w:p>
    <w:p w14:paraId="4BDFDAE8" w14:textId="7A5BF59B" w:rsidR="00843E0F" w:rsidRPr="00457FB2" w:rsidRDefault="00457FB2" w:rsidP="00F12682">
      <w:pPr>
        <w:pStyle w:val="Lgende"/>
        <w:rPr>
          <w:rFonts w:eastAsiaTheme="majorEastAsia" w:cs="Calibri"/>
          <w:iCs w:val="0"/>
          <w:szCs w:val="22"/>
        </w:rPr>
      </w:pPr>
      <w:bookmarkStart w:id="157" w:name="_Toc529305112"/>
      <w:r w:rsidRPr="00457FB2">
        <w:rPr>
          <w:szCs w:val="22"/>
        </w:rPr>
        <w:t xml:space="preserve">Graphique </w:t>
      </w:r>
      <w:r w:rsidRPr="00457FB2">
        <w:rPr>
          <w:szCs w:val="22"/>
        </w:rPr>
        <w:fldChar w:fldCharType="begin"/>
      </w:r>
      <w:r w:rsidRPr="00457FB2">
        <w:rPr>
          <w:szCs w:val="22"/>
        </w:rPr>
        <w:instrText xml:space="preserve"> SEQ Graphique \* ARABIC </w:instrText>
      </w:r>
      <w:r w:rsidRPr="00457FB2">
        <w:rPr>
          <w:szCs w:val="22"/>
        </w:rPr>
        <w:fldChar w:fldCharType="separate"/>
      </w:r>
      <w:r w:rsidR="001C37F0">
        <w:rPr>
          <w:noProof/>
          <w:szCs w:val="22"/>
        </w:rPr>
        <w:t>8</w:t>
      </w:r>
      <w:r w:rsidRPr="00457FB2">
        <w:rPr>
          <w:szCs w:val="22"/>
        </w:rPr>
        <w:fldChar w:fldCharType="end"/>
      </w:r>
      <w:r w:rsidR="00843E0F" w:rsidRPr="00457FB2">
        <w:rPr>
          <w:rFonts w:eastAsiaTheme="majorEastAsia" w:cs="Calibri"/>
          <w:iCs w:val="0"/>
          <w:szCs w:val="22"/>
        </w:rPr>
        <w:t> : Capacité d’absorption de la DN/MSP en 2016</w:t>
      </w:r>
      <w:bookmarkEnd w:id="157"/>
    </w:p>
    <w:p w14:paraId="65DDD7FC" w14:textId="77777777" w:rsidR="00843E0F" w:rsidRDefault="00843E0F" w:rsidP="00F12682">
      <w:pPr>
        <w:spacing w:line="276" w:lineRule="auto"/>
        <w:jc w:val="both"/>
        <w:rPr>
          <w:rFonts w:asciiTheme="majorHAnsi" w:eastAsiaTheme="majorEastAsia" w:hAnsiTheme="majorHAnsi" w:cstheme="majorBidi"/>
          <w:b/>
          <w:iCs/>
        </w:rPr>
      </w:pPr>
      <w:r>
        <w:rPr>
          <w:noProof/>
          <w:lang w:eastAsia="fr-FR"/>
        </w:rPr>
        <w:drawing>
          <wp:inline distT="0" distB="0" distL="0" distR="0" wp14:anchorId="400610B1" wp14:editId="43BB39BB">
            <wp:extent cx="6219825" cy="2828925"/>
            <wp:effectExtent l="0" t="0" r="9525" b="9525"/>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AB3D95C" w14:textId="249B3D88" w:rsidR="00843E0F" w:rsidRPr="00457FB2" w:rsidRDefault="00843E0F" w:rsidP="00F12682">
      <w:pPr>
        <w:spacing w:after="120" w:line="276" w:lineRule="auto"/>
        <w:jc w:val="both"/>
        <w:rPr>
          <w:rFonts w:ascii="Calibri" w:eastAsiaTheme="majorEastAsia" w:hAnsi="Calibri" w:cs="Calibri"/>
          <w:iCs/>
          <w:sz w:val="20"/>
        </w:rPr>
      </w:pPr>
      <w:r w:rsidRPr="00457FB2">
        <w:rPr>
          <w:rFonts w:ascii="Calibri" w:eastAsiaTheme="majorEastAsia" w:hAnsi="Calibri" w:cs="Calibri"/>
          <w:iCs/>
          <w:sz w:val="20"/>
          <w:u w:val="single"/>
        </w:rPr>
        <w:t>Source</w:t>
      </w:r>
      <w:r w:rsidRPr="00457FB2">
        <w:rPr>
          <w:rFonts w:ascii="Calibri" w:eastAsiaTheme="majorEastAsia" w:hAnsi="Calibri" w:cs="Calibri"/>
          <w:iCs/>
          <w:sz w:val="20"/>
        </w:rPr>
        <w:t xml:space="preserve"> : </w:t>
      </w:r>
      <w:r w:rsidR="00457FB2" w:rsidRPr="00457FB2">
        <w:rPr>
          <w:rFonts w:ascii="Calibri" w:eastAsiaTheme="majorEastAsia" w:hAnsi="Calibri" w:cs="Calibri"/>
          <w:iCs/>
          <w:sz w:val="20"/>
        </w:rPr>
        <w:t xml:space="preserve">Revue </w:t>
      </w:r>
      <w:r w:rsidRPr="00457FB2">
        <w:rPr>
          <w:rFonts w:ascii="Calibri" w:eastAsiaTheme="majorEastAsia" w:hAnsi="Calibri" w:cs="Calibri"/>
          <w:iCs/>
          <w:sz w:val="20"/>
        </w:rPr>
        <w:t>PAA 2016 de la DN/MSP</w:t>
      </w:r>
    </w:p>
    <w:p w14:paraId="75F4697E" w14:textId="5A50B3B3" w:rsidR="00843E0F" w:rsidRPr="005A52E0" w:rsidRDefault="00843E0F"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 xml:space="preserve">Il en résulte que la </w:t>
      </w:r>
      <w:r w:rsidR="00196874">
        <w:rPr>
          <w:rFonts w:ascii="Calibri" w:eastAsiaTheme="majorEastAsia" w:hAnsi="Calibri" w:cs="Calibri"/>
          <w:iCs/>
          <w:sz w:val="24"/>
        </w:rPr>
        <w:t>Direction de la Nutrition</w:t>
      </w:r>
      <w:r w:rsidR="00196874" w:rsidRPr="00843E0F">
        <w:rPr>
          <w:rFonts w:ascii="Calibri" w:eastAsiaTheme="majorEastAsia" w:hAnsi="Calibri" w:cs="Calibri"/>
          <w:iCs/>
          <w:sz w:val="24"/>
        </w:rPr>
        <w:t xml:space="preserve"> </w:t>
      </w:r>
      <w:r w:rsidRPr="00843E0F">
        <w:rPr>
          <w:rFonts w:ascii="Calibri" w:eastAsiaTheme="majorEastAsia" w:hAnsi="Calibri" w:cs="Calibri"/>
          <w:iCs/>
          <w:sz w:val="24"/>
        </w:rPr>
        <w:t xml:space="preserve">a fait preuve de capacité d’absorption avec un taux de 90% de consommation sur les ressources mobilisées. </w:t>
      </w:r>
      <w:r w:rsidRPr="005A52E0">
        <w:rPr>
          <w:rFonts w:ascii="Calibri" w:eastAsiaTheme="majorEastAsia" w:hAnsi="Calibri" w:cs="Calibri"/>
          <w:iCs/>
          <w:sz w:val="24"/>
        </w:rPr>
        <w:t xml:space="preserve">Cette prouesse est due entre autres, </w:t>
      </w:r>
    </w:p>
    <w:p w14:paraId="3C8006C0" w14:textId="3EC5D9DD" w:rsidR="00843E0F" w:rsidRPr="005A52E0" w:rsidRDefault="00457FB2"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Pr>
          <w:rFonts w:ascii="Calibri" w:eastAsiaTheme="majorEastAsia" w:hAnsi="Calibri" w:cs="Calibri"/>
          <w:iCs/>
          <w:sz w:val="24"/>
        </w:rPr>
        <w:t>au</w:t>
      </w:r>
      <w:r w:rsidR="00843E0F" w:rsidRPr="005A52E0">
        <w:rPr>
          <w:rFonts w:ascii="Calibri" w:eastAsiaTheme="majorEastAsia" w:hAnsi="Calibri" w:cs="Calibri"/>
          <w:iCs/>
          <w:sz w:val="24"/>
        </w:rPr>
        <w:t xml:space="preserve"> système mis en place par la MSP en dotant chaque Structure d’un Gestionnaire qui doit s’occuper de la gestion (mobilisation et exécution conforme) des ressources allouées à la Structure ;  </w:t>
      </w:r>
    </w:p>
    <w:p w14:paraId="168FD6E2" w14:textId="56DFB11F" w:rsidR="00843E0F" w:rsidRPr="005A52E0"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5A52E0">
        <w:rPr>
          <w:rFonts w:ascii="Calibri" w:eastAsiaTheme="majorEastAsia" w:hAnsi="Calibri" w:cs="Calibri"/>
          <w:iCs/>
          <w:sz w:val="24"/>
        </w:rPr>
        <w:t>aux appuis techniques apportés par certains PTF ;</w:t>
      </w:r>
    </w:p>
    <w:p w14:paraId="27335B7E" w14:textId="6F4BA7EA" w:rsidR="00843E0F" w:rsidRPr="005A52E0"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5A52E0">
        <w:rPr>
          <w:rFonts w:ascii="Calibri" w:eastAsiaTheme="majorEastAsia" w:hAnsi="Calibri" w:cs="Calibri"/>
          <w:iCs/>
          <w:sz w:val="24"/>
        </w:rPr>
        <w:t>aux renforcements des capacités de gestion organisés par la Fonds Commun ;</w:t>
      </w:r>
    </w:p>
    <w:p w14:paraId="7849BDDF" w14:textId="5E30A754" w:rsidR="00843E0F" w:rsidRPr="005A52E0"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5A52E0">
        <w:rPr>
          <w:rFonts w:ascii="Calibri" w:eastAsiaTheme="majorEastAsia" w:hAnsi="Calibri" w:cs="Calibri"/>
          <w:iCs/>
          <w:sz w:val="24"/>
        </w:rPr>
        <w:t xml:space="preserve">la culture du respect du cycle du PAA (programmation-évaluation).   </w:t>
      </w:r>
    </w:p>
    <w:p w14:paraId="66266241" w14:textId="77777777" w:rsidR="00CD7123" w:rsidRPr="00457FB2" w:rsidRDefault="00CD7123" w:rsidP="00F12682">
      <w:pPr>
        <w:pStyle w:val="Titre4"/>
        <w:rPr>
          <w:rFonts w:asciiTheme="minorHAnsi" w:hAnsiTheme="minorHAnsi" w:cstheme="minorHAnsi"/>
        </w:rPr>
      </w:pPr>
      <w:r w:rsidRPr="00457FB2">
        <w:rPr>
          <w:rFonts w:asciiTheme="minorHAnsi" w:hAnsiTheme="minorHAnsi" w:cstheme="minorHAnsi"/>
        </w:rPr>
        <w:lastRenderedPageBreak/>
        <w:t>Analyse de la performance et l’incidence de diverses sources de financement</w:t>
      </w:r>
    </w:p>
    <w:p w14:paraId="6994466E" w14:textId="1C21C337" w:rsidR="00CD7123" w:rsidRPr="00843E0F" w:rsidRDefault="00CD7123"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 xml:space="preserve">Selon le Plan d’Action Annuel (PAA) 2016, les principaux bailleurs de fonds de </w:t>
      </w:r>
      <w:r>
        <w:rPr>
          <w:rFonts w:ascii="Calibri" w:eastAsiaTheme="majorEastAsia" w:hAnsi="Calibri" w:cs="Calibri"/>
          <w:iCs/>
          <w:sz w:val="24"/>
        </w:rPr>
        <w:t xml:space="preserve">la </w:t>
      </w:r>
      <w:r w:rsidRPr="00843E0F">
        <w:rPr>
          <w:rFonts w:ascii="Calibri" w:eastAsiaTheme="majorEastAsia" w:hAnsi="Calibri" w:cs="Calibri"/>
          <w:iCs/>
          <w:sz w:val="24"/>
        </w:rPr>
        <w:t>D</w:t>
      </w:r>
      <w:r>
        <w:rPr>
          <w:rFonts w:ascii="Calibri" w:eastAsiaTheme="majorEastAsia" w:hAnsi="Calibri" w:cs="Calibri"/>
          <w:iCs/>
          <w:sz w:val="24"/>
        </w:rPr>
        <w:t xml:space="preserve">irection </w:t>
      </w:r>
      <w:r w:rsidRPr="00843E0F">
        <w:rPr>
          <w:rFonts w:ascii="Calibri" w:eastAsiaTheme="majorEastAsia" w:hAnsi="Calibri" w:cs="Calibri"/>
          <w:iCs/>
          <w:sz w:val="24"/>
        </w:rPr>
        <w:t>N</w:t>
      </w:r>
      <w:r w:rsidR="00226F3F">
        <w:rPr>
          <w:rFonts w:ascii="Calibri" w:eastAsiaTheme="majorEastAsia" w:hAnsi="Calibri" w:cs="Calibri"/>
          <w:iCs/>
          <w:sz w:val="24"/>
        </w:rPr>
        <w:t>utrition</w:t>
      </w:r>
      <w:r w:rsidRPr="00843E0F">
        <w:rPr>
          <w:rFonts w:ascii="Calibri" w:eastAsiaTheme="majorEastAsia" w:hAnsi="Calibri" w:cs="Calibri"/>
          <w:iCs/>
          <w:sz w:val="24"/>
        </w:rPr>
        <w:t xml:space="preserve"> (par ordre d’importance de leur contribution) sont :</w:t>
      </w:r>
    </w:p>
    <w:p w14:paraId="785EDC99" w14:textId="77777777" w:rsidR="00CD7123" w:rsidRPr="00843E0F" w:rsidRDefault="00CD7123" w:rsidP="00F12682">
      <w:pPr>
        <w:pStyle w:val="Paragraphedeliste"/>
        <w:numPr>
          <w:ilvl w:val="0"/>
          <w:numId w:val="32"/>
        </w:numPr>
        <w:spacing w:after="120" w:line="240"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UNICEF</w:t>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t xml:space="preserve">:  </w:t>
      </w:r>
      <w:r w:rsidRPr="00843E0F">
        <w:rPr>
          <w:rFonts w:ascii="Calibri" w:eastAsiaTheme="majorEastAsia" w:hAnsi="Calibri" w:cs="Calibri"/>
          <w:iCs/>
          <w:sz w:val="24"/>
        </w:rPr>
        <w:tab/>
        <w:t>742 842 359 FCFA,</w:t>
      </w:r>
    </w:p>
    <w:p w14:paraId="6A41D656" w14:textId="77777777" w:rsidR="00CD7123" w:rsidRPr="00843E0F" w:rsidRDefault="00CD7123" w:rsidP="00F12682">
      <w:pPr>
        <w:pStyle w:val="Paragraphedeliste"/>
        <w:numPr>
          <w:ilvl w:val="0"/>
          <w:numId w:val="32"/>
        </w:numPr>
        <w:spacing w:after="120" w:line="240"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Etat </w:t>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t xml:space="preserve">:  </w:t>
      </w:r>
      <w:r w:rsidRPr="00843E0F">
        <w:rPr>
          <w:rFonts w:ascii="Calibri" w:eastAsiaTheme="majorEastAsia" w:hAnsi="Calibri" w:cs="Calibri"/>
          <w:iCs/>
          <w:sz w:val="24"/>
        </w:rPr>
        <w:tab/>
        <w:t>567 500 000 FCFA,</w:t>
      </w:r>
    </w:p>
    <w:p w14:paraId="7AC88BB6" w14:textId="77777777" w:rsidR="00CD7123" w:rsidRPr="00843E0F" w:rsidRDefault="00CD7123" w:rsidP="00F12682">
      <w:pPr>
        <w:pStyle w:val="Paragraphedeliste"/>
        <w:numPr>
          <w:ilvl w:val="0"/>
          <w:numId w:val="32"/>
        </w:numPr>
        <w:spacing w:after="120" w:line="240"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Fonds Commun d’appui au PDS (FC-PDS) </w:t>
      </w:r>
      <w:r>
        <w:rPr>
          <w:rFonts w:ascii="Calibri" w:eastAsiaTheme="majorEastAsia" w:hAnsi="Calibri" w:cs="Calibri"/>
          <w:iCs/>
          <w:sz w:val="24"/>
        </w:rPr>
        <w:tab/>
      </w:r>
      <w:r>
        <w:rPr>
          <w:rFonts w:ascii="Calibri" w:eastAsiaTheme="majorEastAsia" w:hAnsi="Calibri" w:cs="Calibri"/>
          <w:iCs/>
          <w:sz w:val="24"/>
        </w:rPr>
        <w:tab/>
      </w:r>
      <w:r w:rsidRPr="00843E0F">
        <w:rPr>
          <w:rFonts w:ascii="Calibri" w:eastAsiaTheme="majorEastAsia" w:hAnsi="Calibri" w:cs="Calibri"/>
          <w:iCs/>
          <w:sz w:val="24"/>
        </w:rPr>
        <w:t xml:space="preserve">: </w:t>
      </w:r>
      <w:r w:rsidRPr="00843E0F">
        <w:rPr>
          <w:rFonts w:ascii="Calibri" w:eastAsiaTheme="majorEastAsia" w:hAnsi="Calibri" w:cs="Calibri"/>
          <w:iCs/>
          <w:sz w:val="24"/>
        </w:rPr>
        <w:tab/>
        <w:t>122 000 000 FCFA,</w:t>
      </w:r>
    </w:p>
    <w:p w14:paraId="7AA4C996" w14:textId="77777777" w:rsidR="00CD7123" w:rsidRPr="00843E0F" w:rsidRDefault="00CD7123" w:rsidP="00F12682">
      <w:pPr>
        <w:pStyle w:val="Paragraphedeliste"/>
        <w:numPr>
          <w:ilvl w:val="0"/>
          <w:numId w:val="32"/>
        </w:numPr>
        <w:spacing w:after="120" w:line="240"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HKI </w:t>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t xml:space="preserve">:  </w:t>
      </w:r>
      <w:r w:rsidRPr="00843E0F">
        <w:rPr>
          <w:rFonts w:ascii="Calibri" w:eastAsiaTheme="majorEastAsia" w:hAnsi="Calibri" w:cs="Calibri"/>
          <w:iCs/>
          <w:sz w:val="24"/>
        </w:rPr>
        <w:tab/>
        <w:t xml:space="preserve">   41 550 328 FCFA,</w:t>
      </w:r>
    </w:p>
    <w:p w14:paraId="1ED68517" w14:textId="77777777" w:rsidR="00CD7123" w:rsidRPr="00843E0F" w:rsidRDefault="00CD7123" w:rsidP="00F12682">
      <w:pPr>
        <w:pStyle w:val="Paragraphedeliste"/>
        <w:numPr>
          <w:ilvl w:val="0"/>
          <w:numId w:val="32"/>
        </w:numPr>
        <w:spacing w:after="120" w:line="240"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OMS </w:t>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t xml:space="preserve">:  </w:t>
      </w:r>
      <w:r w:rsidRPr="00843E0F">
        <w:rPr>
          <w:rFonts w:ascii="Calibri" w:eastAsiaTheme="majorEastAsia" w:hAnsi="Calibri" w:cs="Calibri"/>
          <w:iCs/>
          <w:sz w:val="24"/>
        </w:rPr>
        <w:tab/>
        <w:t xml:space="preserve">   29 650 674 FCFA,</w:t>
      </w:r>
    </w:p>
    <w:p w14:paraId="26BC981A" w14:textId="77777777" w:rsidR="00CD7123" w:rsidRPr="00843E0F" w:rsidRDefault="00CD7123" w:rsidP="00F12682">
      <w:pPr>
        <w:pStyle w:val="Paragraphedeliste"/>
        <w:numPr>
          <w:ilvl w:val="0"/>
          <w:numId w:val="32"/>
        </w:numPr>
        <w:spacing w:after="120" w:line="240"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PAM </w:t>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t xml:space="preserve">:  </w:t>
      </w:r>
      <w:r w:rsidRPr="00843E0F">
        <w:rPr>
          <w:rFonts w:ascii="Calibri" w:eastAsiaTheme="majorEastAsia" w:hAnsi="Calibri" w:cs="Calibri"/>
          <w:iCs/>
          <w:sz w:val="24"/>
        </w:rPr>
        <w:tab/>
        <w:t xml:space="preserve">   20 280 000 FCFA,</w:t>
      </w:r>
    </w:p>
    <w:p w14:paraId="2C23E1A2" w14:textId="77777777" w:rsidR="00CD7123" w:rsidRPr="00843E0F" w:rsidRDefault="00CD7123" w:rsidP="00F12682">
      <w:pPr>
        <w:pStyle w:val="Paragraphedeliste"/>
        <w:numPr>
          <w:ilvl w:val="0"/>
          <w:numId w:val="32"/>
        </w:numPr>
        <w:spacing w:after="120" w:line="240" w:lineRule="auto"/>
        <w:ind w:left="426" w:hanging="210"/>
        <w:contextualSpacing w:val="0"/>
        <w:jc w:val="both"/>
        <w:rPr>
          <w:rFonts w:ascii="Calibri" w:eastAsiaTheme="majorEastAsia" w:hAnsi="Calibri" w:cs="Calibri"/>
          <w:iCs/>
          <w:sz w:val="24"/>
        </w:rPr>
      </w:pPr>
      <w:r w:rsidRPr="00843E0F">
        <w:rPr>
          <w:rFonts w:ascii="Calibri" w:eastAsiaTheme="majorEastAsia" w:hAnsi="Calibri" w:cs="Calibri"/>
          <w:iCs/>
          <w:sz w:val="24"/>
        </w:rPr>
        <w:t>Vision Mondiale</w:t>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sidRPr="00843E0F">
        <w:rPr>
          <w:rFonts w:ascii="Calibri" w:eastAsiaTheme="majorEastAsia" w:hAnsi="Calibri" w:cs="Calibri"/>
          <w:iCs/>
          <w:sz w:val="24"/>
        </w:rPr>
        <w:tab/>
      </w:r>
      <w:r>
        <w:rPr>
          <w:rFonts w:ascii="Calibri" w:eastAsiaTheme="majorEastAsia" w:hAnsi="Calibri" w:cs="Calibri"/>
          <w:iCs/>
          <w:sz w:val="24"/>
        </w:rPr>
        <w:tab/>
      </w:r>
      <w:r w:rsidRPr="00843E0F">
        <w:rPr>
          <w:rFonts w:ascii="Calibri" w:eastAsiaTheme="majorEastAsia" w:hAnsi="Calibri" w:cs="Calibri"/>
          <w:iCs/>
          <w:sz w:val="24"/>
        </w:rPr>
        <w:tab/>
        <w:t>:</w:t>
      </w:r>
      <w:r w:rsidRPr="00843E0F">
        <w:rPr>
          <w:rFonts w:ascii="Calibri" w:eastAsiaTheme="majorEastAsia" w:hAnsi="Calibri" w:cs="Calibri"/>
          <w:iCs/>
          <w:sz w:val="24"/>
        </w:rPr>
        <w:tab/>
        <w:t xml:space="preserve">     1 000 000 FCFA,</w:t>
      </w:r>
    </w:p>
    <w:p w14:paraId="7793C290" w14:textId="77777777" w:rsidR="00CD7123" w:rsidRPr="00843E0F" w:rsidRDefault="00CD7123" w:rsidP="00F12682">
      <w:pPr>
        <w:pStyle w:val="Paragraphedeliste"/>
        <w:spacing w:after="120" w:line="276" w:lineRule="auto"/>
        <w:ind w:left="426"/>
        <w:contextualSpacing w:val="0"/>
        <w:jc w:val="both"/>
        <w:rPr>
          <w:rFonts w:ascii="Calibri" w:eastAsiaTheme="majorEastAsia" w:hAnsi="Calibri" w:cs="Calibri"/>
          <w:b/>
          <w:iCs/>
          <w:sz w:val="24"/>
        </w:rPr>
      </w:pPr>
      <w:r w:rsidRPr="00843E0F">
        <w:rPr>
          <w:rFonts w:ascii="Calibri" w:eastAsiaTheme="majorEastAsia" w:hAnsi="Calibri" w:cs="Calibri"/>
          <w:b/>
          <w:iCs/>
          <w:sz w:val="24"/>
        </w:rPr>
        <w:t>TOTAL</w:t>
      </w:r>
      <w:r w:rsidRPr="00843E0F">
        <w:rPr>
          <w:rFonts w:ascii="Calibri" w:eastAsiaTheme="majorEastAsia" w:hAnsi="Calibri" w:cs="Calibri"/>
          <w:b/>
          <w:iCs/>
          <w:sz w:val="24"/>
        </w:rPr>
        <w:tab/>
      </w:r>
      <w:r w:rsidRPr="00843E0F">
        <w:rPr>
          <w:rFonts w:ascii="Calibri" w:eastAsiaTheme="majorEastAsia" w:hAnsi="Calibri" w:cs="Calibri"/>
          <w:b/>
          <w:iCs/>
          <w:sz w:val="24"/>
        </w:rPr>
        <w:tab/>
      </w:r>
      <w:r w:rsidRPr="00843E0F">
        <w:rPr>
          <w:rFonts w:ascii="Calibri" w:eastAsiaTheme="majorEastAsia" w:hAnsi="Calibri" w:cs="Calibri"/>
          <w:b/>
          <w:iCs/>
          <w:sz w:val="24"/>
        </w:rPr>
        <w:tab/>
      </w:r>
      <w:r w:rsidRPr="00843E0F">
        <w:rPr>
          <w:rFonts w:ascii="Calibri" w:eastAsiaTheme="majorEastAsia" w:hAnsi="Calibri" w:cs="Calibri"/>
          <w:b/>
          <w:iCs/>
          <w:sz w:val="24"/>
        </w:rPr>
        <w:tab/>
      </w:r>
      <w:r w:rsidRPr="00843E0F">
        <w:rPr>
          <w:rFonts w:ascii="Calibri" w:eastAsiaTheme="majorEastAsia" w:hAnsi="Calibri" w:cs="Calibri"/>
          <w:b/>
          <w:iCs/>
          <w:sz w:val="24"/>
        </w:rPr>
        <w:tab/>
      </w:r>
      <w:r>
        <w:rPr>
          <w:rFonts w:ascii="Calibri" w:eastAsiaTheme="majorEastAsia" w:hAnsi="Calibri" w:cs="Calibri"/>
          <w:b/>
          <w:iCs/>
          <w:sz w:val="24"/>
        </w:rPr>
        <w:tab/>
      </w:r>
      <w:r w:rsidRPr="00843E0F">
        <w:rPr>
          <w:rFonts w:ascii="Calibri" w:eastAsiaTheme="majorEastAsia" w:hAnsi="Calibri" w:cs="Calibri"/>
          <w:b/>
          <w:iCs/>
          <w:sz w:val="24"/>
        </w:rPr>
        <w:tab/>
        <w:t xml:space="preserve">:  </w:t>
      </w:r>
      <w:r w:rsidRPr="00843E0F">
        <w:rPr>
          <w:rFonts w:ascii="Calibri" w:eastAsiaTheme="majorEastAsia" w:hAnsi="Calibri" w:cs="Calibri"/>
          <w:b/>
          <w:iCs/>
          <w:sz w:val="24"/>
        </w:rPr>
        <w:tab/>
        <w:t>1 423 073 361 FCFA,</w:t>
      </w:r>
    </w:p>
    <w:p w14:paraId="7A9C0FC9" w14:textId="77777777" w:rsidR="00CD7123" w:rsidRDefault="00CD7123"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 xml:space="preserve">Sous l’angle </w:t>
      </w:r>
      <w:r>
        <w:rPr>
          <w:rFonts w:ascii="Calibri" w:eastAsiaTheme="majorEastAsia" w:hAnsi="Calibri" w:cs="Calibri"/>
          <w:iCs/>
          <w:sz w:val="24"/>
        </w:rPr>
        <w:t xml:space="preserve">des ressources </w:t>
      </w:r>
      <w:r w:rsidRPr="00843E0F">
        <w:rPr>
          <w:rFonts w:ascii="Calibri" w:eastAsiaTheme="majorEastAsia" w:hAnsi="Calibri" w:cs="Calibri"/>
          <w:iCs/>
          <w:sz w:val="24"/>
        </w:rPr>
        <w:t>interne et externe, la ré</w:t>
      </w:r>
      <w:r>
        <w:rPr>
          <w:rFonts w:ascii="Calibri" w:eastAsiaTheme="majorEastAsia" w:hAnsi="Calibri" w:cs="Calibri"/>
          <w:iCs/>
          <w:sz w:val="24"/>
        </w:rPr>
        <w:t>partition apparait comme suit :</w:t>
      </w:r>
    </w:p>
    <w:p w14:paraId="50168D6D" w14:textId="77777777" w:rsidR="00CD7123" w:rsidRPr="00843E0F" w:rsidRDefault="00CD7123" w:rsidP="00F12682">
      <w:pPr>
        <w:spacing w:after="120" w:line="276" w:lineRule="auto"/>
        <w:jc w:val="both"/>
        <w:rPr>
          <w:rFonts w:ascii="Calibri" w:eastAsiaTheme="majorEastAsia" w:hAnsi="Calibri" w:cs="Calibri"/>
          <w:iCs/>
          <w:sz w:val="24"/>
        </w:rPr>
      </w:pPr>
    </w:p>
    <w:p w14:paraId="0C3C6EBC" w14:textId="77777777" w:rsidR="00CD7123" w:rsidRPr="00457FB2" w:rsidRDefault="00CD7123" w:rsidP="00F12682">
      <w:pPr>
        <w:pStyle w:val="Lgende"/>
        <w:rPr>
          <w:rFonts w:eastAsiaTheme="majorEastAsia" w:cs="Calibri"/>
          <w:iCs w:val="0"/>
          <w:szCs w:val="22"/>
        </w:rPr>
      </w:pPr>
      <w:bookmarkStart w:id="158" w:name="_Toc529305113"/>
      <w:r w:rsidRPr="00457FB2">
        <w:rPr>
          <w:szCs w:val="22"/>
        </w:rPr>
        <w:t xml:space="preserve">Graphique </w:t>
      </w:r>
      <w:r w:rsidRPr="00457FB2">
        <w:rPr>
          <w:szCs w:val="22"/>
        </w:rPr>
        <w:fldChar w:fldCharType="begin"/>
      </w:r>
      <w:r w:rsidRPr="00457FB2">
        <w:rPr>
          <w:szCs w:val="22"/>
        </w:rPr>
        <w:instrText xml:space="preserve"> SEQ Graphique \* ARABIC </w:instrText>
      </w:r>
      <w:r w:rsidRPr="00457FB2">
        <w:rPr>
          <w:szCs w:val="22"/>
        </w:rPr>
        <w:fldChar w:fldCharType="separate"/>
      </w:r>
      <w:r w:rsidR="001C37F0">
        <w:rPr>
          <w:noProof/>
          <w:szCs w:val="22"/>
        </w:rPr>
        <w:t>9</w:t>
      </w:r>
      <w:r w:rsidRPr="00457FB2">
        <w:rPr>
          <w:szCs w:val="22"/>
        </w:rPr>
        <w:fldChar w:fldCharType="end"/>
      </w:r>
      <w:r w:rsidRPr="00457FB2">
        <w:rPr>
          <w:rFonts w:eastAsiaTheme="majorEastAsia" w:cs="Calibri"/>
          <w:iCs w:val="0"/>
          <w:szCs w:val="22"/>
        </w:rPr>
        <w:t> : Répartition des financements de la D</w:t>
      </w:r>
      <w:r>
        <w:rPr>
          <w:rFonts w:eastAsiaTheme="majorEastAsia" w:cs="Calibri"/>
          <w:iCs w:val="0"/>
          <w:szCs w:val="22"/>
        </w:rPr>
        <w:t xml:space="preserve">irection de la </w:t>
      </w:r>
      <w:r w:rsidRPr="00457FB2">
        <w:rPr>
          <w:rFonts w:eastAsiaTheme="majorEastAsia" w:cs="Calibri"/>
          <w:iCs w:val="0"/>
          <w:szCs w:val="22"/>
        </w:rPr>
        <w:t>N</w:t>
      </w:r>
      <w:r>
        <w:rPr>
          <w:rFonts w:eastAsiaTheme="majorEastAsia" w:cs="Calibri"/>
          <w:iCs w:val="0"/>
          <w:szCs w:val="22"/>
        </w:rPr>
        <w:t>utrition</w:t>
      </w:r>
      <w:r w:rsidRPr="00457FB2">
        <w:rPr>
          <w:rFonts w:eastAsiaTheme="majorEastAsia" w:cs="Calibri"/>
          <w:iCs w:val="0"/>
          <w:szCs w:val="22"/>
        </w:rPr>
        <w:t xml:space="preserve"> en 2016</w:t>
      </w:r>
      <w:bookmarkEnd w:id="158"/>
    </w:p>
    <w:p w14:paraId="0570D780" w14:textId="77777777" w:rsidR="00CD7123" w:rsidRDefault="00CD7123" w:rsidP="00F12682">
      <w:pPr>
        <w:spacing w:after="0" w:line="240" w:lineRule="auto"/>
        <w:jc w:val="both"/>
        <w:rPr>
          <w:rFonts w:asciiTheme="majorHAnsi" w:eastAsiaTheme="majorEastAsia" w:hAnsiTheme="majorHAnsi" w:cstheme="majorBidi"/>
          <w:iCs/>
        </w:rPr>
      </w:pPr>
      <w:r>
        <w:rPr>
          <w:noProof/>
          <w:lang w:eastAsia="fr-FR"/>
        </w:rPr>
        <w:drawing>
          <wp:inline distT="0" distB="0" distL="0" distR="0" wp14:anchorId="57934828" wp14:editId="3FC6D3CD">
            <wp:extent cx="5209953" cy="2105025"/>
            <wp:effectExtent l="0" t="0" r="10160" b="9525"/>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07FBA0" w14:textId="77777777" w:rsidR="00CD7123" w:rsidRPr="00843E0F" w:rsidRDefault="00CD7123" w:rsidP="00F12682">
      <w:pPr>
        <w:spacing w:after="120" w:line="276" w:lineRule="auto"/>
        <w:jc w:val="both"/>
        <w:rPr>
          <w:rFonts w:ascii="Calibri" w:eastAsiaTheme="majorEastAsia" w:hAnsi="Calibri" w:cs="Calibri"/>
          <w:iCs/>
        </w:rPr>
      </w:pPr>
      <w:r w:rsidRPr="00843E0F">
        <w:rPr>
          <w:rFonts w:ascii="Calibri" w:eastAsiaTheme="majorEastAsia" w:hAnsi="Calibri" w:cs="Calibri"/>
          <w:iCs/>
          <w:u w:val="single"/>
        </w:rPr>
        <w:t>Source</w:t>
      </w:r>
      <w:r w:rsidRPr="00843E0F">
        <w:rPr>
          <w:rFonts w:ascii="Calibri" w:eastAsiaTheme="majorEastAsia" w:hAnsi="Calibri" w:cs="Calibri"/>
          <w:iCs/>
        </w:rPr>
        <w:t> : PAA 2016 de la DN/MSP</w:t>
      </w:r>
    </w:p>
    <w:p w14:paraId="2E4D16D2" w14:textId="77777777" w:rsidR="00CD7123" w:rsidRPr="00843E0F" w:rsidRDefault="00CD7123"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 xml:space="preserve">Il en ressort que les activités de la </w:t>
      </w:r>
      <w:r>
        <w:rPr>
          <w:rFonts w:ascii="Calibri" w:eastAsiaTheme="majorEastAsia" w:hAnsi="Calibri" w:cs="Calibri"/>
          <w:iCs/>
          <w:sz w:val="24"/>
        </w:rPr>
        <w:t>Direction de la Nutrition</w:t>
      </w:r>
      <w:r w:rsidRPr="00843E0F">
        <w:rPr>
          <w:rFonts w:ascii="Calibri" w:eastAsiaTheme="majorEastAsia" w:hAnsi="Calibri" w:cs="Calibri"/>
          <w:iCs/>
          <w:sz w:val="24"/>
        </w:rPr>
        <w:t xml:space="preserve"> dépendaient, en grande partie (60%) des ressources extérieures dont principalement de l’UNICEF qui contribue à elle seule à plus de la moitié des financements escomptés en 2016. </w:t>
      </w:r>
    </w:p>
    <w:p w14:paraId="5E714D21" w14:textId="77777777" w:rsidR="00CD7123" w:rsidRPr="00843E0F" w:rsidRDefault="00CD7123" w:rsidP="00F12682">
      <w:pPr>
        <w:spacing w:after="120" w:line="276" w:lineRule="auto"/>
        <w:jc w:val="both"/>
        <w:rPr>
          <w:rFonts w:ascii="Calibri" w:eastAsiaTheme="majorEastAsia" w:hAnsi="Calibri" w:cs="Calibri"/>
          <w:iCs/>
          <w:sz w:val="24"/>
        </w:rPr>
      </w:pPr>
      <w:r w:rsidRPr="00843E0F">
        <w:rPr>
          <w:rFonts w:ascii="Calibri" w:eastAsiaTheme="majorEastAsia" w:hAnsi="Calibri" w:cs="Calibri"/>
          <w:iCs/>
          <w:sz w:val="24"/>
        </w:rPr>
        <w:t xml:space="preserve">L’Etat vient en seconde position avec 40% du budget dédié à la </w:t>
      </w:r>
      <w:r w:rsidRPr="00196874">
        <w:rPr>
          <w:rFonts w:ascii="Calibri" w:eastAsiaTheme="majorEastAsia" w:hAnsi="Calibri" w:cs="Calibri"/>
          <w:iCs/>
          <w:sz w:val="24"/>
        </w:rPr>
        <w:t xml:space="preserve">Direction de la Nutrition </w:t>
      </w:r>
      <w:r>
        <w:rPr>
          <w:rFonts w:ascii="Calibri" w:eastAsiaTheme="majorEastAsia" w:hAnsi="Calibri" w:cs="Calibri"/>
          <w:iCs/>
          <w:sz w:val="24"/>
        </w:rPr>
        <w:t xml:space="preserve">en 2016. </w:t>
      </w:r>
      <w:r w:rsidRPr="00843E0F">
        <w:rPr>
          <w:rFonts w:ascii="Calibri" w:eastAsiaTheme="majorEastAsia" w:hAnsi="Calibri" w:cs="Calibri"/>
          <w:iCs/>
          <w:sz w:val="24"/>
        </w:rPr>
        <w:t>Une pareille situation laisse penser que les questions de la nutrition constituent une préoccupation de l’Etat.</w:t>
      </w:r>
    </w:p>
    <w:p w14:paraId="0DB1256A" w14:textId="77777777" w:rsidR="00226F3F" w:rsidRDefault="00226F3F" w:rsidP="00F12682">
      <w:pPr>
        <w:spacing w:after="0" w:line="240" w:lineRule="auto"/>
        <w:jc w:val="both"/>
        <w:rPr>
          <w:rFonts w:ascii="Calibri" w:eastAsiaTheme="majorEastAsia" w:hAnsi="Calibri" w:cs="Calibri"/>
          <w:iCs/>
          <w:sz w:val="24"/>
        </w:rPr>
      </w:pPr>
    </w:p>
    <w:p w14:paraId="7E271B58"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Synthèses des forces et faiblesses, perspectives d’amélioration</w:t>
      </w:r>
    </w:p>
    <w:p w14:paraId="6DFA5A99" w14:textId="27233168" w:rsidR="00843E0F" w:rsidRPr="005A52E0" w:rsidRDefault="00843E0F" w:rsidP="00F12682">
      <w:pPr>
        <w:spacing w:after="120" w:line="276" w:lineRule="auto"/>
        <w:jc w:val="both"/>
        <w:rPr>
          <w:rFonts w:ascii="Calibri" w:eastAsiaTheme="majorEastAsia" w:hAnsi="Calibri" w:cs="Calibri"/>
          <w:iCs/>
          <w:sz w:val="24"/>
        </w:rPr>
      </w:pPr>
      <w:r w:rsidRPr="005A52E0">
        <w:rPr>
          <w:rFonts w:ascii="Calibri" w:eastAsiaTheme="majorEastAsia" w:hAnsi="Calibri" w:cs="Calibri"/>
          <w:iCs/>
          <w:sz w:val="24"/>
        </w:rPr>
        <w:t xml:space="preserve">Concernant ce point, les capacités de la </w:t>
      </w:r>
      <w:r w:rsidR="00196874">
        <w:rPr>
          <w:rFonts w:ascii="Calibri" w:eastAsiaTheme="majorEastAsia" w:hAnsi="Calibri" w:cs="Calibri"/>
          <w:iCs/>
          <w:sz w:val="24"/>
        </w:rPr>
        <w:t>Direction de la Nutrition</w:t>
      </w:r>
      <w:r w:rsidR="00196874" w:rsidRPr="00843E0F">
        <w:rPr>
          <w:rFonts w:ascii="Calibri" w:eastAsiaTheme="majorEastAsia" w:hAnsi="Calibri" w:cs="Calibri"/>
          <w:iCs/>
          <w:sz w:val="24"/>
        </w:rPr>
        <w:t xml:space="preserve"> </w:t>
      </w:r>
      <w:r w:rsidRPr="005A52E0">
        <w:rPr>
          <w:rFonts w:ascii="Calibri" w:eastAsiaTheme="majorEastAsia" w:hAnsi="Calibri" w:cs="Calibri"/>
          <w:iCs/>
          <w:sz w:val="24"/>
        </w:rPr>
        <w:t xml:space="preserve">sont les suivantes : </w:t>
      </w:r>
    </w:p>
    <w:p w14:paraId="38728C3B" w14:textId="23D5B3CA" w:rsidR="00843E0F" w:rsidRPr="00196874" w:rsidRDefault="00843E0F" w:rsidP="00F12682">
      <w:pPr>
        <w:spacing w:after="120" w:line="276" w:lineRule="auto"/>
        <w:jc w:val="both"/>
        <w:rPr>
          <w:rFonts w:ascii="Calibri" w:eastAsiaTheme="majorEastAsia" w:hAnsi="Calibri" w:cs="Calibri"/>
          <w:iCs/>
          <w:sz w:val="24"/>
        </w:rPr>
      </w:pPr>
      <w:r w:rsidRPr="005A52E0">
        <w:rPr>
          <w:rFonts w:ascii="Calibri" w:eastAsiaTheme="majorEastAsia" w:hAnsi="Calibri" w:cs="Calibri"/>
          <w:b/>
          <w:iCs/>
          <w:sz w:val="24"/>
          <w:u w:val="single"/>
        </w:rPr>
        <w:t>Points forts</w:t>
      </w:r>
      <w:r w:rsidRPr="00196874">
        <w:rPr>
          <w:rFonts w:ascii="Calibri" w:eastAsiaTheme="majorEastAsia" w:hAnsi="Calibri" w:cs="Calibri"/>
          <w:iCs/>
          <w:sz w:val="24"/>
        </w:rPr>
        <w:t xml:space="preserve"> : </w:t>
      </w:r>
    </w:p>
    <w:p w14:paraId="1D7A7599" w14:textId="77777777" w:rsidR="00843E0F" w:rsidRPr="005A52E0"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5A52E0">
        <w:rPr>
          <w:rFonts w:ascii="Calibri" w:eastAsiaTheme="majorEastAsia" w:hAnsi="Calibri" w:cs="Calibri"/>
          <w:iCs/>
          <w:sz w:val="24"/>
        </w:rPr>
        <w:t xml:space="preserve">longue culture en matière de planification, programmation et évaluation : de façon générale, le MSP faisait le budget programme depuis la déclaration de Paris et le l’adoption du Plan d’Action </w:t>
      </w:r>
      <w:r w:rsidRPr="005A52E0">
        <w:rPr>
          <w:rFonts w:ascii="Calibri" w:eastAsiaTheme="majorEastAsia" w:hAnsi="Calibri" w:cs="Calibri"/>
          <w:iCs/>
          <w:sz w:val="24"/>
        </w:rPr>
        <w:lastRenderedPageBreak/>
        <w:t xml:space="preserve">d’Accra. Il s’est également inscrit depuis plusieurs années dans la Gestion Axée sur les Résultats (GAR) avec la mise en place d’un cadre de mesure de la performance qui est régulièrement suivi et reportée grâce à un excellent système d’information sanitaire ; </w:t>
      </w:r>
    </w:p>
    <w:p w14:paraId="7DFE30F7" w14:textId="6FABD071" w:rsidR="00843E0F" w:rsidRPr="005A52E0"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5A52E0">
        <w:rPr>
          <w:rFonts w:ascii="Calibri" w:eastAsiaTheme="majorEastAsia" w:hAnsi="Calibri" w:cs="Calibri"/>
          <w:iCs/>
          <w:sz w:val="24"/>
        </w:rPr>
        <w:t>esprit d’équipe au sein des structures du MSP : à l’instar du MH</w:t>
      </w:r>
      <w:r w:rsidR="00196874" w:rsidRPr="005A52E0">
        <w:rPr>
          <w:rFonts w:ascii="Calibri" w:eastAsiaTheme="majorEastAsia" w:hAnsi="Calibri" w:cs="Calibri"/>
          <w:iCs/>
          <w:sz w:val="24"/>
        </w:rPr>
        <w:t>A</w:t>
      </w:r>
      <w:r w:rsidRPr="005A52E0">
        <w:rPr>
          <w:rFonts w:ascii="Calibri" w:eastAsiaTheme="majorEastAsia" w:hAnsi="Calibri" w:cs="Calibri"/>
          <w:iCs/>
          <w:sz w:val="24"/>
        </w:rPr>
        <w:t>, les services du MSP travaillent en équipe dans la complémentarité et la synergie ;</w:t>
      </w:r>
    </w:p>
    <w:p w14:paraId="1BA97163" w14:textId="77777777" w:rsidR="00843E0F" w:rsidRPr="005A52E0"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5A52E0">
        <w:rPr>
          <w:rFonts w:ascii="Calibri" w:eastAsiaTheme="majorEastAsia" w:hAnsi="Calibri" w:cs="Calibri"/>
          <w:iCs/>
          <w:sz w:val="24"/>
        </w:rPr>
        <w:t xml:space="preserve">bonne répartition des tâches au sein des Structures qui a permis de doter chacune d’elle d’un Responsable Financier chargé de la gestion des ressources financières ;  </w:t>
      </w:r>
    </w:p>
    <w:p w14:paraId="4E6FADF8" w14:textId="0D03FEFE" w:rsidR="00843E0F" w:rsidRPr="005A52E0"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5A52E0">
        <w:rPr>
          <w:rFonts w:ascii="Calibri" w:eastAsiaTheme="majorEastAsia" w:hAnsi="Calibri" w:cs="Calibri"/>
          <w:iCs/>
          <w:sz w:val="24"/>
        </w:rPr>
        <w:t xml:space="preserve">appui techniques tous azimuts des PTF du secteur santé qui a permis de fournir au MSP en général, et à la </w:t>
      </w:r>
      <w:r w:rsidR="00196874">
        <w:rPr>
          <w:rFonts w:ascii="Calibri" w:eastAsiaTheme="majorEastAsia" w:hAnsi="Calibri" w:cs="Calibri"/>
          <w:iCs/>
          <w:sz w:val="24"/>
        </w:rPr>
        <w:t>Direction de la Nutrition</w:t>
      </w:r>
      <w:r w:rsidRPr="005A52E0">
        <w:rPr>
          <w:rFonts w:ascii="Calibri" w:eastAsiaTheme="majorEastAsia" w:hAnsi="Calibri" w:cs="Calibri"/>
          <w:iCs/>
          <w:sz w:val="24"/>
        </w:rPr>
        <w:t xml:space="preserve">, l’assistance technique nécessaire à la conduite de certaines activités ;  </w:t>
      </w:r>
    </w:p>
    <w:p w14:paraId="06A2BD5F" w14:textId="77777777" w:rsidR="005A52E0" w:rsidRPr="00226F3F" w:rsidRDefault="005A52E0" w:rsidP="00F12682">
      <w:pPr>
        <w:spacing w:after="0" w:line="240" w:lineRule="auto"/>
        <w:jc w:val="both"/>
        <w:rPr>
          <w:rFonts w:ascii="Calibri" w:eastAsiaTheme="majorEastAsia" w:hAnsi="Calibri" w:cs="Calibri"/>
          <w:iCs/>
          <w:sz w:val="24"/>
        </w:rPr>
      </w:pPr>
    </w:p>
    <w:p w14:paraId="2D71D61E" w14:textId="0D4B65D8" w:rsidR="00843E0F" w:rsidRPr="00196874" w:rsidRDefault="00843E0F" w:rsidP="00F12682">
      <w:pPr>
        <w:spacing w:after="120" w:line="276" w:lineRule="auto"/>
        <w:jc w:val="both"/>
        <w:rPr>
          <w:rFonts w:ascii="Calibri" w:eastAsiaTheme="majorEastAsia" w:hAnsi="Calibri" w:cs="Calibri"/>
          <w:iCs/>
          <w:sz w:val="24"/>
        </w:rPr>
      </w:pPr>
      <w:r w:rsidRPr="005A52E0">
        <w:rPr>
          <w:rFonts w:ascii="Calibri" w:eastAsiaTheme="majorEastAsia" w:hAnsi="Calibri" w:cs="Calibri"/>
          <w:b/>
          <w:iCs/>
          <w:sz w:val="24"/>
          <w:u w:val="single"/>
        </w:rPr>
        <w:t>Points à améliorer</w:t>
      </w:r>
      <w:r w:rsidRPr="00196874">
        <w:rPr>
          <w:rFonts w:ascii="Calibri" w:eastAsiaTheme="majorEastAsia" w:hAnsi="Calibri" w:cs="Calibri"/>
          <w:iCs/>
          <w:sz w:val="24"/>
        </w:rPr>
        <w:t xml:space="preserve"> :</w:t>
      </w:r>
    </w:p>
    <w:p w14:paraId="032FFA45" w14:textId="50169675" w:rsidR="00843E0F" w:rsidRPr="005A52E0" w:rsidRDefault="00196874"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Pr>
          <w:rFonts w:ascii="Calibri" w:eastAsiaTheme="majorEastAsia" w:hAnsi="Calibri" w:cs="Calibri"/>
          <w:iCs/>
          <w:sz w:val="24"/>
        </w:rPr>
        <w:t xml:space="preserve">apport du </w:t>
      </w:r>
      <w:r w:rsidR="00843E0F" w:rsidRPr="005A52E0">
        <w:rPr>
          <w:rFonts w:ascii="Calibri" w:eastAsiaTheme="majorEastAsia" w:hAnsi="Calibri" w:cs="Calibri"/>
          <w:iCs/>
          <w:sz w:val="24"/>
        </w:rPr>
        <w:t>Haut</w:t>
      </w:r>
      <w:r>
        <w:rPr>
          <w:rFonts w:ascii="Calibri" w:eastAsiaTheme="majorEastAsia" w:hAnsi="Calibri" w:cs="Calibri"/>
          <w:iCs/>
          <w:sz w:val="24"/>
        </w:rPr>
        <w:t>-Commissariat à l’Initiative 3N</w:t>
      </w:r>
      <w:r w:rsidR="00843E0F" w:rsidRPr="005A52E0">
        <w:rPr>
          <w:rFonts w:ascii="Calibri" w:eastAsiaTheme="majorEastAsia" w:hAnsi="Calibri" w:cs="Calibri"/>
          <w:iCs/>
          <w:sz w:val="24"/>
        </w:rPr>
        <w:t xml:space="preserve"> pas suffisa</w:t>
      </w:r>
      <w:r>
        <w:rPr>
          <w:rFonts w:ascii="Calibri" w:eastAsiaTheme="majorEastAsia" w:hAnsi="Calibri" w:cs="Calibri"/>
          <w:iCs/>
          <w:sz w:val="24"/>
        </w:rPr>
        <w:t>mment perçu : la présence du HC</w:t>
      </w:r>
      <w:r w:rsidR="00843E0F" w:rsidRPr="005A52E0">
        <w:rPr>
          <w:rFonts w:ascii="Calibri" w:eastAsiaTheme="majorEastAsia" w:hAnsi="Calibri" w:cs="Calibri"/>
          <w:iCs/>
          <w:sz w:val="24"/>
        </w:rPr>
        <w:t>3N ne s’est pas fait sentir au cours de l’année 2016.</w:t>
      </w:r>
    </w:p>
    <w:p w14:paraId="52905892" w14:textId="77777777" w:rsidR="005A52E0" w:rsidRPr="00226F3F" w:rsidRDefault="005A52E0" w:rsidP="00F12682">
      <w:pPr>
        <w:spacing w:after="0" w:line="240" w:lineRule="auto"/>
        <w:jc w:val="both"/>
        <w:rPr>
          <w:rFonts w:ascii="Calibri" w:eastAsiaTheme="majorEastAsia" w:hAnsi="Calibri" w:cs="Calibri"/>
          <w:iCs/>
          <w:sz w:val="24"/>
        </w:rPr>
      </w:pPr>
    </w:p>
    <w:p w14:paraId="62A0D379" w14:textId="13641719" w:rsidR="00843E0F" w:rsidRPr="00196874" w:rsidRDefault="00843E0F" w:rsidP="00F12682">
      <w:pPr>
        <w:spacing w:after="120" w:line="276" w:lineRule="auto"/>
        <w:jc w:val="both"/>
        <w:rPr>
          <w:rFonts w:ascii="Calibri" w:eastAsiaTheme="majorEastAsia" w:hAnsi="Calibri" w:cs="Calibri"/>
          <w:iCs/>
          <w:sz w:val="24"/>
        </w:rPr>
      </w:pPr>
      <w:r w:rsidRPr="005A52E0">
        <w:rPr>
          <w:rFonts w:ascii="Calibri" w:eastAsiaTheme="majorEastAsia" w:hAnsi="Calibri" w:cs="Calibri"/>
          <w:b/>
          <w:iCs/>
          <w:sz w:val="24"/>
          <w:u w:val="single"/>
        </w:rPr>
        <w:t>Perspectives d’amélioration</w:t>
      </w:r>
      <w:r w:rsidRPr="00196874">
        <w:rPr>
          <w:rFonts w:ascii="Calibri" w:eastAsiaTheme="majorEastAsia" w:hAnsi="Calibri" w:cs="Calibri"/>
          <w:iCs/>
          <w:sz w:val="24"/>
        </w:rPr>
        <w:t xml:space="preserve"> :</w:t>
      </w:r>
    </w:p>
    <w:p w14:paraId="4EDDC1D1" w14:textId="6EAE09B6" w:rsidR="00843E0F" w:rsidRPr="005A52E0" w:rsidRDefault="00843E0F" w:rsidP="00F12682">
      <w:pPr>
        <w:pStyle w:val="Paragraphedeliste"/>
        <w:numPr>
          <w:ilvl w:val="0"/>
          <w:numId w:val="32"/>
        </w:numPr>
        <w:spacing w:after="120" w:line="276" w:lineRule="auto"/>
        <w:ind w:left="426" w:hanging="210"/>
        <w:contextualSpacing w:val="0"/>
        <w:jc w:val="both"/>
        <w:rPr>
          <w:rFonts w:ascii="Calibri" w:eastAsiaTheme="majorEastAsia" w:hAnsi="Calibri" w:cs="Calibri"/>
          <w:iCs/>
          <w:sz w:val="24"/>
        </w:rPr>
      </w:pPr>
      <w:r w:rsidRPr="005A52E0">
        <w:rPr>
          <w:rFonts w:ascii="Calibri" w:eastAsiaTheme="majorEastAsia" w:hAnsi="Calibri" w:cs="Calibri"/>
          <w:iCs/>
          <w:sz w:val="24"/>
        </w:rPr>
        <w:t xml:space="preserve">implication du Haut-Commissariat à l’Initiative 3N, lors des réunions de programmation et d’évaluation des PAA de la </w:t>
      </w:r>
      <w:r w:rsidR="00196874">
        <w:rPr>
          <w:rFonts w:ascii="Calibri" w:eastAsiaTheme="majorEastAsia" w:hAnsi="Calibri" w:cs="Calibri"/>
          <w:iCs/>
          <w:sz w:val="24"/>
        </w:rPr>
        <w:t>Direction de la Nutrition</w:t>
      </w:r>
      <w:r w:rsidR="00196874" w:rsidRPr="00843E0F">
        <w:rPr>
          <w:rFonts w:ascii="Calibri" w:eastAsiaTheme="majorEastAsia" w:hAnsi="Calibri" w:cs="Calibri"/>
          <w:iCs/>
          <w:sz w:val="24"/>
        </w:rPr>
        <w:t xml:space="preserve"> </w:t>
      </w:r>
      <w:r w:rsidRPr="005A52E0">
        <w:rPr>
          <w:rFonts w:ascii="Calibri" w:eastAsiaTheme="majorEastAsia" w:hAnsi="Calibri" w:cs="Calibri"/>
          <w:iCs/>
          <w:sz w:val="24"/>
        </w:rPr>
        <w:t xml:space="preserve">pendant les revues organisées à cet effet ; </w:t>
      </w:r>
    </w:p>
    <w:p w14:paraId="16432433" w14:textId="77777777" w:rsidR="007F358B" w:rsidRDefault="007F358B" w:rsidP="00F12682"/>
    <w:p w14:paraId="78A4F82E" w14:textId="77777777" w:rsidR="00C77474" w:rsidRDefault="00C77474" w:rsidP="00F12682"/>
    <w:p w14:paraId="07E8666B" w14:textId="040D5998" w:rsidR="00F42FF8" w:rsidRDefault="00E51AB3" w:rsidP="00F12682">
      <w:pPr>
        <w:pStyle w:val="Titre3"/>
        <w:numPr>
          <w:ilvl w:val="2"/>
          <w:numId w:val="3"/>
        </w:numPr>
        <w:rPr>
          <w:rFonts w:asciiTheme="minorHAnsi" w:hAnsiTheme="minorHAnsi" w:cstheme="minorHAnsi"/>
        </w:rPr>
      </w:pPr>
      <w:bookmarkStart w:id="159" w:name="_Toc529305039"/>
      <w:r>
        <w:rPr>
          <w:rFonts w:asciiTheme="minorHAnsi" w:hAnsiTheme="minorHAnsi" w:cstheme="minorHAnsi"/>
        </w:rPr>
        <w:t>Haut-Commissariat à l’Initiative 3N (</w:t>
      </w:r>
      <w:r w:rsidR="00F42FF8" w:rsidRPr="004A5122">
        <w:rPr>
          <w:rFonts w:asciiTheme="minorHAnsi" w:hAnsiTheme="minorHAnsi" w:cstheme="minorHAnsi"/>
        </w:rPr>
        <w:t>HC3N</w:t>
      </w:r>
      <w:r>
        <w:rPr>
          <w:rFonts w:asciiTheme="minorHAnsi" w:hAnsiTheme="minorHAnsi" w:cstheme="minorHAnsi"/>
        </w:rPr>
        <w:t>)</w:t>
      </w:r>
      <w:bookmarkEnd w:id="159"/>
    </w:p>
    <w:p w14:paraId="08E3E7F9" w14:textId="77777777" w:rsidR="00E51AB3" w:rsidRDefault="00E51AB3" w:rsidP="00F12682">
      <w:pPr>
        <w:pStyle w:val="Titre4"/>
        <w:rPr>
          <w:rFonts w:asciiTheme="minorHAnsi" w:hAnsiTheme="minorHAnsi" w:cstheme="minorHAnsi"/>
        </w:rPr>
      </w:pPr>
      <w:r w:rsidRPr="004A5122">
        <w:rPr>
          <w:rFonts w:asciiTheme="minorHAnsi" w:hAnsiTheme="minorHAnsi" w:cstheme="minorHAnsi"/>
        </w:rPr>
        <w:t>Analyse de l’évolution et de la pertinence des allocations budgétaires du secteur (financement global) par rapport aux priorités</w:t>
      </w:r>
    </w:p>
    <w:p w14:paraId="5535AD9B" w14:textId="77777777" w:rsidR="00456367" w:rsidRPr="00196874" w:rsidRDefault="00456367" w:rsidP="00F12682">
      <w:pPr>
        <w:jc w:val="both"/>
        <w:rPr>
          <w:sz w:val="24"/>
        </w:rPr>
      </w:pPr>
      <w:bookmarkStart w:id="160" w:name="_Toc479343578"/>
      <w:r>
        <w:rPr>
          <w:sz w:val="24"/>
        </w:rPr>
        <w:t xml:space="preserve">L’évolution des crédits votés pour le HCI3N est à la hausse de 2011 à 2016. Par contre, pour les crédits consommés, on constate qu’en 2016, ces crédits votés ont été faiblement consommés, à peine à 23%. </w:t>
      </w:r>
    </w:p>
    <w:p w14:paraId="43068BB6" w14:textId="24AF6AE7" w:rsidR="00632B03" w:rsidRPr="009621BF" w:rsidRDefault="00632B03" w:rsidP="00F12682">
      <w:pPr>
        <w:pStyle w:val="Lgende"/>
        <w:spacing w:after="0"/>
      </w:pPr>
      <w:bookmarkStart w:id="161" w:name="_Toc529305089"/>
      <w:r w:rsidRPr="009621BF">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35</w:t>
      </w:r>
      <w:r w:rsidR="00A773EB">
        <w:rPr>
          <w:noProof/>
        </w:rPr>
        <w:fldChar w:fldCharType="end"/>
      </w:r>
      <w:r w:rsidRPr="009621BF">
        <w:t> : Dépenses du Haut-Commissariat à l’Initiative 3N</w:t>
      </w:r>
      <w:bookmarkEnd w:id="160"/>
      <w:r w:rsidR="00C77474">
        <w:t xml:space="preserve"> en 2016</w:t>
      </w:r>
      <w:bookmarkEnd w:id="161"/>
    </w:p>
    <w:tbl>
      <w:tblPr>
        <w:tblW w:w="5000" w:type="pct"/>
        <w:tblCellMar>
          <w:left w:w="70" w:type="dxa"/>
          <w:right w:w="70" w:type="dxa"/>
        </w:tblCellMar>
        <w:tblLook w:val="04A0" w:firstRow="1" w:lastRow="0" w:firstColumn="1" w:lastColumn="0" w:noHBand="0" w:noVBand="1"/>
      </w:tblPr>
      <w:tblGrid>
        <w:gridCol w:w="3894"/>
        <w:gridCol w:w="1722"/>
        <w:gridCol w:w="1739"/>
        <w:gridCol w:w="2273"/>
      </w:tblGrid>
      <w:tr w:rsidR="00632B03" w:rsidRPr="004F1FAE" w14:paraId="1387FECD" w14:textId="77777777" w:rsidTr="00226F3F">
        <w:trPr>
          <w:trHeight w:val="300"/>
        </w:trPr>
        <w:tc>
          <w:tcPr>
            <w:tcW w:w="20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DACEB" w14:textId="0D6E4108" w:rsidR="00632B03" w:rsidRPr="004F1FAE" w:rsidRDefault="00632B03" w:rsidP="00F12682">
            <w:pPr>
              <w:spacing w:after="0"/>
              <w:jc w:val="center"/>
              <w:rPr>
                <w:b/>
                <w:lang w:eastAsia="fr-FR"/>
              </w:rPr>
            </w:pPr>
            <w:r>
              <w:rPr>
                <w:b/>
                <w:lang w:eastAsia="fr-FR"/>
              </w:rPr>
              <w:t>Année</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67B89" w14:textId="59C182C8" w:rsidR="00632B03" w:rsidRPr="004F1FAE" w:rsidRDefault="00632B03" w:rsidP="00F12682">
            <w:pPr>
              <w:spacing w:after="0" w:line="240" w:lineRule="auto"/>
              <w:jc w:val="center"/>
              <w:rPr>
                <w:b/>
                <w:lang w:eastAsia="fr-FR"/>
              </w:rPr>
            </w:pPr>
            <w:r>
              <w:rPr>
                <w:b/>
                <w:lang w:eastAsia="fr-FR"/>
              </w:rPr>
              <w:t>Voté</w:t>
            </w:r>
          </w:p>
        </w:tc>
        <w:tc>
          <w:tcPr>
            <w:tcW w:w="927" w:type="pct"/>
            <w:tcBorders>
              <w:top w:val="single" w:sz="4" w:space="0" w:color="auto"/>
              <w:left w:val="nil"/>
              <w:bottom w:val="single" w:sz="4" w:space="0" w:color="auto"/>
              <w:right w:val="single" w:sz="4" w:space="0" w:color="auto"/>
            </w:tcBorders>
            <w:shd w:val="clear" w:color="auto" w:fill="auto"/>
            <w:noWrap/>
            <w:vAlign w:val="center"/>
          </w:tcPr>
          <w:p w14:paraId="304DF436" w14:textId="6FC3194E" w:rsidR="00632B03" w:rsidRPr="004F1FAE" w:rsidRDefault="00632B03" w:rsidP="00F12682">
            <w:pPr>
              <w:spacing w:after="0" w:line="240" w:lineRule="auto"/>
              <w:jc w:val="center"/>
              <w:rPr>
                <w:b/>
                <w:lang w:eastAsia="fr-FR"/>
              </w:rPr>
            </w:pPr>
            <w:r>
              <w:rPr>
                <w:b/>
                <w:lang w:eastAsia="fr-FR"/>
              </w:rPr>
              <w:t>Consommé</w:t>
            </w:r>
          </w:p>
        </w:tc>
        <w:tc>
          <w:tcPr>
            <w:tcW w:w="1109" w:type="pct"/>
            <w:tcBorders>
              <w:top w:val="single" w:sz="4" w:space="0" w:color="auto"/>
              <w:left w:val="nil"/>
              <w:bottom w:val="single" w:sz="4" w:space="0" w:color="auto"/>
              <w:right w:val="single" w:sz="4" w:space="0" w:color="auto"/>
            </w:tcBorders>
            <w:shd w:val="clear" w:color="auto" w:fill="auto"/>
            <w:noWrap/>
            <w:vAlign w:val="center"/>
          </w:tcPr>
          <w:p w14:paraId="399E935C" w14:textId="2AAEBFB2" w:rsidR="00632B03" w:rsidRPr="004F1FAE" w:rsidRDefault="00632B03" w:rsidP="00F12682">
            <w:pPr>
              <w:spacing w:after="0"/>
              <w:jc w:val="center"/>
              <w:rPr>
                <w:b/>
                <w:lang w:eastAsia="fr-FR"/>
              </w:rPr>
            </w:pPr>
            <w:r>
              <w:rPr>
                <w:b/>
                <w:lang w:eastAsia="fr-FR"/>
              </w:rPr>
              <w:t>Taux de consommation</w:t>
            </w:r>
          </w:p>
        </w:tc>
      </w:tr>
      <w:tr w:rsidR="00632B03" w:rsidRPr="009621BF" w14:paraId="63D46A19" w14:textId="77777777" w:rsidTr="00226F3F">
        <w:trPr>
          <w:trHeight w:val="300"/>
        </w:trPr>
        <w:tc>
          <w:tcPr>
            <w:tcW w:w="2046" w:type="pct"/>
            <w:tcBorders>
              <w:top w:val="nil"/>
              <w:left w:val="single" w:sz="4" w:space="0" w:color="auto"/>
              <w:bottom w:val="single" w:sz="4" w:space="0" w:color="auto"/>
              <w:right w:val="single" w:sz="4" w:space="0" w:color="auto"/>
            </w:tcBorders>
            <w:shd w:val="clear" w:color="auto" w:fill="auto"/>
            <w:noWrap/>
            <w:vAlign w:val="bottom"/>
            <w:hideMark/>
          </w:tcPr>
          <w:p w14:paraId="23C45BCC" w14:textId="77777777" w:rsidR="00632B03" w:rsidRPr="009621BF" w:rsidRDefault="00632B03" w:rsidP="00F12682">
            <w:pPr>
              <w:spacing w:after="0" w:line="240" w:lineRule="auto"/>
              <w:rPr>
                <w:lang w:eastAsia="fr-FR"/>
              </w:rPr>
            </w:pPr>
            <w:r w:rsidRPr="009621BF">
              <w:rPr>
                <w:lang w:eastAsia="fr-FR"/>
              </w:rPr>
              <w:t>2011</w:t>
            </w:r>
          </w:p>
        </w:tc>
        <w:tc>
          <w:tcPr>
            <w:tcW w:w="918" w:type="pct"/>
            <w:tcBorders>
              <w:top w:val="nil"/>
              <w:left w:val="single" w:sz="4" w:space="0" w:color="auto"/>
              <w:bottom w:val="single" w:sz="4" w:space="0" w:color="auto"/>
              <w:right w:val="single" w:sz="4" w:space="0" w:color="auto"/>
            </w:tcBorders>
            <w:shd w:val="clear" w:color="auto" w:fill="auto"/>
            <w:noWrap/>
            <w:vAlign w:val="bottom"/>
            <w:hideMark/>
          </w:tcPr>
          <w:p w14:paraId="696DA56E" w14:textId="4046B539" w:rsidR="00632B03" w:rsidRPr="009621BF" w:rsidRDefault="00632B03" w:rsidP="00F12682">
            <w:pPr>
              <w:spacing w:after="0" w:line="240" w:lineRule="auto"/>
              <w:jc w:val="center"/>
              <w:rPr>
                <w:lang w:eastAsia="fr-FR"/>
              </w:rPr>
            </w:pPr>
            <w:r w:rsidRPr="009621BF">
              <w:rPr>
                <w:lang w:eastAsia="fr-FR"/>
              </w:rPr>
              <w:t>0</w:t>
            </w:r>
            <w:r w:rsidR="00C77474">
              <w:rPr>
                <w:lang w:eastAsia="fr-FR"/>
              </w:rPr>
              <w:t>,</w:t>
            </w:r>
            <w:r w:rsidRPr="009621BF">
              <w:rPr>
                <w:lang w:eastAsia="fr-FR"/>
              </w:rPr>
              <w:t>56</w:t>
            </w:r>
          </w:p>
        </w:tc>
        <w:tc>
          <w:tcPr>
            <w:tcW w:w="927" w:type="pct"/>
            <w:tcBorders>
              <w:top w:val="nil"/>
              <w:left w:val="nil"/>
              <w:bottom w:val="single" w:sz="4" w:space="0" w:color="auto"/>
              <w:right w:val="single" w:sz="4" w:space="0" w:color="auto"/>
            </w:tcBorders>
            <w:shd w:val="clear" w:color="auto" w:fill="auto"/>
            <w:noWrap/>
            <w:vAlign w:val="bottom"/>
            <w:hideMark/>
          </w:tcPr>
          <w:p w14:paraId="2E706991" w14:textId="64F55F0A" w:rsidR="00632B03" w:rsidRPr="009621BF" w:rsidRDefault="00632B03" w:rsidP="00F12682">
            <w:pPr>
              <w:spacing w:after="0" w:line="240" w:lineRule="auto"/>
              <w:jc w:val="center"/>
              <w:rPr>
                <w:lang w:eastAsia="fr-FR"/>
              </w:rPr>
            </w:pPr>
            <w:r w:rsidRPr="009621BF">
              <w:rPr>
                <w:lang w:eastAsia="fr-FR"/>
              </w:rPr>
              <w:t>0</w:t>
            </w:r>
            <w:r w:rsidR="00C77474">
              <w:rPr>
                <w:lang w:eastAsia="fr-FR"/>
              </w:rPr>
              <w:t>,</w:t>
            </w:r>
            <w:r w:rsidRPr="009621BF">
              <w:rPr>
                <w:lang w:eastAsia="fr-FR"/>
              </w:rPr>
              <w:t>22</w:t>
            </w:r>
          </w:p>
        </w:tc>
        <w:tc>
          <w:tcPr>
            <w:tcW w:w="1109" w:type="pct"/>
            <w:tcBorders>
              <w:top w:val="nil"/>
              <w:left w:val="nil"/>
              <w:bottom w:val="single" w:sz="4" w:space="0" w:color="auto"/>
              <w:right w:val="single" w:sz="4" w:space="0" w:color="auto"/>
            </w:tcBorders>
            <w:shd w:val="clear" w:color="auto" w:fill="auto"/>
            <w:noWrap/>
            <w:vAlign w:val="bottom"/>
            <w:hideMark/>
          </w:tcPr>
          <w:p w14:paraId="298EBC24" w14:textId="77777777" w:rsidR="00632B03" w:rsidRPr="009621BF" w:rsidRDefault="00632B03" w:rsidP="00F12682">
            <w:pPr>
              <w:spacing w:after="0" w:line="240" w:lineRule="auto"/>
              <w:jc w:val="right"/>
              <w:rPr>
                <w:lang w:eastAsia="fr-FR"/>
              </w:rPr>
            </w:pPr>
            <w:r w:rsidRPr="009621BF">
              <w:rPr>
                <w:lang w:eastAsia="fr-FR"/>
              </w:rPr>
              <w:t>39%</w:t>
            </w:r>
          </w:p>
        </w:tc>
      </w:tr>
      <w:tr w:rsidR="00632B03" w:rsidRPr="009621BF" w14:paraId="47BBA7C2" w14:textId="77777777" w:rsidTr="00226F3F">
        <w:trPr>
          <w:trHeight w:val="300"/>
        </w:trPr>
        <w:tc>
          <w:tcPr>
            <w:tcW w:w="2046" w:type="pct"/>
            <w:tcBorders>
              <w:top w:val="nil"/>
              <w:left w:val="single" w:sz="4" w:space="0" w:color="auto"/>
              <w:bottom w:val="single" w:sz="4" w:space="0" w:color="auto"/>
              <w:right w:val="single" w:sz="4" w:space="0" w:color="auto"/>
            </w:tcBorders>
            <w:shd w:val="clear" w:color="auto" w:fill="auto"/>
            <w:noWrap/>
            <w:vAlign w:val="bottom"/>
            <w:hideMark/>
          </w:tcPr>
          <w:p w14:paraId="66F723B0" w14:textId="77777777" w:rsidR="00632B03" w:rsidRPr="009621BF" w:rsidRDefault="00632B03" w:rsidP="00F12682">
            <w:pPr>
              <w:spacing w:after="0" w:line="240" w:lineRule="auto"/>
              <w:rPr>
                <w:lang w:eastAsia="fr-FR"/>
              </w:rPr>
            </w:pPr>
            <w:r w:rsidRPr="009621BF">
              <w:rPr>
                <w:lang w:eastAsia="fr-FR"/>
              </w:rPr>
              <w:t>2012</w:t>
            </w:r>
          </w:p>
        </w:tc>
        <w:tc>
          <w:tcPr>
            <w:tcW w:w="918" w:type="pct"/>
            <w:tcBorders>
              <w:top w:val="nil"/>
              <w:left w:val="single" w:sz="4" w:space="0" w:color="auto"/>
              <w:bottom w:val="single" w:sz="4" w:space="0" w:color="auto"/>
              <w:right w:val="single" w:sz="4" w:space="0" w:color="auto"/>
            </w:tcBorders>
            <w:shd w:val="clear" w:color="auto" w:fill="auto"/>
            <w:noWrap/>
            <w:vAlign w:val="bottom"/>
            <w:hideMark/>
          </w:tcPr>
          <w:p w14:paraId="1DAE3EEC" w14:textId="543D8508" w:rsidR="00632B03" w:rsidRPr="009621BF" w:rsidRDefault="00632B03" w:rsidP="00F12682">
            <w:pPr>
              <w:spacing w:after="0" w:line="240" w:lineRule="auto"/>
              <w:jc w:val="center"/>
              <w:rPr>
                <w:lang w:eastAsia="fr-FR"/>
              </w:rPr>
            </w:pPr>
            <w:r w:rsidRPr="009621BF">
              <w:rPr>
                <w:lang w:eastAsia="fr-FR"/>
              </w:rPr>
              <w:t>0</w:t>
            </w:r>
            <w:r w:rsidR="00C77474">
              <w:rPr>
                <w:lang w:eastAsia="fr-FR"/>
              </w:rPr>
              <w:t>,</w:t>
            </w:r>
            <w:r w:rsidRPr="009621BF">
              <w:rPr>
                <w:lang w:eastAsia="fr-FR"/>
              </w:rPr>
              <w:t>43</w:t>
            </w:r>
          </w:p>
        </w:tc>
        <w:tc>
          <w:tcPr>
            <w:tcW w:w="927" w:type="pct"/>
            <w:tcBorders>
              <w:top w:val="nil"/>
              <w:left w:val="nil"/>
              <w:bottom w:val="single" w:sz="4" w:space="0" w:color="auto"/>
              <w:right w:val="single" w:sz="4" w:space="0" w:color="auto"/>
            </w:tcBorders>
            <w:shd w:val="clear" w:color="auto" w:fill="auto"/>
            <w:noWrap/>
            <w:vAlign w:val="bottom"/>
            <w:hideMark/>
          </w:tcPr>
          <w:p w14:paraId="40B098EF" w14:textId="5F5B4859" w:rsidR="00632B03" w:rsidRPr="009621BF" w:rsidRDefault="00632B03" w:rsidP="00F12682">
            <w:pPr>
              <w:spacing w:after="0" w:line="240" w:lineRule="auto"/>
              <w:jc w:val="center"/>
              <w:rPr>
                <w:lang w:eastAsia="fr-FR"/>
              </w:rPr>
            </w:pPr>
            <w:r w:rsidRPr="009621BF">
              <w:rPr>
                <w:lang w:eastAsia="fr-FR"/>
              </w:rPr>
              <w:t>0</w:t>
            </w:r>
            <w:r w:rsidR="00C77474">
              <w:rPr>
                <w:lang w:eastAsia="fr-FR"/>
              </w:rPr>
              <w:t>,</w:t>
            </w:r>
            <w:r w:rsidRPr="009621BF">
              <w:rPr>
                <w:lang w:eastAsia="fr-FR"/>
              </w:rPr>
              <w:t>37</w:t>
            </w:r>
          </w:p>
        </w:tc>
        <w:tc>
          <w:tcPr>
            <w:tcW w:w="1109" w:type="pct"/>
            <w:tcBorders>
              <w:top w:val="nil"/>
              <w:left w:val="nil"/>
              <w:bottom w:val="single" w:sz="4" w:space="0" w:color="auto"/>
              <w:right w:val="single" w:sz="4" w:space="0" w:color="auto"/>
            </w:tcBorders>
            <w:shd w:val="clear" w:color="auto" w:fill="auto"/>
            <w:noWrap/>
            <w:vAlign w:val="bottom"/>
            <w:hideMark/>
          </w:tcPr>
          <w:p w14:paraId="51E7E150" w14:textId="77777777" w:rsidR="00632B03" w:rsidRPr="009621BF" w:rsidRDefault="00632B03" w:rsidP="00F12682">
            <w:pPr>
              <w:spacing w:after="0" w:line="240" w:lineRule="auto"/>
              <w:jc w:val="right"/>
              <w:rPr>
                <w:lang w:eastAsia="fr-FR"/>
              </w:rPr>
            </w:pPr>
            <w:r w:rsidRPr="009621BF">
              <w:rPr>
                <w:lang w:eastAsia="fr-FR"/>
              </w:rPr>
              <w:t>86%</w:t>
            </w:r>
          </w:p>
        </w:tc>
      </w:tr>
      <w:tr w:rsidR="00632B03" w:rsidRPr="009621BF" w14:paraId="124F35B0" w14:textId="77777777" w:rsidTr="00226F3F">
        <w:trPr>
          <w:trHeight w:val="300"/>
        </w:trPr>
        <w:tc>
          <w:tcPr>
            <w:tcW w:w="2046" w:type="pct"/>
            <w:tcBorders>
              <w:top w:val="nil"/>
              <w:left w:val="single" w:sz="4" w:space="0" w:color="auto"/>
              <w:bottom w:val="single" w:sz="4" w:space="0" w:color="auto"/>
              <w:right w:val="single" w:sz="4" w:space="0" w:color="auto"/>
            </w:tcBorders>
            <w:shd w:val="clear" w:color="auto" w:fill="auto"/>
            <w:noWrap/>
            <w:vAlign w:val="bottom"/>
            <w:hideMark/>
          </w:tcPr>
          <w:p w14:paraId="051F9453" w14:textId="77777777" w:rsidR="00632B03" w:rsidRPr="009621BF" w:rsidRDefault="00632B03" w:rsidP="00F12682">
            <w:pPr>
              <w:spacing w:after="0" w:line="240" w:lineRule="auto"/>
              <w:rPr>
                <w:lang w:eastAsia="fr-FR"/>
              </w:rPr>
            </w:pPr>
            <w:r w:rsidRPr="009621BF">
              <w:rPr>
                <w:lang w:eastAsia="fr-FR"/>
              </w:rPr>
              <w:t>2013</w:t>
            </w:r>
          </w:p>
        </w:tc>
        <w:tc>
          <w:tcPr>
            <w:tcW w:w="918" w:type="pct"/>
            <w:tcBorders>
              <w:top w:val="nil"/>
              <w:left w:val="single" w:sz="4" w:space="0" w:color="auto"/>
              <w:bottom w:val="single" w:sz="4" w:space="0" w:color="auto"/>
              <w:right w:val="single" w:sz="4" w:space="0" w:color="auto"/>
            </w:tcBorders>
            <w:shd w:val="clear" w:color="auto" w:fill="auto"/>
            <w:noWrap/>
            <w:vAlign w:val="bottom"/>
            <w:hideMark/>
          </w:tcPr>
          <w:p w14:paraId="6C469120" w14:textId="50CC2B93" w:rsidR="00632B03" w:rsidRPr="009621BF" w:rsidRDefault="00632B03" w:rsidP="00F12682">
            <w:pPr>
              <w:spacing w:after="0" w:line="240" w:lineRule="auto"/>
              <w:jc w:val="center"/>
              <w:rPr>
                <w:lang w:eastAsia="fr-FR"/>
              </w:rPr>
            </w:pPr>
            <w:r w:rsidRPr="009621BF">
              <w:rPr>
                <w:lang w:eastAsia="fr-FR"/>
              </w:rPr>
              <w:t>0</w:t>
            </w:r>
            <w:r w:rsidR="00C77474">
              <w:rPr>
                <w:lang w:eastAsia="fr-FR"/>
              </w:rPr>
              <w:t>,</w:t>
            </w:r>
            <w:r w:rsidRPr="009621BF">
              <w:rPr>
                <w:lang w:eastAsia="fr-FR"/>
              </w:rPr>
              <w:t>42</w:t>
            </w:r>
          </w:p>
        </w:tc>
        <w:tc>
          <w:tcPr>
            <w:tcW w:w="927" w:type="pct"/>
            <w:tcBorders>
              <w:top w:val="nil"/>
              <w:left w:val="nil"/>
              <w:bottom w:val="single" w:sz="4" w:space="0" w:color="auto"/>
              <w:right w:val="single" w:sz="4" w:space="0" w:color="auto"/>
            </w:tcBorders>
            <w:shd w:val="clear" w:color="auto" w:fill="auto"/>
            <w:noWrap/>
            <w:vAlign w:val="bottom"/>
            <w:hideMark/>
          </w:tcPr>
          <w:p w14:paraId="6A3A5E73" w14:textId="554A7676" w:rsidR="00632B03" w:rsidRPr="009621BF" w:rsidRDefault="00632B03" w:rsidP="00F12682">
            <w:pPr>
              <w:spacing w:after="0" w:line="240" w:lineRule="auto"/>
              <w:jc w:val="center"/>
              <w:rPr>
                <w:lang w:eastAsia="fr-FR"/>
              </w:rPr>
            </w:pPr>
            <w:r w:rsidRPr="009621BF">
              <w:rPr>
                <w:lang w:eastAsia="fr-FR"/>
              </w:rPr>
              <w:t>0</w:t>
            </w:r>
            <w:r w:rsidR="00C77474">
              <w:rPr>
                <w:lang w:eastAsia="fr-FR"/>
              </w:rPr>
              <w:t>,</w:t>
            </w:r>
            <w:r w:rsidRPr="009621BF">
              <w:rPr>
                <w:lang w:eastAsia="fr-FR"/>
              </w:rPr>
              <w:t>31</w:t>
            </w:r>
          </w:p>
        </w:tc>
        <w:tc>
          <w:tcPr>
            <w:tcW w:w="1109" w:type="pct"/>
            <w:tcBorders>
              <w:top w:val="nil"/>
              <w:left w:val="nil"/>
              <w:bottom w:val="single" w:sz="4" w:space="0" w:color="auto"/>
              <w:right w:val="single" w:sz="4" w:space="0" w:color="auto"/>
            </w:tcBorders>
            <w:shd w:val="clear" w:color="auto" w:fill="auto"/>
            <w:noWrap/>
            <w:vAlign w:val="bottom"/>
            <w:hideMark/>
          </w:tcPr>
          <w:p w14:paraId="5C465C49" w14:textId="77777777" w:rsidR="00632B03" w:rsidRPr="009621BF" w:rsidRDefault="00632B03" w:rsidP="00F12682">
            <w:pPr>
              <w:spacing w:after="0" w:line="240" w:lineRule="auto"/>
              <w:jc w:val="right"/>
              <w:rPr>
                <w:lang w:eastAsia="fr-FR"/>
              </w:rPr>
            </w:pPr>
            <w:r w:rsidRPr="009621BF">
              <w:rPr>
                <w:lang w:eastAsia="fr-FR"/>
              </w:rPr>
              <w:t>73%</w:t>
            </w:r>
          </w:p>
        </w:tc>
      </w:tr>
      <w:tr w:rsidR="00632B03" w:rsidRPr="009621BF" w14:paraId="42C186BD" w14:textId="77777777" w:rsidTr="00226F3F">
        <w:trPr>
          <w:trHeight w:val="300"/>
        </w:trPr>
        <w:tc>
          <w:tcPr>
            <w:tcW w:w="2046" w:type="pct"/>
            <w:tcBorders>
              <w:top w:val="nil"/>
              <w:left w:val="single" w:sz="4" w:space="0" w:color="auto"/>
              <w:bottom w:val="single" w:sz="4" w:space="0" w:color="auto"/>
              <w:right w:val="single" w:sz="4" w:space="0" w:color="auto"/>
            </w:tcBorders>
            <w:shd w:val="clear" w:color="auto" w:fill="auto"/>
            <w:noWrap/>
            <w:vAlign w:val="bottom"/>
            <w:hideMark/>
          </w:tcPr>
          <w:p w14:paraId="03CB5A43" w14:textId="77777777" w:rsidR="00632B03" w:rsidRPr="009621BF" w:rsidRDefault="00632B03" w:rsidP="00F12682">
            <w:pPr>
              <w:spacing w:after="0" w:line="240" w:lineRule="auto"/>
              <w:rPr>
                <w:lang w:eastAsia="fr-FR"/>
              </w:rPr>
            </w:pPr>
            <w:r w:rsidRPr="009621BF">
              <w:rPr>
                <w:lang w:eastAsia="fr-FR"/>
              </w:rPr>
              <w:t>2014</w:t>
            </w:r>
          </w:p>
        </w:tc>
        <w:tc>
          <w:tcPr>
            <w:tcW w:w="918" w:type="pct"/>
            <w:tcBorders>
              <w:top w:val="nil"/>
              <w:left w:val="single" w:sz="4" w:space="0" w:color="auto"/>
              <w:bottom w:val="single" w:sz="4" w:space="0" w:color="auto"/>
              <w:right w:val="single" w:sz="4" w:space="0" w:color="auto"/>
            </w:tcBorders>
            <w:shd w:val="clear" w:color="auto" w:fill="auto"/>
            <w:noWrap/>
            <w:vAlign w:val="bottom"/>
            <w:hideMark/>
          </w:tcPr>
          <w:p w14:paraId="7671801A" w14:textId="649A973B" w:rsidR="00632B03" w:rsidRPr="009621BF" w:rsidRDefault="00632B03" w:rsidP="00F12682">
            <w:pPr>
              <w:spacing w:after="0" w:line="240" w:lineRule="auto"/>
              <w:jc w:val="center"/>
              <w:rPr>
                <w:lang w:eastAsia="fr-FR"/>
              </w:rPr>
            </w:pPr>
            <w:r w:rsidRPr="009621BF">
              <w:rPr>
                <w:lang w:eastAsia="fr-FR"/>
              </w:rPr>
              <w:t>0</w:t>
            </w:r>
            <w:r w:rsidR="003A33E0">
              <w:rPr>
                <w:lang w:eastAsia="fr-FR"/>
              </w:rPr>
              <w:t>,</w:t>
            </w:r>
            <w:r w:rsidRPr="009621BF">
              <w:rPr>
                <w:lang w:eastAsia="fr-FR"/>
              </w:rPr>
              <w:t>55</w:t>
            </w:r>
          </w:p>
        </w:tc>
        <w:tc>
          <w:tcPr>
            <w:tcW w:w="927" w:type="pct"/>
            <w:tcBorders>
              <w:top w:val="nil"/>
              <w:left w:val="nil"/>
              <w:bottom w:val="single" w:sz="4" w:space="0" w:color="auto"/>
              <w:right w:val="single" w:sz="4" w:space="0" w:color="auto"/>
            </w:tcBorders>
            <w:shd w:val="clear" w:color="auto" w:fill="auto"/>
            <w:noWrap/>
            <w:vAlign w:val="bottom"/>
            <w:hideMark/>
          </w:tcPr>
          <w:p w14:paraId="7B4C4F51" w14:textId="203B1B46" w:rsidR="00632B03" w:rsidRPr="009621BF" w:rsidRDefault="00632B03" w:rsidP="00F12682">
            <w:pPr>
              <w:spacing w:after="0" w:line="240" w:lineRule="auto"/>
              <w:jc w:val="center"/>
              <w:rPr>
                <w:lang w:eastAsia="fr-FR"/>
              </w:rPr>
            </w:pPr>
            <w:r w:rsidRPr="009621BF">
              <w:rPr>
                <w:lang w:eastAsia="fr-FR"/>
              </w:rPr>
              <w:t>0</w:t>
            </w:r>
            <w:r w:rsidR="003A33E0">
              <w:rPr>
                <w:lang w:eastAsia="fr-FR"/>
              </w:rPr>
              <w:t>,</w:t>
            </w:r>
            <w:r w:rsidRPr="009621BF">
              <w:rPr>
                <w:lang w:eastAsia="fr-FR"/>
              </w:rPr>
              <w:t>27</w:t>
            </w:r>
          </w:p>
        </w:tc>
        <w:tc>
          <w:tcPr>
            <w:tcW w:w="1109" w:type="pct"/>
            <w:tcBorders>
              <w:top w:val="nil"/>
              <w:left w:val="nil"/>
              <w:bottom w:val="single" w:sz="4" w:space="0" w:color="auto"/>
              <w:right w:val="single" w:sz="4" w:space="0" w:color="auto"/>
            </w:tcBorders>
            <w:shd w:val="clear" w:color="auto" w:fill="auto"/>
            <w:noWrap/>
            <w:vAlign w:val="bottom"/>
            <w:hideMark/>
          </w:tcPr>
          <w:p w14:paraId="398BC997" w14:textId="77777777" w:rsidR="00632B03" w:rsidRPr="009621BF" w:rsidRDefault="00632B03" w:rsidP="00F12682">
            <w:pPr>
              <w:spacing w:after="0" w:line="240" w:lineRule="auto"/>
              <w:jc w:val="right"/>
              <w:rPr>
                <w:lang w:eastAsia="fr-FR"/>
              </w:rPr>
            </w:pPr>
            <w:r w:rsidRPr="009621BF">
              <w:rPr>
                <w:lang w:eastAsia="fr-FR"/>
              </w:rPr>
              <w:t>50%</w:t>
            </w:r>
          </w:p>
        </w:tc>
      </w:tr>
      <w:tr w:rsidR="00632B03" w:rsidRPr="009621BF" w14:paraId="275723CB" w14:textId="77777777" w:rsidTr="00226F3F">
        <w:trPr>
          <w:trHeight w:val="300"/>
        </w:trPr>
        <w:tc>
          <w:tcPr>
            <w:tcW w:w="2046" w:type="pct"/>
            <w:tcBorders>
              <w:top w:val="nil"/>
              <w:left w:val="single" w:sz="4" w:space="0" w:color="auto"/>
              <w:bottom w:val="single" w:sz="4" w:space="0" w:color="auto"/>
              <w:right w:val="single" w:sz="4" w:space="0" w:color="auto"/>
            </w:tcBorders>
            <w:shd w:val="clear" w:color="auto" w:fill="auto"/>
            <w:noWrap/>
            <w:vAlign w:val="bottom"/>
            <w:hideMark/>
          </w:tcPr>
          <w:p w14:paraId="155AD52F" w14:textId="77777777" w:rsidR="00632B03" w:rsidRPr="009621BF" w:rsidRDefault="00632B03" w:rsidP="00F12682">
            <w:pPr>
              <w:spacing w:after="0" w:line="240" w:lineRule="auto"/>
              <w:rPr>
                <w:lang w:eastAsia="fr-FR"/>
              </w:rPr>
            </w:pPr>
            <w:r w:rsidRPr="009621BF">
              <w:rPr>
                <w:lang w:eastAsia="fr-FR"/>
              </w:rPr>
              <w:t>2015</w:t>
            </w:r>
          </w:p>
        </w:tc>
        <w:tc>
          <w:tcPr>
            <w:tcW w:w="918" w:type="pct"/>
            <w:tcBorders>
              <w:top w:val="nil"/>
              <w:left w:val="single" w:sz="4" w:space="0" w:color="auto"/>
              <w:bottom w:val="single" w:sz="4" w:space="0" w:color="auto"/>
              <w:right w:val="single" w:sz="4" w:space="0" w:color="auto"/>
            </w:tcBorders>
            <w:shd w:val="clear" w:color="auto" w:fill="auto"/>
            <w:noWrap/>
            <w:vAlign w:val="bottom"/>
            <w:hideMark/>
          </w:tcPr>
          <w:p w14:paraId="1278A45E" w14:textId="75C620CF" w:rsidR="00632B03" w:rsidRPr="009621BF" w:rsidRDefault="00632B03" w:rsidP="00F12682">
            <w:pPr>
              <w:spacing w:after="0" w:line="240" w:lineRule="auto"/>
              <w:jc w:val="center"/>
              <w:rPr>
                <w:lang w:eastAsia="fr-FR"/>
              </w:rPr>
            </w:pPr>
            <w:r w:rsidRPr="009621BF">
              <w:rPr>
                <w:lang w:eastAsia="fr-FR"/>
              </w:rPr>
              <w:t>4</w:t>
            </w:r>
            <w:r w:rsidR="003A33E0">
              <w:rPr>
                <w:lang w:eastAsia="fr-FR"/>
              </w:rPr>
              <w:t>,</w:t>
            </w:r>
            <w:r w:rsidRPr="009621BF">
              <w:rPr>
                <w:lang w:eastAsia="fr-FR"/>
              </w:rPr>
              <w:t>47</w:t>
            </w:r>
          </w:p>
        </w:tc>
        <w:tc>
          <w:tcPr>
            <w:tcW w:w="927" w:type="pct"/>
            <w:tcBorders>
              <w:top w:val="nil"/>
              <w:left w:val="nil"/>
              <w:bottom w:val="single" w:sz="4" w:space="0" w:color="auto"/>
              <w:right w:val="single" w:sz="4" w:space="0" w:color="auto"/>
            </w:tcBorders>
            <w:shd w:val="clear" w:color="auto" w:fill="auto"/>
            <w:noWrap/>
            <w:vAlign w:val="bottom"/>
            <w:hideMark/>
          </w:tcPr>
          <w:p w14:paraId="3946735B" w14:textId="7D9CB036" w:rsidR="00632B03" w:rsidRPr="009621BF" w:rsidRDefault="00632B03" w:rsidP="00F12682">
            <w:pPr>
              <w:spacing w:after="0" w:line="240" w:lineRule="auto"/>
              <w:jc w:val="center"/>
              <w:rPr>
                <w:lang w:eastAsia="fr-FR"/>
              </w:rPr>
            </w:pPr>
            <w:r w:rsidRPr="009621BF">
              <w:rPr>
                <w:lang w:eastAsia="fr-FR"/>
              </w:rPr>
              <w:t>2</w:t>
            </w:r>
            <w:r w:rsidR="003A33E0">
              <w:rPr>
                <w:lang w:eastAsia="fr-FR"/>
              </w:rPr>
              <w:t>,</w:t>
            </w:r>
            <w:r w:rsidRPr="009621BF">
              <w:rPr>
                <w:lang w:eastAsia="fr-FR"/>
              </w:rPr>
              <w:t>20</w:t>
            </w:r>
          </w:p>
        </w:tc>
        <w:tc>
          <w:tcPr>
            <w:tcW w:w="1109" w:type="pct"/>
            <w:tcBorders>
              <w:top w:val="nil"/>
              <w:left w:val="nil"/>
              <w:bottom w:val="single" w:sz="4" w:space="0" w:color="auto"/>
              <w:right w:val="single" w:sz="4" w:space="0" w:color="auto"/>
            </w:tcBorders>
            <w:shd w:val="clear" w:color="auto" w:fill="auto"/>
            <w:noWrap/>
            <w:vAlign w:val="bottom"/>
            <w:hideMark/>
          </w:tcPr>
          <w:p w14:paraId="5EC42F4A" w14:textId="77777777" w:rsidR="00632B03" w:rsidRPr="009621BF" w:rsidRDefault="00632B03" w:rsidP="00F12682">
            <w:pPr>
              <w:spacing w:after="0" w:line="240" w:lineRule="auto"/>
              <w:jc w:val="right"/>
              <w:rPr>
                <w:lang w:eastAsia="fr-FR"/>
              </w:rPr>
            </w:pPr>
            <w:r w:rsidRPr="009621BF">
              <w:rPr>
                <w:lang w:eastAsia="fr-FR"/>
              </w:rPr>
              <w:t>49%</w:t>
            </w:r>
          </w:p>
        </w:tc>
      </w:tr>
      <w:tr w:rsidR="00632B03" w:rsidRPr="009621BF" w14:paraId="56BD6F0B" w14:textId="77777777" w:rsidTr="00226F3F">
        <w:trPr>
          <w:trHeight w:val="300"/>
        </w:trPr>
        <w:tc>
          <w:tcPr>
            <w:tcW w:w="2046" w:type="pct"/>
            <w:tcBorders>
              <w:top w:val="nil"/>
              <w:left w:val="single" w:sz="4" w:space="0" w:color="auto"/>
              <w:bottom w:val="single" w:sz="4" w:space="0" w:color="auto"/>
              <w:right w:val="single" w:sz="4" w:space="0" w:color="auto"/>
            </w:tcBorders>
            <w:shd w:val="clear" w:color="auto" w:fill="auto"/>
            <w:noWrap/>
            <w:vAlign w:val="bottom"/>
          </w:tcPr>
          <w:p w14:paraId="5C635015" w14:textId="3C59EAE3" w:rsidR="00632B03" w:rsidRPr="009621BF" w:rsidRDefault="00632B03" w:rsidP="00F12682">
            <w:pPr>
              <w:spacing w:after="0" w:line="240" w:lineRule="auto"/>
              <w:rPr>
                <w:lang w:eastAsia="fr-FR"/>
              </w:rPr>
            </w:pPr>
            <w:r w:rsidRPr="00196874">
              <w:rPr>
                <w:lang w:eastAsia="fr-FR"/>
              </w:rPr>
              <w:t>2016</w:t>
            </w:r>
          </w:p>
        </w:tc>
        <w:tc>
          <w:tcPr>
            <w:tcW w:w="918" w:type="pct"/>
            <w:tcBorders>
              <w:top w:val="nil"/>
              <w:left w:val="single" w:sz="4" w:space="0" w:color="auto"/>
              <w:bottom w:val="single" w:sz="4" w:space="0" w:color="auto"/>
              <w:right w:val="single" w:sz="4" w:space="0" w:color="auto"/>
            </w:tcBorders>
            <w:shd w:val="clear" w:color="auto" w:fill="auto"/>
            <w:noWrap/>
            <w:vAlign w:val="bottom"/>
          </w:tcPr>
          <w:p w14:paraId="690417A2" w14:textId="25FEEF42" w:rsidR="00632B03" w:rsidRPr="009621BF" w:rsidRDefault="00196874" w:rsidP="00F12682">
            <w:pPr>
              <w:spacing w:after="0" w:line="240" w:lineRule="auto"/>
              <w:jc w:val="center"/>
              <w:rPr>
                <w:lang w:eastAsia="fr-FR"/>
              </w:rPr>
            </w:pPr>
            <w:r>
              <w:rPr>
                <w:lang w:eastAsia="fr-FR"/>
              </w:rPr>
              <w:t>4,94</w:t>
            </w:r>
          </w:p>
        </w:tc>
        <w:tc>
          <w:tcPr>
            <w:tcW w:w="927" w:type="pct"/>
            <w:tcBorders>
              <w:top w:val="nil"/>
              <w:left w:val="nil"/>
              <w:bottom w:val="single" w:sz="4" w:space="0" w:color="auto"/>
              <w:right w:val="single" w:sz="4" w:space="0" w:color="auto"/>
            </w:tcBorders>
            <w:shd w:val="clear" w:color="auto" w:fill="auto"/>
            <w:noWrap/>
            <w:vAlign w:val="bottom"/>
          </w:tcPr>
          <w:p w14:paraId="5D0B922B" w14:textId="402D6D99" w:rsidR="00632B03" w:rsidRPr="009621BF" w:rsidRDefault="00196874" w:rsidP="00F12682">
            <w:pPr>
              <w:spacing w:after="0" w:line="240" w:lineRule="auto"/>
              <w:jc w:val="center"/>
              <w:rPr>
                <w:lang w:eastAsia="fr-FR"/>
              </w:rPr>
            </w:pPr>
            <w:r>
              <w:rPr>
                <w:lang w:eastAsia="fr-FR"/>
              </w:rPr>
              <w:t>1,12</w:t>
            </w:r>
          </w:p>
        </w:tc>
        <w:tc>
          <w:tcPr>
            <w:tcW w:w="1109" w:type="pct"/>
            <w:tcBorders>
              <w:top w:val="nil"/>
              <w:left w:val="nil"/>
              <w:bottom w:val="single" w:sz="4" w:space="0" w:color="auto"/>
              <w:right w:val="single" w:sz="4" w:space="0" w:color="auto"/>
            </w:tcBorders>
            <w:shd w:val="clear" w:color="auto" w:fill="auto"/>
            <w:noWrap/>
            <w:vAlign w:val="bottom"/>
          </w:tcPr>
          <w:p w14:paraId="1FF3602D" w14:textId="29D27062" w:rsidR="00632B03" w:rsidRPr="009621BF" w:rsidRDefault="00196874" w:rsidP="00F12682">
            <w:pPr>
              <w:spacing w:after="0" w:line="240" w:lineRule="auto"/>
              <w:jc w:val="right"/>
              <w:rPr>
                <w:lang w:eastAsia="fr-FR"/>
              </w:rPr>
            </w:pPr>
            <w:r>
              <w:rPr>
                <w:lang w:eastAsia="fr-FR"/>
              </w:rPr>
              <w:t>23%</w:t>
            </w:r>
          </w:p>
        </w:tc>
      </w:tr>
    </w:tbl>
    <w:p w14:paraId="14FD4642" w14:textId="75F30674" w:rsidR="00632B03" w:rsidRDefault="00632B03" w:rsidP="00F12682">
      <w:pPr>
        <w:rPr>
          <w:sz w:val="20"/>
        </w:rPr>
      </w:pPr>
      <w:r w:rsidRPr="00457FB2">
        <w:rPr>
          <w:sz w:val="20"/>
          <w:u w:val="single"/>
        </w:rPr>
        <w:t>Source</w:t>
      </w:r>
      <w:r w:rsidRPr="00457FB2">
        <w:rPr>
          <w:sz w:val="20"/>
        </w:rPr>
        <w:t xml:space="preserve"> : </w:t>
      </w:r>
      <w:r w:rsidR="00B02C6E" w:rsidRPr="00457FB2">
        <w:rPr>
          <w:sz w:val="20"/>
        </w:rPr>
        <w:t>RDP 2011-2015</w:t>
      </w:r>
      <w:r w:rsidRPr="00457FB2">
        <w:rPr>
          <w:sz w:val="20"/>
        </w:rPr>
        <w:t xml:space="preserve"> et nos calculs à partir des données budgétaires</w:t>
      </w:r>
      <w:r w:rsidR="00196874">
        <w:rPr>
          <w:sz w:val="20"/>
        </w:rPr>
        <w:t xml:space="preserve"> 2016</w:t>
      </w:r>
    </w:p>
    <w:p w14:paraId="47CB75A7" w14:textId="77777777" w:rsidR="00FB7BFC" w:rsidRPr="00FB7BFC" w:rsidRDefault="00FB7BFC" w:rsidP="00F12682">
      <w:pPr>
        <w:spacing w:after="120" w:line="276" w:lineRule="auto"/>
        <w:jc w:val="both"/>
        <w:rPr>
          <w:rFonts w:ascii="Calibri" w:eastAsiaTheme="majorEastAsia" w:hAnsi="Calibri" w:cs="Calibri"/>
          <w:iCs/>
          <w:sz w:val="24"/>
        </w:rPr>
      </w:pPr>
    </w:p>
    <w:p w14:paraId="2F273CC4" w14:textId="77777777" w:rsidR="001B71EC" w:rsidRDefault="001B71EC" w:rsidP="00F12682">
      <w:pPr>
        <w:pStyle w:val="Titre4"/>
        <w:rPr>
          <w:rFonts w:asciiTheme="minorHAnsi" w:hAnsiTheme="minorHAnsi" w:cstheme="minorHAnsi"/>
        </w:rPr>
      </w:pPr>
      <w:r w:rsidRPr="004A5122">
        <w:rPr>
          <w:rFonts w:asciiTheme="minorHAnsi" w:hAnsiTheme="minorHAnsi" w:cstheme="minorHAnsi"/>
        </w:rPr>
        <w:lastRenderedPageBreak/>
        <w:t>Analyse de l’exécution des dépenses par rapports aux prévisions</w:t>
      </w:r>
    </w:p>
    <w:p w14:paraId="0F52FE60" w14:textId="5F55D9A9" w:rsidR="001B71EC" w:rsidRDefault="00AF550D"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Une des particu</w:t>
      </w:r>
      <w:r w:rsidR="00843E0F">
        <w:rPr>
          <w:rFonts w:ascii="Calibri" w:eastAsiaTheme="majorEastAsia" w:hAnsi="Calibri" w:cs="Calibri"/>
          <w:iCs/>
          <w:sz w:val="24"/>
        </w:rPr>
        <w:t>larités dans les dépenses du HC</w:t>
      </w:r>
      <w:r>
        <w:rPr>
          <w:rFonts w:ascii="Calibri" w:eastAsiaTheme="majorEastAsia" w:hAnsi="Calibri" w:cs="Calibri"/>
          <w:iCs/>
          <w:sz w:val="24"/>
        </w:rPr>
        <w:t>3N, c’est l’absence des dépenses relatives aux sala</w:t>
      </w:r>
      <w:r w:rsidR="00942A9B">
        <w:rPr>
          <w:rFonts w:ascii="Calibri" w:eastAsiaTheme="majorEastAsia" w:hAnsi="Calibri" w:cs="Calibri"/>
          <w:iCs/>
          <w:sz w:val="24"/>
        </w:rPr>
        <w:t>ires et aux transferts en 2016.</w:t>
      </w:r>
    </w:p>
    <w:p w14:paraId="6B19FEEE" w14:textId="77777777" w:rsidR="00942A9B" w:rsidRPr="00E51AB3" w:rsidRDefault="00942A9B" w:rsidP="00F12682">
      <w:pPr>
        <w:spacing w:after="120" w:line="276" w:lineRule="auto"/>
        <w:jc w:val="both"/>
        <w:rPr>
          <w:rFonts w:ascii="Calibri" w:eastAsiaTheme="majorEastAsia" w:hAnsi="Calibri" w:cs="Calibri"/>
          <w:iCs/>
          <w:sz w:val="24"/>
        </w:rPr>
      </w:pPr>
    </w:p>
    <w:p w14:paraId="7DF5742D" w14:textId="77777777" w:rsidR="001B71EC" w:rsidRPr="009621BF" w:rsidRDefault="001B71EC" w:rsidP="00F12682">
      <w:pPr>
        <w:pStyle w:val="Lgende"/>
        <w:spacing w:after="0"/>
      </w:pPr>
      <w:bookmarkStart w:id="162" w:name="_Toc529305090"/>
      <w:r w:rsidRPr="009621BF">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36</w:t>
      </w:r>
      <w:r w:rsidR="00A773EB">
        <w:rPr>
          <w:noProof/>
        </w:rPr>
        <w:fldChar w:fldCharType="end"/>
      </w:r>
      <w:r w:rsidRPr="009621BF">
        <w:t> : Dépenses du Haut-Commissariat à l’Initiative 3N</w:t>
      </w:r>
      <w:bookmarkEnd w:id="162"/>
    </w:p>
    <w:tbl>
      <w:tblPr>
        <w:tblW w:w="5000" w:type="pct"/>
        <w:tblCellMar>
          <w:left w:w="70" w:type="dxa"/>
          <w:right w:w="70" w:type="dxa"/>
        </w:tblCellMar>
        <w:tblLook w:val="04A0" w:firstRow="1" w:lastRow="0" w:firstColumn="1" w:lastColumn="0" w:noHBand="0" w:noVBand="1"/>
      </w:tblPr>
      <w:tblGrid>
        <w:gridCol w:w="2550"/>
        <w:gridCol w:w="1662"/>
        <w:gridCol w:w="1468"/>
        <w:gridCol w:w="1675"/>
        <w:gridCol w:w="2273"/>
      </w:tblGrid>
      <w:tr w:rsidR="001B71EC" w:rsidRPr="00457FB2" w14:paraId="294FBE3A" w14:textId="77777777" w:rsidTr="00457FB2">
        <w:tc>
          <w:tcPr>
            <w:tcW w:w="1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6D13E" w14:textId="77777777" w:rsidR="001B71EC" w:rsidRPr="00457FB2" w:rsidRDefault="001B71EC" w:rsidP="00F12682">
            <w:pPr>
              <w:spacing w:after="0" w:line="240" w:lineRule="auto"/>
              <w:jc w:val="center"/>
              <w:rPr>
                <w:rFonts w:ascii="Calibri" w:eastAsia="Times New Roman" w:hAnsi="Calibri" w:cs="Calibri"/>
                <w:b/>
                <w:color w:val="000000"/>
                <w:lang w:eastAsia="fr-FR"/>
              </w:rPr>
            </w:pPr>
            <w:r w:rsidRPr="00457FB2">
              <w:rPr>
                <w:rFonts w:ascii="Calibri" w:eastAsia="Times New Roman" w:hAnsi="Calibri" w:cs="Calibri"/>
                <w:b/>
                <w:color w:val="000000"/>
                <w:lang w:eastAsia="fr-FR"/>
              </w:rPr>
              <w:t>Titre</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5460AC6" w14:textId="77777777" w:rsidR="001B71EC" w:rsidRPr="00457FB2" w:rsidRDefault="001B71EC" w:rsidP="00F12682">
            <w:pPr>
              <w:spacing w:after="0" w:line="240" w:lineRule="auto"/>
              <w:jc w:val="center"/>
              <w:rPr>
                <w:rFonts w:ascii="Calibri" w:eastAsia="Times New Roman" w:hAnsi="Calibri" w:cs="Calibri"/>
                <w:b/>
                <w:color w:val="000000"/>
                <w:lang w:eastAsia="fr-FR"/>
              </w:rPr>
            </w:pPr>
            <w:r w:rsidRPr="00457FB2">
              <w:rPr>
                <w:rFonts w:ascii="Calibri" w:eastAsia="Times New Roman" w:hAnsi="Calibri" w:cs="Calibri"/>
                <w:b/>
                <w:color w:val="000000"/>
                <w:lang w:eastAsia="fr-FR"/>
              </w:rPr>
              <w:t>Voté</w:t>
            </w:r>
          </w:p>
        </w:tc>
        <w:tc>
          <w:tcPr>
            <w:tcW w:w="826" w:type="pct"/>
            <w:tcBorders>
              <w:top w:val="single" w:sz="4" w:space="0" w:color="auto"/>
              <w:left w:val="nil"/>
              <w:bottom w:val="single" w:sz="4" w:space="0" w:color="auto"/>
              <w:right w:val="single" w:sz="4" w:space="0" w:color="auto"/>
            </w:tcBorders>
            <w:shd w:val="clear" w:color="auto" w:fill="auto"/>
            <w:noWrap/>
            <w:vAlign w:val="center"/>
            <w:hideMark/>
          </w:tcPr>
          <w:p w14:paraId="6B17F9D6" w14:textId="77777777" w:rsidR="001B71EC" w:rsidRPr="00457FB2" w:rsidRDefault="001B71EC" w:rsidP="00F12682">
            <w:pPr>
              <w:spacing w:after="0" w:line="240" w:lineRule="auto"/>
              <w:jc w:val="center"/>
              <w:rPr>
                <w:rFonts w:ascii="Calibri" w:eastAsia="Times New Roman" w:hAnsi="Calibri" w:cs="Calibri"/>
                <w:b/>
                <w:color w:val="000000"/>
                <w:lang w:eastAsia="fr-FR"/>
              </w:rPr>
            </w:pPr>
            <w:r w:rsidRPr="00457FB2">
              <w:rPr>
                <w:rFonts w:ascii="Calibri" w:eastAsia="Times New Roman" w:hAnsi="Calibri" w:cs="Calibri"/>
                <w:b/>
                <w:color w:val="000000"/>
                <w:lang w:eastAsia="fr-FR"/>
              </w:rPr>
              <w:t>Libéré</w:t>
            </w:r>
          </w:p>
        </w:tc>
        <w:tc>
          <w:tcPr>
            <w:tcW w:w="933" w:type="pct"/>
            <w:tcBorders>
              <w:top w:val="single" w:sz="4" w:space="0" w:color="auto"/>
              <w:left w:val="nil"/>
              <w:bottom w:val="single" w:sz="4" w:space="0" w:color="auto"/>
              <w:right w:val="single" w:sz="4" w:space="0" w:color="auto"/>
            </w:tcBorders>
            <w:shd w:val="clear" w:color="auto" w:fill="auto"/>
            <w:noWrap/>
            <w:vAlign w:val="center"/>
            <w:hideMark/>
          </w:tcPr>
          <w:p w14:paraId="11D87185" w14:textId="77777777" w:rsidR="001B71EC" w:rsidRPr="00457FB2" w:rsidRDefault="001B71EC" w:rsidP="00F12682">
            <w:pPr>
              <w:spacing w:after="0" w:line="240" w:lineRule="auto"/>
              <w:jc w:val="center"/>
              <w:rPr>
                <w:rFonts w:ascii="Calibri" w:eastAsia="Times New Roman" w:hAnsi="Calibri" w:cs="Calibri"/>
                <w:b/>
                <w:color w:val="000000"/>
                <w:lang w:eastAsia="fr-FR"/>
              </w:rPr>
            </w:pPr>
            <w:r w:rsidRPr="00457FB2">
              <w:rPr>
                <w:rFonts w:ascii="Calibri" w:eastAsia="Times New Roman" w:hAnsi="Calibri" w:cs="Calibri"/>
                <w:b/>
                <w:color w:val="000000"/>
                <w:lang w:eastAsia="fr-FR"/>
              </w:rPr>
              <w:t>Consommé</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3787A8A6" w14:textId="77777777" w:rsidR="001B71EC" w:rsidRPr="00457FB2" w:rsidRDefault="001B71EC" w:rsidP="00F12682">
            <w:pPr>
              <w:spacing w:after="0" w:line="240" w:lineRule="auto"/>
              <w:jc w:val="center"/>
              <w:rPr>
                <w:rFonts w:ascii="Calibri" w:eastAsia="Times New Roman" w:hAnsi="Calibri" w:cs="Calibri"/>
                <w:b/>
                <w:color w:val="000000"/>
                <w:lang w:eastAsia="fr-FR"/>
              </w:rPr>
            </w:pPr>
            <w:r w:rsidRPr="00457FB2">
              <w:rPr>
                <w:rFonts w:ascii="Calibri" w:eastAsia="Times New Roman" w:hAnsi="Calibri" w:cs="Calibri"/>
                <w:b/>
                <w:color w:val="000000"/>
                <w:lang w:eastAsia="fr-FR"/>
              </w:rPr>
              <w:t>Taux de consommation</w:t>
            </w:r>
          </w:p>
        </w:tc>
      </w:tr>
      <w:tr w:rsidR="001B71EC" w:rsidRPr="00C60715" w14:paraId="335C6E0E" w14:textId="77777777" w:rsidTr="003A33E0">
        <w:tc>
          <w:tcPr>
            <w:tcW w:w="1388" w:type="pct"/>
            <w:tcBorders>
              <w:top w:val="nil"/>
              <w:left w:val="single" w:sz="4" w:space="0" w:color="auto"/>
              <w:bottom w:val="single" w:sz="4" w:space="0" w:color="auto"/>
              <w:right w:val="single" w:sz="4" w:space="0" w:color="auto"/>
            </w:tcBorders>
            <w:shd w:val="clear" w:color="auto" w:fill="auto"/>
            <w:noWrap/>
            <w:vAlign w:val="center"/>
            <w:hideMark/>
          </w:tcPr>
          <w:p w14:paraId="73418CEF" w14:textId="1F03F56A" w:rsidR="001B71EC" w:rsidRPr="00C60715" w:rsidRDefault="00843E0F" w:rsidP="00F12682">
            <w:pPr>
              <w:spacing w:after="0" w:line="240" w:lineRule="auto"/>
              <w:rPr>
                <w:rFonts w:ascii="Calibri" w:eastAsia="Times New Roman" w:hAnsi="Calibri" w:cs="Calibri"/>
                <w:color w:val="000000"/>
                <w:lang w:eastAsia="fr-FR"/>
              </w:rPr>
            </w:pPr>
            <w:r w:rsidRPr="00C60715">
              <w:rPr>
                <w:rFonts w:ascii="Calibri" w:eastAsia="Times New Roman" w:hAnsi="Calibri" w:cs="Calibri"/>
                <w:color w:val="000000"/>
                <w:lang w:eastAsia="fr-FR"/>
              </w:rPr>
              <w:t>Fonctionnement</w:t>
            </w:r>
          </w:p>
        </w:tc>
        <w:tc>
          <w:tcPr>
            <w:tcW w:w="927" w:type="pct"/>
            <w:tcBorders>
              <w:top w:val="nil"/>
              <w:left w:val="nil"/>
              <w:bottom w:val="single" w:sz="4" w:space="0" w:color="auto"/>
              <w:right w:val="single" w:sz="4" w:space="0" w:color="auto"/>
            </w:tcBorders>
            <w:shd w:val="clear" w:color="auto" w:fill="auto"/>
            <w:noWrap/>
            <w:vAlign w:val="center"/>
            <w:hideMark/>
          </w:tcPr>
          <w:p w14:paraId="34C8B32C" w14:textId="208EBFCC" w:rsidR="001B71EC" w:rsidRPr="00C60715" w:rsidRDefault="003A33E0" w:rsidP="00F12682">
            <w:pPr>
              <w:spacing w:after="0" w:line="240" w:lineRule="auto"/>
              <w:jc w:val="right"/>
              <w:rPr>
                <w:rFonts w:ascii="Calibri" w:eastAsia="Times New Roman" w:hAnsi="Calibri" w:cs="Calibri"/>
                <w:color w:val="000000"/>
                <w:lang w:eastAsia="fr-FR"/>
              </w:rPr>
            </w:pPr>
            <w:r w:rsidRPr="003A33E0">
              <w:rPr>
                <w:rFonts w:ascii="Calibri" w:eastAsia="Times New Roman" w:hAnsi="Calibri" w:cs="Calibri"/>
                <w:color w:val="000000"/>
                <w:lang w:eastAsia="fr-FR"/>
              </w:rPr>
              <w:t>252 980 476</w:t>
            </w:r>
          </w:p>
        </w:tc>
        <w:tc>
          <w:tcPr>
            <w:tcW w:w="826" w:type="pct"/>
            <w:tcBorders>
              <w:top w:val="nil"/>
              <w:left w:val="nil"/>
              <w:bottom w:val="single" w:sz="4" w:space="0" w:color="auto"/>
              <w:right w:val="single" w:sz="4" w:space="0" w:color="auto"/>
            </w:tcBorders>
            <w:shd w:val="clear" w:color="auto" w:fill="auto"/>
            <w:noWrap/>
            <w:vAlign w:val="center"/>
          </w:tcPr>
          <w:p w14:paraId="128E6CB0" w14:textId="422BF814" w:rsidR="001B71EC" w:rsidRPr="00C60715" w:rsidRDefault="001B71EC" w:rsidP="00F12682">
            <w:pPr>
              <w:spacing w:after="0" w:line="240" w:lineRule="auto"/>
              <w:rPr>
                <w:rFonts w:ascii="Calibri" w:eastAsia="Times New Roman" w:hAnsi="Calibri" w:cs="Calibri"/>
                <w:color w:val="000000"/>
                <w:lang w:eastAsia="fr-FR"/>
              </w:rPr>
            </w:pPr>
          </w:p>
        </w:tc>
        <w:tc>
          <w:tcPr>
            <w:tcW w:w="933" w:type="pct"/>
            <w:tcBorders>
              <w:top w:val="nil"/>
              <w:left w:val="nil"/>
              <w:bottom w:val="single" w:sz="4" w:space="0" w:color="auto"/>
              <w:right w:val="single" w:sz="4" w:space="0" w:color="auto"/>
            </w:tcBorders>
            <w:shd w:val="clear" w:color="auto" w:fill="auto"/>
            <w:noWrap/>
            <w:vAlign w:val="center"/>
          </w:tcPr>
          <w:p w14:paraId="7CEC5D46" w14:textId="2F27FD8E" w:rsidR="001B71EC" w:rsidRPr="00C60715" w:rsidRDefault="003A33E0" w:rsidP="00F12682">
            <w:pPr>
              <w:spacing w:after="0" w:line="240" w:lineRule="auto"/>
              <w:jc w:val="right"/>
              <w:rPr>
                <w:rFonts w:ascii="Calibri" w:eastAsia="Times New Roman" w:hAnsi="Calibri" w:cs="Calibri"/>
                <w:color w:val="000000"/>
                <w:lang w:eastAsia="fr-FR"/>
              </w:rPr>
            </w:pPr>
            <w:r w:rsidRPr="003A33E0">
              <w:rPr>
                <w:rFonts w:ascii="Calibri" w:eastAsia="Times New Roman" w:hAnsi="Calibri" w:cs="Calibri"/>
                <w:color w:val="000000"/>
                <w:lang w:eastAsia="fr-FR"/>
              </w:rPr>
              <w:t>79 109 646</w:t>
            </w:r>
          </w:p>
        </w:tc>
        <w:tc>
          <w:tcPr>
            <w:tcW w:w="926" w:type="pct"/>
            <w:tcBorders>
              <w:top w:val="nil"/>
              <w:left w:val="nil"/>
              <w:bottom w:val="single" w:sz="4" w:space="0" w:color="auto"/>
              <w:right w:val="single" w:sz="4" w:space="0" w:color="auto"/>
            </w:tcBorders>
            <w:shd w:val="clear" w:color="auto" w:fill="auto"/>
            <w:noWrap/>
            <w:vAlign w:val="center"/>
          </w:tcPr>
          <w:p w14:paraId="12C32F42" w14:textId="5CADE509" w:rsidR="001B71EC" w:rsidRPr="00C60715" w:rsidRDefault="004E294B" w:rsidP="00F12682">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31%</w:t>
            </w:r>
          </w:p>
        </w:tc>
      </w:tr>
      <w:tr w:rsidR="001B71EC" w:rsidRPr="00C60715" w14:paraId="4259B33F" w14:textId="77777777" w:rsidTr="003A33E0">
        <w:tc>
          <w:tcPr>
            <w:tcW w:w="1388" w:type="pct"/>
            <w:tcBorders>
              <w:top w:val="nil"/>
              <w:left w:val="single" w:sz="4" w:space="0" w:color="auto"/>
              <w:bottom w:val="single" w:sz="4" w:space="0" w:color="auto"/>
              <w:right w:val="single" w:sz="4" w:space="0" w:color="auto"/>
            </w:tcBorders>
            <w:shd w:val="clear" w:color="auto" w:fill="auto"/>
            <w:noWrap/>
            <w:vAlign w:val="center"/>
            <w:hideMark/>
          </w:tcPr>
          <w:p w14:paraId="7BF6D763" w14:textId="469791B9" w:rsidR="001B71EC" w:rsidRPr="00C60715" w:rsidRDefault="00843E0F" w:rsidP="00F1268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Investissements </w:t>
            </w:r>
          </w:p>
        </w:tc>
        <w:tc>
          <w:tcPr>
            <w:tcW w:w="927" w:type="pct"/>
            <w:tcBorders>
              <w:top w:val="nil"/>
              <w:left w:val="nil"/>
              <w:bottom w:val="single" w:sz="4" w:space="0" w:color="auto"/>
              <w:right w:val="single" w:sz="4" w:space="0" w:color="auto"/>
            </w:tcBorders>
            <w:shd w:val="clear" w:color="auto" w:fill="auto"/>
            <w:noWrap/>
            <w:vAlign w:val="center"/>
          </w:tcPr>
          <w:p w14:paraId="47B1FC08" w14:textId="4210116E" w:rsidR="001B71EC" w:rsidRPr="00C60715" w:rsidRDefault="003A33E0" w:rsidP="00F12682">
            <w:pPr>
              <w:spacing w:after="0" w:line="240" w:lineRule="auto"/>
              <w:jc w:val="right"/>
              <w:rPr>
                <w:rFonts w:ascii="Calibri" w:eastAsia="Times New Roman" w:hAnsi="Calibri" w:cs="Calibri"/>
                <w:color w:val="000000"/>
                <w:lang w:eastAsia="fr-FR"/>
              </w:rPr>
            </w:pPr>
            <w:r w:rsidRPr="003A33E0">
              <w:rPr>
                <w:rFonts w:ascii="Calibri" w:eastAsia="Times New Roman" w:hAnsi="Calibri" w:cs="Calibri"/>
                <w:color w:val="000000"/>
                <w:lang w:eastAsia="fr-FR"/>
              </w:rPr>
              <w:t>4 687 031 684</w:t>
            </w:r>
          </w:p>
        </w:tc>
        <w:tc>
          <w:tcPr>
            <w:tcW w:w="826" w:type="pct"/>
            <w:tcBorders>
              <w:top w:val="nil"/>
              <w:left w:val="nil"/>
              <w:bottom w:val="single" w:sz="4" w:space="0" w:color="auto"/>
              <w:right w:val="single" w:sz="4" w:space="0" w:color="auto"/>
            </w:tcBorders>
            <w:shd w:val="clear" w:color="auto" w:fill="auto"/>
            <w:noWrap/>
            <w:vAlign w:val="center"/>
          </w:tcPr>
          <w:p w14:paraId="121E9D8B" w14:textId="2BD8E32B" w:rsidR="001B71EC" w:rsidRPr="00C60715" w:rsidRDefault="001B71EC" w:rsidP="00F12682">
            <w:pPr>
              <w:spacing w:after="0" w:line="240" w:lineRule="auto"/>
              <w:rPr>
                <w:rFonts w:ascii="Calibri" w:eastAsia="Times New Roman" w:hAnsi="Calibri" w:cs="Calibri"/>
                <w:color w:val="000000"/>
                <w:lang w:eastAsia="fr-FR"/>
              </w:rPr>
            </w:pPr>
          </w:p>
        </w:tc>
        <w:tc>
          <w:tcPr>
            <w:tcW w:w="933" w:type="pct"/>
            <w:tcBorders>
              <w:top w:val="nil"/>
              <w:left w:val="nil"/>
              <w:bottom w:val="single" w:sz="4" w:space="0" w:color="auto"/>
              <w:right w:val="single" w:sz="4" w:space="0" w:color="auto"/>
            </w:tcBorders>
            <w:shd w:val="clear" w:color="auto" w:fill="auto"/>
            <w:noWrap/>
            <w:vAlign w:val="center"/>
          </w:tcPr>
          <w:p w14:paraId="3B8EA0C8" w14:textId="27DFD0D2" w:rsidR="001B71EC" w:rsidRPr="00C60715" w:rsidRDefault="003A33E0" w:rsidP="00F12682">
            <w:pPr>
              <w:spacing w:after="0" w:line="240" w:lineRule="auto"/>
              <w:jc w:val="right"/>
              <w:rPr>
                <w:rFonts w:ascii="Calibri" w:eastAsia="Times New Roman" w:hAnsi="Calibri" w:cs="Calibri"/>
                <w:color w:val="000000"/>
                <w:lang w:eastAsia="fr-FR"/>
              </w:rPr>
            </w:pPr>
            <w:r w:rsidRPr="003A33E0">
              <w:rPr>
                <w:rFonts w:ascii="Calibri" w:eastAsia="Times New Roman" w:hAnsi="Calibri" w:cs="Calibri"/>
                <w:color w:val="000000"/>
                <w:lang w:eastAsia="fr-FR"/>
              </w:rPr>
              <w:t>1 044 980 283</w:t>
            </w:r>
          </w:p>
        </w:tc>
        <w:tc>
          <w:tcPr>
            <w:tcW w:w="926" w:type="pct"/>
            <w:tcBorders>
              <w:top w:val="nil"/>
              <w:left w:val="nil"/>
              <w:bottom w:val="single" w:sz="4" w:space="0" w:color="auto"/>
              <w:right w:val="single" w:sz="4" w:space="0" w:color="auto"/>
            </w:tcBorders>
            <w:shd w:val="clear" w:color="auto" w:fill="auto"/>
            <w:noWrap/>
            <w:vAlign w:val="center"/>
          </w:tcPr>
          <w:p w14:paraId="69BAF6D7" w14:textId="666F7379" w:rsidR="001B71EC" w:rsidRPr="00C60715" w:rsidRDefault="004E294B" w:rsidP="00F12682">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22%</w:t>
            </w:r>
          </w:p>
        </w:tc>
      </w:tr>
      <w:tr w:rsidR="001B71EC" w:rsidRPr="00843E0F" w14:paraId="0358D06F" w14:textId="77777777" w:rsidTr="003A33E0">
        <w:tc>
          <w:tcPr>
            <w:tcW w:w="1388" w:type="pct"/>
            <w:tcBorders>
              <w:top w:val="nil"/>
              <w:left w:val="single" w:sz="4" w:space="0" w:color="auto"/>
              <w:bottom w:val="single" w:sz="4" w:space="0" w:color="auto"/>
              <w:right w:val="single" w:sz="4" w:space="0" w:color="auto"/>
            </w:tcBorders>
            <w:shd w:val="clear" w:color="auto" w:fill="auto"/>
            <w:noWrap/>
            <w:vAlign w:val="center"/>
            <w:hideMark/>
          </w:tcPr>
          <w:p w14:paraId="063E5BD8" w14:textId="77777777" w:rsidR="001B71EC" w:rsidRPr="00843E0F" w:rsidRDefault="001B71EC" w:rsidP="00F12682">
            <w:pPr>
              <w:spacing w:after="0" w:line="240" w:lineRule="auto"/>
              <w:rPr>
                <w:rFonts w:ascii="Calibri" w:eastAsia="Times New Roman" w:hAnsi="Calibri" w:cs="Calibri"/>
                <w:b/>
                <w:color w:val="000000"/>
                <w:lang w:eastAsia="fr-FR"/>
              </w:rPr>
            </w:pPr>
            <w:r w:rsidRPr="00843E0F">
              <w:rPr>
                <w:rFonts w:ascii="Calibri" w:eastAsia="Times New Roman" w:hAnsi="Calibri" w:cs="Calibri"/>
                <w:b/>
                <w:color w:val="000000"/>
                <w:lang w:eastAsia="fr-FR"/>
              </w:rPr>
              <w:t>Total général</w:t>
            </w:r>
          </w:p>
        </w:tc>
        <w:tc>
          <w:tcPr>
            <w:tcW w:w="927" w:type="pct"/>
            <w:tcBorders>
              <w:top w:val="nil"/>
              <w:left w:val="nil"/>
              <w:bottom w:val="single" w:sz="4" w:space="0" w:color="auto"/>
              <w:right w:val="single" w:sz="4" w:space="0" w:color="auto"/>
            </w:tcBorders>
            <w:shd w:val="clear" w:color="auto" w:fill="auto"/>
            <w:noWrap/>
            <w:vAlign w:val="center"/>
          </w:tcPr>
          <w:p w14:paraId="21562CC9" w14:textId="4D187C07" w:rsidR="001B71EC" w:rsidRPr="00843E0F" w:rsidRDefault="003A33E0" w:rsidP="00F12682">
            <w:pPr>
              <w:spacing w:after="0" w:line="240" w:lineRule="auto"/>
              <w:jc w:val="right"/>
              <w:rPr>
                <w:rFonts w:ascii="Calibri" w:eastAsia="Times New Roman" w:hAnsi="Calibri" w:cs="Calibri"/>
                <w:b/>
                <w:color w:val="000000"/>
                <w:lang w:eastAsia="fr-FR"/>
              </w:rPr>
            </w:pPr>
            <w:r w:rsidRPr="003A33E0">
              <w:rPr>
                <w:rFonts w:ascii="Calibri" w:eastAsia="Times New Roman" w:hAnsi="Calibri" w:cs="Calibri"/>
                <w:b/>
                <w:color w:val="000000"/>
                <w:lang w:eastAsia="fr-FR"/>
              </w:rPr>
              <w:t>4 940 012 160</w:t>
            </w:r>
          </w:p>
        </w:tc>
        <w:tc>
          <w:tcPr>
            <w:tcW w:w="826" w:type="pct"/>
            <w:tcBorders>
              <w:top w:val="nil"/>
              <w:left w:val="nil"/>
              <w:bottom w:val="single" w:sz="4" w:space="0" w:color="auto"/>
              <w:right w:val="single" w:sz="4" w:space="0" w:color="auto"/>
            </w:tcBorders>
            <w:shd w:val="clear" w:color="auto" w:fill="auto"/>
            <w:noWrap/>
            <w:vAlign w:val="center"/>
          </w:tcPr>
          <w:p w14:paraId="0200E128" w14:textId="3A8FC289" w:rsidR="001B71EC" w:rsidRPr="00843E0F" w:rsidRDefault="001B71EC" w:rsidP="00F12682">
            <w:pPr>
              <w:spacing w:after="0" w:line="240" w:lineRule="auto"/>
              <w:rPr>
                <w:rFonts w:ascii="Calibri" w:eastAsia="Times New Roman" w:hAnsi="Calibri" w:cs="Calibri"/>
                <w:b/>
                <w:color w:val="000000"/>
                <w:lang w:eastAsia="fr-FR"/>
              </w:rPr>
            </w:pPr>
          </w:p>
        </w:tc>
        <w:tc>
          <w:tcPr>
            <w:tcW w:w="933" w:type="pct"/>
            <w:tcBorders>
              <w:top w:val="nil"/>
              <w:left w:val="nil"/>
              <w:bottom w:val="single" w:sz="4" w:space="0" w:color="auto"/>
              <w:right w:val="single" w:sz="4" w:space="0" w:color="auto"/>
            </w:tcBorders>
            <w:shd w:val="clear" w:color="auto" w:fill="auto"/>
            <w:noWrap/>
            <w:vAlign w:val="center"/>
          </w:tcPr>
          <w:p w14:paraId="76CA6F9A" w14:textId="2A02F24A" w:rsidR="001B71EC" w:rsidRPr="00843E0F" w:rsidRDefault="003A33E0" w:rsidP="00F12682">
            <w:pPr>
              <w:spacing w:after="0" w:line="240" w:lineRule="auto"/>
              <w:jc w:val="right"/>
              <w:rPr>
                <w:rFonts w:ascii="Calibri" w:eastAsia="Times New Roman" w:hAnsi="Calibri" w:cs="Calibri"/>
                <w:b/>
                <w:color w:val="000000"/>
                <w:lang w:eastAsia="fr-FR"/>
              </w:rPr>
            </w:pPr>
            <w:r w:rsidRPr="003A33E0">
              <w:rPr>
                <w:rFonts w:ascii="Calibri" w:eastAsia="Times New Roman" w:hAnsi="Calibri" w:cs="Calibri"/>
                <w:b/>
                <w:color w:val="000000"/>
                <w:lang w:eastAsia="fr-FR"/>
              </w:rPr>
              <w:t>1 124 089 929</w:t>
            </w:r>
          </w:p>
        </w:tc>
        <w:tc>
          <w:tcPr>
            <w:tcW w:w="926" w:type="pct"/>
            <w:tcBorders>
              <w:top w:val="nil"/>
              <w:left w:val="nil"/>
              <w:bottom w:val="single" w:sz="4" w:space="0" w:color="auto"/>
              <w:right w:val="single" w:sz="4" w:space="0" w:color="auto"/>
            </w:tcBorders>
            <w:shd w:val="clear" w:color="auto" w:fill="auto"/>
            <w:noWrap/>
            <w:vAlign w:val="center"/>
            <w:hideMark/>
          </w:tcPr>
          <w:p w14:paraId="4F28705E" w14:textId="75D68639" w:rsidR="001B71EC" w:rsidRPr="00843E0F" w:rsidRDefault="003A33E0" w:rsidP="00F12682">
            <w:pPr>
              <w:spacing w:after="0" w:line="240" w:lineRule="auto"/>
              <w:jc w:val="right"/>
              <w:rPr>
                <w:rFonts w:ascii="Calibri" w:eastAsia="Times New Roman" w:hAnsi="Calibri" w:cs="Calibri"/>
                <w:b/>
                <w:color w:val="000000"/>
                <w:lang w:eastAsia="fr-FR"/>
              </w:rPr>
            </w:pPr>
            <w:r>
              <w:rPr>
                <w:rFonts w:ascii="Calibri" w:eastAsia="Times New Roman" w:hAnsi="Calibri" w:cs="Calibri"/>
                <w:b/>
                <w:color w:val="000000"/>
                <w:lang w:eastAsia="fr-FR"/>
              </w:rPr>
              <w:t>23%</w:t>
            </w:r>
          </w:p>
        </w:tc>
      </w:tr>
    </w:tbl>
    <w:p w14:paraId="0140DE9C" w14:textId="77777777" w:rsidR="001B71EC" w:rsidRPr="00E51AB3" w:rsidRDefault="001B71EC" w:rsidP="00F12682">
      <w:pPr>
        <w:spacing w:after="120" w:line="276" w:lineRule="auto"/>
        <w:jc w:val="both"/>
        <w:rPr>
          <w:rFonts w:ascii="Calibri" w:eastAsiaTheme="majorEastAsia" w:hAnsi="Calibri" w:cs="Calibri"/>
          <w:iCs/>
          <w:sz w:val="24"/>
        </w:rPr>
      </w:pPr>
    </w:p>
    <w:p w14:paraId="3C8FCEEF" w14:textId="77777777" w:rsidR="00E51AB3" w:rsidRDefault="00E51AB3" w:rsidP="00F12682">
      <w:pPr>
        <w:pStyle w:val="Titre4"/>
        <w:rPr>
          <w:rFonts w:asciiTheme="minorHAnsi" w:hAnsiTheme="minorHAnsi" w:cstheme="minorHAnsi"/>
        </w:rPr>
      </w:pPr>
      <w:r w:rsidRPr="004A5122">
        <w:rPr>
          <w:rFonts w:asciiTheme="minorHAnsi" w:hAnsiTheme="minorHAnsi" w:cstheme="minorHAnsi"/>
        </w:rPr>
        <w:t>Analyse de la performance et l’incidence de diverses sources de financement</w:t>
      </w:r>
    </w:p>
    <w:p w14:paraId="644FCD44" w14:textId="280C2082" w:rsidR="00B52191" w:rsidRDefault="00B52191" w:rsidP="00F12682">
      <w:pPr>
        <w:jc w:val="both"/>
        <w:rPr>
          <w:sz w:val="24"/>
        </w:rPr>
      </w:pPr>
      <w:r w:rsidRPr="00196874">
        <w:rPr>
          <w:sz w:val="24"/>
        </w:rPr>
        <w:t>Le taux de consommation des d</w:t>
      </w:r>
      <w:r w:rsidR="004E294B" w:rsidRPr="00196874">
        <w:rPr>
          <w:sz w:val="24"/>
        </w:rPr>
        <w:t>épenses d’investissements du HC</w:t>
      </w:r>
      <w:r w:rsidR="00FB6DD0" w:rsidRPr="00196874">
        <w:rPr>
          <w:sz w:val="24"/>
        </w:rPr>
        <w:t>3N est très faible (</w:t>
      </w:r>
      <w:r w:rsidR="004E294B" w:rsidRPr="00196874">
        <w:rPr>
          <w:sz w:val="24"/>
        </w:rPr>
        <w:t>23</w:t>
      </w:r>
      <w:r w:rsidR="00FB6DD0" w:rsidRPr="00196874">
        <w:rPr>
          <w:sz w:val="24"/>
        </w:rPr>
        <w:t xml:space="preserve">%) </w:t>
      </w:r>
      <w:r w:rsidR="00392649" w:rsidRPr="00196874">
        <w:rPr>
          <w:sz w:val="24"/>
        </w:rPr>
        <w:t xml:space="preserve">principalement dû aux taux de consommation des ANR et des emprunts qui varie de 0 à 9%, </w:t>
      </w:r>
      <w:r w:rsidR="00A70A11" w:rsidRPr="00196874">
        <w:rPr>
          <w:sz w:val="24"/>
        </w:rPr>
        <w:t>bien que</w:t>
      </w:r>
      <w:r w:rsidR="00392649" w:rsidRPr="00196874">
        <w:rPr>
          <w:sz w:val="24"/>
        </w:rPr>
        <w:t xml:space="preserve"> les emprunts représentent 64%</w:t>
      </w:r>
      <w:r w:rsidR="00A70A11" w:rsidRPr="00196874">
        <w:rPr>
          <w:sz w:val="24"/>
        </w:rPr>
        <w:t xml:space="preserve"> du budget global d’investissement</w:t>
      </w:r>
      <w:r w:rsidR="00392649" w:rsidRPr="00196874">
        <w:rPr>
          <w:sz w:val="24"/>
        </w:rPr>
        <w:t>.</w:t>
      </w:r>
    </w:p>
    <w:p w14:paraId="0DC9613A" w14:textId="77777777" w:rsidR="009E3565" w:rsidRPr="00196874" w:rsidRDefault="009E3565" w:rsidP="00F12682">
      <w:pPr>
        <w:jc w:val="both"/>
        <w:rPr>
          <w:sz w:val="24"/>
        </w:rPr>
      </w:pPr>
    </w:p>
    <w:p w14:paraId="6B242AF0" w14:textId="77777777" w:rsidR="009542F6" w:rsidRPr="009621BF" w:rsidRDefault="009542F6" w:rsidP="00F12682">
      <w:pPr>
        <w:pStyle w:val="Lgende"/>
        <w:spacing w:after="0"/>
      </w:pPr>
      <w:bookmarkStart w:id="163" w:name="_Toc529305091"/>
      <w:r w:rsidRPr="009621BF">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37</w:t>
      </w:r>
      <w:r w:rsidR="00A773EB">
        <w:rPr>
          <w:noProof/>
        </w:rPr>
        <w:fldChar w:fldCharType="end"/>
      </w:r>
      <w:r w:rsidRPr="009621BF">
        <w:t> : Dépenses du Haut-Commissariat à l’Initiative 3N</w:t>
      </w:r>
      <w:bookmarkEnd w:id="163"/>
    </w:p>
    <w:tbl>
      <w:tblPr>
        <w:tblStyle w:val="Grilledutableau"/>
        <w:tblW w:w="9694" w:type="dxa"/>
        <w:tblLook w:val="04A0" w:firstRow="1" w:lastRow="0" w:firstColumn="1" w:lastColumn="0" w:noHBand="0" w:noVBand="1"/>
      </w:tblPr>
      <w:tblGrid>
        <w:gridCol w:w="2253"/>
        <w:gridCol w:w="1481"/>
        <w:gridCol w:w="1590"/>
        <w:gridCol w:w="2349"/>
        <w:gridCol w:w="2021"/>
      </w:tblGrid>
      <w:tr w:rsidR="00680AFA" w:rsidRPr="00C77474" w14:paraId="08B2C998" w14:textId="77777777" w:rsidTr="004E294B">
        <w:tc>
          <w:tcPr>
            <w:tcW w:w="0" w:type="auto"/>
            <w:noWrap/>
            <w:hideMark/>
          </w:tcPr>
          <w:p w14:paraId="3F61EF65" w14:textId="77777777" w:rsidR="00680AFA" w:rsidRPr="00C77474" w:rsidRDefault="00680AFA" w:rsidP="00F12682">
            <w:pPr>
              <w:rPr>
                <w:b/>
              </w:rPr>
            </w:pPr>
            <w:r w:rsidRPr="00C77474">
              <w:rPr>
                <w:b/>
              </w:rPr>
              <w:t>Type d'investissement</w:t>
            </w:r>
          </w:p>
        </w:tc>
        <w:tc>
          <w:tcPr>
            <w:tcW w:w="0" w:type="auto"/>
            <w:noWrap/>
            <w:hideMark/>
          </w:tcPr>
          <w:p w14:paraId="2B29BDD9" w14:textId="77777777" w:rsidR="00680AFA" w:rsidRPr="00C77474" w:rsidRDefault="00680AFA" w:rsidP="00F12682">
            <w:pPr>
              <w:rPr>
                <w:b/>
              </w:rPr>
            </w:pPr>
            <w:r w:rsidRPr="00C77474">
              <w:rPr>
                <w:b/>
              </w:rPr>
              <w:t>Voté</w:t>
            </w:r>
          </w:p>
        </w:tc>
        <w:tc>
          <w:tcPr>
            <w:tcW w:w="1590" w:type="dxa"/>
            <w:noWrap/>
            <w:hideMark/>
          </w:tcPr>
          <w:p w14:paraId="7B650498" w14:textId="77777777" w:rsidR="00680AFA" w:rsidRPr="00C77474" w:rsidRDefault="00680AFA" w:rsidP="00F12682">
            <w:pPr>
              <w:rPr>
                <w:b/>
              </w:rPr>
            </w:pPr>
            <w:r w:rsidRPr="00C77474">
              <w:rPr>
                <w:b/>
              </w:rPr>
              <w:t>Consommé</w:t>
            </w:r>
          </w:p>
        </w:tc>
        <w:tc>
          <w:tcPr>
            <w:tcW w:w="0" w:type="auto"/>
            <w:noWrap/>
            <w:hideMark/>
          </w:tcPr>
          <w:p w14:paraId="6D6E4875" w14:textId="77777777" w:rsidR="00680AFA" w:rsidRPr="00C77474" w:rsidRDefault="00680AFA" w:rsidP="00F12682">
            <w:pPr>
              <w:rPr>
                <w:b/>
              </w:rPr>
            </w:pPr>
            <w:r w:rsidRPr="00C77474">
              <w:rPr>
                <w:b/>
              </w:rPr>
              <w:t>Taux de consommation</w:t>
            </w:r>
          </w:p>
        </w:tc>
        <w:tc>
          <w:tcPr>
            <w:tcW w:w="0" w:type="auto"/>
            <w:noWrap/>
            <w:hideMark/>
          </w:tcPr>
          <w:p w14:paraId="3ADE997B" w14:textId="6FFA5246" w:rsidR="00680AFA" w:rsidRPr="00C77474" w:rsidRDefault="00680AFA" w:rsidP="00F12682">
            <w:pPr>
              <w:rPr>
                <w:b/>
              </w:rPr>
            </w:pPr>
            <w:r w:rsidRPr="00C77474">
              <w:rPr>
                <w:b/>
              </w:rPr>
              <w:t>Importance relative</w:t>
            </w:r>
          </w:p>
        </w:tc>
      </w:tr>
      <w:tr w:rsidR="00680AFA" w:rsidRPr="00680AFA" w14:paraId="5455E13F" w14:textId="77777777" w:rsidTr="004E294B">
        <w:tc>
          <w:tcPr>
            <w:tcW w:w="0" w:type="auto"/>
            <w:noWrap/>
            <w:hideMark/>
          </w:tcPr>
          <w:p w14:paraId="4DEC91C0" w14:textId="77777777" w:rsidR="00680AFA" w:rsidRPr="00680AFA" w:rsidRDefault="00680AFA" w:rsidP="00F12682">
            <w:r w:rsidRPr="00680AFA">
              <w:t>ANR</w:t>
            </w:r>
          </w:p>
        </w:tc>
        <w:tc>
          <w:tcPr>
            <w:tcW w:w="0" w:type="auto"/>
            <w:noWrap/>
            <w:hideMark/>
          </w:tcPr>
          <w:p w14:paraId="07A0622C" w14:textId="546F531D" w:rsidR="00680AFA" w:rsidRPr="00680AFA" w:rsidRDefault="004E294B" w:rsidP="00F12682">
            <w:pPr>
              <w:jc w:val="right"/>
            </w:pPr>
            <w:r w:rsidRPr="004E294B">
              <w:t>1 952 840 764</w:t>
            </w:r>
          </w:p>
        </w:tc>
        <w:tc>
          <w:tcPr>
            <w:tcW w:w="1590" w:type="dxa"/>
            <w:noWrap/>
            <w:hideMark/>
          </w:tcPr>
          <w:p w14:paraId="2EE2E948" w14:textId="2B68B6A0" w:rsidR="00680AFA" w:rsidRPr="00680AFA" w:rsidRDefault="004E294B" w:rsidP="00F12682">
            <w:pPr>
              <w:jc w:val="right"/>
            </w:pPr>
            <w:r w:rsidRPr="004E294B">
              <w:t>797 070 283</w:t>
            </w:r>
          </w:p>
        </w:tc>
        <w:tc>
          <w:tcPr>
            <w:tcW w:w="0" w:type="auto"/>
            <w:noWrap/>
            <w:hideMark/>
          </w:tcPr>
          <w:p w14:paraId="521C4AF1" w14:textId="6A60BC69" w:rsidR="00680AFA" w:rsidRPr="00680AFA" w:rsidRDefault="004E294B" w:rsidP="00F12682">
            <w:pPr>
              <w:jc w:val="right"/>
            </w:pPr>
            <w:r>
              <w:t>41</w:t>
            </w:r>
            <w:r w:rsidR="00680AFA" w:rsidRPr="00680AFA">
              <w:t>%</w:t>
            </w:r>
          </w:p>
        </w:tc>
        <w:tc>
          <w:tcPr>
            <w:tcW w:w="0" w:type="auto"/>
            <w:noWrap/>
            <w:hideMark/>
          </w:tcPr>
          <w:p w14:paraId="2273ECF3" w14:textId="0F39BE2A" w:rsidR="00680AFA" w:rsidRPr="00680AFA" w:rsidRDefault="00657B14" w:rsidP="00F12682">
            <w:pPr>
              <w:jc w:val="right"/>
            </w:pPr>
            <w:r>
              <w:t>4</w:t>
            </w:r>
            <w:r w:rsidR="00680AFA" w:rsidRPr="00680AFA">
              <w:t>0%</w:t>
            </w:r>
          </w:p>
        </w:tc>
      </w:tr>
      <w:tr w:rsidR="00680AFA" w:rsidRPr="00680AFA" w14:paraId="2DCE7BBE" w14:textId="77777777" w:rsidTr="004E294B">
        <w:tc>
          <w:tcPr>
            <w:tcW w:w="0" w:type="auto"/>
            <w:noWrap/>
            <w:hideMark/>
          </w:tcPr>
          <w:p w14:paraId="7DAF05D9" w14:textId="15E61766" w:rsidR="00680AFA" w:rsidRPr="00680AFA" w:rsidRDefault="00C77474" w:rsidP="00F12682">
            <w:r>
              <w:t>Emprunt</w:t>
            </w:r>
          </w:p>
        </w:tc>
        <w:tc>
          <w:tcPr>
            <w:tcW w:w="0" w:type="auto"/>
            <w:noWrap/>
            <w:hideMark/>
          </w:tcPr>
          <w:p w14:paraId="3E805F7A" w14:textId="77777777" w:rsidR="00680AFA" w:rsidRPr="00680AFA" w:rsidRDefault="00680AFA" w:rsidP="00F12682">
            <w:pPr>
              <w:jc w:val="right"/>
            </w:pPr>
            <w:r w:rsidRPr="00680AFA">
              <w:t>2 627 500 000</w:t>
            </w:r>
          </w:p>
        </w:tc>
        <w:tc>
          <w:tcPr>
            <w:tcW w:w="1590" w:type="dxa"/>
            <w:noWrap/>
            <w:hideMark/>
          </w:tcPr>
          <w:p w14:paraId="5DDB98B8" w14:textId="77777777" w:rsidR="00680AFA" w:rsidRPr="00680AFA" w:rsidRDefault="00680AFA" w:rsidP="00F12682">
            <w:pPr>
              <w:jc w:val="right"/>
            </w:pPr>
            <w:r w:rsidRPr="00680AFA">
              <w:t>226 910 000</w:t>
            </w:r>
          </w:p>
        </w:tc>
        <w:tc>
          <w:tcPr>
            <w:tcW w:w="0" w:type="auto"/>
            <w:noWrap/>
            <w:hideMark/>
          </w:tcPr>
          <w:p w14:paraId="4C7EBD09" w14:textId="77777777" w:rsidR="00680AFA" w:rsidRPr="00680AFA" w:rsidRDefault="00680AFA" w:rsidP="00F12682">
            <w:pPr>
              <w:jc w:val="right"/>
            </w:pPr>
            <w:r w:rsidRPr="00680AFA">
              <w:t>9%</w:t>
            </w:r>
          </w:p>
        </w:tc>
        <w:tc>
          <w:tcPr>
            <w:tcW w:w="0" w:type="auto"/>
            <w:noWrap/>
            <w:hideMark/>
          </w:tcPr>
          <w:p w14:paraId="3526D537" w14:textId="74A74198" w:rsidR="00680AFA" w:rsidRPr="00680AFA" w:rsidRDefault="00657B14" w:rsidP="00F12682">
            <w:pPr>
              <w:jc w:val="right"/>
            </w:pPr>
            <w:r>
              <w:t>53</w:t>
            </w:r>
            <w:r w:rsidR="00680AFA" w:rsidRPr="00680AFA">
              <w:t>%</w:t>
            </w:r>
          </w:p>
        </w:tc>
      </w:tr>
      <w:tr w:rsidR="00680AFA" w:rsidRPr="00680AFA" w14:paraId="44707A85" w14:textId="77777777" w:rsidTr="004E294B">
        <w:tc>
          <w:tcPr>
            <w:tcW w:w="0" w:type="auto"/>
            <w:noWrap/>
            <w:hideMark/>
          </w:tcPr>
          <w:p w14:paraId="656DFCEA" w14:textId="55CBD4FB" w:rsidR="00680AFA" w:rsidRPr="00680AFA" w:rsidRDefault="00680AFA" w:rsidP="00F12682">
            <w:r w:rsidRPr="00680AFA">
              <w:t>Trésor</w:t>
            </w:r>
          </w:p>
        </w:tc>
        <w:tc>
          <w:tcPr>
            <w:tcW w:w="0" w:type="auto"/>
            <w:noWrap/>
            <w:hideMark/>
          </w:tcPr>
          <w:p w14:paraId="478C957E" w14:textId="2DB13DFC" w:rsidR="00680AFA" w:rsidRPr="00680AFA" w:rsidRDefault="004E294B" w:rsidP="00F12682">
            <w:pPr>
              <w:jc w:val="right"/>
            </w:pPr>
            <w:r w:rsidRPr="004E294B">
              <w:t>359 671 396</w:t>
            </w:r>
          </w:p>
        </w:tc>
        <w:tc>
          <w:tcPr>
            <w:tcW w:w="1590" w:type="dxa"/>
            <w:noWrap/>
            <w:hideMark/>
          </w:tcPr>
          <w:p w14:paraId="774FDF9B" w14:textId="13F5AF01" w:rsidR="00680AFA" w:rsidRPr="00680AFA" w:rsidRDefault="004E294B" w:rsidP="00F12682">
            <w:pPr>
              <w:jc w:val="right"/>
            </w:pPr>
            <w:r w:rsidRPr="004E294B">
              <w:t>100 109 646</w:t>
            </w:r>
          </w:p>
        </w:tc>
        <w:tc>
          <w:tcPr>
            <w:tcW w:w="0" w:type="auto"/>
            <w:noWrap/>
            <w:hideMark/>
          </w:tcPr>
          <w:p w14:paraId="4E423F89" w14:textId="381F0DC4" w:rsidR="00680AFA" w:rsidRPr="00680AFA" w:rsidRDefault="004E294B" w:rsidP="00F12682">
            <w:pPr>
              <w:jc w:val="right"/>
            </w:pPr>
            <w:r>
              <w:t>28</w:t>
            </w:r>
            <w:r w:rsidR="00680AFA" w:rsidRPr="00680AFA">
              <w:t>%</w:t>
            </w:r>
          </w:p>
        </w:tc>
        <w:tc>
          <w:tcPr>
            <w:tcW w:w="0" w:type="auto"/>
            <w:noWrap/>
            <w:hideMark/>
          </w:tcPr>
          <w:p w14:paraId="5E8C38EB" w14:textId="2C17E7F5" w:rsidR="00680AFA" w:rsidRPr="00680AFA" w:rsidRDefault="00657B14" w:rsidP="00F12682">
            <w:pPr>
              <w:jc w:val="right"/>
            </w:pPr>
            <w:r>
              <w:t>7</w:t>
            </w:r>
            <w:r w:rsidR="00680AFA" w:rsidRPr="00680AFA">
              <w:t>%</w:t>
            </w:r>
          </w:p>
        </w:tc>
      </w:tr>
      <w:tr w:rsidR="004E294B" w:rsidRPr="00457FB2" w14:paraId="71109232" w14:textId="77777777" w:rsidTr="004E294B">
        <w:tc>
          <w:tcPr>
            <w:tcW w:w="0" w:type="auto"/>
            <w:noWrap/>
            <w:hideMark/>
          </w:tcPr>
          <w:p w14:paraId="2A19106B" w14:textId="77777777" w:rsidR="004E294B" w:rsidRPr="00457FB2" w:rsidRDefault="004E294B" w:rsidP="00F12682">
            <w:pPr>
              <w:rPr>
                <w:b/>
              </w:rPr>
            </w:pPr>
            <w:r w:rsidRPr="00457FB2">
              <w:rPr>
                <w:b/>
              </w:rPr>
              <w:t>Total général</w:t>
            </w:r>
          </w:p>
        </w:tc>
        <w:tc>
          <w:tcPr>
            <w:tcW w:w="0" w:type="auto"/>
            <w:noWrap/>
          </w:tcPr>
          <w:p w14:paraId="1E979305" w14:textId="1301311D" w:rsidR="004E294B" w:rsidRPr="00457FB2" w:rsidRDefault="004E294B" w:rsidP="00F12682">
            <w:pPr>
              <w:jc w:val="right"/>
              <w:rPr>
                <w:b/>
              </w:rPr>
            </w:pPr>
            <w:r w:rsidRPr="003A33E0">
              <w:rPr>
                <w:rFonts w:ascii="Calibri" w:eastAsia="Times New Roman" w:hAnsi="Calibri" w:cs="Calibri"/>
                <w:b/>
                <w:color w:val="000000"/>
                <w:lang w:eastAsia="fr-FR"/>
              </w:rPr>
              <w:t>4 940 012</w:t>
            </w:r>
            <w:r>
              <w:rPr>
                <w:rFonts w:ascii="Calibri" w:eastAsia="Times New Roman" w:hAnsi="Calibri" w:cs="Calibri"/>
                <w:b/>
                <w:color w:val="000000"/>
                <w:lang w:eastAsia="fr-FR"/>
              </w:rPr>
              <w:t> </w:t>
            </w:r>
            <w:r w:rsidRPr="003A33E0">
              <w:rPr>
                <w:rFonts w:ascii="Calibri" w:eastAsia="Times New Roman" w:hAnsi="Calibri" w:cs="Calibri"/>
                <w:b/>
                <w:color w:val="000000"/>
                <w:lang w:eastAsia="fr-FR"/>
              </w:rPr>
              <w:t>160</w:t>
            </w:r>
          </w:p>
        </w:tc>
        <w:tc>
          <w:tcPr>
            <w:tcW w:w="1590" w:type="dxa"/>
            <w:noWrap/>
            <w:vAlign w:val="center"/>
          </w:tcPr>
          <w:p w14:paraId="37EFD87F" w14:textId="5E99A5D4" w:rsidR="004E294B" w:rsidRPr="00457FB2" w:rsidRDefault="004E294B" w:rsidP="00F12682">
            <w:pPr>
              <w:jc w:val="right"/>
              <w:rPr>
                <w:b/>
              </w:rPr>
            </w:pPr>
            <w:r w:rsidRPr="003A33E0">
              <w:rPr>
                <w:rFonts w:ascii="Calibri" w:eastAsia="Times New Roman" w:hAnsi="Calibri" w:cs="Calibri"/>
                <w:b/>
                <w:color w:val="000000"/>
                <w:lang w:eastAsia="fr-FR"/>
              </w:rPr>
              <w:t>1 124 089 929</w:t>
            </w:r>
          </w:p>
        </w:tc>
        <w:tc>
          <w:tcPr>
            <w:tcW w:w="0" w:type="auto"/>
            <w:noWrap/>
            <w:vAlign w:val="center"/>
          </w:tcPr>
          <w:p w14:paraId="07514407" w14:textId="477B9BFE" w:rsidR="004E294B" w:rsidRPr="00457FB2" w:rsidRDefault="004E294B" w:rsidP="00F12682">
            <w:pPr>
              <w:jc w:val="right"/>
              <w:rPr>
                <w:b/>
              </w:rPr>
            </w:pPr>
            <w:r>
              <w:rPr>
                <w:rFonts w:ascii="Calibri" w:eastAsia="Times New Roman" w:hAnsi="Calibri" w:cs="Calibri"/>
                <w:b/>
                <w:color w:val="000000"/>
                <w:lang w:eastAsia="fr-FR"/>
              </w:rPr>
              <w:t>23%</w:t>
            </w:r>
          </w:p>
        </w:tc>
        <w:tc>
          <w:tcPr>
            <w:tcW w:w="0" w:type="auto"/>
            <w:noWrap/>
            <w:hideMark/>
          </w:tcPr>
          <w:p w14:paraId="53AB6362" w14:textId="77777777" w:rsidR="004E294B" w:rsidRPr="00457FB2" w:rsidRDefault="004E294B" w:rsidP="00F12682">
            <w:pPr>
              <w:jc w:val="right"/>
              <w:rPr>
                <w:b/>
              </w:rPr>
            </w:pPr>
            <w:r w:rsidRPr="00457FB2">
              <w:rPr>
                <w:b/>
              </w:rPr>
              <w:t>100%</w:t>
            </w:r>
          </w:p>
        </w:tc>
      </w:tr>
    </w:tbl>
    <w:p w14:paraId="4E9F1C15" w14:textId="77777777" w:rsidR="00E51AB3" w:rsidRDefault="00E51AB3" w:rsidP="00F12682"/>
    <w:p w14:paraId="1A42ACD3" w14:textId="77777777" w:rsidR="00E51AB3" w:rsidRDefault="00E51AB3" w:rsidP="00F12682"/>
    <w:p w14:paraId="608FC7D9" w14:textId="77777777" w:rsidR="00E51AB3" w:rsidRPr="00E51AB3" w:rsidRDefault="00E51AB3" w:rsidP="00F12682">
      <w:pPr>
        <w:sectPr w:rsidR="00E51AB3" w:rsidRPr="00E51AB3" w:rsidSect="00797C5C">
          <w:pgSz w:w="11906" w:h="16838" w:code="9"/>
          <w:pgMar w:top="1134" w:right="1134" w:bottom="1134" w:left="1134" w:header="709" w:footer="709" w:gutter="0"/>
          <w:cols w:space="708"/>
          <w:docGrid w:linePitch="360"/>
        </w:sectPr>
      </w:pPr>
    </w:p>
    <w:p w14:paraId="19E88E02" w14:textId="5A6BFE12" w:rsidR="007A379C" w:rsidRDefault="009401A4" w:rsidP="00F12682">
      <w:pPr>
        <w:pStyle w:val="Titre1"/>
        <w:numPr>
          <w:ilvl w:val="0"/>
          <w:numId w:val="0"/>
        </w:numPr>
        <w:ind w:left="432" w:right="-284" w:hanging="432"/>
        <w:jc w:val="both"/>
        <w:rPr>
          <w:rFonts w:asciiTheme="minorHAnsi" w:hAnsiTheme="minorHAnsi" w:cstheme="minorHAnsi"/>
        </w:rPr>
      </w:pPr>
      <w:bookmarkStart w:id="164" w:name="_Toc529305040"/>
      <w:r w:rsidRPr="004A5122">
        <w:rPr>
          <w:rFonts w:asciiTheme="minorHAnsi" w:hAnsiTheme="minorHAnsi" w:cstheme="minorHAnsi"/>
        </w:rPr>
        <w:lastRenderedPageBreak/>
        <w:t>Chapitre 5 : Analyse de l’ef</w:t>
      </w:r>
      <w:r w:rsidR="008875D1" w:rsidRPr="004A5122">
        <w:rPr>
          <w:rFonts w:asciiTheme="minorHAnsi" w:hAnsiTheme="minorHAnsi" w:cstheme="minorHAnsi"/>
        </w:rPr>
        <w:t>ficacité des dépenses publiques</w:t>
      </w:r>
      <w:r w:rsidR="00A1697A">
        <w:rPr>
          <w:rFonts w:asciiTheme="minorHAnsi" w:hAnsiTheme="minorHAnsi" w:cstheme="minorHAnsi"/>
        </w:rPr>
        <w:t xml:space="preserve"> par </w:t>
      </w:r>
      <w:r w:rsidR="00457FB2">
        <w:rPr>
          <w:rFonts w:asciiTheme="minorHAnsi" w:hAnsiTheme="minorHAnsi" w:cstheme="minorHAnsi"/>
        </w:rPr>
        <w:t>sous-secteur</w:t>
      </w:r>
      <w:bookmarkEnd w:id="164"/>
    </w:p>
    <w:p w14:paraId="59EFDB65" w14:textId="4C5B5FA9" w:rsidR="005445F6" w:rsidRPr="00387E29" w:rsidRDefault="005970F0" w:rsidP="00F12682">
      <w:pPr>
        <w:pStyle w:val="Titre2"/>
        <w:numPr>
          <w:ilvl w:val="1"/>
          <w:numId w:val="22"/>
        </w:numPr>
        <w:rPr>
          <w:rFonts w:asciiTheme="minorHAnsi" w:hAnsiTheme="minorHAnsi" w:cstheme="minorHAnsi"/>
        </w:rPr>
      </w:pPr>
      <w:bookmarkStart w:id="165" w:name="_Toc520652822"/>
      <w:bookmarkStart w:id="166" w:name="_Toc520736983"/>
      <w:bookmarkStart w:id="167" w:name="_Toc523405263"/>
      <w:bookmarkStart w:id="168" w:name="_Toc523405355"/>
      <w:bookmarkStart w:id="169" w:name="_Toc523577391"/>
      <w:bookmarkStart w:id="170" w:name="_Toc529305041"/>
      <w:bookmarkEnd w:id="165"/>
      <w:bookmarkEnd w:id="166"/>
      <w:bookmarkEnd w:id="167"/>
      <w:bookmarkEnd w:id="168"/>
      <w:bookmarkEnd w:id="169"/>
      <w:r w:rsidRPr="00387E29">
        <w:rPr>
          <w:rFonts w:asciiTheme="minorHAnsi" w:hAnsiTheme="minorHAnsi" w:cstheme="minorHAnsi"/>
        </w:rPr>
        <w:t>Ministère de l’Agriculture (</w:t>
      </w:r>
      <w:r w:rsidR="005445F6" w:rsidRPr="00387E29">
        <w:rPr>
          <w:rFonts w:asciiTheme="minorHAnsi" w:hAnsiTheme="minorHAnsi" w:cstheme="minorHAnsi"/>
        </w:rPr>
        <w:t>MAG</w:t>
      </w:r>
      <w:r w:rsidRPr="00387E29">
        <w:rPr>
          <w:rFonts w:asciiTheme="minorHAnsi" w:hAnsiTheme="minorHAnsi" w:cstheme="minorHAnsi"/>
        </w:rPr>
        <w:t>)</w:t>
      </w:r>
      <w:bookmarkEnd w:id="170"/>
    </w:p>
    <w:p w14:paraId="02BAB2F2" w14:textId="77777777" w:rsidR="00895CB2" w:rsidRPr="004A5122" w:rsidRDefault="00895CB2" w:rsidP="00F12682">
      <w:pPr>
        <w:pStyle w:val="Titre4"/>
        <w:rPr>
          <w:rFonts w:asciiTheme="minorHAnsi" w:hAnsiTheme="minorHAnsi" w:cstheme="minorHAnsi"/>
        </w:rPr>
      </w:pPr>
      <w:r w:rsidRPr="004A5122">
        <w:rPr>
          <w:rFonts w:asciiTheme="minorHAnsi" w:hAnsiTheme="minorHAnsi" w:cstheme="minorHAnsi"/>
        </w:rPr>
        <w:t xml:space="preserve">Analyse de l’efficacité des dépenses de fonctionnement </w:t>
      </w:r>
    </w:p>
    <w:p w14:paraId="20D224BC" w14:textId="558D6B9F" w:rsidR="006B4856" w:rsidRPr="00484A10" w:rsidRDefault="006B4856" w:rsidP="00F12682">
      <w:pPr>
        <w:spacing w:after="120" w:line="276" w:lineRule="auto"/>
        <w:jc w:val="both"/>
        <w:rPr>
          <w:rFonts w:ascii="Calibri" w:eastAsiaTheme="majorEastAsia" w:hAnsi="Calibri" w:cs="Calibri"/>
          <w:iCs/>
          <w:sz w:val="24"/>
        </w:rPr>
      </w:pPr>
      <w:r w:rsidRPr="00484A10">
        <w:rPr>
          <w:rFonts w:ascii="Calibri" w:eastAsiaTheme="majorEastAsia" w:hAnsi="Calibri" w:cs="Calibri"/>
          <w:iCs/>
          <w:sz w:val="24"/>
        </w:rPr>
        <w:t xml:space="preserve">Les dépenses de crédits de fonctionnement sont inégalement réparties dans les administrations du MAG. </w:t>
      </w:r>
      <w:r w:rsidR="00664AF6" w:rsidRPr="00484A10">
        <w:rPr>
          <w:rFonts w:ascii="Calibri" w:eastAsiaTheme="majorEastAsia" w:hAnsi="Calibri" w:cs="Calibri"/>
          <w:iCs/>
          <w:sz w:val="24"/>
        </w:rPr>
        <w:t xml:space="preserve">Le niveau déconcentré (régions, départements et communes) n’ont reçu </w:t>
      </w:r>
      <w:r w:rsidR="00B05275" w:rsidRPr="00484A10">
        <w:rPr>
          <w:rFonts w:ascii="Calibri" w:eastAsiaTheme="majorEastAsia" w:hAnsi="Calibri" w:cs="Calibri"/>
          <w:iCs/>
          <w:sz w:val="24"/>
        </w:rPr>
        <w:t xml:space="preserve">que 11% des crédits de fonctionnement destinés au MAG (tableau </w:t>
      </w:r>
      <w:r w:rsidR="00C77474">
        <w:rPr>
          <w:rFonts w:ascii="Calibri" w:eastAsiaTheme="majorEastAsia" w:hAnsi="Calibri" w:cs="Calibri"/>
          <w:iCs/>
          <w:sz w:val="24"/>
        </w:rPr>
        <w:t>ci-dessus</w:t>
      </w:r>
      <w:r w:rsidR="00B05275" w:rsidRPr="00484A10">
        <w:rPr>
          <w:rFonts w:ascii="Calibri" w:eastAsiaTheme="majorEastAsia" w:hAnsi="Calibri" w:cs="Calibri"/>
          <w:iCs/>
          <w:sz w:val="24"/>
        </w:rPr>
        <w:t xml:space="preserve">). </w:t>
      </w:r>
      <w:r w:rsidR="00410EF2" w:rsidRPr="00484A10">
        <w:rPr>
          <w:rFonts w:ascii="Calibri" w:eastAsiaTheme="majorEastAsia" w:hAnsi="Calibri" w:cs="Calibri"/>
          <w:iCs/>
          <w:sz w:val="24"/>
        </w:rPr>
        <w:t>Sur</w:t>
      </w:r>
      <w:r w:rsidR="008474E2" w:rsidRPr="00484A10">
        <w:rPr>
          <w:rFonts w:ascii="Calibri" w:eastAsiaTheme="majorEastAsia" w:hAnsi="Calibri" w:cs="Calibri"/>
          <w:iCs/>
          <w:sz w:val="24"/>
        </w:rPr>
        <w:t xml:space="preserve"> le</w:t>
      </w:r>
      <w:r w:rsidR="00B05275" w:rsidRPr="00484A10">
        <w:rPr>
          <w:rFonts w:ascii="Calibri" w:eastAsiaTheme="majorEastAsia" w:hAnsi="Calibri" w:cs="Calibri"/>
          <w:iCs/>
          <w:sz w:val="24"/>
        </w:rPr>
        <w:t xml:space="preserve"> 89% restant</w:t>
      </w:r>
      <w:r w:rsidR="008474E2" w:rsidRPr="00484A10">
        <w:rPr>
          <w:rFonts w:ascii="Calibri" w:eastAsiaTheme="majorEastAsia" w:hAnsi="Calibri" w:cs="Calibri"/>
          <w:iCs/>
          <w:sz w:val="24"/>
        </w:rPr>
        <w:t xml:space="preserve">, </w:t>
      </w:r>
      <w:r w:rsidR="00340B28" w:rsidRPr="00484A10">
        <w:rPr>
          <w:rFonts w:ascii="Calibri" w:eastAsiaTheme="majorEastAsia" w:hAnsi="Calibri" w:cs="Calibri"/>
          <w:iCs/>
          <w:sz w:val="24"/>
        </w:rPr>
        <w:t>77% sont répartis entre le cabinet (39%), la protection des végétaux (23%) et la statistique (15%).</w:t>
      </w:r>
      <w:r w:rsidR="00067A27" w:rsidRPr="00484A10">
        <w:rPr>
          <w:rFonts w:ascii="Calibri" w:eastAsiaTheme="majorEastAsia" w:hAnsi="Calibri" w:cs="Calibri"/>
          <w:iCs/>
          <w:sz w:val="24"/>
        </w:rPr>
        <w:t xml:space="preserve"> Toutes les autres directions techniques et transversales se contentent de 12% des cr</w:t>
      </w:r>
      <w:r w:rsidR="00F57BC3" w:rsidRPr="00484A10">
        <w:rPr>
          <w:rFonts w:ascii="Calibri" w:eastAsiaTheme="majorEastAsia" w:hAnsi="Calibri" w:cs="Calibri"/>
          <w:iCs/>
          <w:sz w:val="24"/>
        </w:rPr>
        <w:t>édits pour leur fonctionnement.</w:t>
      </w:r>
      <w:r w:rsidR="003D34E5">
        <w:rPr>
          <w:rFonts w:ascii="Calibri" w:eastAsiaTheme="majorEastAsia" w:hAnsi="Calibri" w:cs="Calibri"/>
          <w:iCs/>
          <w:sz w:val="24"/>
        </w:rPr>
        <w:t xml:space="preserve"> </w:t>
      </w:r>
      <w:r w:rsidRPr="00484A10">
        <w:rPr>
          <w:rFonts w:ascii="Calibri" w:eastAsiaTheme="majorEastAsia" w:hAnsi="Calibri" w:cs="Calibri"/>
          <w:iCs/>
          <w:sz w:val="24"/>
        </w:rPr>
        <w:t xml:space="preserve">Il y a </w:t>
      </w:r>
      <w:r w:rsidR="00551768" w:rsidRPr="00484A10">
        <w:rPr>
          <w:rFonts w:ascii="Calibri" w:eastAsiaTheme="majorEastAsia" w:hAnsi="Calibri" w:cs="Calibri"/>
          <w:iCs/>
          <w:sz w:val="24"/>
        </w:rPr>
        <w:t>deux types de</w:t>
      </w:r>
      <w:r w:rsidRPr="00484A10">
        <w:rPr>
          <w:rFonts w:ascii="Calibri" w:eastAsiaTheme="majorEastAsia" w:hAnsi="Calibri" w:cs="Calibri"/>
          <w:iCs/>
          <w:sz w:val="24"/>
        </w:rPr>
        <w:t xml:space="preserve"> déséquilibre dans la répartition des ressources financières</w:t>
      </w:r>
      <w:r w:rsidR="0077254E" w:rsidRPr="00484A10">
        <w:rPr>
          <w:rFonts w:ascii="Calibri" w:eastAsiaTheme="majorEastAsia" w:hAnsi="Calibri" w:cs="Calibri"/>
          <w:iCs/>
          <w:sz w:val="24"/>
        </w:rPr>
        <w:t xml:space="preserve"> liées au fonctionnement. Le premier déséquilibre est entre</w:t>
      </w:r>
      <w:r w:rsidR="007E63AF" w:rsidRPr="00484A10">
        <w:rPr>
          <w:rFonts w:ascii="Calibri" w:eastAsiaTheme="majorEastAsia" w:hAnsi="Calibri" w:cs="Calibri"/>
          <w:iCs/>
          <w:sz w:val="24"/>
        </w:rPr>
        <w:t xml:space="preserve"> la portion centrale qui garde l’essentiel des ressources au détriment du niveau déconcentré, dans un secteur rural</w:t>
      </w:r>
      <w:r w:rsidR="0038775F" w:rsidRPr="00484A10">
        <w:rPr>
          <w:rFonts w:ascii="Calibri" w:eastAsiaTheme="majorEastAsia" w:hAnsi="Calibri" w:cs="Calibri"/>
          <w:iCs/>
          <w:sz w:val="24"/>
        </w:rPr>
        <w:t>, où le besoin d’encadrement est au niveau des régions, départements, communes et villages</w:t>
      </w:r>
      <w:r w:rsidR="007E63AF" w:rsidRPr="00484A10">
        <w:rPr>
          <w:rFonts w:ascii="Calibri" w:eastAsiaTheme="majorEastAsia" w:hAnsi="Calibri" w:cs="Calibri"/>
          <w:iCs/>
          <w:sz w:val="24"/>
        </w:rPr>
        <w:t xml:space="preserve">. Et le deuxième déséquilibre est entre </w:t>
      </w:r>
      <w:r w:rsidR="00551768" w:rsidRPr="00484A10">
        <w:rPr>
          <w:rFonts w:ascii="Calibri" w:eastAsiaTheme="majorEastAsia" w:hAnsi="Calibri" w:cs="Calibri"/>
          <w:iCs/>
          <w:sz w:val="24"/>
        </w:rPr>
        <w:t>l</w:t>
      </w:r>
      <w:r w:rsidR="005F4D13" w:rsidRPr="00484A10">
        <w:rPr>
          <w:rFonts w:ascii="Calibri" w:eastAsiaTheme="majorEastAsia" w:hAnsi="Calibri" w:cs="Calibri"/>
          <w:iCs/>
          <w:sz w:val="24"/>
        </w:rPr>
        <w:t>es directions de base productive (DGGR, DGA)</w:t>
      </w:r>
      <w:r w:rsidR="000A59EE" w:rsidRPr="00484A10">
        <w:rPr>
          <w:rFonts w:ascii="Calibri" w:eastAsiaTheme="majorEastAsia" w:hAnsi="Calibri" w:cs="Calibri"/>
          <w:iCs/>
          <w:sz w:val="24"/>
        </w:rPr>
        <w:t xml:space="preserve"> qui n’ont reçu que 5%</w:t>
      </w:r>
      <w:r w:rsidR="005F4D13" w:rsidRPr="00484A10">
        <w:rPr>
          <w:rFonts w:ascii="Calibri" w:eastAsiaTheme="majorEastAsia" w:hAnsi="Calibri" w:cs="Calibri"/>
          <w:iCs/>
          <w:sz w:val="24"/>
        </w:rPr>
        <w:t xml:space="preserve"> et l</w:t>
      </w:r>
      <w:r w:rsidR="00551768" w:rsidRPr="00484A10">
        <w:rPr>
          <w:rFonts w:ascii="Calibri" w:eastAsiaTheme="majorEastAsia" w:hAnsi="Calibri" w:cs="Calibri"/>
          <w:iCs/>
          <w:sz w:val="24"/>
        </w:rPr>
        <w:t>a protection des végétaux</w:t>
      </w:r>
      <w:r w:rsidR="005F4D13" w:rsidRPr="00484A10">
        <w:rPr>
          <w:rFonts w:ascii="Calibri" w:eastAsiaTheme="majorEastAsia" w:hAnsi="Calibri" w:cs="Calibri"/>
          <w:iCs/>
          <w:sz w:val="24"/>
        </w:rPr>
        <w:t>,</w:t>
      </w:r>
      <w:r w:rsidR="0077254E" w:rsidRPr="00484A10">
        <w:rPr>
          <w:rFonts w:ascii="Calibri" w:eastAsiaTheme="majorEastAsia" w:hAnsi="Calibri" w:cs="Calibri"/>
          <w:iCs/>
          <w:sz w:val="24"/>
        </w:rPr>
        <w:t xml:space="preserve"> la statistique</w:t>
      </w:r>
      <w:r w:rsidR="005F4D13" w:rsidRPr="00484A10">
        <w:rPr>
          <w:rFonts w:ascii="Calibri" w:eastAsiaTheme="majorEastAsia" w:hAnsi="Calibri" w:cs="Calibri"/>
          <w:iCs/>
          <w:sz w:val="24"/>
        </w:rPr>
        <w:t xml:space="preserve"> et le </w:t>
      </w:r>
      <w:r w:rsidR="000A59EE" w:rsidRPr="00484A10">
        <w:rPr>
          <w:rFonts w:ascii="Calibri" w:eastAsiaTheme="majorEastAsia" w:hAnsi="Calibri" w:cs="Calibri"/>
          <w:iCs/>
          <w:sz w:val="24"/>
        </w:rPr>
        <w:t>cabinet qui gardent 77%.</w:t>
      </w:r>
    </w:p>
    <w:p w14:paraId="286D0C26" w14:textId="77777777" w:rsidR="00674B91" w:rsidRPr="00484A10" w:rsidRDefault="00674B91" w:rsidP="00F12682">
      <w:pPr>
        <w:spacing w:after="120" w:line="276" w:lineRule="auto"/>
        <w:jc w:val="both"/>
        <w:rPr>
          <w:rFonts w:ascii="Calibri" w:eastAsiaTheme="majorEastAsia" w:hAnsi="Calibri" w:cs="Calibri"/>
          <w:iCs/>
          <w:sz w:val="24"/>
        </w:rPr>
      </w:pPr>
    </w:p>
    <w:p w14:paraId="653E7721" w14:textId="16FBBB01" w:rsidR="00674B91" w:rsidRPr="00484A10" w:rsidRDefault="005970F0" w:rsidP="00F12682">
      <w:pPr>
        <w:pStyle w:val="Lgende"/>
        <w:rPr>
          <w:rFonts w:eastAsiaTheme="majorEastAsia" w:cs="Calibri"/>
          <w:iCs w:val="0"/>
        </w:rPr>
      </w:pPr>
      <w:bookmarkStart w:id="171" w:name="_Toc529305092"/>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38</w:t>
      </w:r>
      <w:r w:rsidR="00A773EB">
        <w:rPr>
          <w:noProof/>
        </w:rPr>
        <w:fldChar w:fldCharType="end"/>
      </w:r>
      <w:r w:rsidR="00484A10">
        <w:rPr>
          <w:rFonts w:eastAsiaTheme="majorEastAsia" w:cs="Calibri"/>
          <w:iCs w:val="0"/>
        </w:rPr>
        <w:t xml:space="preserve"> : </w:t>
      </w:r>
      <w:r w:rsidR="00674B91" w:rsidRPr="00484A10">
        <w:rPr>
          <w:rFonts w:eastAsiaTheme="majorEastAsia" w:cs="Calibri"/>
          <w:iCs w:val="0"/>
        </w:rPr>
        <w:t xml:space="preserve">Répartition des </w:t>
      </w:r>
      <w:r w:rsidR="006B4856" w:rsidRPr="00484A10">
        <w:rPr>
          <w:rFonts w:eastAsiaTheme="majorEastAsia" w:cs="Calibri"/>
          <w:iCs w:val="0"/>
        </w:rPr>
        <w:t xml:space="preserve">crédits de </w:t>
      </w:r>
      <w:r w:rsidR="00674B91" w:rsidRPr="00484A10">
        <w:rPr>
          <w:rFonts w:eastAsiaTheme="majorEastAsia" w:cs="Calibri"/>
          <w:iCs w:val="0"/>
        </w:rPr>
        <w:t xml:space="preserve">fonctionnement par </w:t>
      </w:r>
      <w:r w:rsidR="00E97F57" w:rsidRPr="00484A10">
        <w:rPr>
          <w:rFonts w:eastAsiaTheme="majorEastAsia" w:cs="Calibri"/>
          <w:iCs w:val="0"/>
        </w:rPr>
        <w:t>administration du MAG</w:t>
      </w:r>
      <w:bookmarkEnd w:id="171"/>
    </w:p>
    <w:tbl>
      <w:tblPr>
        <w:tblW w:w="5159" w:type="pct"/>
        <w:tblLayout w:type="fixed"/>
        <w:tblCellMar>
          <w:left w:w="70" w:type="dxa"/>
          <w:right w:w="70" w:type="dxa"/>
        </w:tblCellMar>
        <w:tblLook w:val="04A0" w:firstRow="1" w:lastRow="0" w:firstColumn="1" w:lastColumn="0" w:noHBand="0" w:noVBand="1"/>
      </w:tblPr>
      <w:tblGrid>
        <w:gridCol w:w="4061"/>
        <w:gridCol w:w="1506"/>
        <w:gridCol w:w="1508"/>
        <w:gridCol w:w="1319"/>
        <w:gridCol w:w="1540"/>
      </w:tblGrid>
      <w:tr w:rsidR="0004459F" w:rsidRPr="00484A10" w14:paraId="0CEFEFDB" w14:textId="77777777" w:rsidTr="00226F3F">
        <w:tc>
          <w:tcPr>
            <w:tcW w:w="20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79282" w14:textId="74669EB0" w:rsidR="0004459F" w:rsidRPr="00484A10" w:rsidRDefault="0004459F" w:rsidP="00F12682">
            <w:pPr>
              <w:spacing w:after="0" w:line="240" w:lineRule="auto"/>
              <w:jc w:val="center"/>
              <w:rPr>
                <w:rFonts w:eastAsia="Times New Roman" w:cstheme="minorHAnsi"/>
                <w:b/>
                <w:bCs/>
                <w:color w:val="000000"/>
                <w:sz w:val="18"/>
                <w:szCs w:val="18"/>
                <w:lang w:eastAsia="fr-FR"/>
              </w:rPr>
            </w:pPr>
            <w:r w:rsidRPr="00484A10">
              <w:rPr>
                <w:rFonts w:eastAsia="Times New Roman" w:cstheme="minorHAnsi"/>
                <w:b/>
                <w:bCs/>
                <w:color w:val="000000"/>
                <w:sz w:val="18"/>
                <w:szCs w:val="18"/>
                <w:lang w:eastAsia="fr-FR"/>
              </w:rPr>
              <w:t>Administration</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14:paraId="1B8C8475" w14:textId="5A455FE9" w:rsidR="0004459F" w:rsidRPr="00484A10" w:rsidRDefault="0004459F" w:rsidP="00F12682">
            <w:pPr>
              <w:spacing w:after="0" w:line="240" w:lineRule="auto"/>
              <w:jc w:val="center"/>
              <w:rPr>
                <w:rFonts w:eastAsia="Times New Roman" w:cstheme="minorHAnsi"/>
                <w:b/>
                <w:bCs/>
                <w:color w:val="000000"/>
                <w:sz w:val="18"/>
                <w:szCs w:val="18"/>
                <w:lang w:eastAsia="fr-FR"/>
              </w:rPr>
            </w:pPr>
            <w:r w:rsidRPr="00484A10">
              <w:rPr>
                <w:rFonts w:eastAsia="Times New Roman" w:cstheme="minorHAnsi"/>
                <w:b/>
                <w:bCs/>
                <w:color w:val="000000"/>
                <w:sz w:val="18"/>
                <w:szCs w:val="18"/>
                <w:lang w:eastAsia="fr-FR"/>
              </w:rPr>
              <w:t>Voté</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78C24076" w14:textId="38246A8A" w:rsidR="0004459F" w:rsidRPr="00484A10" w:rsidRDefault="0004459F" w:rsidP="00F12682">
            <w:pPr>
              <w:spacing w:after="0" w:line="240" w:lineRule="auto"/>
              <w:jc w:val="center"/>
              <w:rPr>
                <w:rFonts w:eastAsia="Times New Roman" w:cstheme="minorHAnsi"/>
                <w:b/>
                <w:bCs/>
                <w:color w:val="000000"/>
                <w:sz w:val="18"/>
                <w:szCs w:val="18"/>
                <w:lang w:eastAsia="fr-FR"/>
              </w:rPr>
            </w:pPr>
            <w:r w:rsidRPr="00484A10">
              <w:rPr>
                <w:rFonts w:eastAsia="Times New Roman" w:cstheme="minorHAnsi"/>
                <w:b/>
                <w:bCs/>
                <w:color w:val="000000"/>
                <w:sz w:val="18"/>
                <w:szCs w:val="18"/>
                <w:lang w:eastAsia="fr-FR"/>
              </w:rPr>
              <w:t>Part des crédits votés par administration</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4F2FE567" w14:textId="4806BABF" w:rsidR="0004459F" w:rsidRPr="00484A10" w:rsidRDefault="0004459F" w:rsidP="00F12682">
            <w:pPr>
              <w:spacing w:after="0" w:line="240" w:lineRule="auto"/>
              <w:jc w:val="center"/>
              <w:rPr>
                <w:rFonts w:eastAsia="Times New Roman" w:cstheme="minorHAnsi"/>
                <w:b/>
                <w:bCs/>
                <w:color w:val="000000"/>
                <w:sz w:val="18"/>
                <w:szCs w:val="18"/>
                <w:lang w:eastAsia="fr-FR"/>
              </w:rPr>
            </w:pPr>
            <w:r w:rsidRPr="00484A10">
              <w:rPr>
                <w:rFonts w:eastAsia="Times New Roman" w:cstheme="minorHAnsi"/>
                <w:b/>
                <w:bCs/>
                <w:color w:val="000000"/>
                <w:sz w:val="18"/>
                <w:szCs w:val="18"/>
                <w:lang w:eastAsia="fr-FR"/>
              </w:rPr>
              <w:t xml:space="preserve">Consommé </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7B80880A" w14:textId="70A5B51C" w:rsidR="0004459F" w:rsidRPr="00484A10" w:rsidRDefault="0004459F" w:rsidP="00F12682">
            <w:pPr>
              <w:spacing w:after="0" w:line="240" w:lineRule="auto"/>
              <w:jc w:val="center"/>
              <w:rPr>
                <w:rFonts w:eastAsia="Times New Roman" w:cstheme="minorHAnsi"/>
                <w:b/>
                <w:bCs/>
                <w:color w:val="000000"/>
                <w:sz w:val="18"/>
                <w:szCs w:val="18"/>
                <w:lang w:eastAsia="fr-FR"/>
              </w:rPr>
            </w:pPr>
            <w:r w:rsidRPr="00484A10">
              <w:rPr>
                <w:rFonts w:eastAsia="Times New Roman" w:cstheme="minorHAnsi"/>
                <w:b/>
                <w:bCs/>
                <w:color w:val="000000"/>
                <w:sz w:val="18"/>
                <w:szCs w:val="18"/>
                <w:lang w:eastAsia="fr-FR"/>
              </w:rPr>
              <w:t>Part des crédits Consommés par administration</w:t>
            </w:r>
          </w:p>
        </w:tc>
      </w:tr>
      <w:tr w:rsidR="00654401" w:rsidRPr="00654401" w14:paraId="5EDE02F6"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6BD160B9" w14:textId="51DF251C" w:rsidR="001949A3" w:rsidRPr="004A5122" w:rsidRDefault="00C77474"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Cabinet</w:t>
            </w:r>
          </w:p>
        </w:tc>
        <w:tc>
          <w:tcPr>
            <w:tcW w:w="758" w:type="pct"/>
            <w:tcBorders>
              <w:top w:val="nil"/>
              <w:left w:val="nil"/>
              <w:bottom w:val="single" w:sz="4" w:space="0" w:color="auto"/>
              <w:right w:val="single" w:sz="4" w:space="0" w:color="auto"/>
            </w:tcBorders>
            <w:shd w:val="clear" w:color="auto" w:fill="auto"/>
            <w:noWrap/>
            <w:vAlign w:val="center"/>
            <w:hideMark/>
          </w:tcPr>
          <w:p w14:paraId="5A7893F0"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701 705 310</w:t>
            </w:r>
          </w:p>
        </w:tc>
        <w:tc>
          <w:tcPr>
            <w:tcW w:w="759" w:type="pct"/>
            <w:tcBorders>
              <w:top w:val="nil"/>
              <w:left w:val="nil"/>
              <w:bottom w:val="single" w:sz="4" w:space="0" w:color="auto"/>
              <w:right w:val="single" w:sz="4" w:space="0" w:color="auto"/>
            </w:tcBorders>
            <w:shd w:val="clear" w:color="auto" w:fill="auto"/>
            <w:noWrap/>
            <w:vAlign w:val="center"/>
            <w:hideMark/>
          </w:tcPr>
          <w:p w14:paraId="5ED04C68"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45%</w:t>
            </w:r>
          </w:p>
        </w:tc>
        <w:tc>
          <w:tcPr>
            <w:tcW w:w="664" w:type="pct"/>
            <w:tcBorders>
              <w:top w:val="nil"/>
              <w:left w:val="nil"/>
              <w:bottom w:val="single" w:sz="4" w:space="0" w:color="auto"/>
              <w:right w:val="single" w:sz="4" w:space="0" w:color="auto"/>
            </w:tcBorders>
            <w:shd w:val="clear" w:color="auto" w:fill="auto"/>
            <w:noWrap/>
            <w:vAlign w:val="center"/>
            <w:hideMark/>
          </w:tcPr>
          <w:p w14:paraId="78101309" w14:textId="2BC7F4AD"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234 372</w:t>
            </w:r>
            <w:r w:rsidR="00E74B71">
              <w:rPr>
                <w:rFonts w:eastAsia="Times New Roman" w:cstheme="minorHAnsi"/>
                <w:color w:val="000000"/>
                <w:sz w:val="20"/>
                <w:szCs w:val="20"/>
                <w:lang w:eastAsia="fr-FR"/>
              </w:rPr>
              <w:t> </w:t>
            </w:r>
            <w:r w:rsidRPr="004A5122">
              <w:rPr>
                <w:rFonts w:eastAsia="Times New Roman" w:cstheme="minorHAnsi"/>
                <w:color w:val="000000"/>
                <w:sz w:val="20"/>
                <w:szCs w:val="20"/>
                <w:lang w:eastAsia="fr-FR"/>
              </w:rPr>
              <w:t>765</w:t>
            </w:r>
          </w:p>
        </w:tc>
        <w:tc>
          <w:tcPr>
            <w:tcW w:w="775" w:type="pct"/>
            <w:tcBorders>
              <w:top w:val="nil"/>
              <w:left w:val="nil"/>
              <w:bottom w:val="single" w:sz="4" w:space="0" w:color="auto"/>
              <w:right w:val="single" w:sz="4" w:space="0" w:color="auto"/>
            </w:tcBorders>
            <w:shd w:val="clear" w:color="auto" w:fill="auto"/>
            <w:noWrap/>
            <w:vAlign w:val="center"/>
            <w:hideMark/>
          </w:tcPr>
          <w:p w14:paraId="1BB737A2"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39%</w:t>
            </w:r>
          </w:p>
        </w:tc>
      </w:tr>
      <w:tr w:rsidR="00654401" w:rsidRPr="00654401" w14:paraId="2C38D990"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062491A7" w14:textId="009ABFB2" w:rsidR="001949A3" w:rsidRPr="004A5122" w:rsidRDefault="00856FD8"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Secrétariat</w:t>
            </w:r>
            <w:r w:rsidR="00C77474" w:rsidRPr="004A5122">
              <w:rPr>
                <w:rFonts w:eastAsia="Times New Roman" w:cstheme="minorHAnsi"/>
                <w:color w:val="000000"/>
                <w:sz w:val="20"/>
                <w:szCs w:val="20"/>
                <w:lang w:eastAsia="fr-FR"/>
              </w:rPr>
              <w:t xml:space="preserve"> </w:t>
            </w:r>
            <w:r w:rsidRPr="004A5122">
              <w:rPr>
                <w:rFonts w:eastAsia="Times New Roman" w:cstheme="minorHAnsi"/>
                <w:color w:val="000000"/>
                <w:sz w:val="20"/>
                <w:szCs w:val="20"/>
                <w:lang w:eastAsia="fr-FR"/>
              </w:rPr>
              <w:t>G</w:t>
            </w:r>
            <w:r>
              <w:rPr>
                <w:rFonts w:eastAsia="Times New Roman" w:cstheme="minorHAnsi"/>
                <w:color w:val="000000"/>
                <w:sz w:val="20"/>
                <w:szCs w:val="20"/>
                <w:lang w:eastAsia="fr-FR"/>
              </w:rPr>
              <w:t>é</w:t>
            </w:r>
            <w:r w:rsidRPr="004A5122">
              <w:rPr>
                <w:rFonts w:eastAsia="Times New Roman" w:cstheme="minorHAnsi"/>
                <w:color w:val="000000"/>
                <w:sz w:val="20"/>
                <w:szCs w:val="20"/>
                <w:lang w:eastAsia="fr-FR"/>
              </w:rPr>
              <w:t>néral</w:t>
            </w:r>
          </w:p>
        </w:tc>
        <w:tc>
          <w:tcPr>
            <w:tcW w:w="758" w:type="pct"/>
            <w:tcBorders>
              <w:top w:val="nil"/>
              <w:left w:val="nil"/>
              <w:bottom w:val="single" w:sz="4" w:space="0" w:color="auto"/>
              <w:right w:val="single" w:sz="4" w:space="0" w:color="auto"/>
            </w:tcBorders>
            <w:shd w:val="clear" w:color="auto" w:fill="auto"/>
            <w:noWrap/>
            <w:vAlign w:val="center"/>
            <w:hideMark/>
          </w:tcPr>
          <w:p w14:paraId="43F477ED"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13 420 630</w:t>
            </w:r>
          </w:p>
        </w:tc>
        <w:tc>
          <w:tcPr>
            <w:tcW w:w="759" w:type="pct"/>
            <w:tcBorders>
              <w:top w:val="nil"/>
              <w:left w:val="nil"/>
              <w:bottom w:val="single" w:sz="4" w:space="0" w:color="auto"/>
              <w:right w:val="single" w:sz="4" w:space="0" w:color="auto"/>
            </w:tcBorders>
            <w:shd w:val="clear" w:color="auto" w:fill="auto"/>
            <w:noWrap/>
            <w:vAlign w:val="center"/>
            <w:hideMark/>
          </w:tcPr>
          <w:p w14:paraId="14A9AB26"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c>
          <w:tcPr>
            <w:tcW w:w="664" w:type="pct"/>
            <w:tcBorders>
              <w:top w:val="nil"/>
              <w:left w:val="nil"/>
              <w:bottom w:val="single" w:sz="4" w:space="0" w:color="auto"/>
              <w:right w:val="single" w:sz="4" w:space="0" w:color="auto"/>
            </w:tcBorders>
            <w:shd w:val="clear" w:color="auto" w:fill="auto"/>
            <w:noWrap/>
            <w:vAlign w:val="center"/>
            <w:hideMark/>
          </w:tcPr>
          <w:p w14:paraId="4C17816F"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7 218 895</w:t>
            </w:r>
          </w:p>
        </w:tc>
        <w:tc>
          <w:tcPr>
            <w:tcW w:w="775" w:type="pct"/>
            <w:tcBorders>
              <w:top w:val="nil"/>
              <w:left w:val="nil"/>
              <w:bottom w:val="single" w:sz="4" w:space="0" w:color="auto"/>
              <w:right w:val="single" w:sz="4" w:space="0" w:color="auto"/>
            </w:tcBorders>
            <w:shd w:val="clear" w:color="auto" w:fill="auto"/>
            <w:noWrap/>
            <w:vAlign w:val="center"/>
            <w:hideMark/>
          </w:tcPr>
          <w:p w14:paraId="3CCD54BE"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r>
      <w:tr w:rsidR="00654401" w:rsidRPr="00654401" w14:paraId="37AF9964"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1BFF294E" w14:textId="45C9C863" w:rsidR="001949A3" w:rsidRPr="004A5122" w:rsidRDefault="00C77474"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 xml:space="preserve">Inspection </w:t>
            </w:r>
            <w:r w:rsidR="00856FD8" w:rsidRPr="004A5122">
              <w:rPr>
                <w:rFonts w:eastAsia="Times New Roman" w:cstheme="minorHAnsi"/>
                <w:color w:val="000000"/>
                <w:sz w:val="20"/>
                <w:szCs w:val="20"/>
                <w:lang w:eastAsia="fr-FR"/>
              </w:rPr>
              <w:t>Générale</w:t>
            </w:r>
            <w:r w:rsidRPr="004A5122">
              <w:rPr>
                <w:rFonts w:eastAsia="Times New Roman" w:cstheme="minorHAnsi"/>
                <w:color w:val="000000"/>
                <w:sz w:val="20"/>
                <w:szCs w:val="20"/>
                <w:lang w:eastAsia="fr-FR"/>
              </w:rPr>
              <w:t xml:space="preserve"> </w:t>
            </w:r>
            <w:r w:rsidR="00856FD8" w:rsidRPr="004A5122">
              <w:rPr>
                <w:rFonts w:eastAsia="Times New Roman" w:cstheme="minorHAnsi"/>
                <w:color w:val="000000"/>
                <w:sz w:val="20"/>
                <w:szCs w:val="20"/>
                <w:lang w:eastAsia="fr-FR"/>
              </w:rPr>
              <w:t xml:space="preserve">des </w:t>
            </w:r>
            <w:r w:rsidRPr="004A5122">
              <w:rPr>
                <w:rFonts w:eastAsia="Times New Roman" w:cstheme="minorHAnsi"/>
                <w:color w:val="000000"/>
                <w:sz w:val="20"/>
                <w:szCs w:val="20"/>
                <w:lang w:eastAsia="fr-FR"/>
              </w:rPr>
              <w:t>Services</w:t>
            </w:r>
          </w:p>
        </w:tc>
        <w:tc>
          <w:tcPr>
            <w:tcW w:w="758" w:type="pct"/>
            <w:tcBorders>
              <w:top w:val="nil"/>
              <w:left w:val="nil"/>
              <w:bottom w:val="single" w:sz="4" w:space="0" w:color="auto"/>
              <w:right w:val="single" w:sz="4" w:space="0" w:color="auto"/>
            </w:tcBorders>
            <w:shd w:val="clear" w:color="auto" w:fill="auto"/>
            <w:noWrap/>
            <w:vAlign w:val="center"/>
            <w:hideMark/>
          </w:tcPr>
          <w:p w14:paraId="26E04D76"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3 874 974</w:t>
            </w:r>
          </w:p>
        </w:tc>
        <w:tc>
          <w:tcPr>
            <w:tcW w:w="759" w:type="pct"/>
            <w:tcBorders>
              <w:top w:val="nil"/>
              <w:left w:val="nil"/>
              <w:bottom w:val="single" w:sz="4" w:space="0" w:color="auto"/>
              <w:right w:val="single" w:sz="4" w:space="0" w:color="auto"/>
            </w:tcBorders>
            <w:shd w:val="clear" w:color="auto" w:fill="auto"/>
            <w:noWrap/>
            <w:vAlign w:val="center"/>
            <w:hideMark/>
          </w:tcPr>
          <w:p w14:paraId="06085D38"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0%</w:t>
            </w:r>
          </w:p>
        </w:tc>
        <w:tc>
          <w:tcPr>
            <w:tcW w:w="664" w:type="pct"/>
            <w:tcBorders>
              <w:top w:val="nil"/>
              <w:left w:val="nil"/>
              <w:bottom w:val="single" w:sz="4" w:space="0" w:color="auto"/>
              <w:right w:val="single" w:sz="4" w:space="0" w:color="auto"/>
            </w:tcBorders>
            <w:shd w:val="clear" w:color="auto" w:fill="auto"/>
            <w:noWrap/>
            <w:vAlign w:val="center"/>
            <w:hideMark/>
          </w:tcPr>
          <w:p w14:paraId="09ECED69"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2 459 969</w:t>
            </w:r>
          </w:p>
        </w:tc>
        <w:tc>
          <w:tcPr>
            <w:tcW w:w="775" w:type="pct"/>
            <w:tcBorders>
              <w:top w:val="nil"/>
              <w:left w:val="nil"/>
              <w:bottom w:val="single" w:sz="4" w:space="0" w:color="auto"/>
              <w:right w:val="single" w:sz="4" w:space="0" w:color="auto"/>
            </w:tcBorders>
            <w:shd w:val="clear" w:color="auto" w:fill="auto"/>
            <w:noWrap/>
            <w:vAlign w:val="center"/>
            <w:hideMark/>
          </w:tcPr>
          <w:p w14:paraId="615C943C"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0%</w:t>
            </w:r>
          </w:p>
        </w:tc>
      </w:tr>
      <w:tr w:rsidR="00654401" w:rsidRPr="00654401" w14:paraId="1DAE2688"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669C51C4" w14:textId="57DECBFD" w:rsidR="001949A3" w:rsidRPr="004A5122" w:rsidRDefault="00856FD8"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Législation</w:t>
            </w:r>
          </w:p>
        </w:tc>
        <w:tc>
          <w:tcPr>
            <w:tcW w:w="758" w:type="pct"/>
            <w:tcBorders>
              <w:top w:val="nil"/>
              <w:left w:val="nil"/>
              <w:bottom w:val="single" w:sz="4" w:space="0" w:color="auto"/>
              <w:right w:val="single" w:sz="4" w:space="0" w:color="auto"/>
            </w:tcBorders>
            <w:shd w:val="clear" w:color="auto" w:fill="auto"/>
            <w:noWrap/>
            <w:vAlign w:val="center"/>
            <w:hideMark/>
          </w:tcPr>
          <w:p w14:paraId="15F9AE23"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7 125 856</w:t>
            </w:r>
          </w:p>
        </w:tc>
        <w:tc>
          <w:tcPr>
            <w:tcW w:w="759" w:type="pct"/>
            <w:tcBorders>
              <w:top w:val="nil"/>
              <w:left w:val="nil"/>
              <w:bottom w:val="single" w:sz="4" w:space="0" w:color="auto"/>
              <w:right w:val="single" w:sz="4" w:space="0" w:color="auto"/>
            </w:tcBorders>
            <w:shd w:val="clear" w:color="auto" w:fill="auto"/>
            <w:noWrap/>
            <w:vAlign w:val="center"/>
            <w:hideMark/>
          </w:tcPr>
          <w:p w14:paraId="269A37B4"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0%</w:t>
            </w:r>
          </w:p>
        </w:tc>
        <w:tc>
          <w:tcPr>
            <w:tcW w:w="664" w:type="pct"/>
            <w:tcBorders>
              <w:top w:val="nil"/>
              <w:left w:val="nil"/>
              <w:bottom w:val="single" w:sz="4" w:space="0" w:color="auto"/>
              <w:right w:val="single" w:sz="4" w:space="0" w:color="auto"/>
            </w:tcBorders>
            <w:shd w:val="clear" w:color="auto" w:fill="auto"/>
            <w:noWrap/>
            <w:vAlign w:val="center"/>
            <w:hideMark/>
          </w:tcPr>
          <w:p w14:paraId="0557B6B5"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3 448 597</w:t>
            </w:r>
          </w:p>
        </w:tc>
        <w:tc>
          <w:tcPr>
            <w:tcW w:w="775" w:type="pct"/>
            <w:tcBorders>
              <w:top w:val="nil"/>
              <w:left w:val="nil"/>
              <w:bottom w:val="single" w:sz="4" w:space="0" w:color="auto"/>
              <w:right w:val="single" w:sz="4" w:space="0" w:color="auto"/>
            </w:tcBorders>
            <w:shd w:val="clear" w:color="auto" w:fill="auto"/>
            <w:noWrap/>
            <w:vAlign w:val="center"/>
            <w:hideMark/>
          </w:tcPr>
          <w:p w14:paraId="1108E7B8"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r>
      <w:tr w:rsidR="00654401" w:rsidRPr="00654401" w14:paraId="55D66303"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3D08FB16" w14:textId="470FAF05" w:rsidR="001949A3" w:rsidRPr="004A5122" w:rsidRDefault="00C77474"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 xml:space="preserve">Etudes </w:t>
            </w:r>
            <w:r w:rsidR="00BA46E2">
              <w:rPr>
                <w:rFonts w:eastAsia="Times New Roman" w:cstheme="minorHAnsi"/>
                <w:color w:val="000000"/>
                <w:sz w:val="20"/>
                <w:szCs w:val="20"/>
                <w:lang w:eastAsia="fr-FR"/>
              </w:rPr>
              <w:t>et</w:t>
            </w:r>
            <w:r w:rsidR="001949A3" w:rsidRPr="004A5122">
              <w:rPr>
                <w:rFonts w:eastAsia="Times New Roman" w:cstheme="minorHAnsi"/>
                <w:color w:val="000000"/>
                <w:sz w:val="20"/>
                <w:szCs w:val="20"/>
                <w:lang w:eastAsia="fr-FR"/>
              </w:rPr>
              <w:t xml:space="preserve"> </w:t>
            </w:r>
            <w:r w:rsidRPr="004A5122">
              <w:rPr>
                <w:rFonts w:eastAsia="Times New Roman" w:cstheme="minorHAnsi"/>
                <w:color w:val="000000"/>
                <w:sz w:val="20"/>
                <w:szCs w:val="20"/>
                <w:lang w:eastAsia="fr-FR"/>
              </w:rPr>
              <w:t>Programmation</w:t>
            </w:r>
          </w:p>
        </w:tc>
        <w:tc>
          <w:tcPr>
            <w:tcW w:w="758" w:type="pct"/>
            <w:tcBorders>
              <w:top w:val="nil"/>
              <w:left w:val="nil"/>
              <w:bottom w:val="single" w:sz="4" w:space="0" w:color="auto"/>
              <w:right w:val="single" w:sz="4" w:space="0" w:color="auto"/>
            </w:tcBorders>
            <w:shd w:val="clear" w:color="auto" w:fill="auto"/>
            <w:noWrap/>
            <w:vAlign w:val="center"/>
            <w:hideMark/>
          </w:tcPr>
          <w:p w14:paraId="1C954001"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5 234 995</w:t>
            </w:r>
          </w:p>
        </w:tc>
        <w:tc>
          <w:tcPr>
            <w:tcW w:w="759" w:type="pct"/>
            <w:tcBorders>
              <w:top w:val="nil"/>
              <w:left w:val="nil"/>
              <w:bottom w:val="single" w:sz="4" w:space="0" w:color="auto"/>
              <w:right w:val="single" w:sz="4" w:space="0" w:color="auto"/>
            </w:tcBorders>
            <w:shd w:val="clear" w:color="auto" w:fill="auto"/>
            <w:noWrap/>
            <w:vAlign w:val="center"/>
            <w:hideMark/>
          </w:tcPr>
          <w:p w14:paraId="24C52501"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0%</w:t>
            </w:r>
          </w:p>
        </w:tc>
        <w:tc>
          <w:tcPr>
            <w:tcW w:w="664" w:type="pct"/>
            <w:tcBorders>
              <w:top w:val="nil"/>
              <w:left w:val="nil"/>
              <w:bottom w:val="single" w:sz="4" w:space="0" w:color="auto"/>
              <w:right w:val="single" w:sz="4" w:space="0" w:color="auto"/>
            </w:tcBorders>
            <w:shd w:val="clear" w:color="auto" w:fill="auto"/>
            <w:noWrap/>
            <w:vAlign w:val="center"/>
            <w:hideMark/>
          </w:tcPr>
          <w:p w14:paraId="3A296B82"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4 395 091</w:t>
            </w:r>
          </w:p>
        </w:tc>
        <w:tc>
          <w:tcPr>
            <w:tcW w:w="775" w:type="pct"/>
            <w:tcBorders>
              <w:top w:val="nil"/>
              <w:left w:val="nil"/>
              <w:bottom w:val="single" w:sz="4" w:space="0" w:color="auto"/>
              <w:right w:val="single" w:sz="4" w:space="0" w:color="auto"/>
            </w:tcBorders>
            <w:shd w:val="clear" w:color="auto" w:fill="auto"/>
            <w:noWrap/>
            <w:vAlign w:val="center"/>
            <w:hideMark/>
          </w:tcPr>
          <w:p w14:paraId="620E3364"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r>
      <w:tr w:rsidR="00654401" w:rsidRPr="00654401" w14:paraId="41AB7146"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1CA14235" w14:textId="4824F70C" w:rsidR="001949A3" w:rsidRPr="004A5122" w:rsidRDefault="00C77474"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Archives</w:t>
            </w:r>
            <w:r w:rsidR="001949A3" w:rsidRPr="004A5122">
              <w:rPr>
                <w:rFonts w:eastAsia="Times New Roman" w:cstheme="minorHAnsi"/>
                <w:color w:val="000000"/>
                <w:sz w:val="20"/>
                <w:szCs w:val="20"/>
                <w:lang w:eastAsia="fr-FR"/>
              </w:rPr>
              <w:t xml:space="preserve">, </w:t>
            </w:r>
            <w:r w:rsidR="00856FD8" w:rsidRPr="004A5122">
              <w:rPr>
                <w:rFonts w:eastAsia="Times New Roman" w:cstheme="minorHAnsi"/>
                <w:color w:val="000000"/>
                <w:sz w:val="20"/>
                <w:szCs w:val="20"/>
                <w:lang w:eastAsia="fr-FR"/>
              </w:rPr>
              <w:t>de l</w:t>
            </w:r>
            <w:r w:rsidR="001949A3" w:rsidRPr="004A5122">
              <w:rPr>
                <w:rFonts w:eastAsia="Times New Roman" w:cstheme="minorHAnsi"/>
                <w:color w:val="000000"/>
                <w:sz w:val="20"/>
                <w:szCs w:val="20"/>
                <w:lang w:eastAsia="fr-FR"/>
              </w:rPr>
              <w:t>'I</w:t>
            </w:r>
            <w:r w:rsidR="00856FD8" w:rsidRPr="004A5122">
              <w:rPr>
                <w:rFonts w:eastAsia="Times New Roman" w:cstheme="minorHAnsi"/>
                <w:color w:val="000000"/>
                <w:sz w:val="20"/>
                <w:szCs w:val="20"/>
                <w:lang w:eastAsia="fr-FR"/>
              </w:rPr>
              <w:t>nformation</w:t>
            </w:r>
            <w:r w:rsidR="001949A3" w:rsidRPr="004A5122">
              <w:rPr>
                <w:rFonts w:eastAsia="Times New Roman" w:cstheme="minorHAnsi"/>
                <w:color w:val="000000"/>
                <w:sz w:val="20"/>
                <w:szCs w:val="20"/>
                <w:lang w:eastAsia="fr-FR"/>
              </w:rPr>
              <w:t xml:space="preserve">, </w:t>
            </w:r>
            <w:r w:rsidR="00856FD8" w:rsidRPr="004A5122">
              <w:rPr>
                <w:rFonts w:eastAsia="Times New Roman" w:cstheme="minorHAnsi"/>
                <w:color w:val="000000"/>
                <w:sz w:val="20"/>
                <w:szCs w:val="20"/>
                <w:lang w:eastAsia="fr-FR"/>
              </w:rPr>
              <w:t xml:space="preserve">de la </w:t>
            </w:r>
            <w:r w:rsidRPr="004A5122">
              <w:rPr>
                <w:rFonts w:eastAsia="Times New Roman" w:cstheme="minorHAnsi"/>
                <w:color w:val="000000"/>
                <w:sz w:val="20"/>
                <w:szCs w:val="20"/>
                <w:lang w:eastAsia="fr-FR"/>
              </w:rPr>
              <w:t xml:space="preserve">Documentation </w:t>
            </w:r>
            <w:r w:rsidR="00856FD8" w:rsidRPr="004A5122">
              <w:rPr>
                <w:rFonts w:eastAsia="Times New Roman" w:cstheme="minorHAnsi"/>
                <w:color w:val="000000"/>
                <w:sz w:val="20"/>
                <w:szCs w:val="20"/>
                <w:lang w:eastAsia="fr-FR"/>
              </w:rPr>
              <w:t xml:space="preserve">et des </w:t>
            </w:r>
            <w:r w:rsidRPr="004A5122">
              <w:rPr>
                <w:rFonts w:eastAsia="Times New Roman" w:cstheme="minorHAnsi"/>
                <w:color w:val="000000"/>
                <w:sz w:val="20"/>
                <w:szCs w:val="20"/>
                <w:lang w:eastAsia="fr-FR"/>
              </w:rPr>
              <w:t>Relations Publiques</w:t>
            </w:r>
          </w:p>
        </w:tc>
        <w:tc>
          <w:tcPr>
            <w:tcW w:w="758" w:type="pct"/>
            <w:tcBorders>
              <w:top w:val="nil"/>
              <w:left w:val="nil"/>
              <w:bottom w:val="single" w:sz="4" w:space="0" w:color="auto"/>
              <w:right w:val="single" w:sz="4" w:space="0" w:color="auto"/>
            </w:tcBorders>
            <w:shd w:val="clear" w:color="auto" w:fill="auto"/>
            <w:noWrap/>
            <w:vAlign w:val="center"/>
            <w:hideMark/>
          </w:tcPr>
          <w:p w14:paraId="7175B61B"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5 529 579</w:t>
            </w:r>
          </w:p>
        </w:tc>
        <w:tc>
          <w:tcPr>
            <w:tcW w:w="759" w:type="pct"/>
            <w:tcBorders>
              <w:top w:val="nil"/>
              <w:left w:val="nil"/>
              <w:bottom w:val="single" w:sz="4" w:space="0" w:color="auto"/>
              <w:right w:val="single" w:sz="4" w:space="0" w:color="auto"/>
            </w:tcBorders>
            <w:shd w:val="clear" w:color="auto" w:fill="auto"/>
            <w:noWrap/>
            <w:vAlign w:val="center"/>
            <w:hideMark/>
          </w:tcPr>
          <w:p w14:paraId="4BD81541"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0%</w:t>
            </w:r>
          </w:p>
        </w:tc>
        <w:tc>
          <w:tcPr>
            <w:tcW w:w="664" w:type="pct"/>
            <w:tcBorders>
              <w:top w:val="nil"/>
              <w:left w:val="nil"/>
              <w:bottom w:val="single" w:sz="4" w:space="0" w:color="auto"/>
              <w:right w:val="single" w:sz="4" w:space="0" w:color="auto"/>
            </w:tcBorders>
            <w:shd w:val="clear" w:color="auto" w:fill="auto"/>
            <w:noWrap/>
            <w:vAlign w:val="center"/>
            <w:hideMark/>
          </w:tcPr>
          <w:p w14:paraId="3BB44ABC"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3 231 791</w:t>
            </w:r>
          </w:p>
        </w:tc>
        <w:tc>
          <w:tcPr>
            <w:tcW w:w="775" w:type="pct"/>
            <w:tcBorders>
              <w:top w:val="nil"/>
              <w:left w:val="nil"/>
              <w:bottom w:val="single" w:sz="4" w:space="0" w:color="auto"/>
              <w:right w:val="single" w:sz="4" w:space="0" w:color="auto"/>
            </w:tcBorders>
            <w:shd w:val="clear" w:color="auto" w:fill="auto"/>
            <w:noWrap/>
            <w:vAlign w:val="center"/>
            <w:hideMark/>
          </w:tcPr>
          <w:p w14:paraId="0EA3EC43"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r>
      <w:tr w:rsidR="00654401" w:rsidRPr="00654401" w14:paraId="6EE32C0C"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69256757" w14:textId="4336215D" w:rsidR="001949A3" w:rsidRPr="004A5122" w:rsidRDefault="00C77474"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 xml:space="preserve">Ressources </w:t>
            </w:r>
            <w:r w:rsidR="00856FD8" w:rsidRPr="004A5122">
              <w:rPr>
                <w:rFonts w:eastAsia="Times New Roman" w:cstheme="minorHAnsi"/>
                <w:color w:val="000000"/>
                <w:sz w:val="20"/>
                <w:szCs w:val="20"/>
                <w:lang w:eastAsia="fr-FR"/>
              </w:rPr>
              <w:t>Financières</w:t>
            </w:r>
            <w:r w:rsidR="00856FD8">
              <w:rPr>
                <w:rFonts w:eastAsia="Times New Roman" w:cstheme="minorHAnsi"/>
                <w:color w:val="000000"/>
                <w:sz w:val="20"/>
                <w:szCs w:val="20"/>
                <w:lang w:eastAsia="fr-FR"/>
              </w:rPr>
              <w:t xml:space="preserve"> et du</w:t>
            </w:r>
            <w:r w:rsidR="001949A3" w:rsidRPr="004A5122">
              <w:rPr>
                <w:rFonts w:eastAsia="Times New Roman" w:cstheme="minorHAnsi"/>
                <w:color w:val="000000"/>
                <w:sz w:val="20"/>
                <w:szCs w:val="20"/>
                <w:lang w:eastAsia="fr-FR"/>
              </w:rPr>
              <w:t xml:space="preserve"> </w:t>
            </w:r>
            <w:r w:rsidR="00856FD8" w:rsidRPr="004A5122">
              <w:rPr>
                <w:rFonts w:eastAsia="Times New Roman" w:cstheme="minorHAnsi"/>
                <w:color w:val="000000"/>
                <w:sz w:val="20"/>
                <w:szCs w:val="20"/>
                <w:lang w:eastAsia="fr-FR"/>
              </w:rPr>
              <w:t>Matériel</w:t>
            </w:r>
          </w:p>
        </w:tc>
        <w:tc>
          <w:tcPr>
            <w:tcW w:w="758" w:type="pct"/>
            <w:tcBorders>
              <w:top w:val="nil"/>
              <w:left w:val="nil"/>
              <w:bottom w:val="single" w:sz="4" w:space="0" w:color="auto"/>
              <w:right w:val="single" w:sz="4" w:space="0" w:color="auto"/>
            </w:tcBorders>
            <w:shd w:val="clear" w:color="auto" w:fill="auto"/>
            <w:noWrap/>
            <w:vAlign w:val="center"/>
            <w:hideMark/>
          </w:tcPr>
          <w:p w14:paraId="5AFA576F"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41 948 090</w:t>
            </w:r>
          </w:p>
        </w:tc>
        <w:tc>
          <w:tcPr>
            <w:tcW w:w="759" w:type="pct"/>
            <w:tcBorders>
              <w:top w:val="nil"/>
              <w:left w:val="nil"/>
              <w:bottom w:val="single" w:sz="4" w:space="0" w:color="auto"/>
              <w:right w:val="single" w:sz="4" w:space="0" w:color="auto"/>
            </w:tcBorders>
            <w:shd w:val="clear" w:color="auto" w:fill="auto"/>
            <w:noWrap/>
            <w:vAlign w:val="center"/>
            <w:hideMark/>
          </w:tcPr>
          <w:p w14:paraId="50F92D91"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3%</w:t>
            </w:r>
          </w:p>
        </w:tc>
        <w:tc>
          <w:tcPr>
            <w:tcW w:w="664" w:type="pct"/>
            <w:tcBorders>
              <w:top w:val="nil"/>
              <w:left w:val="nil"/>
              <w:bottom w:val="single" w:sz="4" w:space="0" w:color="auto"/>
              <w:right w:val="single" w:sz="4" w:space="0" w:color="auto"/>
            </w:tcBorders>
            <w:shd w:val="clear" w:color="auto" w:fill="auto"/>
            <w:noWrap/>
            <w:vAlign w:val="center"/>
            <w:hideMark/>
          </w:tcPr>
          <w:p w14:paraId="0255F144"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16 747 904</w:t>
            </w:r>
          </w:p>
        </w:tc>
        <w:tc>
          <w:tcPr>
            <w:tcW w:w="775" w:type="pct"/>
            <w:tcBorders>
              <w:top w:val="nil"/>
              <w:left w:val="nil"/>
              <w:bottom w:val="single" w:sz="4" w:space="0" w:color="auto"/>
              <w:right w:val="single" w:sz="4" w:space="0" w:color="auto"/>
            </w:tcBorders>
            <w:shd w:val="clear" w:color="auto" w:fill="auto"/>
            <w:noWrap/>
            <w:vAlign w:val="center"/>
            <w:hideMark/>
          </w:tcPr>
          <w:p w14:paraId="36156C29"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3%</w:t>
            </w:r>
          </w:p>
        </w:tc>
      </w:tr>
      <w:tr w:rsidR="00654401" w:rsidRPr="00654401" w14:paraId="10CB59DA"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1C1DC052" w14:textId="6D5D39BD" w:rsidR="001949A3" w:rsidRPr="004A5122" w:rsidRDefault="00C77474"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Ressources Humaines</w:t>
            </w:r>
          </w:p>
        </w:tc>
        <w:tc>
          <w:tcPr>
            <w:tcW w:w="758" w:type="pct"/>
            <w:tcBorders>
              <w:top w:val="nil"/>
              <w:left w:val="nil"/>
              <w:bottom w:val="single" w:sz="4" w:space="0" w:color="auto"/>
              <w:right w:val="single" w:sz="4" w:space="0" w:color="auto"/>
            </w:tcBorders>
            <w:shd w:val="clear" w:color="auto" w:fill="auto"/>
            <w:noWrap/>
            <w:vAlign w:val="center"/>
            <w:hideMark/>
          </w:tcPr>
          <w:p w14:paraId="3C67DC49"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5 042 975</w:t>
            </w:r>
          </w:p>
        </w:tc>
        <w:tc>
          <w:tcPr>
            <w:tcW w:w="759" w:type="pct"/>
            <w:tcBorders>
              <w:top w:val="nil"/>
              <w:left w:val="nil"/>
              <w:bottom w:val="single" w:sz="4" w:space="0" w:color="auto"/>
              <w:right w:val="single" w:sz="4" w:space="0" w:color="auto"/>
            </w:tcBorders>
            <w:shd w:val="clear" w:color="auto" w:fill="auto"/>
            <w:noWrap/>
            <w:vAlign w:val="center"/>
            <w:hideMark/>
          </w:tcPr>
          <w:p w14:paraId="777AB5D5"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0%</w:t>
            </w:r>
          </w:p>
        </w:tc>
        <w:tc>
          <w:tcPr>
            <w:tcW w:w="664" w:type="pct"/>
            <w:tcBorders>
              <w:top w:val="nil"/>
              <w:left w:val="nil"/>
              <w:bottom w:val="single" w:sz="4" w:space="0" w:color="auto"/>
              <w:right w:val="single" w:sz="4" w:space="0" w:color="auto"/>
            </w:tcBorders>
            <w:shd w:val="clear" w:color="auto" w:fill="auto"/>
            <w:noWrap/>
            <w:vAlign w:val="center"/>
            <w:hideMark/>
          </w:tcPr>
          <w:p w14:paraId="399E9A00"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3 198 987</w:t>
            </w:r>
          </w:p>
        </w:tc>
        <w:tc>
          <w:tcPr>
            <w:tcW w:w="775" w:type="pct"/>
            <w:tcBorders>
              <w:top w:val="nil"/>
              <w:left w:val="nil"/>
              <w:bottom w:val="single" w:sz="4" w:space="0" w:color="auto"/>
              <w:right w:val="single" w:sz="4" w:space="0" w:color="auto"/>
            </w:tcBorders>
            <w:shd w:val="clear" w:color="auto" w:fill="auto"/>
            <w:noWrap/>
            <w:vAlign w:val="center"/>
            <w:hideMark/>
          </w:tcPr>
          <w:p w14:paraId="1486C1F4"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r>
      <w:tr w:rsidR="00654401" w:rsidRPr="00654401" w14:paraId="36977F16"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6442BA1D" w14:textId="516A54A3" w:rsidR="001949A3" w:rsidRPr="004A5122" w:rsidRDefault="00C77474"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Statistiques</w:t>
            </w:r>
          </w:p>
        </w:tc>
        <w:tc>
          <w:tcPr>
            <w:tcW w:w="758" w:type="pct"/>
            <w:tcBorders>
              <w:top w:val="nil"/>
              <w:left w:val="nil"/>
              <w:bottom w:val="single" w:sz="4" w:space="0" w:color="auto"/>
              <w:right w:val="single" w:sz="4" w:space="0" w:color="auto"/>
            </w:tcBorders>
            <w:shd w:val="clear" w:color="auto" w:fill="auto"/>
            <w:noWrap/>
            <w:vAlign w:val="center"/>
            <w:hideMark/>
          </w:tcPr>
          <w:p w14:paraId="6EEAD408"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120 243 823</w:t>
            </w:r>
          </w:p>
        </w:tc>
        <w:tc>
          <w:tcPr>
            <w:tcW w:w="759" w:type="pct"/>
            <w:tcBorders>
              <w:top w:val="nil"/>
              <w:left w:val="nil"/>
              <w:bottom w:val="single" w:sz="4" w:space="0" w:color="auto"/>
              <w:right w:val="single" w:sz="4" w:space="0" w:color="auto"/>
            </w:tcBorders>
            <w:shd w:val="clear" w:color="auto" w:fill="auto"/>
            <w:noWrap/>
            <w:vAlign w:val="center"/>
            <w:hideMark/>
          </w:tcPr>
          <w:p w14:paraId="41D52D85"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8%</w:t>
            </w:r>
          </w:p>
        </w:tc>
        <w:tc>
          <w:tcPr>
            <w:tcW w:w="664" w:type="pct"/>
            <w:tcBorders>
              <w:top w:val="nil"/>
              <w:left w:val="nil"/>
              <w:bottom w:val="single" w:sz="4" w:space="0" w:color="auto"/>
              <w:right w:val="single" w:sz="4" w:space="0" w:color="auto"/>
            </w:tcBorders>
            <w:shd w:val="clear" w:color="auto" w:fill="auto"/>
            <w:noWrap/>
            <w:vAlign w:val="center"/>
            <w:hideMark/>
          </w:tcPr>
          <w:p w14:paraId="2A400F79"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90 783 879</w:t>
            </w:r>
          </w:p>
        </w:tc>
        <w:tc>
          <w:tcPr>
            <w:tcW w:w="775" w:type="pct"/>
            <w:tcBorders>
              <w:top w:val="nil"/>
              <w:left w:val="nil"/>
              <w:bottom w:val="single" w:sz="4" w:space="0" w:color="auto"/>
              <w:right w:val="single" w:sz="4" w:space="0" w:color="auto"/>
            </w:tcBorders>
            <w:shd w:val="clear" w:color="auto" w:fill="auto"/>
            <w:noWrap/>
            <w:vAlign w:val="center"/>
            <w:hideMark/>
          </w:tcPr>
          <w:p w14:paraId="769E6BB9"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15%</w:t>
            </w:r>
          </w:p>
        </w:tc>
      </w:tr>
      <w:tr w:rsidR="00654401" w:rsidRPr="00654401" w14:paraId="4E0988F1"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6CF3319A" w14:textId="614BD43D" w:rsidR="001949A3" w:rsidRPr="004A5122" w:rsidRDefault="00C77474"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 xml:space="preserve">Action </w:t>
            </w:r>
            <w:r w:rsidR="00856FD8" w:rsidRPr="004A5122">
              <w:rPr>
                <w:rFonts w:eastAsia="Times New Roman" w:cstheme="minorHAnsi"/>
                <w:color w:val="000000"/>
                <w:sz w:val="20"/>
                <w:szCs w:val="20"/>
                <w:lang w:eastAsia="fr-FR"/>
              </w:rPr>
              <w:t>Coopérative</w:t>
            </w:r>
            <w:r w:rsidRPr="004A5122">
              <w:rPr>
                <w:rFonts w:eastAsia="Times New Roman" w:cstheme="minorHAnsi"/>
                <w:color w:val="000000"/>
                <w:sz w:val="20"/>
                <w:szCs w:val="20"/>
                <w:lang w:eastAsia="fr-FR"/>
              </w:rPr>
              <w:t xml:space="preserve"> </w:t>
            </w:r>
            <w:r w:rsidR="00856FD8" w:rsidRPr="004A5122">
              <w:rPr>
                <w:rFonts w:eastAsia="Times New Roman" w:cstheme="minorHAnsi"/>
                <w:color w:val="000000"/>
                <w:sz w:val="20"/>
                <w:szCs w:val="20"/>
                <w:lang w:eastAsia="fr-FR"/>
              </w:rPr>
              <w:t xml:space="preserve">et de la </w:t>
            </w:r>
            <w:r w:rsidRPr="004A5122">
              <w:rPr>
                <w:rFonts w:eastAsia="Times New Roman" w:cstheme="minorHAnsi"/>
                <w:color w:val="000000"/>
                <w:sz w:val="20"/>
                <w:szCs w:val="20"/>
                <w:lang w:eastAsia="fr-FR"/>
              </w:rPr>
              <w:t xml:space="preserve">Promotion </w:t>
            </w:r>
            <w:r w:rsidR="00BA46E2">
              <w:rPr>
                <w:rFonts w:eastAsia="Times New Roman" w:cstheme="minorHAnsi"/>
                <w:color w:val="000000"/>
                <w:sz w:val="20"/>
                <w:szCs w:val="20"/>
                <w:lang w:eastAsia="fr-FR"/>
              </w:rPr>
              <w:t>des</w:t>
            </w:r>
            <w:r w:rsidR="001949A3" w:rsidRPr="004A5122">
              <w:rPr>
                <w:rFonts w:eastAsia="Times New Roman" w:cstheme="minorHAnsi"/>
                <w:color w:val="000000"/>
                <w:sz w:val="20"/>
                <w:szCs w:val="20"/>
                <w:lang w:eastAsia="fr-FR"/>
              </w:rPr>
              <w:t xml:space="preserve"> </w:t>
            </w:r>
            <w:r w:rsidRPr="004A5122">
              <w:rPr>
                <w:rFonts w:eastAsia="Times New Roman" w:cstheme="minorHAnsi"/>
                <w:color w:val="000000"/>
                <w:sz w:val="20"/>
                <w:szCs w:val="20"/>
                <w:lang w:eastAsia="fr-FR"/>
              </w:rPr>
              <w:t>Organismes Ruraux</w:t>
            </w:r>
          </w:p>
        </w:tc>
        <w:tc>
          <w:tcPr>
            <w:tcW w:w="758" w:type="pct"/>
            <w:tcBorders>
              <w:top w:val="nil"/>
              <w:left w:val="nil"/>
              <w:bottom w:val="single" w:sz="4" w:space="0" w:color="auto"/>
              <w:right w:val="single" w:sz="4" w:space="0" w:color="auto"/>
            </w:tcBorders>
            <w:shd w:val="clear" w:color="auto" w:fill="auto"/>
            <w:noWrap/>
            <w:vAlign w:val="center"/>
            <w:hideMark/>
          </w:tcPr>
          <w:p w14:paraId="48C2CD24"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7 895 349</w:t>
            </w:r>
          </w:p>
        </w:tc>
        <w:tc>
          <w:tcPr>
            <w:tcW w:w="759" w:type="pct"/>
            <w:tcBorders>
              <w:top w:val="nil"/>
              <w:left w:val="nil"/>
              <w:bottom w:val="single" w:sz="4" w:space="0" w:color="auto"/>
              <w:right w:val="single" w:sz="4" w:space="0" w:color="auto"/>
            </w:tcBorders>
            <w:shd w:val="clear" w:color="auto" w:fill="auto"/>
            <w:noWrap/>
            <w:vAlign w:val="center"/>
            <w:hideMark/>
          </w:tcPr>
          <w:p w14:paraId="7444C301"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c>
          <w:tcPr>
            <w:tcW w:w="664" w:type="pct"/>
            <w:tcBorders>
              <w:top w:val="nil"/>
              <w:left w:val="nil"/>
              <w:bottom w:val="single" w:sz="4" w:space="0" w:color="auto"/>
              <w:right w:val="single" w:sz="4" w:space="0" w:color="auto"/>
            </w:tcBorders>
            <w:shd w:val="clear" w:color="auto" w:fill="auto"/>
            <w:noWrap/>
            <w:vAlign w:val="center"/>
            <w:hideMark/>
          </w:tcPr>
          <w:p w14:paraId="0CF9F0E8"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3 227 756</w:t>
            </w:r>
          </w:p>
        </w:tc>
        <w:tc>
          <w:tcPr>
            <w:tcW w:w="775" w:type="pct"/>
            <w:tcBorders>
              <w:top w:val="nil"/>
              <w:left w:val="nil"/>
              <w:bottom w:val="single" w:sz="4" w:space="0" w:color="auto"/>
              <w:right w:val="single" w:sz="4" w:space="0" w:color="auto"/>
            </w:tcBorders>
            <w:shd w:val="clear" w:color="auto" w:fill="auto"/>
            <w:noWrap/>
            <w:vAlign w:val="center"/>
            <w:hideMark/>
          </w:tcPr>
          <w:p w14:paraId="6B9BAB5A"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r>
      <w:tr w:rsidR="00654401" w:rsidRPr="00654401" w14:paraId="4D36C071"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5ED75918" w14:textId="77777777" w:rsidR="001949A3" w:rsidRPr="004A5122" w:rsidRDefault="001949A3"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DGPV</w:t>
            </w:r>
          </w:p>
        </w:tc>
        <w:tc>
          <w:tcPr>
            <w:tcW w:w="758" w:type="pct"/>
            <w:tcBorders>
              <w:top w:val="nil"/>
              <w:left w:val="nil"/>
              <w:bottom w:val="single" w:sz="4" w:space="0" w:color="auto"/>
              <w:right w:val="single" w:sz="4" w:space="0" w:color="auto"/>
            </w:tcBorders>
            <w:shd w:val="clear" w:color="auto" w:fill="auto"/>
            <w:noWrap/>
            <w:vAlign w:val="center"/>
            <w:hideMark/>
          </w:tcPr>
          <w:p w14:paraId="0681DBDE"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522 846 933</w:t>
            </w:r>
          </w:p>
        </w:tc>
        <w:tc>
          <w:tcPr>
            <w:tcW w:w="759" w:type="pct"/>
            <w:tcBorders>
              <w:top w:val="nil"/>
              <w:left w:val="nil"/>
              <w:bottom w:val="single" w:sz="4" w:space="0" w:color="auto"/>
              <w:right w:val="single" w:sz="4" w:space="0" w:color="auto"/>
            </w:tcBorders>
            <w:shd w:val="clear" w:color="auto" w:fill="auto"/>
            <w:noWrap/>
            <w:vAlign w:val="center"/>
            <w:hideMark/>
          </w:tcPr>
          <w:p w14:paraId="3EDC8793"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33%</w:t>
            </w:r>
          </w:p>
        </w:tc>
        <w:tc>
          <w:tcPr>
            <w:tcW w:w="664" w:type="pct"/>
            <w:tcBorders>
              <w:top w:val="nil"/>
              <w:left w:val="nil"/>
              <w:bottom w:val="single" w:sz="4" w:space="0" w:color="auto"/>
              <w:right w:val="single" w:sz="4" w:space="0" w:color="auto"/>
            </w:tcBorders>
            <w:shd w:val="clear" w:color="auto" w:fill="auto"/>
            <w:noWrap/>
            <w:vAlign w:val="center"/>
            <w:hideMark/>
          </w:tcPr>
          <w:p w14:paraId="2D49E786"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138 654 826</w:t>
            </w:r>
          </w:p>
        </w:tc>
        <w:tc>
          <w:tcPr>
            <w:tcW w:w="775" w:type="pct"/>
            <w:tcBorders>
              <w:top w:val="nil"/>
              <w:left w:val="nil"/>
              <w:bottom w:val="single" w:sz="4" w:space="0" w:color="auto"/>
              <w:right w:val="single" w:sz="4" w:space="0" w:color="auto"/>
            </w:tcBorders>
            <w:shd w:val="clear" w:color="auto" w:fill="auto"/>
            <w:noWrap/>
            <w:vAlign w:val="center"/>
            <w:hideMark/>
          </w:tcPr>
          <w:p w14:paraId="0743C059"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23%</w:t>
            </w:r>
          </w:p>
        </w:tc>
      </w:tr>
      <w:tr w:rsidR="00654401" w:rsidRPr="00654401" w14:paraId="6D8E1A27"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48818C09" w14:textId="77777777" w:rsidR="001949A3" w:rsidRPr="004A5122" w:rsidRDefault="001949A3"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DGA</w:t>
            </w:r>
          </w:p>
        </w:tc>
        <w:tc>
          <w:tcPr>
            <w:tcW w:w="758" w:type="pct"/>
            <w:tcBorders>
              <w:top w:val="nil"/>
              <w:left w:val="nil"/>
              <w:bottom w:val="single" w:sz="4" w:space="0" w:color="auto"/>
              <w:right w:val="single" w:sz="4" w:space="0" w:color="auto"/>
            </w:tcBorders>
            <w:shd w:val="clear" w:color="auto" w:fill="auto"/>
            <w:noWrap/>
            <w:vAlign w:val="center"/>
            <w:hideMark/>
          </w:tcPr>
          <w:p w14:paraId="2CE61F12"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22 677 669</w:t>
            </w:r>
          </w:p>
        </w:tc>
        <w:tc>
          <w:tcPr>
            <w:tcW w:w="759" w:type="pct"/>
            <w:tcBorders>
              <w:top w:val="nil"/>
              <w:left w:val="nil"/>
              <w:bottom w:val="single" w:sz="4" w:space="0" w:color="auto"/>
              <w:right w:val="single" w:sz="4" w:space="0" w:color="auto"/>
            </w:tcBorders>
            <w:shd w:val="clear" w:color="auto" w:fill="auto"/>
            <w:noWrap/>
            <w:vAlign w:val="center"/>
            <w:hideMark/>
          </w:tcPr>
          <w:p w14:paraId="1342BB4D"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c>
          <w:tcPr>
            <w:tcW w:w="664" w:type="pct"/>
            <w:tcBorders>
              <w:top w:val="nil"/>
              <w:left w:val="nil"/>
              <w:bottom w:val="single" w:sz="4" w:space="0" w:color="auto"/>
              <w:right w:val="single" w:sz="4" w:space="0" w:color="auto"/>
            </w:tcBorders>
            <w:shd w:val="clear" w:color="auto" w:fill="auto"/>
            <w:noWrap/>
            <w:vAlign w:val="center"/>
            <w:hideMark/>
          </w:tcPr>
          <w:p w14:paraId="02183093"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17 331 197</w:t>
            </w:r>
          </w:p>
        </w:tc>
        <w:tc>
          <w:tcPr>
            <w:tcW w:w="775" w:type="pct"/>
            <w:tcBorders>
              <w:top w:val="nil"/>
              <w:left w:val="nil"/>
              <w:bottom w:val="single" w:sz="4" w:space="0" w:color="auto"/>
              <w:right w:val="single" w:sz="4" w:space="0" w:color="auto"/>
            </w:tcBorders>
            <w:shd w:val="clear" w:color="auto" w:fill="auto"/>
            <w:noWrap/>
            <w:vAlign w:val="center"/>
            <w:hideMark/>
          </w:tcPr>
          <w:p w14:paraId="750C2255"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3%</w:t>
            </w:r>
          </w:p>
        </w:tc>
      </w:tr>
      <w:tr w:rsidR="00654401" w:rsidRPr="00654401" w14:paraId="66A5C662"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7F8E4413" w14:textId="77777777" w:rsidR="001949A3" w:rsidRPr="004A5122" w:rsidRDefault="001949A3"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DGGR</w:t>
            </w:r>
          </w:p>
        </w:tc>
        <w:tc>
          <w:tcPr>
            <w:tcW w:w="758" w:type="pct"/>
            <w:tcBorders>
              <w:top w:val="nil"/>
              <w:left w:val="nil"/>
              <w:bottom w:val="single" w:sz="4" w:space="0" w:color="auto"/>
              <w:right w:val="single" w:sz="4" w:space="0" w:color="auto"/>
            </w:tcBorders>
            <w:shd w:val="clear" w:color="auto" w:fill="auto"/>
            <w:noWrap/>
            <w:vAlign w:val="center"/>
            <w:hideMark/>
          </w:tcPr>
          <w:p w14:paraId="0FD67B20"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22 525 697</w:t>
            </w:r>
          </w:p>
        </w:tc>
        <w:tc>
          <w:tcPr>
            <w:tcW w:w="759" w:type="pct"/>
            <w:tcBorders>
              <w:top w:val="nil"/>
              <w:left w:val="nil"/>
              <w:bottom w:val="single" w:sz="4" w:space="0" w:color="auto"/>
              <w:right w:val="single" w:sz="4" w:space="0" w:color="auto"/>
            </w:tcBorders>
            <w:shd w:val="clear" w:color="auto" w:fill="auto"/>
            <w:noWrap/>
            <w:vAlign w:val="center"/>
            <w:hideMark/>
          </w:tcPr>
          <w:p w14:paraId="323E3598"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w:t>
            </w:r>
          </w:p>
        </w:tc>
        <w:tc>
          <w:tcPr>
            <w:tcW w:w="664" w:type="pct"/>
            <w:tcBorders>
              <w:top w:val="nil"/>
              <w:left w:val="nil"/>
              <w:bottom w:val="single" w:sz="4" w:space="0" w:color="auto"/>
              <w:right w:val="single" w:sz="4" w:space="0" w:color="auto"/>
            </w:tcBorders>
            <w:shd w:val="clear" w:color="auto" w:fill="auto"/>
            <w:noWrap/>
            <w:vAlign w:val="center"/>
            <w:hideMark/>
          </w:tcPr>
          <w:p w14:paraId="179AE030"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11 144 590</w:t>
            </w:r>
          </w:p>
        </w:tc>
        <w:tc>
          <w:tcPr>
            <w:tcW w:w="775" w:type="pct"/>
            <w:tcBorders>
              <w:top w:val="nil"/>
              <w:left w:val="nil"/>
              <w:bottom w:val="single" w:sz="4" w:space="0" w:color="auto"/>
              <w:right w:val="single" w:sz="4" w:space="0" w:color="auto"/>
            </w:tcBorders>
            <w:shd w:val="clear" w:color="auto" w:fill="auto"/>
            <w:noWrap/>
            <w:vAlign w:val="center"/>
            <w:hideMark/>
          </w:tcPr>
          <w:p w14:paraId="2B974E5B"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2%</w:t>
            </w:r>
          </w:p>
        </w:tc>
      </w:tr>
      <w:tr w:rsidR="00654401" w:rsidRPr="00654401" w14:paraId="6469702F"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00B888D4" w14:textId="5E454728" w:rsidR="001949A3" w:rsidRPr="004A5122" w:rsidRDefault="00C77474" w:rsidP="00F12682">
            <w:pPr>
              <w:spacing w:after="0" w:line="240" w:lineRule="auto"/>
              <w:rPr>
                <w:rFonts w:eastAsia="Times New Roman" w:cstheme="minorHAnsi"/>
                <w:color w:val="000000"/>
                <w:sz w:val="20"/>
                <w:szCs w:val="20"/>
                <w:lang w:eastAsia="fr-FR"/>
              </w:rPr>
            </w:pPr>
            <w:r w:rsidRPr="004A5122">
              <w:rPr>
                <w:rFonts w:eastAsia="Times New Roman" w:cstheme="minorHAnsi"/>
                <w:color w:val="000000"/>
                <w:sz w:val="20"/>
                <w:szCs w:val="20"/>
                <w:lang w:eastAsia="fr-FR"/>
              </w:rPr>
              <w:t xml:space="preserve">Niveau </w:t>
            </w:r>
            <w:r w:rsidR="00856FD8" w:rsidRPr="004A5122">
              <w:rPr>
                <w:rFonts w:eastAsia="Times New Roman" w:cstheme="minorHAnsi"/>
                <w:color w:val="000000"/>
                <w:sz w:val="20"/>
                <w:szCs w:val="20"/>
                <w:lang w:eastAsia="fr-FR"/>
              </w:rPr>
              <w:t>déconcentré</w:t>
            </w:r>
            <w:r w:rsidRPr="004A5122">
              <w:rPr>
                <w:rFonts w:eastAsia="Times New Roman" w:cstheme="minorHAnsi"/>
                <w:color w:val="000000"/>
                <w:sz w:val="20"/>
                <w:szCs w:val="20"/>
                <w:lang w:eastAsia="fr-FR"/>
              </w:rPr>
              <w:t xml:space="preserve"> </w:t>
            </w:r>
            <w:r w:rsidR="001949A3" w:rsidRPr="004A5122">
              <w:rPr>
                <w:rFonts w:eastAsia="Times New Roman" w:cstheme="minorHAnsi"/>
                <w:color w:val="000000"/>
                <w:sz w:val="20"/>
                <w:szCs w:val="20"/>
                <w:lang w:eastAsia="fr-FR"/>
              </w:rPr>
              <w:t>(</w:t>
            </w:r>
            <w:r w:rsidRPr="004A5122">
              <w:rPr>
                <w:rFonts w:eastAsia="Times New Roman" w:cstheme="minorHAnsi"/>
                <w:color w:val="000000"/>
                <w:sz w:val="20"/>
                <w:szCs w:val="20"/>
                <w:lang w:eastAsia="fr-FR"/>
              </w:rPr>
              <w:t>Régions</w:t>
            </w:r>
            <w:r w:rsidR="001949A3" w:rsidRPr="004A5122">
              <w:rPr>
                <w:rFonts w:eastAsia="Times New Roman" w:cstheme="minorHAnsi"/>
                <w:color w:val="000000"/>
                <w:sz w:val="20"/>
                <w:szCs w:val="20"/>
                <w:lang w:eastAsia="fr-FR"/>
              </w:rPr>
              <w:t xml:space="preserve">, </w:t>
            </w:r>
            <w:r w:rsidRPr="004A5122">
              <w:rPr>
                <w:rFonts w:eastAsia="Times New Roman" w:cstheme="minorHAnsi"/>
                <w:color w:val="000000"/>
                <w:sz w:val="20"/>
                <w:szCs w:val="20"/>
                <w:lang w:eastAsia="fr-FR"/>
              </w:rPr>
              <w:t xml:space="preserve">Départements </w:t>
            </w:r>
            <w:r w:rsidR="00BA46E2">
              <w:rPr>
                <w:rFonts w:eastAsia="Times New Roman" w:cstheme="minorHAnsi"/>
                <w:color w:val="000000"/>
                <w:sz w:val="20"/>
                <w:szCs w:val="20"/>
                <w:lang w:eastAsia="fr-FR"/>
              </w:rPr>
              <w:t>et</w:t>
            </w:r>
            <w:r w:rsidR="001949A3" w:rsidRPr="004A5122">
              <w:rPr>
                <w:rFonts w:eastAsia="Times New Roman" w:cstheme="minorHAnsi"/>
                <w:color w:val="000000"/>
                <w:sz w:val="20"/>
                <w:szCs w:val="20"/>
                <w:lang w:eastAsia="fr-FR"/>
              </w:rPr>
              <w:t xml:space="preserve"> </w:t>
            </w:r>
            <w:r w:rsidRPr="004A5122">
              <w:rPr>
                <w:rFonts w:eastAsia="Times New Roman" w:cstheme="minorHAnsi"/>
                <w:color w:val="000000"/>
                <w:sz w:val="20"/>
                <w:szCs w:val="20"/>
                <w:lang w:eastAsia="fr-FR"/>
              </w:rPr>
              <w:t>Communes</w:t>
            </w:r>
            <w:r w:rsidR="001949A3" w:rsidRPr="004A5122">
              <w:rPr>
                <w:rFonts w:eastAsia="Times New Roman" w:cstheme="minorHAnsi"/>
                <w:color w:val="000000"/>
                <w:sz w:val="20"/>
                <w:szCs w:val="20"/>
                <w:lang w:eastAsia="fr-FR"/>
              </w:rPr>
              <w:t>)</w:t>
            </w:r>
          </w:p>
        </w:tc>
        <w:tc>
          <w:tcPr>
            <w:tcW w:w="758" w:type="pct"/>
            <w:tcBorders>
              <w:top w:val="nil"/>
              <w:left w:val="nil"/>
              <w:bottom w:val="single" w:sz="4" w:space="0" w:color="auto"/>
              <w:right w:val="single" w:sz="4" w:space="0" w:color="auto"/>
            </w:tcBorders>
            <w:shd w:val="clear" w:color="auto" w:fill="auto"/>
            <w:noWrap/>
            <w:vAlign w:val="center"/>
            <w:hideMark/>
          </w:tcPr>
          <w:p w14:paraId="4265DDB8"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92 365 603</w:t>
            </w:r>
          </w:p>
        </w:tc>
        <w:tc>
          <w:tcPr>
            <w:tcW w:w="759" w:type="pct"/>
            <w:tcBorders>
              <w:top w:val="nil"/>
              <w:left w:val="nil"/>
              <w:bottom w:val="single" w:sz="4" w:space="0" w:color="auto"/>
              <w:right w:val="single" w:sz="4" w:space="0" w:color="auto"/>
            </w:tcBorders>
            <w:shd w:val="clear" w:color="auto" w:fill="auto"/>
            <w:noWrap/>
            <w:vAlign w:val="center"/>
            <w:hideMark/>
          </w:tcPr>
          <w:p w14:paraId="58F7B83B"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6%</w:t>
            </w:r>
          </w:p>
        </w:tc>
        <w:tc>
          <w:tcPr>
            <w:tcW w:w="664" w:type="pct"/>
            <w:tcBorders>
              <w:top w:val="nil"/>
              <w:left w:val="nil"/>
              <w:bottom w:val="single" w:sz="4" w:space="0" w:color="auto"/>
              <w:right w:val="single" w:sz="4" w:space="0" w:color="auto"/>
            </w:tcBorders>
            <w:shd w:val="clear" w:color="auto" w:fill="auto"/>
            <w:noWrap/>
            <w:vAlign w:val="center"/>
            <w:hideMark/>
          </w:tcPr>
          <w:p w14:paraId="32639350" w14:textId="77777777" w:rsidR="001949A3" w:rsidRPr="004A5122" w:rsidRDefault="001949A3" w:rsidP="00F12682">
            <w:pPr>
              <w:spacing w:after="0" w:line="240" w:lineRule="auto"/>
              <w:jc w:val="right"/>
              <w:rPr>
                <w:rFonts w:eastAsia="Times New Roman" w:cstheme="minorHAnsi"/>
                <w:color w:val="000000"/>
                <w:sz w:val="20"/>
                <w:szCs w:val="20"/>
                <w:lang w:eastAsia="fr-FR"/>
              </w:rPr>
            </w:pPr>
            <w:r w:rsidRPr="004A5122">
              <w:rPr>
                <w:rFonts w:eastAsia="Times New Roman" w:cstheme="minorHAnsi"/>
                <w:color w:val="000000"/>
                <w:sz w:val="20"/>
                <w:szCs w:val="20"/>
                <w:lang w:eastAsia="fr-FR"/>
              </w:rPr>
              <w:t>66 027 809</w:t>
            </w:r>
          </w:p>
        </w:tc>
        <w:tc>
          <w:tcPr>
            <w:tcW w:w="775" w:type="pct"/>
            <w:tcBorders>
              <w:top w:val="nil"/>
              <w:left w:val="nil"/>
              <w:bottom w:val="single" w:sz="4" w:space="0" w:color="auto"/>
              <w:right w:val="single" w:sz="4" w:space="0" w:color="auto"/>
            </w:tcBorders>
            <w:shd w:val="clear" w:color="auto" w:fill="auto"/>
            <w:noWrap/>
            <w:vAlign w:val="center"/>
            <w:hideMark/>
          </w:tcPr>
          <w:p w14:paraId="311742C6" w14:textId="77777777" w:rsidR="001949A3" w:rsidRPr="004A5122" w:rsidRDefault="001949A3" w:rsidP="00F12682">
            <w:pPr>
              <w:spacing w:after="0" w:line="240" w:lineRule="auto"/>
              <w:jc w:val="center"/>
              <w:rPr>
                <w:rFonts w:eastAsia="Times New Roman" w:cstheme="minorHAnsi"/>
                <w:color w:val="000000"/>
                <w:sz w:val="20"/>
                <w:szCs w:val="20"/>
                <w:lang w:eastAsia="fr-FR"/>
              </w:rPr>
            </w:pPr>
            <w:r w:rsidRPr="004A5122">
              <w:rPr>
                <w:rFonts w:eastAsia="Times New Roman" w:cstheme="minorHAnsi"/>
                <w:color w:val="000000"/>
                <w:sz w:val="20"/>
                <w:szCs w:val="20"/>
                <w:lang w:eastAsia="fr-FR"/>
              </w:rPr>
              <w:t>11%</w:t>
            </w:r>
          </w:p>
        </w:tc>
      </w:tr>
      <w:tr w:rsidR="00654401" w:rsidRPr="00654401" w14:paraId="0E6D7283" w14:textId="77777777" w:rsidTr="00226F3F">
        <w:tc>
          <w:tcPr>
            <w:tcW w:w="2044" w:type="pct"/>
            <w:tcBorders>
              <w:top w:val="nil"/>
              <w:left w:val="single" w:sz="4" w:space="0" w:color="auto"/>
              <w:bottom w:val="single" w:sz="4" w:space="0" w:color="auto"/>
              <w:right w:val="single" w:sz="4" w:space="0" w:color="auto"/>
            </w:tcBorders>
            <w:shd w:val="clear" w:color="auto" w:fill="auto"/>
            <w:noWrap/>
            <w:vAlign w:val="center"/>
            <w:hideMark/>
          </w:tcPr>
          <w:p w14:paraId="3C019523" w14:textId="77777777" w:rsidR="001949A3" w:rsidRPr="004A5122" w:rsidRDefault="001949A3" w:rsidP="00F12682">
            <w:pPr>
              <w:spacing w:after="0" w:line="240" w:lineRule="auto"/>
              <w:rPr>
                <w:rFonts w:eastAsia="Times New Roman" w:cstheme="minorHAnsi"/>
                <w:b/>
                <w:bCs/>
                <w:color w:val="000000"/>
                <w:sz w:val="20"/>
                <w:szCs w:val="20"/>
                <w:lang w:eastAsia="fr-FR"/>
              </w:rPr>
            </w:pPr>
            <w:r w:rsidRPr="004A5122">
              <w:rPr>
                <w:rFonts w:eastAsia="Times New Roman" w:cstheme="minorHAnsi"/>
                <w:b/>
                <w:bCs/>
                <w:color w:val="000000"/>
                <w:sz w:val="20"/>
                <w:szCs w:val="20"/>
                <w:lang w:eastAsia="fr-FR"/>
              </w:rPr>
              <w:t>TOTAL</w:t>
            </w:r>
          </w:p>
        </w:tc>
        <w:tc>
          <w:tcPr>
            <w:tcW w:w="758" w:type="pct"/>
            <w:tcBorders>
              <w:top w:val="nil"/>
              <w:left w:val="nil"/>
              <w:bottom w:val="single" w:sz="4" w:space="0" w:color="auto"/>
              <w:right w:val="single" w:sz="4" w:space="0" w:color="auto"/>
            </w:tcBorders>
            <w:shd w:val="clear" w:color="auto" w:fill="auto"/>
            <w:noWrap/>
            <w:vAlign w:val="center"/>
            <w:hideMark/>
          </w:tcPr>
          <w:p w14:paraId="23C3464B" w14:textId="77777777" w:rsidR="001949A3" w:rsidRPr="004A5122" w:rsidRDefault="001949A3" w:rsidP="00F12682">
            <w:pPr>
              <w:spacing w:after="0" w:line="240" w:lineRule="auto"/>
              <w:jc w:val="right"/>
              <w:rPr>
                <w:rFonts w:eastAsia="Times New Roman" w:cstheme="minorHAnsi"/>
                <w:b/>
                <w:bCs/>
                <w:color w:val="000000"/>
                <w:sz w:val="20"/>
                <w:szCs w:val="20"/>
                <w:lang w:eastAsia="fr-FR"/>
              </w:rPr>
            </w:pPr>
            <w:r w:rsidRPr="004A5122">
              <w:rPr>
                <w:rFonts w:eastAsia="Times New Roman" w:cstheme="minorHAnsi"/>
                <w:b/>
                <w:bCs/>
                <w:color w:val="000000"/>
                <w:sz w:val="20"/>
                <w:szCs w:val="20"/>
                <w:lang w:eastAsia="fr-FR"/>
              </w:rPr>
              <w:t>1 572 437 483</w:t>
            </w:r>
          </w:p>
        </w:tc>
        <w:tc>
          <w:tcPr>
            <w:tcW w:w="759" w:type="pct"/>
            <w:tcBorders>
              <w:top w:val="nil"/>
              <w:left w:val="nil"/>
              <w:bottom w:val="single" w:sz="4" w:space="0" w:color="auto"/>
              <w:right w:val="single" w:sz="4" w:space="0" w:color="auto"/>
            </w:tcBorders>
            <w:shd w:val="clear" w:color="auto" w:fill="auto"/>
            <w:noWrap/>
            <w:vAlign w:val="center"/>
            <w:hideMark/>
          </w:tcPr>
          <w:p w14:paraId="156C7846" w14:textId="77777777" w:rsidR="001949A3" w:rsidRPr="004A5122" w:rsidRDefault="001949A3" w:rsidP="00F12682">
            <w:pPr>
              <w:spacing w:after="0" w:line="240" w:lineRule="auto"/>
              <w:jc w:val="center"/>
              <w:rPr>
                <w:rFonts w:eastAsia="Times New Roman" w:cstheme="minorHAnsi"/>
                <w:b/>
                <w:bCs/>
                <w:color w:val="000000"/>
                <w:sz w:val="20"/>
                <w:szCs w:val="20"/>
                <w:lang w:eastAsia="fr-FR"/>
              </w:rPr>
            </w:pPr>
            <w:r w:rsidRPr="004A5122">
              <w:rPr>
                <w:rFonts w:eastAsia="Times New Roman" w:cstheme="minorHAnsi"/>
                <w:b/>
                <w:bCs/>
                <w:color w:val="000000"/>
                <w:sz w:val="20"/>
                <w:szCs w:val="20"/>
                <w:lang w:eastAsia="fr-FR"/>
              </w:rPr>
              <w:t>100%</w:t>
            </w:r>
          </w:p>
        </w:tc>
        <w:tc>
          <w:tcPr>
            <w:tcW w:w="664" w:type="pct"/>
            <w:tcBorders>
              <w:top w:val="nil"/>
              <w:left w:val="nil"/>
              <w:bottom w:val="single" w:sz="4" w:space="0" w:color="auto"/>
              <w:right w:val="single" w:sz="4" w:space="0" w:color="auto"/>
            </w:tcBorders>
            <w:shd w:val="clear" w:color="auto" w:fill="auto"/>
            <w:noWrap/>
            <w:vAlign w:val="center"/>
            <w:hideMark/>
          </w:tcPr>
          <w:p w14:paraId="7D4EE4C6" w14:textId="77777777" w:rsidR="001949A3" w:rsidRPr="004A5122" w:rsidRDefault="001949A3" w:rsidP="00F12682">
            <w:pPr>
              <w:spacing w:after="0" w:line="240" w:lineRule="auto"/>
              <w:jc w:val="right"/>
              <w:rPr>
                <w:rFonts w:eastAsia="Times New Roman" w:cstheme="minorHAnsi"/>
                <w:b/>
                <w:bCs/>
                <w:color w:val="000000"/>
                <w:sz w:val="20"/>
                <w:szCs w:val="20"/>
                <w:lang w:eastAsia="fr-FR"/>
              </w:rPr>
            </w:pPr>
            <w:r w:rsidRPr="004A5122">
              <w:rPr>
                <w:rFonts w:eastAsia="Times New Roman" w:cstheme="minorHAnsi"/>
                <w:b/>
                <w:bCs/>
                <w:color w:val="000000"/>
                <w:sz w:val="20"/>
                <w:szCs w:val="20"/>
                <w:lang w:eastAsia="fr-FR"/>
              </w:rPr>
              <w:t>602 244 056</w:t>
            </w:r>
          </w:p>
        </w:tc>
        <w:tc>
          <w:tcPr>
            <w:tcW w:w="775" w:type="pct"/>
            <w:tcBorders>
              <w:top w:val="nil"/>
              <w:left w:val="nil"/>
              <w:bottom w:val="single" w:sz="4" w:space="0" w:color="auto"/>
              <w:right w:val="single" w:sz="4" w:space="0" w:color="auto"/>
            </w:tcBorders>
            <w:shd w:val="clear" w:color="auto" w:fill="auto"/>
            <w:noWrap/>
            <w:vAlign w:val="center"/>
            <w:hideMark/>
          </w:tcPr>
          <w:p w14:paraId="56AB8DD8" w14:textId="77777777" w:rsidR="001949A3" w:rsidRPr="004A5122" w:rsidRDefault="001949A3" w:rsidP="00F12682">
            <w:pPr>
              <w:spacing w:after="0" w:line="240" w:lineRule="auto"/>
              <w:jc w:val="center"/>
              <w:rPr>
                <w:rFonts w:eastAsia="Times New Roman" w:cstheme="minorHAnsi"/>
                <w:b/>
                <w:bCs/>
                <w:color w:val="000000"/>
                <w:sz w:val="20"/>
                <w:szCs w:val="20"/>
                <w:lang w:eastAsia="fr-FR"/>
              </w:rPr>
            </w:pPr>
            <w:r w:rsidRPr="004A5122">
              <w:rPr>
                <w:rFonts w:eastAsia="Times New Roman" w:cstheme="minorHAnsi"/>
                <w:b/>
                <w:bCs/>
                <w:color w:val="000000"/>
                <w:sz w:val="20"/>
                <w:szCs w:val="20"/>
                <w:lang w:eastAsia="fr-FR"/>
              </w:rPr>
              <w:t>100%</w:t>
            </w:r>
          </w:p>
        </w:tc>
      </w:tr>
    </w:tbl>
    <w:p w14:paraId="776DC69B" w14:textId="77777777" w:rsidR="00065DE0" w:rsidRPr="00D73A12" w:rsidRDefault="00065DE0" w:rsidP="00F12682">
      <w:pPr>
        <w:rPr>
          <w:rFonts w:cstheme="minorHAnsi"/>
        </w:rPr>
      </w:pPr>
    </w:p>
    <w:p w14:paraId="4F6FADFA" w14:textId="77777777" w:rsidR="00895CB2" w:rsidRDefault="00895CB2" w:rsidP="00F12682">
      <w:pPr>
        <w:pStyle w:val="Titre4"/>
        <w:rPr>
          <w:rFonts w:asciiTheme="minorHAnsi" w:hAnsiTheme="minorHAnsi" w:cstheme="minorHAnsi"/>
        </w:rPr>
      </w:pPr>
      <w:r w:rsidRPr="004A5122">
        <w:rPr>
          <w:rFonts w:asciiTheme="minorHAnsi" w:hAnsiTheme="minorHAnsi" w:cstheme="minorHAnsi"/>
        </w:rPr>
        <w:t>Analyse de l’efficacité des dépenses d’investissement</w:t>
      </w:r>
    </w:p>
    <w:p w14:paraId="4273448C" w14:textId="77777777" w:rsidR="006F4014" w:rsidRDefault="006F4014" w:rsidP="00F12682">
      <w:pPr>
        <w:spacing w:after="120" w:line="276" w:lineRule="auto"/>
        <w:jc w:val="both"/>
        <w:rPr>
          <w:rFonts w:ascii="Calibri" w:eastAsiaTheme="majorEastAsia" w:hAnsi="Calibri" w:cs="Calibri"/>
          <w:iCs/>
          <w:sz w:val="24"/>
        </w:rPr>
      </w:pPr>
      <w:r w:rsidRPr="00100A08">
        <w:rPr>
          <w:rFonts w:ascii="Calibri" w:eastAsiaTheme="majorEastAsia" w:hAnsi="Calibri" w:cs="Calibri"/>
          <w:iCs/>
          <w:sz w:val="24"/>
        </w:rPr>
        <w:t xml:space="preserve">Avec un taux global d’exécution de 35%, les dépenses </w:t>
      </w:r>
      <w:r>
        <w:rPr>
          <w:rFonts w:ascii="Calibri" w:eastAsiaTheme="majorEastAsia" w:hAnsi="Calibri" w:cs="Calibri"/>
          <w:iCs/>
          <w:sz w:val="24"/>
        </w:rPr>
        <w:t xml:space="preserve">d’investissement </w:t>
      </w:r>
      <w:r w:rsidRPr="00100A08">
        <w:rPr>
          <w:rFonts w:ascii="Calibri" w:eastAsiaTheme="majorEastAsia" w:hAnsi="Calibri" w:cs="Calibri"/>
          <w:iCs/>
          <w:sz w:val="24"/>
        </w:rPr>
        <w:t xml:space="preserve">volet agriculture ont trois principales catégories de financement. </w:t>
      </w:r>
      <w:r>
        <w:rPr>
          <w:rFonts w:ascii="Calibri" w:eastAsiaTheme="majorEastAsia" w:hAnsi="Calibri" w:cs="Calibri"/>
          <w:iCs/>
          <w:sz w:val="24"/>
        </w:rPr>
        <w:t>Les emprunts représentent plus de la moitié (51%) des sources, alors que le trésor et l’ANR sont presque à part égale 24,5%.</w:t>
      </w:r>
    </w:p>
    <w:p w14:paraId="5B1994B0" w14:textId="17FE6107" w:rsidR="006F4014" w:rsidRDefault="006F4014"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L’analyse détaillée des sources montre que pour les financements de</w:t>
      </w:r>
      <w:r w:rsidRPr="00100A08">
        <w:rPr>
          <w:rFonts w:ascii="Calibri" w:eastAsiaTheme="majorEastAsia" w:hAnsi="Calibri" w:cs="Calibri"/>
          <w:iCs/>
          <w:sz w:val="24"/>
        </w:rPr>
        <w:t xml:space="preserve"> vingt-quatre (24) </w:t>
      </w:r>
      <w:r>
        <w:rPr>
          <w:rFonts w:ascii="Calibri" w:eastAsiaTheme="majorEastAsia" w:hAnsi="Calibri" w:cs="Calibri"/>
          <w:iCs/>
          <w:sz w:val="24"/>
        </w:rPr>
        <w:t>bailleurs des fonds</w:t>
      </w:r>
      <w:r w:rsidRPr="00100A08">
        <w:rPr>
          <w:rFonts w:ascii="Calibri" w:eastAsiaTheme="majorEastAsia" w:hAnsi="Calibri" w:cs="Calibri"/>
          <w:iCs/>
          <w:sz w:val="24"/>
        </w:rPr>
        <w:t xml:space="preserve"> de financement pour le volet agricole, la moitié a connu un taux d’exécution nul en 2016. Pour </w:t>
      </w:r>
      <w:r w:rsidRPr="00100A08">
        <w:rPr>
          <w:rFonts w:ascii="Calibri" w:eastAsiaTheme="majorEastAsia" w:hAnsi="Calibri" w:cs="Calibri"/>
          <w:iCs/>
          <w:sz w:val="24"/>
        </w:rPr>
        <w:lastRenderedPageBreak/>
        <w:t>la moitié, où il a été exécuté, seules six (6) ont dépassé un taux d’exécution de 50%. Les autres varient de 6 à 49%.</w:t>
      </w:r>
    </w:p>
    <w:p w14:paraId="14DD06EA" w14:textId="77777777" w:rsidR="00196874" w:rsidRDefault="00196874" w:rsidP="00F12682">
      <w:pPr>
        <w:spacing w:after="120" w:line="276" w:lineRule="auto"/>
        <w:jc w:val="both"/>
        <w:rPr>
          <w:rFonts w:ascii="Calibri" w:eastAsiaTheme="majorEastAsia" w:hAnsi="Calibri" w:cs="Calibri"/>
          <w:iCs/>
          <w:sz w:val="24"/>
        </w:rPr>
      </w:pPr>
    </w:p>
    <w:p w14:paraId="7A282CDD" w14:textId="347541FD" w:rsidR="003E5A55" w:rsidRDefault="003E5A55" w:rsidP="00F12682">
      <w:pPr>
        <w:pStyle w:val="Lgende"/>
        <w:rPr>
          <w:rFonts w:eastAsiaTheme="majorEastAsia" w:cs="Calibri"/>
          <w:iCs w:val="0"/>
        </w:rPr>
      </w:pPr>
      <w:bookmarkStart w:id="172" w:name="_Toc529305093"/>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39</w:t>
      </w:r>
      <w:r w:rsidR="00A773EB">
        <w:rPr>
          <w:noProof/>
        </w:rPr>
        <w:fldChar w:fldCharType="end"/>
      </w:r>
      <w:r>
        <w:rPr>
          <w:rFonts w:eastAsiaTheme="majorEastAsia" w:cs="Calibri"/>
          <w:iCs w:val="0"/>
        </w:rPr>
        <w:t> : Sources des financements des budgets d’investissement au MAG en 2016</w:t>
      </w:r>
      <w:bookmarkEnd w:id="172"/>
    </w:p>
    <w:tbl>
      <w:tblPr>
        <w:tblW w:w="5000" w:type="pct"/>
        <w:tblCellMar>
          <w:left w:w="70" w:type="dxa"/>
          <w:right w:w="70" w:type="dxa"/>
        </w:tblCellMar>
        <w:tblLook w:val="04A0" w:firstRow="1" w:lastRow="0" w:firstColumn="1" w:lastColumn="0" w:noHBand="0" w:noVBand="1"/>
      </w:tblPr>
      <w:tblGrid>
        <w:gridCol w:w="2639"/>
        <w:gridCol w:w="1603"/>
        <w:gridCol w:w="1639"/>
        <w:gridCol w:w="2408"/>
        <w:gridCol w:w="1339"/>
      </w:tblGrid>
      <w:tr w:rsidR="003E5A55" w:rsidRPr="003E5A55" w14:paraId="152A3F2E" w14:textId="77777777" w:rsidTr="003E5A55">
        <w:trPr>
          <w:trHeight w:val="300"/>
        </w:trPr>
        <w:tc>
          <w:tcPr>
            <w:tcW w:w="1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D808B" w14:textId="77777777" w:rsidR="003E5A55" w:rsidRPr="003E5A55" w:rsidRDefault="003E5A55" w:rsidP="00F12682">
            <w:pPr>
              <w:spacing w:after="0" w:line="240" w:lineRule="auto"/>
              <w:jc w:val="center"/>
              <w:rPr>
                <w:rFonts w:ascii="Calibri" w:eastAsia="Times New Roman" w:hAnsi="Calibri" w:cs="Calibri"/>
                <w:b/>
                <w:bCs/>
                <w:color w:val="000000"/>
                <w:lang w:eastAsia="fr-FR"/>
              </w:rPr>
            </w:pPr>
            <w:r w:rsidRPr="003E5A55">
              <w:rPr>
                <w:rFonts w:ascii="Calibri" w:eastAsia="Times New Roman" w:hAnsi="Calibri" w:cs="Calibri"/>
                <w:b/>
                <w:bCs/>
                <w:color w:val="000000"/>
                <w:lang w:eastAsia="fr-FR"/>
              </w:rPr>
              <w:t>Source de financement</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0A292FFD" w14:textId="38F7B5EC" w:rsidR="003E5A55" w:rsidRPr="003E5A55" w:rsidRDefault="00226F3F" w:rsidP="00F12682">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Crédits v</w:t>
            </w:r>
            <w:r w:rsidR="003E5A55" w:rsidRPr="003E5A55">
              <w:rPr>
                <w:rFonts w:ascii="Calibri" w:eastAsia="Times New Roman" w:hAnsi="Calibri" w:cs="Calibri"/>
                <w:b/>
                <w:bCs/>
                <w:color w:val="000000"/>
                <w:lang w:eastAsia="fr-FR"/>
              </w:rPr>
              <w:t>oté</w:t>
            </w:r>
            <w:r>
              <w:rPr>
                <w:rFonts w:ascii="Calibri" w:eastAsia="Times New Roman" w:hAnsi="Calibri" w:cs="Calibri"/>
                <w:b/>
                <w:bCs/>
                <w:color w:val="000000"/>
                <w:lang w:eastAsia="fr-FR"/>
              </w:rPr>
              <w:t>s</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6922A811" w14:textId="2F8CA9F1" w:rsidR="003E5A55" w:rsidRPr="003E5A55" w:rsidRDefault="00226F3F" w:rsidP="00F12682">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Crédits e</w:t>
            </w:r>
            <w:r w:rsidR="003E5A55" w:rsidRPr="003E5A55">
              <w:rPr>
                <w:rFonts w:ascii="Calibri" w:eastAsia="Times New Roman" w:hAnsi="Calibri" w:cs="Calibri"/>
                <w:b/>
                <w:bCs/>
                <w:color w:val="000000"/>
                <w:lang w:eastAsia="fr-FR"/>
              </w:rPr>
              <w:t>xécuté</w:t>
            </w:r>
            <w:r>
              <w:rPr>
                <w:rFonts w:ascii="Calibri" w:eastAsia="Times New Roman" w:hAnsi="Calibri" w:cs="Calibri"/>
                <w:b/>
                <w:bCs/>
                <w:color w:val="000000"/>
                <w:lang w:eastAsia="fr-FR"/>
              </w:rPr>
              <w:t>s</w:t>
            </w:r>
          </w:p>
        </w:tc>
        <w:tc>
          <w:tcPr>
            <w:tcW w:w="1254" w:type="pct"/>
            <w:tcBorders>
              <w:top w:val="single" w:sz="4" w:space="0" w:color="auto"/>
              <w:left w:val="nil"/>
              <w:bottom w:val="single" w:sz="4" w:space="0" w:color="auto"/>
              <w:right w:val="single" w:sz="4" w:space="0" w:color="auto"/>
            </w:tcBorders>
            <w:shd w:val="clear" w:color="auto" w:fill="auto"/>
            <w:noWrap/>
            <w:vAlign w:val="center"/>
            <w:hideMark/>
          </w:tcPr>
          <w:p w14:paraId="719685FD" w14:textId="77777777" w:rsidR="003E5A55" w:rsidRPr="003E5A55" w:rsidRDefault="003E5A55" w:rsidP="00F12682">
            <w:pPr>
              <w:spacing w:after="0" w:line="240" w:lineRule="auto"/>
              <w:jc w:val="center"/>
              <w:rPr>
                <w:rFonts w:ascii="Calibri" w:eastAsia="Times New Roman" w:hAnsi="Calibri" w:cs="Calibri"/>
                <w:b/>
                <w:bCs/>
                <w:color w:val="000000"/>
                <w:lang w:eastAsia="fr-FR"/>
              </w:rPr>
            </w:pPr>
            <w:r w:rsidRPr="003E5A55">
              <w:rPr>
                <w:rFonts w:ascii="Calibri" w:eastAsia="Times New Roman" w:hAnsi="Calibri" w:cs="Calibri"/>
                <w:b/>
                <w:bCs/>
                <w:color w:val="000000"/>
                <w:lang w:eastAsia="fr-FR"/>
              </w:rPr>
              <w:t>Taux de consommation</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369F37BE" w14:textId="77777777" w:rsidR="003E5A55" w:rsidRPr="003E5A55" w:rsidRDefault="003E5A55" w:rsidP="00F12682">
            <w:pPr>
              <w:spacing w:after="0" w:line="240" w:lineRule="auto"/>
              <w:jc w:val="center"/>
              <w:rPr>
                <w:rFonts w:ascii="Calibri" w:eastAsia="Times New Roman" w:hAnsi="Calibri" w:cs="Calibri"/>
                <w:b/>
                <w:bCs/>
                <w:color w:val="000000"/>
                <w:lang w:eastAsia="fr-FR"/>
              </w:rPr>
            </w:pPr>
            <w:r w:rsidRPr="003E5A55">
              <w:rPr>
                <w:rFonts w:ascii="Calibri" w:eastAsia="Times New Roman" w:hAnsi="Calibri" w:cs="Calibri"/>
                <w:b/>
                <w:bCs/>
                <w:color w:val="000000"/>
                <w:lang w:eastAsia="fr-FR"/>
              </w:rPr>
              <w:t>Part relative</w:t>
            </w:r>
          </w:p>
        </w:tc>
      </w:tr>
      <w:tr w:rsidR="003E5A55" w:rsidRPr="003E5A55" w14:paraId="7026148D" w14:textId="77777777" w:rsidTr="003E5A55">
        <w:trPr>
          <w:trHeight w:val="300"/>
        </w:trPr>
        <w:tc>
          <w:tcPr>
            <w:tcW w:w="1374" w:type="pct"/>
            <w:tcBorders>
              <w:top w:val="nil"/>
              <w:left w:val="single" w:sz="4" w:space="0" w:color="auto"/>
              <w:bottom w:val="single" w:sz="4" w:space="0" w:color="auto"/>
              <w:right w:val="single" w:sz="4" w:space="0" w:color="auto"/>
            </w:tcBorders>
            <w:shd w:val="clear" w:color="auto" w:fill="auto"/>
            <w:noWrap/>
            <w:vAlign w:val="bottom"/>
            <w:hideMark/>
          </w:tcPr>
          <w:p w14:paraId="10C6824F" w14:textId="33919CD8" w:rsidR="003E5A55" w:rsidRPr="003E5A55" w:rsidRDefault="00856FD8" w:rsidP="00F1268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Emprunt</w:t>
            </w:r>
          </w:p>
        </w:tc>
        <w:tc>
          <w:tcPr>
            <w:tcW w:w="836" w:type="pct"/>
            <w:tcBorders>
              <w:top w:val="nil"/>
              <w:left w:val="nil"/>
              <w:bottom w:val="single" w:sz="4" w:space="0" w:color="auto"/>
              <w:right w:val="single" w:sz="4" w:space="0" w:color="auto"/>
            </w:tcBorders>
            <w:shd w:val="clear" w:color="auto" w:fill="auto"/>
            <w:noWrap/>
            <w:vAlign w:val="bottom"/>
            <w:hideMark/>
          </w:tcPr>
          <w:p w14:paraId="2A81C5D3"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29 382 975 957</w:t>
            </w:r>
          </w:p>
        </w:tc>
        <w:tc>
          <w:tcPr>
            <w:tcW w:w="836" w:type="pct"/>
            <w:tcBorders>
              <w:top w:val="nil"/>
              <w:left w:val="nil"/>
              <w:bottom w:val="single" w:sz="4" w:space="0" w:color="auto"/>
              <w:right w:val="single" w:sz="4" w:space="0" w:color="auto"/>
            </w:tcBorders>
            <w:shd w:val="clear" w:color="auto" w:fill="auto"/>
            <w:noWrap/>
            <w:vAlign w:val="bottom"/>
            <w:hideMark/>
          </w:tcPr>
          <w:p w14:paraId="4F8F012C"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9 874 867 810</w:t>
            </w:r>
          </w:p>
        </w:tc>
        <w:tc>
          <w:tcPr>
            <w:tcW w:w="1254" w:type="pct"/>
            <w:tcBorders>
              <w:top w:val="nil"/>
              <w:left w:val="nil"/>
              <w:bottom w:val="single" w:sz="4" w:space="0" w:color="auto"/>
              <w:right w:val="single" w:sz="4" w:space="0" w:color="auto"/>
            </w:tcBorders>
            <w:shd w:val="clear" w:color="auto" w:fill="auto"/>
            <w:noWrap/>
            <w:vAlign w:val="bottom"/>
            <w:hideMark/>
          </w:tcPr>
          <w:p w14:paraId="3C2CE6CD"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34%</w:t>
            </w:r>
          </w:p>
        </w:tc>
        <w:tc>
          <w:tcPr>
            <w:tcW w:w="699" w:type="pct"/>
            <w:tcBorders>
              <w:top w:val="nil"/>
              <w:left w:val="nil"/>
              <w:bottom w:val="single" w:sz="4" w:space="0" w:color="auto"/>
              <w:right w:val="single" w:sz="4" w:space="0" w:color="auto"/>
            </w:tcBorders>
            <w:shd w:val="clear" w:color="auto" w:fill="auto"/>
            <w:noWrap/>
            <w:vAlign w:val="bottom"/>
            <w:hideMark/>
          </w:tcPr>
          <w:p w14:paraId="219F1CF1"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50,6%</w:t>
            </w:r>
          </w:p>
        </w:tc>
      </w:tr>
      <w:tr w:rsidR="003E5A55" w:rsidRPr="003E5A55" w14:paraId="00816EA3" w14:textId="77777777" w:rsidTr="003E5A55">
        <w:trPr>
          <w:trHeight w:val="300"/>
        </w:trPr>
        <w:tc>
          <w:tcPr>
            <w:tcW w:w="1374" w:type="pct"/>
            <w:tcBorders>
              <w:top w:val="nil"/>
              <w:left w:val="single" w:sz="4" w:space="0" w:color="auto"/>
              <w:bottom w:val="single" w:sz="4" w:space="0" w:color="auto"/>
              <w:right w:val="single" w:sz="4" w:space="0" w:color="auto"/>
            </w:tcBorders>
            <w:shd w:val="clear" w:color="auto" w:fill="auto"/>
            <w:noWrap/>
            <w:vAlign w:val="bottom"/>
            <w:hideMark/>
          </w:tcPr>
          <w:p w14:paraId="7FEF5E9A" w14:textId="77777777" w:rsidR="003E5A55" w:rsidRPr="003E5A55" w:rsidRDefault="003E5A55" w:rsidP="00F12682">
            <w:pPr>
              <w:spacing w:after="0" w:line="240" w:lineRule="auto"/>
              <w:rPr>
                <w:rFonts w:ascii="Calibri" w:eastAsia="Times New Roman" w:hAnsi="Calibri" w:cs="Calibri"/>
                <w:color w:val="000000"/>
                <w:lang w:eastAsia="fr-FR"/>
              </w:rPr>
            </w:pPr>
            <w:r w:rsidRPr="003E5A55">
              <w:rPr>
                <w:rFonts w:ascii="Calibri" w:eastAsia="Times New Roman" w:hAnsi="Calibri" w:cs="Calibri"/>
                <w:color w:val="000000"/>
                <w:lang w:eastAsia="fr-FR"/>
              </w:rPr>
              <w:t>ANR</w:t>
            </w:r>
          </w:p>
        </w:tc>
        <w:tc>
          <w:tcPr>
            <w:tcW w:w="836" w:type="pct"/>
            <w:tcBorders>
              <w:top w:val="nil"/>
              <w:left w:val="nil"/>
              <w:bottom w:val="single" w:sz="4" w:space="0" w:color="auto"/>
              <w:right w:val="single" w:sz="4" w:space="0" w:color="auto"/>
            </w:tcBorders>
            <w:shd w:val="clear" w:color="auto" w:fill="auto"/>
            <w:noWrap/>
            <w:vAlign w:val="bottom"/>
            <w:hideMark/>
          </w:tcPr>
          <w:p w14:paraId="1D0D440A"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23 803 145 081</w:t>
            </w:r>
          </w:p>
        </w:tc>
        <w:tc>
          <w:tcPr>
            <w:tcW w:w="836" w:type="pct"/>
            <w:tcBorders>
              <w:top w:val="nil"/>
              <w:left w:val="nil"/>
              <w:bottom w:val="single" w:sz="4" w:space="0" w:color="auto"/>
              <w:right w:val="single" w:sz="4" w:space="0" w:color="auto"/>
            </w:tcBorders>
            <w:shd w:val="clear" w:color="auto" w:fill="auto"/>
            <w:noWrap/>
            <w:vAlign w:val="bottom"/>
            <w:hideMark/>
          </w:tcPr>
          <w:p w14:paraId="20F8047C"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4 774 799 442</w:t>
            </w:r>
          </w:p>
        </w:tc>
        <w:tc>
          <w:tcPr>
            <w:tcW w:w="1254" w:type="pct"/>
            <w:tcBorders>
              <w:top w:val="nil"/>
              <w:left w:val="nil"/>
              <w:bottom w:val="single" w:sz="4" w:space="0" w:color="auto"/>
              <w:right w:val="single" w:sz="4" w:space="0" w:color="auto"/>
            </w:tcBorders>
            <w:shd w:val="clear" w:color="auto" w:fill="auto"/>
            <w:noWrap/>
            <w:vAlign w:val="bottom"/>
            <w:hideMark/>
          </w:tcPr>
          <w:p w14:paraId="65D0BC25"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20%</w:t>
            </w:r>
          </w:p>
        </w:tc>
        <w:tc>
          <w:tcPr>
            <w:tcW w:w="699" w:type="pct"/>
            <w:tcBorders>
              <w:top w:val="nil"/>
              <w:left w:val="nil"/>
              <w:bottom w:val="single" w:sz="4" w:space="0" w:color="auto"/>
              <w:right w:val="single" w:sz="4" w:space="0" w:color="auto"/>
            </w:tcBorders>
            <w:shd w:val="clear" w:color="auto" w:fill="auto"/>
            <w:noWrap/>
            <w:vAlign w:val="bottom"/>
            <w:hideMark/>
          </w:tcPr>
          <w:p w14:paraId="13CED300"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24,5%</w:t>
            </w:r>
          </w:p>
        </w:tc>
      </w:tr>
      <w:tr w:rsidR="003E5A55" w:rsidRPr="003E5A55" w14:paraId="131C3759" w14:textId="77777777" w:rsidTr="003E5A55">
        <w:trPr>
          <w:trHeight w:val="300"/>
        </w:trPr>
        <w:tc>
          <w:tcPr>
            <w:tcW w:w="1374" w:type="pct"/>
            <w:tcBorders>
              <w:top w:val="nil"/>
              <w:left w:val="single" w:sz="4" w:space="0" w:color="auto"/>
              <w:bottom w:val="single" w:sz="4" w:space="0" w:color="auto"/>
              <w:right w:val="single" w:sz="4" w:space="0" w:color="auto"/>
            </w:tcBorders>
            <w:shd w:val="clear" w:color="auto" w:fill="auto"/>
            <w:noWrap/>
            <w:vAlign w:val="bottom"/>
            <w:hideMark/>
          </w:tcPr>
          <w:p w14:paraId="007E0935" w14:textId="77777777" w:rsidR="003E5A55" w:rsidRPr="003E5A55" w:rsidRDefault="003E5A55" w:rsidP="00F12682">
            <w:pPr>
              <w:spacing w:after="0" w:line="240" w:lineRule="auto"/>
              <w:rPr>
                <w:rFonts w:ascii="Calibri" w:eastAsia="Times New Roman" w:hAnsi="Calibri" w:cs="Calibri"/>
                <w:color w:val="000000"/>
                <w:lang w:eastAsia="fr-FR"/>
              </w:rPr>
            </w:pPr>
            <w:r w:rsidRPr="003E5A55">
              <w:rPr>
                <w:rFonts w:ascii="Calibri" w:eastAsia="Times New Roman" w:hAnsi="Calibri" w:cs="Calibri"/>
                <w:color w:val="000000"/>
                <w:lang w:eastAsia="fr-FR"/>
              </w:rPr>
              <w:t>Trésor</w:t>
            </w:r>
          </w:p>
        </w:tc>
        <w:tc>
          <w:tcPr>
            <w:tcW w:w="836" w:type="pct"/>
            <w:tcBorders>
              <w:top w:val="nil"/>
              <w:left w:val="nil"/>
              <w:bottom w:val="single" w:sz="4" w:space="0" w:color="auto"/>
              <w:right w:val="single" w:sz="4" w:space="0" w:color="auto"/>
            </w:tcBorders>
            <w:shd w:val="clear" w:color="auto" w:fill="auto"/>
            <w:noWrap/>
            <w:vAlign w:val="bottom"/>
            <w:hideMark/>
          </w:tcPr>
          <w:p w14:paraId="7E33ED40"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14 958 757 708</w:t>
            </w:r>
          </w:p>
        </w:tc>
        <w:tc>
          <w:tcPr>
            <w:tcW w:w="836" w:type="pct"/>
            <w:tcBorders>
              <w:top w:val="nil"/>
              <w:left w:val="nil"/>
              <w:bottom w:val="single" w:sz="4" w:space="0" w:color="auto"/>
              <w:right w:val="single" w:sz="4" w:space="0" w:color="auto"/>
            </w:tcBorders>
            <w:shd w:val="clear" w:color="auto" w:fill="auto"/>
            <w:noWrap/>
            <w:vAlign w:val="bottom"/>
            <w:hideMark/>
          </w:tcPr>
          <w:p w14:paraId="2921A207"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4 773 113 621</w:t>
            </w:r>
          </w:p>
        </w:tc>
        <w:tc>
          <w:tcPr>
            <w:tcW w:w="1254" w:type="pct"/>
            <w:tcBorders>
              <w:top w:val="nil"/>
              <w:left w:val="nil"/>
              <w:bottom w:val="single" w:sz="4" w:space="0" w:color="auto"/>
              <w:right w:val="single" w:sz="4" w:space="0" w:color="auto"/>
            </w:tcBorders>
            <w:shd w:val="clear" w:color="auto" w:fill="auto"/>
            <w:noWrap/>
            <w:vAlign w:val="bottom"/>
            <w:hideMark/>
          </w:tcPr>
          <w:p w14:paraId="0A51B5BF"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32%</w:t>
            </w:r>
          </w:p>
        </w:tc>
        <w:tc>
          <w:tcPr>
            <w:tcW w:w="699" w:type="pct"/>
            <w:tcBorders>
              <w:top w:val="nil"/>
              <w:left w:val="nil"/>
              <w:bottom w:val="single" w:sz="4" w:space="0" w:color="auto"/>
              <w:right w:val="single" w:sz="4" w:space="0" w:color="auto"/>
            </w:tcBorders>
            <w:shd w:val="clear" w:color="auto" w:fill="auto"/>
            <w:noWrap/>
            <w:vAlign w:val="bottom"/>
            <w:hideMark/>
          </w:tcPr>
          <w:p w14:paraId="7BB613A2"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24,5%</w:t>
            </w:r>
          </w:p>
        </w:tc>
      </w:tr>
      <w:tr w:rsidR="003E5A55" w:rsidRPr="003E5A55" w14:paraId="6AB83DAB" w14:textId="77777777" w:rsidTr="003E5A55">
        <w:trPr>
          <w:trHeight w:val="300"/>
        </w:trPr>
        <w:tc>
          <w:tcPr>
            <w:tcW w:w="1374" w:type="pct"/>
            <w:tcBorders>
              <w:top w:val="nil"/>
              <w:left w:val="single" w:sz="4" w:space="0" w:color="auto"/>
              <w:bottom w:val="single" w:sz="4" w:space="0" w:color="auto"/>
              <w:right w:val="single" w:sz="4" w:space="0" w:color="auto"/>
            </w:tcBorders>
            <w:shd w:val="clear" w:color="auto" w:fill="auto"/>
            <w:noWrap/>
            <w:vAlign w:val="bottom"/>
            <w:hideMark/>
          </w:tcPr>
          <w:p w14:paraId="3C8410CC" w14:textId="77777777" w:rsidR="003E5A55" w:rsidRPr="003E5A55" w:rsidRDefault="003E5A55" w:rsidP="00F12682">
            <w:pPr>
              <w:spacing w:after="0" w:line="240" w:lineRule="auto"/>
              <w:rPr>
                <w:rFonts w:ascii="Calibri" w:eastAsia="Times New Roman" w:hAnsi="Calibri" w:cs="Calibri"/>
                <w:color w:val="000000"/>
                <w:lang w:eastAsia="fr-FR"/>
              </w:rPr>
            </w:pPr>
            <w:r w:rsidRPr="003E5A55">
              <w:rPr>
                <w:rFonts w:ascii="Calibri" w:eastAsia="Times New Roman" w:hAnsi="Calibri" w:cs="Calibri"/>
                <w:color w:val="000000"/>
                <w:lang w:eastAsia="fr-FR"/>
              </w:rPr>
              <w:t>Trésor (FC)</w:t>
            </w:r>
          </w:p>
        </w:tc>
        <w:tc>
          <w:tcPr>
            <w:tcW w:w="836" w:type="pct"/>
            <w:tcBorders>
              <w:top w:val="nil"/>
              <w:left w:val="nil"/>
              <w:bottom w:val="single" w:sz="4" w:space="0" w:color="auto"/>
              <w:right w:val="single" w:sz="4" w:space="0" w:color="auto"/>
            </w:tcBorders>
            <w:shd w:val="clear" w:color="auto" w:fill="auto"/>
            <w:noWrap/>
            <w:vAlign w:val="bottom"/>
            <w:hideMark/>
          </w:tcPr>
          <w:p w14:paraId="3185362E"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1 042 000 000</w:t>
            </w:r>
          </w:p>
        </w:tc>
        <w:tc>
          <w:tcPr>
            <w:tcW w:w="836" w:type="pct"/>
            <w:tcBorders>
              <w:top w:val="nil"/>
              <w:left w:val="nil"/>
              <w:bottom w:val="single" w:sz="4" w:space="0" w:color="auto"/>
              <w:right w:val="single" w:sz="4" w:space="0" w:color="auto"/>
            </w:tcBorders>
            <w:shd w:val="clear" w:color="auto" w:fill="auto"/>
            <w:noWrap/>
            <w:vAlign w:val="bottom"/>
            <w:hideMark/>
          </w:tcPr>
          <w:p w14:paraId="5E7C54E8"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86 750 000</w:t>
            </w:r>
          </w:p>
        </w:tc>
        <w:tc>
          <w:tcPr>
            <w:tcW w:w="1254" w:type="pct"/>
            <w:tcBorders>
              <w:top w:val="nil"/>
              <w:left w:val="nil"/>
              <w:bottom w:val="single" w:sz="4" w:space="0" w:color="auto"/>
              <w:right w:val="single" w:sz="4" w:space="0" w:color="auto"/>
            </w:tcBorders>
            <w:shd w:val="clear" w:color="auto" w:fill="auto"/>
            <w:noWrap/>
            <w:vAlign w:val="bottom"/>
            <w:hideMark/>
          </w:tcPr>
          <w:p w14:paraId="62D22C15"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8%</w:t>
            </w:r>
          </w:p>
        </w:tc>
        <w:tc>
          <w:tcPr>
            <w:tcW w:w="699" w:type="pct"/>
            <w:tcBorders>
              <w:top w:val="nil"/>
              <w:left w:val="nil"/>
              <w:bottom w:val="single" w:sz="4" w:space="0" w:color="auto"/>
              <w:right w:val="single" w:sz="4" w:space="0" w:color="auto"/>
            </w:tcBorders>
            <w:shd w:val="clear" w:color="auto" w:fill="auto"/>
            <w:noWrap/>
            <w:vAlign w:val="bottom"/>
            <w:hideMark/>
          </w:tcPr>
          <w:p w14:paraId="33F21FBC" w14:textId="77777777" w:rsidR="003E5A55" w:rsidRPr="003E5A55" w:rsidRDefault="003E5A55" w:rsidP="00F12682">
            <w:pPr>
              <w:spacing w:after="0" w:line="240" w:lineRule="auto"/>
              <w:jc w:val="right"/>
              <w:rPr>
                <w:rFonts w:ascii="Calibri" w:eastAsia="Times New Roman" w:hAnsi="Calibri" w:cs="Calibri"/>
                <w:color w:val="000000"/>
                <w:lang w:eastAsia="fr-FR"/>
              </w:rPr>
            </w:pPr>
            <w:r w:rsidRPr="003E5A55">
              <w:rPr>
                <w:rFonts w:ascii="Calibri" w:eastAsia="Times New Roman" w:hAnsi="Calibri" w:cs="Calibri"/>
                <w:color w:val="000000"/>
                <w:lang w:eastAsia="fr-FR"/>
              </w:rPr>
              <w:t>0,4%</w:t>
            </w:r>
          </w:p>
        </w:tc>
      </w:tr>
      <w:tr w:rsidR="003E5A55" w:rsidRPr="003E5A55" w14:paraId="2706C51C" w14:textId="77777777" w:rsidTr="003E5A55">
        <w:trPr>
          <w:trHeight w:val="300"/>
        </w:trPr>
        <w:tc>
          <w:tcPr>
            <w:tcW w:w="1374" w:type="pct"/>
            <w:tcBorders>
              <w:top w:val="nil"/>
              <w:left w:val="single" w:sz="4" w:space="0" w:color="auto"/>
              <w:bottom w:val="single" w:sz="4" w:space="0" w:color="auto"/>
              <w:right w:val="single" w:sz="4" w:space="0" w:color="auto"/>
            </w:tcBorders>
            <w:shd w:val="clear" w:color="auto" w:fill="auto"/>
            <w:noWrap/>
            <w:vAlign w:val="bottom"/>
            <w:hideMark/>
          </w:tcPr>
          <w:p w14:paraId="3922C92D" w14:textId="77777777" w:rsidR="003E5A55" w:rsidRPr="003E5A55" w:rsidRDefault="003E5A55" w:rsidP="00F12682">
            <w:pPr>
              <w:spacing w:after="0" w:line="240" w:lineRule="auto"/>
              <w:rPr>
                <w:rFonts w:ascii="Calibri" w:eastAsia="Times New Roman" w:hAnsi="Calibri" w:cs="Calibri"/>
                <w:b/>
                <w:bCs/>
                <w:color w:val="000000"/>
                <w:lang w:eastAsia="fr-FR"/>
              </w:rPr>
            </w:pPr>
            <w:r w:rsidRPr="003E5A55">
              <w:rPr>
                <w:rFonts w:ascii="Calibri" w:eastAsia="Times New Roman" w:hAnsi="Calibri" w:cs="Calibri"/>
                <w:b/>
                <w:bCs/>
                <w:color w:val="000000"/>
                <w:lang w:eastAsia="fr-FR"/>
              </w:rPr>
              <w:t>Total général</w:t>
            </w:r>
          </w:p>
        </w:tc>
        <w:tc>
          <w:tcPr>
            <w:tcW w:w="836" w:type="pct"/>
            <w:tcBorders>
              <w:top w:val="nil"/>
              <w:left w:val="nil"/>
              <w:bottom w:val="single" w:sz="4" w:space="0" w:color="auto"/>
              <w:right w:val="single" w:sz="4" w:space="0" w:color="auto"/>
            </w:tcBorders>
            <w:shd w:val="clear" w:color="auto" w:fill="auto"/>
            <w:noWrap/>
            <w:vAlign w:val="bottom"/>
            <w:hideMark/>
          </w:tcPr>
          <w:p w14:paraId="068C8716" w14:textId="77777777" w:rsidR="003E5A55" w:rsidRPr="003E5A55" w:rsidRDefault="003E5A55" w:rsidP="00F12682">
            <w:pPr>
              <w:spacing w:after="0" w:line="240" w:lineRule="auto"/>
              <w:jc w:val="right"/>
              <w:rPr>
                <w:rFonts w:ascii="Calibri" w:eastAsia="Times New Roman" w:hAnsi="Calibri" w:cs="Calibri"/>
                <w:b/>
                <w:bCs/>
                <w:color w:val="000000"/>
                <w:lang w:eastAsia="fr-FR"/>
              </w:rPr>
            </w:pPr>
            <w:r w:rsidRPr="003E5A55">
              <w:rPr>
                <w:rFonts w:ascii="Calibri" w:eastAsia="Times New Roman" w:hAnsi="Calibri" w:cs="Calibri"/>
                <w:b/>
                <w:bCs/>
                <w:color w:val="000000"/>
                <w:lang w:eastAsia="fr-FR"/>
              </w:rPr>
              <w:t>69 186 878 746</w:t>
            </w:r>
          </w:p>
        </w:tc>
        <w:tc>
          <w:tcPr>
            <w:tcW w:w="836" w:type="pct"/>
            <w:tcBorders>
              <w:top w:val="nil"/>
              <w:left w:val="nil"/>
              <w:bottom w:val="single" w:sz="4" w:space="0" w:color="auto"/>
              <w:right w:val="single" w:sz="4" w:space="0" w:color="auto"/>
            </w:tcBorders>
            <w:shd w:val="clear" w:color="auto" w:fill="auto"/>
            <w:noWrap/>
            <w:vAlign w:val="bottom"/>
            <w:hideMark/>
          </w:tcPr>
          <w:p w14:paraId="58271242" w14:textId="77777777" w:rsidR="003E5A55" w:rsidRPr="003E5A55" w:rsidRDefault="003E5A55" w:rsidP="00F12682">
            <w:pPr>
              <w:spacing w:after="0" w:line="240" w:lineRule="auto"/>
              <w:jc w:val="right"/>
              <w:rPr>
                <w:rFonts w:ascii="Calibri" w:eastAsia="Times New Roman" w:hAnsi="Calibri" w:cs="Calibri"/>
                <w:b/>
                <w:bCs/>
                <w:color w:val="000000"/>
                <w:lang w:eastAsia="fr-FR"/>
              </w:rPr>
            </w:pPr>
            <w:r w:rsidRPr="003E5A55">
              <w:rPr>
                <w:rFonts w:ascii="Calibri" w:eastAsia="Times New Roman" w:hAnsi="Calibri" w:cs="Calibri"/>
                <w:b/>
                <w:bCs/>
                <w:color w:val="000000"/>
                <w:lang w:eastAsia="fr-FR"/>
              </w:rPr>
              <w:t>19 509 530 873</w:t>
            </w:r>
          </w:p>
        </w:tc>
        <w:tc>
          <w:tcPr>
            <w:tcW w:w="1254" w:type="pct"/>
            <w:tcBorders>
              <w:top w:val="nil"/>
              <w:left w:val="nil"/>
              <w:bottom w:val="single" w:sz="4" w:space="0" w:color="auto"/>
              <w:right w:val="single" w:sz="4" w:space="0" w:color="auto"/>
            </w:tcBorders>
            <w:shd w:val="clear" w:color="auto" w:fill="auto"/>
            <w:noWrap/>
            <w:vAlign w:val="bottom"/>
            <w:hideMark/>
          </w:tcPr>
          <w:p w14:paraId="6DF461D0" w14:textId="77777777" w:rsidR="003E5A55" w:rsidRPr="003E5A55" w:rsidRDefault="003E5A55" w:rsidP="00F12682">
            <w:pPr>
              <w:spacing w:after="0" w:line="240" w:lineRule="auto"/>
              <w:jc w:val="right"/>
              <w:rPr>
                <w:rFonts w:ascii="Calibri" w:eastAsia="Times New Roman" w:hAnsi="Calibri" w:cs="Calibri"/>
                <w:b/>
                <w:bCs/>
                <w:color w:val="000000"/>
                <w:lang w:eastAsia="fr-FR"/>
              </w:rPr>
            </w:pPr>
            <w:r w:rsidRPr="003E5A55">
              <w:rPr>
                <w:rFonts w:ascii="Calibri" w:eastAsia="Times New Roman" w:hAnsi="Calibri" w:cs="Calibri"/>
                <w:b/>
                <w:bCs/>
                <w:color w:val="000000"/>
                <w:lang w:eastAsia="fr-FR"/>
              </w:rPr>
              <w:t>28%</w:t>
            </w:r>
          </w:p>
        </w:tc>
        <w:tc>
          <w:tcPr>
            <w:tcW w:w="699" w:type="pct"/>
            <w:tcBorders>
              <w:top w:val="nil"/>
              <w:left w:val="nil"/>
              <w:bottom w:val="single" w:sz="4" w:space="0" w:color="auto"/>
              <w:right w:val="single" w:sz="4" w:space="0" w:color="auto"/>
            </w:tcBorders>
            <w:shd w:val="clear" w:color="auto" w:fill="auto"/>
            <w:noWrap/>
            <w:vAlign w:val="bottom"/>
            <w:hideMark/>
          </w:tcPr>
          <w:p w14:paraId="535961B8" w14:textId="77777777" w:rsidR="003E5A55" w:rsidRPr="003E5A55" w:rsidRDefault="003E5A55" w:rsidP="00F12682">
            <w:pPr>
              <w:spacing w:after="0" w:line="240" w:lineRule="auto"/>
              <w:jc w:val="right"/>
              <w:rPr>
                <w:rFonts w:ascii="Calibri" w:eastAsia="Times New Roman" w:hAnsi="Calibri" w:cs="Calibri"/>
                <w:b/>
                <w:bCs/>
                <w:color w:val="000000"/>
                <w:lang w:eastAsia="fr-FR"/>
              </w:rPr>
            </w:pPr>
            <w:r w:rsidRPr="003E5A55">
              <w:rPr>
                <w:rFonts w:ascii="Calibri" w:eastAsia="Times New Roman" w:hAnsi="Calibri" w:cs="Calibri"/>
                <w:b/>
                <w:bCs/>
                <w:color w:val="000000"/>
                <w:lang w:eastAsia="fr-FR"/>
              </w:rPr>
              <w:t>100%</w:t>
            </w:r>
          </w:p>
        </w:tc>
      </w:tr>
    </w:tbl>
    <w:p w14:paraId="797A8576" w14:textId="77777777" w:rsidR="00B33DDD" w:rsidRDefault="00B33DDD" w:rsidP="00F12682"/>
    <w:p w14:paraId="62437D37" w14:textId="7E5EE96A" w:rsidR="008C0C24" w:rsidRPr="00214044" w:rsidRDefault="008C0C24" w:rsidP="00F12682">
      <w:pPr>
        <w:spacing w:after="120" w:line="276" w:lineRule="auto"/>
        <w:jc w:val="both"/>
        <w:rPr>
          <w:rFonts w:ascii="Calibri" w:eastAsiaTheme="majorEastAsia" w:hAnsi="Calibri" w:cs="Calibri"/>
          <w:iCs/>
          <w:sz w:val="24"/>
        </w:rPr>
      </w:pPr>
      <w:r w:rsidRPr="00214044">
        <w:rPr>
          <w:rFonts w:ascii="Calibri" w:eastAsiaTheme="majorEastAsia" w:hAnsi="Calibri" w:cs="Calibri"/>
          <w:iCs/>
          <w:sz w:val="24"/>
        </w:rPr>
        <w:t xml:space="preserve">Sur tous </w:t>
      </w:r>
      <w:r w:rsidR="006205CD" w:rsidRPr="00214044">
        <w:rPr>
          <w:rFonts w:ascii="Calibri" w:eastAsiaTheme="majorEastAsia" w:hAnsi="Calibri" w:cs="Calibri"/>
          <w:iCs/>
          <w:sz w:val="24"/>
        </w:rPr>
        <w:t>projets</w:t>
      </w:r>
      <w:r w:rsidR="006205CD">
        <w:rPr>
          <w:rFonts w:ascii="Calibri" w:eastAsiaTheme="majorEastAsia" w:hAnsi="Calibri" w:cs="Calibri"/>
          <w:iCs/>
          <w:sz w:val="24"/>
        </w:rPr>
        <w:t>,</w:t>
      </w:r>
      <w:r w:rsidR="006205CD" w:rsidRPr="00214044">
        <w:rPr>
          <w:rFonts w:ascii="Calibri" w:eastAsiaTheme="majorEastAsia" w:hAnsi="Calibri" w:cs="Calibri"/>
          <w:iCs/>
          <w:sz w:val="24"/>
        </w:rPr>
        <w:t xml:space="preserve"> programmes</w:t>
      </w:r>
      <w:r w:rsidR="006205CD">
        <w:rPr>
          <w:rFonts w:ascii="Calibri" w:eastAsiaTheme="majorEastAsia" w:hAnsi="Calibri" w:cs="Calibri"/>
          <w:iCs/>
          <w:sz w:val="24"/>
        </w:rPr>
        <w:t xml:space="preserve"> et</w:t>
      </w:r>
      <w:r w:rsidR="006205CD" w:rsidRPr="00214044">
        <w:rPr>
          <w:rFonts w:ascii="Calibri" w:eastAsiaTheme="majorEastAsia" w:hAnsi="Calibri" w:cs="Calibri"/>
          <w:iCs/>
          <w:sz w:val="24"/>
        </w:rPr>
        <w:t xml:space="preserve"> </w:t>
      </w:r>
      <w:r w:rsidRPr="00214044">
        <w:rPr>
          <w:rFonts w:ascii="Calibri" w:eastAsiaTheme="majorEastAsia" w:hAnsi="Calibri" w:cs="Calibri"/>
          <w:iCs/>
          <w:sz w:val="24"/>
        </w:rPr>
        <w:t xml:space="preserve">les actions, ayant bénéficié </w:t>
      </w:r>
      <w:r w:rsidR="009536F2" w:rsidRPr="00214044">
        <w:rPr>
          <w:rFonts w:ascii="Calibri" w:eastAsiaTheme="majorEastAsia" w:hAnsi="Calibri" w:cs="Calibri"/>
          <w:iCs/>
          <w:sz w:val="24"/>
        </w:rPr>
        <w:t xml:space="preserve">des crédits d’investissements, seuls six (6) ont eu un taux de consommation supérieur ou égal à 50%. </w:t>
      </w:r>
      <w:r w:rsidR="00FA14BA">
        <w:rPr>
          <w:rFonts w:ascii="Calibri" w:eastAsiaTheme="majorEastAsia" w:hAnsi="Calibri" w:cs="Calibri"/>
          <w:iCs/>
          <w:sz w:val="24"/>
        </w:rPr>
        <w:t>Cette faible performance est relative au processus de passation de ma</w:t>
      </w:r>
      <w:r w:rsidR="006205CD">
        <w:rPr>
          <w:rFonts w:ascii="Calibri" w:eastAsiaTheme="majorEastAsia" w:hAnsi="Calibri" w:cs="Calibri"/>
          <w:iCs/>
          <w:sz w:val="24"/>
        </w:rPr>
        <w:t>r</w:t>
      </w:r>
      <w:r w:rsidR="00FA14BA">
        <w:rPr>
          <w:rFonts w:ascii="Calibri" w:eastAsiaTheme="majorEastAsia" w:hAnsi="Calibri" w:cs="Calibri"/>
          <w:iCs/>
          <w:sz w:val="24"/>
        </w:rPr>
        <w:t>ché.</w:t>
      </w:r>
    </w:p>
    <w:p w14:paraId="1A6D56C2" w14:textId="01FC7299" w:rsidR="00DF4E72" w:rsidRPr="00685320" w:rsidRDefault="008C38CC" w:rsidP="00F12682">
      <w:pPr>
        <w:spacing w:after="0"/>
        <w:rPr>
          <w:rFonts w:cstheme="minorHAnsi"/>
        </w:rPr>
      </w:pPr>
      <w:r>
        <w:rPr>
          <w:noProof/>
          <w:lang w:eastAsia="fr-FR"/>
        </w:rPr>
        <w:drawing>
          <wp:inline distT="0" distB="0" distL="0" distR="0" wp14:anchorId="4CC51001" wp14:editId="5E47655C">
            <wp:extent cx="5810250" cy="42291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56856A" w14:textId="38CCA64A" w:rsidR="00B30D19" w:rsidRPr="00484A10" w:rsidRDefault="005970F0" w:rsidP="00F12682">
      <w:pPr>
        <w:pStyle w:val="Lgende"/>
        <w:rPr>
          <w:rFonts w:eastAsiaTheme="majorEastAsia" w:cs="Calibri"/>
          <w:iCs w:val="0"/>
        </w:rPr>
      </w:pPr>
      <w:bookmarkStart w:id="173" w:name="_Toc529305114"/>
      <w:r>
        <w:t xml:space="preserve">Graphique </w:t>
      </w:r>
      <w:r w:rsidR="00A773EB">
        <w:rPr>
          <w:noProof/>
        </w:rPr>
        <w:fldChar w:fldCharType="begin"/>
      </w:r>
      <w:r w:rsidR="00A773EB">
        <w:rPr>
          <w:noProof/>
        </w:rPr>
        <w:instrText xml:space="preserve"> SEQ Graphique \* ARABIC </w:instrText>
      </w:r>
      <w:r w:rsidR="00A773EB">
        <w:rPr>
          <w:noProof/>
        </w:rPr>
        <w:fldChar w:fldCharType="separate"/>
      </w:r>
      <w:r w:rsidR="001C37F0">
        <w:rPr>
          <w:noProof/>
        </w:rPr>
        <w:t>10</w:t>
      </w:r>
      <w:r w:rsidR="00A773EB">
        <w:rPr>
          <w:noProof/>
        </w:rPr>
        <w:fldChar w:fldCharType="end"/>
      </w:r>
      <w:r w:rsidR="00484A10">
        <w:rPr>
          <w:rFonts w:eastAsiaTheme="majorEastAsia" w:cs="Calibri"/>
          <w:iCs w:val="0"/>
        </w:rPr>
        <w:t xml:space="preserve"> : </w:t>
      </w:r>
      <w:r w:rsidR="008862DE" w:rsidRPr="00484A10">
        <w:rPr>
          <w:rFonts w:eastAsiaTheme="majorEastAsia" w:cs="Calibri"/>
          <w:iCs w:val="0"/>
        </w:rPr>
        <w:t xml:space="preserve">Taux d’exécution du budget d’investissements 2016 </w:t>
      </w:r>
      <w:r w:rsidR="00167E48" w:rsidRPr="00484A10">
        <w:rPr>
          <w:rFonts w:eastAsiaTheme="majorEastAsia" w:cs="Calibri"/>
          <w:iCs w:val="0"/>
        </w:rPr>
        <w:t>du MAG</w:t>
      </w:r>
      <w:bookmarkEnd w:id="173"/>
    </w:p>
    <w:p w14:paraId="01A3AA51" w14:textId="77777777" w:rsidR="009E3565" w:rsidRDefault="009E3565" w:rsidP="00F12682">
      <w:pPr>
        <w:spacing w:after="120" w:line="276" w:lineRule="auto"/>
        <w:jc w:val="both"/>
        <w:rPr>
          <w:rFonts w:ascii="Calibri" w:hAnsi="Calibri" w:cs="Calibri"/>
          <w:sz w:val="24"/>
        </w:rPr>
      </w:pPr>
    </w:p>
    <w:p w14:paraId="0A90B0F8" w14:textId="23A39FA3" w:rsidR="00973582" w:rsidRPr="00196874" w:rsidRDefault="002E1D29" w:rsidP="00F12682">
      <w:pPr>
        <w:spacing w:after="120" w:line="276" w:lineRule="auto"/>
        <w:jc w:val="both"/>
        <w:rPr>
          <w:rFonts w:ascii="Calibri" w:hAnsi="Calibri" w:cs="Calibri"/>
          <w:sz w:val="24"/>
        </w:rPr>
      </w:pPr>
      <w:r w:rsidRPr="00196874">
        <w:rPr>
          <w:rFonts w:ascii="Calibri" w:hAnsi="Calibri" w:cs="Calibri"/>
          <w:sz w:val="24"/>
        </w:rPr>
        <w:t xml:space="preserve">Le tableau ci-dessous sur </w:t>
      </w:r>
      <w:r w:rsidR="00973582" w:rsidRPr="00196874">
        <w:rPr>
          <w:rFonts w:ascii="Calibri" w:hAnsi="Calibri" w:cs="Calibri"/>
          <w:sz w:val="24"/>
        </w:rPr>
        <w:t>les réalisations physiques</w:t>
      </w:r>
      <w:r w:rsidRPr="00196874">
        <w:rPr>
          <w:rFonts w:ascii="Calibri" w:hAnsi="Calibri" w:cs="Calibri"/>
          <w:sz w:val="24"/>
        </w:rPr>
        <w:t xml:space="preserve"> justifie le faible taux de consommation du budget d’investissement, en effet, la grande majorité des infrastr</w:t>
      </w:r>
      <w:r w:rsidR="00973582" w:rsidRPr="00196874">
        <w:rPr>
          <w:rFonts w:ascii="Calibri" w:hAnsi="Calibri" w:cs="Calibri"/>
          <w:sz w:val="24"/>
        </w:rPr>
        <w:t>uct</w:t>
      </w:r>
      <w:r w:rsidRPr="00196874">
        <w:rPr>
          <w:rFonts w:ascii="Calibri" w:hAnsi="Calibri" w:cs="Calibri"/>
          <w:sz w:val="24"/>
        </w:rPr>
        <w:t xml:space="preserve">ures </w:t>
      </w:r>
      <w:r w:rsidR="00973582" w:rsidRPr="00196874">
        <w:rPr>
          <w:rFonts w:ascii="Calibri" w:hAnsi="Calibri" w:cs="Calibri"/>
          <w:sz w:val="24"/>
        </w:rPr>
        <w:t>prévues</w:t>
      </w:r>
      <w:r w:rsidR="00CF4C9F" w:rsidRPr="00196874">
        <w:rPr>
          <w:rFonts w:ascii="Calibri" w:hAnsi="Calibri" w:cs="Calibri"/>
          <w:sz w:val="24"/>
        </w:rPr>
        <w:t xml:space="preserve"> (en couleur orange dans le tableau)</w:t>
      </w:r>
      <w:r w:rsidR="00973582" w:rsidRPr="00196874">
        <w:rPr>
          <w:rFonts w:ascii="Calibri" w:hAnsi="Calibri" w:cs="Calibri"/>
          <w:sz w:val="24"/>
        </w:rPr>
        <w:t xml:space="preserve"> n’ont pas été réalisées.</w:t>
      </w:r>
    </w:p>
    <w:p w14:paraId="18792EDD" w14:textId="77777777" w:rsidR="00973582" w:rsidRDefault="00973582" w:rsidP="00F12682">
      <w:pPr>
        <w:pStyle w:val="Lgende"/>
      </w:pPr>
    </w:p>
    <w:p w14:paraId="307D6081" w14:textId="77777777" w:rsidR="00BD0156" w:rsidRPr="00BD0156" w:rsidRDefault="00BD0156" w:rsidP="00F12682"/>
    <w:p w14:paraId="1193540D" w14:textId="101FF6CA" w:rsidR="00CE5B06" w:rsidRPr="00484A10" w:rsidRDefault="005970F0" w:rsidP="00F12682">
      <w:pPr>
        <w:pStyle w:val="Lgende"/>
        <w:rPr>
          <w:rFonts w:eastAsiaTheme="majorEastAsia" w:cs="Calibri"/>
          <w:iCs w:val="0"/>
        </w:rPr>
      </w:pPr>
      <w:bookmarkStart w:id="174" w:name="_Toc529305094"/>
      <w:r>
        <w:lastRenderedPageBreak/>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40</w:t>
      </w:r>
      <w:r w:rsidR="00A773EB">
        <w:rPr>
          <w:noProof/>
        </w:rPr>
        <w:fldChar w:fldCharType="end"/>
      </w:r>
      <w:r w:rsidR="00484A10">
        <w:rPr>
          <w:rFonts w:eastAsiaTheme="majorEastAsia" w:cs="Calibri"/>
          <w:iCs w:val="0"/>
        </w:rPr>
        <w:t xml:space="preserve"> : </w:t>
      </w:r>
      <w:r w:rsidR="008862DE" w:rsidRPr="00484A10">
        <w:rPr>
          <w:rFonts w:eastAsiaTheme="majorEastAsia" w:cs="Calibri"/>
          <w:iCs w:val="0"/>
        </w:rPr>
        <w:t>Réalisation physique en 2016 au MAG</w:t>
      </w:r>
      <w:bookmarkEnd w:id="174"/>
    </w:p>
    <w:tbl>
      <w:tblPr>
        <w:tblW w:w="5000" w:type="pct"/>
        <w:tblCellMar>
          <w:left w:w="70" w:type="dxa"/>
          <w:right w:w="70" w:type="dxa"/>
        </w:tblCellMar>
        <w:tblLook w:val="04A0" w:firstRow="1" w:lastRow="0" w:firstColumn="1" w:lastColumn="0" w:noHBand="0" w:noVBand="1"/>
      </w:tblPr>
      <w:tblGrid>
        <w:gridCol w:w="5362"/>
        <w:gridCol w:w="892"/>
        <w:gridCol w:w="892"/>
        <w:gridCol w:w="2482"/>
      </w:tblGrid>
      <w:tr w:rsidR="00CE5B06" w:rsidRPr="00484A10" w14:paraId="6933C673" w14:textId="77777777" w:rsidTr="00484A10">
        <w:trPr>
          <w:trHeight w:val="170"/>
          <w:tblHeader/>
        </w:trPr>
        <w:tc>
          <w:tcPr>
            <w:tcW w:w="278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0C4027" w14:textId="77777777" w:rsidR="00CE5B06" w:rsidRPr="00484A10" w:rsidRDefault="00CE5B06" w:rsidP="00F12682">
            <w:pPr>
              <w:spacing w:after="0" w:line="240" w:lineRule="auto"/>
              <w:jc w:val="center"/>
              <w:rPr>
                <w:rFonts w:ascii="Calibri" w:eastAsia="Times New Roman" w:hAnsi="Calibri" w:cs="Calibri"/>
                <w:b/>
                <w:bCs/>
                <w:sz w:val="20"/>
                <w:szCs w:val="20"/>
                <w:lang w:eastAsia="fr-FR"/>
              </w:rPr>
            </w:pPr>
            <w:r w:rsidRPr="00484A10">
              <w:rPr>
                <w:rFonts w:ascii="Calibri" w:eastAsia="Times New Roman" w:hAnsi="Calibri" w:cs="Calibri"/>
                <w:b/>
                <w:bCs/>
                <w:sz w:val="20"/>
                <w:szCs w:val="20"/>
                <w:lang w:eastAsia="fr-FR"/>
              </w:rPr>
              <w:t>Indicateurs</w:t>
            </w:r>
          </w:p>
        </w:tc>
        <w:tc>
          <w:tcPr>
            <w:tcW w:w="463"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D05F24E" w14:textId="77777777" w:rsidR="00CE5B06" w:rsidRPr="00484A10" w:rsidRDefault="00CE5B06" w:rsidP="00F12682">
            <w:pPr>
              <w:spacing w:after="0" w:line="240" w:lineRule="auto"/>
              <w:jc w:val="center"/>
              <w:rPr>
                <w:rFonts w:ascii="Calibri" w:eastAsia="Times New Roman" w:hAnsi="Calibri" w:cs="Calibri"/>
                <w:b/>
                <w:bCs/>
                <w:sz w:val="20"/>
                <w:szCs w:val="20"/>
                <w:lang w:eastAsia="fr-FR"/>
              </w:rPr>
            </w:pPr>
            <w:r w:rsidRPr="00484A10">
              <w:rPr>
                <w:rFonts w:ascii="Calibri" w:eastAsia="Times New Roman" w:hAnsi="Calibri" w:cs="Calibri"/>
                <w:b/>
                <w:bCs/>
                <w:sz w:val="20"/>
                <w:szCs w:val="20"/>
                <w:lang w:eastAsia="fr-FR"/>
              </w:rPr>
              <w:t>Prévu</w:t>
            </w:r>
          </w:p>
        </w:tc>
        <w:tc>
          <w:tcPr>
            <w:tcW w:w="463"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482D87E2" w14:textId="77777777" w:rsidR="00CE5B06" w:rsidRPr="00484A10" w:rsidRDefault="00CE5B06" w:rsidP="00F12682">
            <w:pPr>
              <w:spacing w:after="0" w:line="240" w:lineRule="auto"/>
              <w:jc w:val="center"/>
              <w:rPr>
                <w:rFonts w:ascii="Calibri" w:eastAsia="Times New Roman" w:hAnsi="Calibri" w:cs="Calibri"/>
                <w:b/>
                <w:bCs/>
                <w:sz w:val="20"/>
                <w:szCs w:val="20"/>
                <w:lang w:eastAsia="fr-FR"/>
              </w:rPr>
            </w:pPr>
            <w:r w:rsidRPr="00484A10">
              <w:rPr>
                <w:rFonts w:ascii="Calibri" w:eastAsia="Times New Roman" w:hAnsi="Calibri" w:cs="Calibri"/>
                <w:b/>
                <w:bCs/>
                <w:sz w:val="20"/>
                <w:szCs w:val="20"/>
                <w:lang w:eastAsia="fr-FR"/>
              </w:rPr>
              <w:t>Réalisé</w:t>
            </w:r>
          </w:p>
        </w:tc>
        <w:tc>
          <w:tcPr>
            <w:tcW w:w="1289" w:type="pct"/>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5C2B202" w14:textId="77777777" w:rsidR="00CE5B06" w:rsidRPr="00484A10" w:rsidRDefault="00CE5B06" w:rsidP="00F12682">
            <w:pPr>
              <w:spacing w:after="0" w:line="240" w:lineRule="auto"/>
              <w:jc w:val="center"/>
              <w:rPr>
                <w:rFonts w:ascii="Calibri" w:eastAsia="Times New Roman" w:hAnsi="Calibri" w:cs="Calibri"/>
                <w:b/>
                <w:bCs/>
                <w:sz w:val="20"/>
                <w:szCs w:val="20"/>
                <w:lang w:eastAsia="fr-FR"/>
              </w:rPr>
            </w:pPr>
            <w:r w:rsidRPr="00484A10">
              <w:rPr>
                <w:rFonts w:ascii="Calibri" w:eastAsia="Times New Roman" w:hAnsi="Calibri" w:cs="Calibri"/>
                <w:b/>
                <w:bCs/>
                <w:sz w:val="20"/>
                <w:szCs w:val="20"/>
                <w:lang w:eastAsia="fr-FR"/>
              </w:rPr>
              <w:t>Taux de réalisation</w:t>
            </w:r>
          </w:p>
        </w:tc>
      </w:tr>
      <w:tr w:rsidR="00CE5B06" w:rsidRPr="00484A10" w14:paraId="3891B72C"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02510DD0"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Nouveaux AHA (ha)</w:t>
            </w:r>
          </w:p>
        </w:tc>
        <w:tc>
          <w:tcPr>
            <w:tcW w:w="463" w:type="pct"/>
            <w:tcBorders>
              <w:top w:val="nil"/>
              <w:left w:val="nil"/>
              <w:bottom w:val="single" w:sz="4" w:space="0" w:color="auto"/>
              <w:right w:val="single" w:sz="4" w:space="0" w:color="auto"/>
            </w:tcBorders>
            <w:shd w:val="clear" w:color="auto" w:fill="auto"/>
            <w:vAlign w:val="center"/>
            <w:hideMark/>
          </w:tcPr>
          <w:p w14:paraId="7A8B847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415</w:t>
            </w:r>
          </w:p>
        </w:tc>
        <w:tc>
          <w:tcPr>
            <w:tcW w:w="463" w:type="pct"/>
            <w:tcBorders>
              <w:top w:val="nil"/>
              <w:left w:val="nil"/>
              <w:bottom w:val="single" w:sz="4" w:space="0" w:color="auto"/>
              <w:right w:val="single" w:sz="4" w:space="0" w:color="auto"/>
            </w:tcBorders>
            <w:shd w:val="clear" w:color="auto" w:fill="auto"/>
            <w:vAlign w:val="center"/>
            <w:hideMark/>
          </w:tcPr>
          <w:p w14:paraId="55664B0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117</w:t>
            </w:r>
          </w:p>
        </w:tc>
        <w:tc>
          <w:tcPr>
            <w:tcW w:w="1289" w:type="pct"/>
            <w:tcBorders>
              <w:top w:val="nil"/>
              <w:left w:val="nil"/>
              <w:bottom w:val="single" w:sz="4" w:space="0" w:color="auto"/>
              <w:right w:val="single" w:sz="4" w:space="0" w:color="auto"/>
            </w:tcBorders>
            <w:shd w:val="clear" w:color="auto" w:fill="auto"/>
            <w:noWrap/>
            <w:vAlign w:val="bottom"/>
            <w:hideMark/>
          </w:tcPr>
          <w:p w14:paraId="505A7044"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28%</w:t>
            </w:r>
          </w:p>
        </w:tc>
      </w:tr>
      <w:tr w:rsidR="00CE5B06" w:rsidRPr="00484A10" w14:paraId="1CC3F90D"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492CDDFD"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AHA réhabilités (ha)</w:t>
            </w:r>
          </w:p>
        </w:tc>
        <w:tc>
          <w:tcPr>
            <w:tcW w:w="463" w:type="pct"/>
            <w:tcBorders>
              <w:top w:val="nil"/>
              <w:left w:val="nil"/>
              <w:bottom w:val="single" w:sz="4" w:space="0" w:color="auto"/>
              <w:right w:val="single" w:sz="4" w:space="0" w:color="auto"/>
            </w:tcBorders>
            <w:shd w:val="clear" w:color="auto" w:fill="auto"/>
            <w:vAlign w:val="center"/>
            <w:hideMark/>
          </w:tcPr>
          <w:p w14:paraId="594D05E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1500</w:t>
            </w:r>
          </w:p>
        </w:tc>
        <w:tc>
          <w:tcPr>
            <w:tcW w:w="463" w:type="pct"/>
            <w:tcBorders>
              <w:top w:val="nil"/>
              <w:left w:val="nil"/>
              <w:bottom w:val="single" w:sz="4" w:space="0" w:color="auto"/>
              <w:right w:val="single" w:sz="4" w:space="0" w:color="auto"/>
            </w:tcBorders>
            <w:shd w:val="clear" w:color="auto" w:fill="auto"/>
            <w:vAlign w:val="center"/>
            <w:hideMark/>
          </w:tcPr>
          <w:p w14:paraId="7AE95F3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74</w:t>
            </w:r>
          </w:p>
        </w:tc>
        <w:tc>
          <w:tcPr>
            <w:tcW w:w="1289" w:type="pct"/>
            <w:tcBorders>
              <w:top w:val="nil"/>
              <w:left w:val="nil"/>
              <w:bottom w:val="single" w:sz="4" w:space="0" w:color="auto"/>
              <w:right w:val="single" w:sz="4" w:space="0" w:color="auto"/>
            </w:tcBorders>
            <w:shd w:val="clear" w:color="auto" w:fill="auto"/>
            <w:noWrap/>
            <w:vAlign w:val="bottom"/>
            <w:hideMark/>
          </w:tcPr>
          <w:p w14:paraId="65F5AB9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r>
      <w:tr w:rsidR="00CE5B06" w:rsidRPr="00484A10" w14:paraId="30C89F63"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2536289D"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Confortation AHA (ha)</w:t>
            </w:r>
          </w:p>
        </w:tc>
        <w:tc>
          <w:tcPr>
            <w:tcW w:w="463" w:type="pct"/>
            <w:tcBorders>
              <w:top w:val="nil"/>
              <w:left w:val="nil"/>
              <w:bottom w:val="single" w:sz="4" w:space="0" w:color="auto"/>
              <w:right w:val="single" w:sz="4" w:space="0" w:color="auto"/>
            </w:tcBorders>
            <w:shd w:val="clear" w:color="auto" w:fill="auto"/>
            <w:vAlign w:val="center"/>
            <w:hideMark/>
          </w:tcPr>
          <w:p w14:paraId="29C0CE0D"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800</w:t>
            </w:r>
          </w:p>
        </w:tc>
        <w:tc>
          <w:tcPr>
            <w:tcW w:w="463" w:type="pct"/>
            <w:tcBorders>
              <w:top w:val="nil"/>
              <w:left w:val="nil"/>
              <w:bottom w:val="single" w:sz="4" w:space="0" w:color="auto"/>
              <w:right w:val="single" w:sz="4" w:space="0" w:color="auto"/>
            </w:tcBorders>
            <w:shd w:val="clear" w:color="auto" w:fill="auto"/>
            <w:vAlign w:val="center"/>
            <w:hideMark/>
          </w:tcPr>
          <w:p w14:paraId="64AD9958"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374</w:t>
            </w:r>
          </w:p>
        </w:tc>
        <w:tc>
          <w:tcPr>
            <w:tcW w:w="1289" w:type="pct"/>
            <w:tcBorders>
              <w:top w:val="nil"/>
              <w:left w:val="nil"/>
              <w:bottom w:val="single" w:sz="4" w:space="0" w:color="auto"/>
              <w:right w:val="single" w:sz="4" w:space="0" w:color="auto"/>
            </w:tcBorders>
            <w:shd w:val="clear" w:color="auto" w:fill="auto"/>
            <w:noWrap/>
            <w:vAlign w:val="bottom"/>
            <w:hideMark/>
          </w:tcPr>
          <w:p w14:paraId="72E0AFE3"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47%</w:t>
            </w:r>
          </w:p>
        </w:tc>
      </w:tr>
      <w:tr w:rsidR="00CE5B06" w:rsidRPr="00484A10" w14:paraId="06128C6B"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B975FA0"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Forages</w:t>
            </w:r>
          </w:p>
        </w:tc>
        <w:tc>
          <w:tcPr>
            <w:tcW w:w="463" w:type="pct"/>
            <w:tcBorders>
              <w:top w:val="nil"/>
              <w:left w:val="nil"/>
              <w:bottom w:val="single" w:sz="4" w:space="0" w:color="auto"/>
              <w:right w:val="single" w:sz="4" w:space="0" w:color="auto"/>
            </w:tcBorders>
            <w:shd w:val="clear" w:color="auto" w:fill="auto"/>
            <w:vAlign w:val="center"/>
            <w:hideMark/>
          </w:tcPr>
          <w:p w14:paraId="193C3B9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4240</w:t>
            </w:r>
          </w:p>
        </w:tc>
        <w:tc>
          <w:tcPr>
            <w:tcW w:w="463" w:type="pct"/>
            <w:tcBorders>
              <w:top w:val="nil"/>
              <w:left w:val="nil"/>
              <w:bottom w:val="single" w:sz="4" w:space="0" w:color="auto"/>
              <w:right w:val="single" w:sz="4" w:space="0" w:color="auto"/>
            </w:tcBorders>
            <w:shd w:val="clear" w:color="auto" w:fill="auto"/>
            <w:vAlign w:val="center"/>
            <w:hideMark/>
          </w:tcPr>
          <w:p w14:paraId="36C7E29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1488</w:t>
            </w:r>
          </w:p>
        </w:tc>
        <w:tc>
          <w:tcPr>
            <w:tcW w:w="1289" w:type="pct"/>
            <w:tcBorders>
              <w:top w:val="nil"/>
              <w:left w:val="nil"/>
              <w:bottom w:val="single" w:sz="4" w:space="0" w:color="auto"/>
              <w:right w:val="single" w:sz="4" w:space="0" w:color="auto"/>
            </w:tcBorders>
            <w:shd w:val="clear" w:color="auto" w:fill="auto"/>
            <w:noWrap/>
            <w:vAlign w:val="bottom"/>
            <w:hideMark/>
          </w:tcPr>
          <w:p w14:paraId="2D4D35B8"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35%</w:t>
            </w:r>
          </w:p>
        </w:tc>
      </w:tr>
      <w:tr w:rsidR="00CE5B06" w:rsidRPr="00484A10" w14:paraId="1EC9398F"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0A19DAC"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 xml:space="preserve">Puits maraichers réalisés </w:t>
            </w:r>
          </w:p>
        </w:tc>
        <w:tc>
          <w:tcPr>
            <w:tcW w:w="463" w:type="pct"/>
            <w:tcBorders>
              <w:top w:val="nil"/>
              <w:left w:val="nil"/>
              <w:bottom w:val="single" w:sz="4" w:space="0" w:color="auto"/>
              <w:right w:val="single" w:sz="4" w:space="0" w:color="auto"/>
            </w:tcBorders>
            <w:shd w:val="clear" w:color="auto" w:fill="auto"/>
            <w:vAlign w:val="center"/>
            <w:hideMark/>
          </w:tcPr>
          <w:p w14:paraId="232A76D3"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1435</w:t>
            </w:r>
          </w:p>
        </w:tc>
        <w:tc>
          <w:tcPr>
            <w:tcW w:w="463" w:type="pct"/>
            <w:tcBorders>
              <w:top w:val="nil"/>
              <w:left w:val="nil"/>
              <w:bottom w:val="single" w:sz="4" w:space="0" w:color="auto"/>
              <w:right w:val="single" w:sz="4" w:space="0" w:color="auto"/>
            </w:tcBorders>
            <w:shd w:val="clear" w:color="auto" w:fill="auto"/>
            <w:vAlign w:val="center"/>
            <w:hideMark/>
          </w:tcPr>
          <w:p w14:paraId="2F1D3DF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357</w:t>
            </w:r>
          </w:p>
        </w:tc>
        <w:tc>
          <w:tcPr>
            <w:tcW w:w="1289" w:type="pct"/>
            <w:tcBorders>
              <w:top w:val="nil"/>
              <w:left w:val="nil"/>
              <w:bottom w:val="single" w:sz="4" w:space="0" w:color="auto"/>
              <w:right w:val="single" w:sz="4" w:space="0" w:color="auto"/>
            </w:tcBorders>
            <w:shd w:val="clear" w:color="auto" w:fill="auto"/>
            <w:noWrap/>
            <w:vAlign w:val="bottom"/>
            <w:hideMark/>
          </w:tcPr>
          <w:p w14:paraId="0FDFFBBD"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25%</w:t>
            </w:r>
          </w:p>
        </w:tc>
      </w:tr>
      <w:tr w:rsidR="00CE5B06" w:rsidRPr="00484A10" w14:paraId="510345E3"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28B1E9C2"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Puits maraichers réhabilités</w:t>
            </w:r>
          </w:p>
        </w:tc>
        <w:tc>
          <w:tcPr>
            <w:tcW w:w="463" w:type="pct"/>
            <w:tcBorders>
              <w:top w:val="nil"/>
              <w:left w:val="nil"/>
              <w:bottom w:val="single" w:sz="4" w:space="0" w:color="auto"/>
              <w:right w:val="single" w:sz="4" w:space="0" w:color="auto"/>
            </w:tcBorders>
            <w:shd w:val="clear" w:color="auto" w:fill="auto"/>
            <w:vAlign w:val="center"/>
            <w:hideMark/>
          </w:tcPr>
          <w:p w14:paraId="4C6183E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145</w:t>
            </w:r>
          </w:p>
        </w:tc>
        <w:tc>
          <w:tcPr>
            <w:tcW w:w="463" w:type="pct"/>
            <w:tcBorders>
              <w:top w:val="nil"/>
              <w:left w:val="nil"/>
              <w:bottom w:val="single" w:sz="4" w:space="0" w:color="auto"/>
              <w:right w:val="single" w:sz="4" w:space="0" w:color="auto"/>
            </w:tcBorders>
            <w:shd w:val="clear" w:color="auto" w:fill="auto"/>
            <w:vAlign w:val="center"/>
            <w:hideMark/>
          </w:tcPr>
          <w:p w14:paraId="540E193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160</w:t>
            </w:r>
          </w:p>
        </w:tc>
        <w:tc>
          <w:tcPr>
            <w:tcW w:w="1289" w:type="pct"/>
            <w:tcBorders>
              <w:top w:val="nil"/>
              <w:left w:val="nil"/>
              <w:bottom w:val="single" w:sz="4" w:space="0" w:color="auto"/>
              <w:right w:val="single" w:sz="4" w:space="0" w:color="auto"/>
            </w:tcBorders>
            <w:shd w:val="clear" w:color="auto" w:fill="auto"/>
            <w:noWrap/>
            <w:vAlign w:val="bottom"/>
            <w:hideMark/>
          </w:tcPr>
          <w:p w14:paraId="3BEB680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110%</w:t>
            </w:r>
          </w:p>
        </w:tc>
      </w:tr>
      <w:tr w:rsidR="00CE5B06" w:rsidRPr="00484A10" w14:paraId="153D924C"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059CF1C8"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Clôture barbelée (ml)</w:t>
            </w:r>
          </w:p>
        </w:tc>
        <w:tc>
          <w:tcPr>
            <w:tcW w:w="463" w:type="pct"/>
            <w:tcBorders>
              <w:top w:val="nil"/>
              <w:left w:val="nil"/>
              <w:bottom w:val="single" w:sz="4" w:space="0" w:color="auto"/>
              <w:right w:val="single" w:sz="4" w:space="0" w:color="auto"/>
            </w:tcBorders>
            <w:shd w:val="clear" w:color="auto" w:fill="auto"/>
            <w:vAlign w:val="center"/>
            <w:hideMark/>
          </w:tcPr>
          <w:p w14:paraId="70F430BD"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34160</w:t>
            </w:r>
          </w:p>
        </w:tc>
        <w:tc>
          <w:tcPr>
            <w:tcW w:w="463" w:type="pct"/>
            <w:tcBorders>
              <w:top w:val="nil"/>
              <w:left w:val="nil"/>
              <w:bottom w:val="single" w:sz="4" w:space="0" w:color="auto"/>
              <w:right w:val="single" w:sz="4" w:space="0" w:color="auto"/>
            </w:tcBorders>
            <w:shd w:val="clear" w:color="auto" w:fill="auto"/>
            <w:vAlign w:val="center"/>
            <w:hideMark/>
          </w:tcPr>
          <w:p w14:paraId="62FEAD8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8207</w:t>
            </w:r>
          </w:p>
        </w:tc>
        <w:tc>
          <w:tcPr>
            <w:tcW w:w="1289" w:type="pct"/>
            <w:tcBorders>
              <w:top w:val="nil"/>
              <w:left w:val="nil"/>
              <w:bottom w:val="single" w:sz="4" w:space="0" w:color="auto"/>
              <w:right w:val="single" w:sz="4" w:space="0" w:color="auto"/>
            </w:tcBorders>
            <w:shd w:val="clear" w:color="auto" w:fill="auto"/>
            <w:noWrap/>
            <w:vAlign w:val="bottom"/>
            <w:hideMark/>
          </w:tcPr>
          <w:p w14:paraId="5F532EF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24%</w:t>
            </w:r>
          </w:p>
        </w:tc>
      </w:tr>
      <w:tr w:rsidR="00CE5B06" w:rsidRPr="00484A10" w14:paraId="502E59C2"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76223BE8"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Clôture grillagée (ml)</w:t>
            </w:r>
          </w:p>
        </w:tc>
        <w:tc>
          <w:tcPr>
            <w:tcW w:w="463" w:type="pct"/>
            <w:tcBorders>
              <w:top w:val="nil"/>
              <w:left w:val="nil"/>
              <w:bottom w:val="single" w:sz="4" w:space="0" w:color="auto"/>
              <w:right w:val="single" w:sz="4" w:space="0" w:color="auto"/>
            </w:tcBorders>
            <w:shd w:val="clear" w:color="auto" w:fill="auto"/>
            <w:vAlign w:val="center"/>
            <w:hideMark/>
          </w:tcPr>
          <w:p w14:paraId="1A612C5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304000</w:t>
            </w:r>
          </w:p>
        </w:tc>
        <w:tc>
          <w:tcPr>
            <w:tcW w:w="463" w:type="pct"/>
            <w:tcBorders>
              <w:top w:val="nil"/>
              <w:left w:val="nil"/>
              <w:bottom w:val="single" w:sz="4" w:space="0" w:color="auto"/>
              <w:right w:val="single" w:sz="4" w:space="0" w:color="auto"/>
            </w:tcBorders>
            <w:shd w:val="clear" w:color="auto" w:fill="auto"/>
            <w:vAlign w:val="center"/>
            <w:hideMark/>
          </w:tcPr>
          <w:p w14:paraId="1CEFDA0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83756</w:t>
            </w:r>
          </w:p>
        </w:tc>
        <w:tc>
          <w:tcPr>
            <w:tcW w:w="1289" w:type="pct"/>
            <w:tcBorders>
              <w:top w:val="nil"/>
              <w:left w:val="nil"/>
              <w:bottom w:val="single" w:sz="4" w:space="0" w:color="auto"/>
              <w:right w:val="single" w:sz="4" w:space="0" w:color="auto"/>
            </w:tcBorders>
            <w:shd w:val="clear" w:color="auto" w:fill="auto"/>
            <w:noWrap/>
            <w:vAlign w:val="bottom"/>
            <w:hideMark/>
          </w:tcPr>
          <w:p w14:paraId="388B399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28%</w:t>
            </w:r>
          </w:p>
        </w:tc>
      </w:tr>
      <w:tr w:rsidR="00CE5B06" w:rsidRPr="00484A10" w14:paraId="683F7E9D"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D364EE1"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Réseau californien (ml)</w:t>
            </w:r>
          </w:p>
        </w:tc>
        <w:tc>
          <w:tcPr>
            <w:tcW w:w="463" w:type="pct"/>
            <w:tcBorders>
              <w:top w:val="nil"/>
              <w:left w:val="nil"/>
              <w:bottom w:val="single" w:sz="4" w:space="0" w:color="auto"/>
              <w:right w:val="single" w:sz="4" w:space="0" w:color="auto"/>
            </w:tcBorders>
            <w:shd w:val="clear" w:color="auto" w:fill="auto"/>
            <w:vAlign w:val="center"/>
            <w:hideMark/>
          </w:tcPr>
          <w:p w14:paraId="477CDAB1"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445800</w:t>
            </w:r>
          </w:p>
        </w:tc>
        <w:tc>
          <w:tcPr>
            <w:tcW w:w="463" w:type="pct"/>
            <w:tcBorders>
              <w:top w:val="nil"/>
              <w:left w:val="nil"/>
              <w:bottom w:val="single" w:sz="4" w:space="0" w:color="auto"/>
              <w:right w:val="single" w:sz="4" w:space="0" w:color="auto"/>
            </w:tcBorders>
            <w:shd w:val="clear" w:color="auto" w:fill="auto"/>
            <w:vAlign w:val="center"/>
            <w:hideMark/>
          </w:tcPr>
          <w:p w14:paraId="1BDE80A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116205</w:t>
            </w:r>
          </w:p>
        </w:tc>
        <w:tc>
          <w:tcPr>
            <w:tcW w:w="1289" w:type="pct"/>
            <w:tcBorders>
              <w:top w:val="nil"/>
              <w:left w:val="nil"/>
              <w:bottom w:val="single" w:sz="4" w:space="0" w:color="auto"/>
              <w:right w:val="single" w:sz="4" w:space="0" w:color="auto"/>
            </w:tcBorders>
            <w:shd w:val="clear" w:color="auto" w:fill="auto"/>
            <w:noWrap/>
            <w:vAlign w:val="bottom"/>
            <w:hideMark/>
          </w:tcPr>
          <w:p w14:paraId="41FB7EE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26%</w:t>
            </w:r>
          </w:p>
        </w:tc>
      </w:tr>
      <w:tr w:rsidR="00CE5B06" w:rsidRPr="00484A10" w14:paraId="5706E346"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66E9370E"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Groupe motopompes mis en place</w:t>
            </w:r>
          </w:p>
        </w:tc>
        <w:tc>
          <w:tcPr>
            <w:tcW w:w="463" w:type="pct"/>
            <w:tcBorders>
              <w:top w:val="nil"/>
              <w:left w:val="nil"/>
              <w:bottom w:val="single" w:sz="4" w:space="0" w:color="auto"/>
              <w:right w:val="single" w:sz="4" w:space="0" w:color="auto"/>
            </w:tcBorders>
            <w:shd w:val="clear" w:color="auto" w:fill="auto"/>
            <w:vAlign w:val="center"/>
            <w:hideMark/>
          </w:tcPr>
          <w:p w14:paraId="1BF2151D"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4000</w:t>
            </w:r>
          </w:p>
        </w:tc>
        <w:tc>
          <w:tcPr>
            <w:tcW w:w="463" w:type="pct"/>
            <w:tcBorders>
              <w:top w:val="nil"/>
              <w:left w:val="nil"/>
              <w:bottom w:val="single" w:sz="4" w:space="0" w:color="auto"/>
              <w:right w:val="single" w:sz="4" w:space="0" w:color="auto"/>
            </w:tcBorders>
            <w:shd w:val="clear" w:color="auto" w:fill="auto"/>
            <w:vAlign w:val="center"/>
            <w:hideMark/>
          </w:tcPr>
          <w:p w14:paraId="3120CB2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1653</w:t>
            </w:r>
          </w:p>
        </w:tc>
        <w:tc>
          <w:tcPr>
            <w:tcW w:w="1289" w:type="pct"/>
            <w:tcBorders>
              <w:top w:val="nil"/>
              <w:left w:val="nil"/>
              <w:bottom w:val="single" w:sz="4" w:space="0" w:color="auto"/>
              <w:right w:val="single" w:sz="4" w:space="0" w:color="auto"/>
            </w:tcBorders>
            <w:shd w:val="clear" w:color="auto" w:fill="auto"/>
            <w:noWrap/>
            <w:vAlign w:val="bottom"/>
            <w:hideMark/>
          </w:tcPr>
          <w:p w14:paraId="521DA9C6"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41%</w:t>
            </w:r>
          </w:p>
        </w:tc>
      </w:tr>
      <w:tr w:rsidR="00CE5B06" w:rsidRPr="00484A10" w14:paraId="521FD6BD"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3E49E62C"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Pompes mise en place</w:t>
            </w:r>
          </w:p>
        </w:tc>
        <w:tc>
          <w:tcPr>
            <w:tcW w:w="463" w:type="pct"/>
            <w:tcBorders>
              <w:top w:val="nil"/>
              <w:left w:val="nil"/>
              <w:bottom w:val="single" w:sz="4" w:space="0" w:color="auto"/>
              <w:right w:val="single" w:sz="4" w:space="0" w:color="auto"/>
            </w:tcBorders>
            <w:shd w:val="clear" w:color="auto" w:fill="auto"/>
            <w:vAlign w:val="center"/>
            <w:hideMark/>
          </w:tcPr>
          <w:p w14:paraId="340FF57C"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54</w:t>
            </w:r>
          </w:p>
        </w:tc>
        <w:tc>
          <w:tcPr>
            <w:tcW w:w="463" w:type="pct"/>
            <w:tcBorders>
              <w:top w:val="nil"/>
              <w:left w:val="nil"/>
              <w:bottom w:val="single" w:sz="4" w:space="0" w:color="auto"/>
              <w:right w:val="single" w:sz="4" w:space="0" w:color="auto"/>
            </w:tcBorders>
            <w:shd w:val="clear" w:color="auto" w:fill="auto"/>
            <w:vAlign w:val="center"/>
            <w:hideMark/>
          </w:tcPr>
          <w:p w14:paraId="6349652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53</w:t>
            </w:r>
          </w:p>
        </w:tc>
        <w:tc>
          <w:tcPr>
            <w:tcW w:w="1289" w:type="pct"/>
            <w:tcBorders>
              <w:top w:val="nil"/>
              <w:left w:val="nil"/>
              <w:bottom w:val="single" w:sz="4" w:space="0" w:color="auto"/>
              <w:right w:val="single" w:sz="4" w:space="0" w:color="auto"/>
            </w:tcBorders>
            <w:shd w:val="clear" w:color="auto" w:fill="auto"/>
            <w:noWrap/>
            <w:vAlign w:val="bottom"/>
            <w:hideMark/>
          </w:tcPr>
          <w:p w14:paraId="11BB1BA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98%</w:t>
            </w:r>
          </w:p>
        </w:tc>
      </w:tr>
      <w:tr w:rsidR="00CE5B06" w:rsidRPr="00484A10" w14:paraId="073BD02D"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2A7DF60A"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Nouvelles superficies petite irrigation aménagées (ha)</w:t>
            </w:r>
          </w:p>
        </w:tc>
        <w:tc>
          <w:tcPr>
            <w:tcW w:w="463" w:type="pct"/>
            <w:tcBorders>
              <w:top w:val="nil"/>
              <w:left w:val="nil"/>
              <w:bottom w:val="single" w:sz="4" w:space="0" w:color="auto"/>
              <w:right w:val="single" w:sz="4" w:space="0" w:color="auto"/>
            </w:tcBorders>
            <w:shd w:val="clear" w:color="auto" w:fill="auto"/>
            <w:vAlign w:val="center"/>
            <w:hideMark/>
          </w:tcPr>
          <w:p w14:paraId="3D54AE4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4000</w:t>
            </w:r>
          </w:p>
        </w:tc>
        <w:tc>
          <w:tcPr>
            <w:tcW w:w="463" w:type="pct"/>
            <w:tcBorders>
              <w:top w:val="nil"/>
              <w:left w:val="nil"/>
              <w:bottom w:val="single" w:sz="4" w:space="0" w:color="auto"/>
              <w:right w:val="single" w:sz="4" w:space="0" w:color="auto"/>
            </w:tcBorders>
            <w:shd w:val="clear" w:color="auto" w:fill="auto"/>
            <w:vAlign w:val="center"/>
            <w:hideMark/>
          </w:tcPr>
          <w:p w14:paraId="74ADDE88"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1249</w:t>
            </w:r>
          </w:p>
        </w:tc>
        <w:tc>
          <w:tcPr>
            <w:tcW w:w="1289" w:type="pct"/>
            <w:tcBorders>
              <w:top w:val="nil"/>
              <w:left w:val="nil"/>
              <w:bottom w:val="single" w:sz="4" w:space="0" w:color="auto"/>
              <w:right w:val="single" w:sz="4" w:space="0" w:color="auto"/>
            </w:tcBorders>
            <w:shd w:val="clear" w:color="auto" w:fill="auto"/>
            <w:noWrap/>
            <w:vAlign w:val="bottom"/>
            <w:hideMark/>
          </w:tcPr>
          <w:p w14:paraId="4D3F0F53"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31%</w:t>
            </w:r>
          </w:p>
        </w:tc>
      </w:tr>
      <w:tr w:rsidR="00CE5B06" w:rsidRPr="00484A10" w14:paraId="475B5C34"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CAE0CD7"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Petits Périmètres irrigués confortés (ha)</w:t>
            </w:r>
          </w:p>
        </w:tc>
        <w:tc>
          <w:tcPr>
            <w:tcW w:w="463" w:type="pct"/>
            <w:tcBorders>
              <w:top w:val="nil"/>
              <w:left w:val="nil"/>
              <w:bottom w:val="single" w:sz="4" w:space="0" w:color="auto"/>
              <w:right w:val="single" w:sz="4" w:space="0" w:color="auto"/>
            </w:tcBorders>
            <w:shd w:val="clear" w:color="auto" w:fill="auto"/>
            <w:vAlign w:val="center"/>
            <w:hideMark/>
          </w:tcPr>
          <w:p w14:paraId="5C2F5A5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1000</w:t>
            </w:r>
          </w:p>
        </w:tc>
        <w:tc>
          <w:tcPr>
            <w:tcW w:w="463" w:type="pct"/>
            <w:tcBorders>
              <w:top w:val="nil"/>
              <w:left w:val="nil"/>
              <w:bottom w:val="single" w:sz="4" w:space="0" w:color="auto"/>
              <w:right w:val="single" w:sz="4" w:space="0" w:color="auto"/>
            </w:tcBorders>
            <w:shd w:val="clear" w:color="auto" w:fill="auto"/>
            <w:vAlign w:val="center"/>
            <w:hideMark/>
          </w:tcPr>
          <w:p w14:paraId="1FA89079"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1289" w:type="pct"/>
            <w:tcBorders>
              <w:top w:val="nil"/>
              <w:left w:val="nil"/>
              <w:bottom w:val="single" w:sz="4" w:space="0" w:color="auto"/>
              <w:right w:val="single" w:sz="4" w:space="0" w:color="auto"/>
            </w:tcBorders>
            <w:shd w:val="clear" w:color="auto" w:fill="auto"/>
            <w:noWrap/>
            <w:vAlign w:val="bottom"/>
            <w:hideMark/>
          </w:tcPr>
          <w:p w14:paraId="20BB2A88"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w:t>
            </w:r>
          </w:p>
        </w:tc>
      </w:tr>
      <w:tr w:rsidR="00CE5B06" w:rsidRPr="00484A10" w14:paraId="04B1EA98"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6ED0498"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Terres de décrues</w:t>
            </w:r>
          </w:p>
        </w:tc>
        <w:tc>
          <w:tcPr>
            <w:tcW w:w="463" w:type="pct"/>
            <w:tcBorders>
              <w:top w:val="nil"/>
              <w:left w:val="nil"/>
              <w:bottom w:val="single" w:sz="4" w:space="0" w:color="auto"/>
              <w:right w:val="single" w:sz="4" w:space="0" w:color="auto"/>
            </w:tcBorders>
            <w:shd w:val="clear" w:color="auto" w:fill="auto"/>
            <w:vAlign w:val="center"/>
            <w:hideMark/>
          </w:tcPr>
          <w:p w14:paraId="1DD5FC8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64000</w:t>
            </w:r>
          </w:p>
        </w:tc>
        <w:tc>
          <w:tcPr>
            <w:tcW w:w="463" w:type="pct"/>
            <w:tcBorders>
              <w:top w:val="nil"/>
              <w:left w:val="nil"/>
              <w:bottom w:val="single" w:sz="4" w:space="0" w:color="auto"/>
              <w:right w:val="single" w:sz="4" w:space="0" w:color="auto"/>
            </w:tcBorders>
            <w:shd w:val="clear" w:color="auto" w:fill="auto"/>
            <w:vAlign w:val="center"/>
            <w:hideMark/>
          </w:tcPr>
          <w:p w14:paraId="3546BC69"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36700</w:t>
            </w:r>
          </w:p>
        </w:tc>
        <w:tc>
          <w:tcPr>
            <w:tcW w:w="1289" w:type="pct"/>
            <w:tcBorders>
              <w:top w:val="nil"/>
              <w:left w:val="nil"/>
              <w:bottom w:val="single" w:sz="4" w:space="0" w:color="auto"/>
              <w:right w:val="single" w:sz="4" w:space="0" w:color="auto"/>
            </w:tcBorders>
            <w:shd w:val="clear" w:color="auto" w:fill="auto"/>
            <w:noWrap/>
            <w:vAlign w:val="bottom"/>
            <w:hideMark/>
          </w:tcPr>
          <w:p w14:paraId="75B6E66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57%</w:t>
            </w:r>
          </w:p>
        </w:tc>
      </w:tr>
      <w:tr w:rsidR="00CE5B06" w:rsidRPr="00484A10" w14:paraId="5EA0FA56"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38816F5C"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Parcelle de 250 m² (kits ménages)</w:t>
            </w:r>
          </w:p>
        </w:tc>
        <w:tc>
          <w:tcPr>
            <w:tcW w:w="463" w:type="pct"/>
            <w:tcBorders>
              <w:top w:val="nil"/>
              <w:left w:val="nil"/>
              <w:bottom w:val="single" w:sz="4" w:space="0" w:color="auto"/>
              <w:right w:val="single" w:sz="4" w:space="0" w:color="auto"/>
            </w:tcBorders>
            <w:shd w:val="clear" w:color="auto" w:fill="auto"/>
            <w:vAlign w:val="center"/>
            <w:hideMark/>
          </w:tcPr>
          <w:p w14:paraId="5899E15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4000</w:t>
            </w:r>
          </w:p>
        </w:tc>
        <w:tc>
          <w:tcPr>
            <w:tcW w:w="463" w:type="pct"/>
            <w:tcBorders>
              <w:top w:val="nil"/>
              <w:left w:val="nil"/>
              <w:bottom w:val="single" w:sz="4" w:space="0" w:color="auto"/>
              <w:right w:val="single" w:sz="4" w:space="0" w:color="auto"/>
            </w:tcBorders>
            <w:shd w:val="clear" w:color="auto" w:fill="auto"/>
            <w:vAlign w:val="center"/>
            <w:hideMark/>
          </w:tcPr>
          <w:p w14:paraId="22673E19"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c>
          <w:tcPr>
            <w:tcW w:w="1289" w:type="pct"/>
            <w:tcBorders>
              <w:top w:val="nil"/>
              <w:left w:val="nil"/>
              <w:bottom w:val="single" w:sz="4" w:space="0" w:color="auto"/>
              <w:right w:val="single" w:sz="4" w:space="0" w:color="auto"/>
            </w:tcBorders>
            <w:shd w:val="clear" w:color="auto" w:fill="auto"/>
            <w:noWrap/>
            <w:vAlign w:val="bottom"/>
            <w:hideMark/>
          </w:tcPr>
          <w:p w14:paraId="6DC5F6F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r>
      <w:tr w:rsidR="00CE5B06" w:rsidRPr="00484A10" w14:paraId="42577235"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60B09885"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Barrages réhabilités</w:t>
            </w:r>
          </w:p>
        </w:tc>
        <w:tc>
          <w:tcPr>
            <w:tcW w:w="463" w:type="pct"/>
            <w:tcBorders>
              <w:top w:val="nil"/>
              <w:left w:val="nil"/>
              <w:bottom w:val="single" w:sz="4" w:space="0" w:color="auto"/>
              <w:right w:val="single" w:sz="4" w:space="0" w:color="auto"/>
            </w:tcBorders>
            <w:shd w:val="clear" w:color="auto" w:fill="auto"/>
            <w:vAlign w:val="center"/>
            <w:hideMark/>
          </w:tcPr>
          <w:p w14:paraId="71D81A01"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w:t>
            </w:r>
          </w:p>
        </w:tc>
        <w:tc>
          <w:tcPr>
            <w:tcW w:w="463" w:type="pct"/>
            <w:tcBorders>
              <w:top w:val="nil"/>
              <w:left w:val="nil"/>
              <w:bottom w:val="single" w:sz="4" w:space="0" w:color="auto"/>
              <w:right w:val="single" w:sz="4" w:space="0" w:color="auto"/>
            </w:tcBorders>
            <w:shd w:val="clear" w:color="auto" w:fill="auto"/>
            <w:vAlign w:val="center"/>
            <w:hideMark/>
          </w:tcPr>
          <w:p w14:paraId="0A6A839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w:t>
            </w:r>
          </w:p>
        </w:tc>
        <w:tc>
          <w:tcPr>
            <w:tcW w:w="1289" w:type="pct"/>
            <w:tcBorders>
              <w:top w:val="nil"/>
              <w:left w:val="nil"/>
              <w:bottom w:val="single" w:sz="4" w:space="0" w:color="auto"/>
              <w:right w:val="single" w:sz="4" w:space="0" w:color="auto"/>
            </w:tcBorders>
            <w:shd w:val="clear" w:color="auto" w:fill="auto"/>
            <w:noWrap/>
            <w:vAlign w:val="bottom"/>
            <w:hideMark/>
          </w:tcPr>
          <w:p w14:paraId="3346E8A3"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100%</w:t>
            </w:r>
          </w:p>
        </w:tc>
      </w:tr>
      <w:tr w:rsidR="00CE5B06" w:rsidRPr="00484A10" w14:paraId="7D330DFC"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2FC52F8D"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Nouveaux barrages construits</w:t>
            </w:r>
          </w:p>
        </w:tc>
        <w:tc>
          <w:tcPr>
            <w:tcW w:w="463" w:type="pct"/>
            <w:tcBorders>
              <w:top w:val="nil"/>
              <w:left w:val="nil"/>
              <w:bottom w:val="single" w:sz="4" w:space="0" w:color="auto"/>
              <w:right w:val="single" w:sz="4" w:space="0" w:color="auto"/>
            </w:tcBorders>
            <w:shd w:val="clear" w:color="auto" w:fill="auto"/>
            <w:vAlign w:val="center"/>
            <w:hideMark/>
          </w:tcPr>
          <w:p w14:paraId="3ABDF4F6"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463" w:type="pct"/>
            <w:tcBorders>
              <w:top w:val="nil"/>
              <w:left w:val="nil"/>
              <w:bottom w:val="single" w:sz="4" w:space="0" w:color="auto"/>
              <w:right w:val="single" w:sz="4" w:space="0" w:color="auto"/>
            </w:tcBorders>
            <w:shd w:val="clear" w:color="auto" w:fill="auto"/>
            <w:vAlign w:val="center"/>
            <w:hideMark/>
          </w:tcPr>
          <w:p w14:paraId="246B58C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w:t>
            </w:r>
          </w:p>
        </w:tc>
        <w:tc>
          <w:tcPr>
            <w:tcW w:w="1289" w:type="pct"/>
            <w:tcBorders>
              <w:top w:val="nil"/>
              <w:left w:val="nil"/>
              <w:bottom w:val="single" w:sz="4" w:space="0" w:color="auto"/>
              <w:right w:val="single" w:sz="4" w:space="0" w:color="auto"/>
            </w:tcBorders>
            <w:shd w:val="clear" w:color="auto" w:fill="auto"/>
            <w:noWrap/>
            <w:vAlign w:val="bottom"/>
            <w:hideMark/>
          </w:tcPr>
          <w:p w14:paraId="453AD61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20%</w:t>
            </w:r>
          </w:p>
        </w:tc>
      </w:tr>
      <w:tr w:rsidR="00CE5B06" w:rsidRPr="00484A10" w14:paraId="2D6E6637"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2AAC6526"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Seuils réhabilités</w:t>
            </w:r>
          </w:p>
        </w:tc>
        <w:tc>
          <w:tcPr>
            <w:tcW w:w="463" w:type="pct"/>
            <w:tcBorders>
              <w:top w:val="nil"/>
              <w:left w:val="nil"/>
              <w:bottom w:val="single" w:sz="4" w:space="0" w:color="auto"/>
              <w:right w:val="single" w:sz="4" w:space="0" w:color="auto"/>
            </w:tcBorders>
            <w:shd w:val="clear" w:color="auto" w:fill="auto"/>
            <w:vAlign w:val="center"/>
            <w:hideMark/>
          </w:tcPr>
          <w:p w14:paraId="32B12C29"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463" w:type="pct"/>
            <w:tcBorders>
              <w:top w:val="nil"/>
              <w:left w:val="nil"/>
              <w:bottom w:val="single" w:sz="4" w:space="0" w:color="auto"/>
              <w:right w:val="single" w:sz="4" w:space="0" w:color="auto"/>
            </w:tcBorders>
            <w:shd w:val="clear" w:color="auto" w:fill="auto"/>
            <w:vAlign w:val="center"/>
            <w:hideMark/>
          </w:tcPr>
          <w:p w14:paraId="51F7F41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7</w:t>
            </w:r>
          </w:p>
        </w:tc>
        <w:tc>
          <w:tcPr>
            <w:tcW w:w="1289" w:type="pct"/>
            <w:tcBorders>
              <w:top w:val="nil"/>
              <w:left w:val="nil"/>
              <w:bottom w:val="single" w:sz="4" w:space="0" w:color="auto"/>
              <w:right w:val="single" w:sz="4" w:space="0" w:color="auto"/>
            </w:tcBorders>
            <w:shd w:val="clear" w:color="auto" w:fill="auto"/>
            <w:noWrap/>
            <w:vAlign w:val="bottom"/>
            <w:hideMark/>
          </w:tcPr>
          <w:p w14:paraId="305AFB7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140%</w:t>
            </w:r>
          </w:p>
        </w:tc>
      </w:tr>
      <w:tr w:rsidR="00CE5B06" w:rsidRPr="00484A10" w14:paraId="57C17874"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7F541F39"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Nouveaux seuils construits</w:t>
            </w:r>
          </w:p>
        </w:tc>
        <w:tc>
          <w:tcPr>
            <w:tcW w:w="463" w:type="pct"/>
            <w:tcBorders>
              <w:top w:val="nil"/>
              <w:left w:val="nil"/>
              <w:bottom w:val="single" w:sz="4" w:space="0" w:color="auto"/>
              <w:right w:val="single" w:sz="4" w:space="0" w:color="auto"/>
            </w:tcBorders>
            <w:shd w:val="clear" w:color="auto" w:fill="auto"/>
            <w:vAlign w:val="center"/>
            <w:hideMark/>
          </w:tcPr>
          <w:p w14:paraId="593EC65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65</w:t>
            </w:r>
          </w:p>
        </w:tc>
        <w:tc>
          <w:tcPr>
            <w:tcW w:w="463" w:type="pct"/>
            <w:tcBorders>
              <w:top w:val="nil"/>
              <w:left w:val="nil"/>
              <w:bottom w:val="single" w:sz="4" w:space="0" w:color="auto"/>
              <w:right w:val="single" w:sz="4" w:space="0" w:color="auto"/>
            </w:tcBorders>
            <w:shd w:val="clear" w:color="auto" w:fill="auto"/>
            <w:vAlign w:val="center"/>
            <w:hideMark/>
          </w:tcPr>
          <w:p w14:paraId="584BE28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21</w:t>
            </w:r>
          </w:p>
        </w:tc>
        <w:tc>
          <w:tcPr>
            <w:tcW w:w="1289" w:type="pct"/>
            <w:tcBorders>
              <w:top w:val="nil"/>
              <w:left w:val="nil"/>
              <w:bottom w:val="single" w:sz="4" w:space="0" w:color="auto"/>
              <w:right w:val="single" w:sz="4" w:space="0" w:color="auto"/>
            </w:tcBorders>
            <w:shd w:val="clear" w:color="auto" w:fill="auto"/>
            <w:noWrap/>
            <w:vAlign w:val="bottom"/>
            <w:hideMark/>
          </w:tcPr>
          <w:p w14:paraId="723E3699"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32%</w:t>
            </w:r>
          </w:p>
        </w:tc>
      </w:tr>
      <w:tr w:rsidR="00CE5B06" w:rsidRPr="00484A10" w14:paraId="59616398"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3436D122"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Mares aménagées</w:t>
            </w:r>
          </w:p>
        </w:tc>
        <w:tc>
          <w:tcPr>
            <w:tcW w:w="463" w:type="pct"/>
            <w:tcBorders>
              <w:top w:val="nil"/>
              <w:left w:val="nil"/>
              <w:bottom w:val="single" w:sz="4" w:space="0" w:color="auto"/>
              <w:right w:val="single" w:sz="4" w:space="0" w:color="auto"/>
            </w:tcBorders>
            <w:shd w:val="clear" w:color="auto" w:fill="auto"/>
            <w:vAlign w:val="center"/>
            <w:hideMark/>
          </w:tcPr>
          <w:p w14:paraId="3601DAC5"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16</w:t>
            </w:r>
          </w:p>
        </w:tc>
        <w:tc>
          <w:tcPr>
            <w:tcW w:w="463" w:type="pct"/>
            <w:tcBorders>
              <w:top w:val="nil"/>
              <w:left w:val="nil"/>
              <w:bottom w:val="single" w:sz="4" w:space="0" w:color="auto"/>
              <w:right w:val="single" w:sz="4" w:space="0" w:color="auto"/>
            </w:tcBorders>
            <w:shd w:val="clear" w:color="auto" w:fill="auto"/>
            <w:vAlign w:val="center"/>
            <w:hideMark/>
          </w:tcPr>
          <w:p w14:paraId="0032941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w:t>
            </w:r>
          </w:p>
        </w:tc>
        <w:tc>
          <w:tcPr>
            <w:tcW w:w="1289" w:type="pct"/>
            <w:tcBorders>
              <w:top w:val="nil"/>
              <w:left w:val="nil"/>
              <w:bottom w:val="single" w:sz="4" w:space="0" w:color="auto"/>
              <w:right w:val="single" w:sz="4" w:space="0" w:color="auto"/>
            </w:tcBorders>
            <w:shd w:val="clear" w:color="auto" w:fill="auto"/>
            <w:noWrap/>
            <w:vAlign w:val="bottom"/>
            <w:hideMark/>
          </w:tcPr>
          <w:p w14:paraId="2F688FCC"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19%</w:t>
            </w:r>
          </w:p>
        </w:tc>
      </w:tr>
      <w:tr w:rsidR="00CE5B06" w:rsidRPr="00484A10" w14:paraId="5BCB0B04"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0836A852"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Ouvrage de prises réhabilitées</w:t>
            </w:r>
          </w:p>
        </w:tc>
        <w:tc>
          <w:tcPr>
            <w:tcW w:w="463" w:type="pct"/>
            <w:tcBorders>
              <w:top w:val="nil"/>
              <w:left w:val="nil"/>
              <w:bottom w:val="single" w:sz="4" w:space="0" w:color="auto"/>
              <w:right w:val="single" w:sz="4" w:space="0" w:color="auto"/>
            </w:tcBorders>
            <w:shd w:val="clear" w:color="auto" w:fill="auto"/>
            <w:vAlign w:val="center"/>
            <w:hideMark/>
          </w:tcPr>
          <w:p w14:paraId="33E40D0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463" w:type="pct"/>
            <w:tcBorders>
              <w:top w:val="nil"/>
              <w:left w:val="nil"/>
              <w:bottom w:val="single" w:sz="4" w:space="0" w:color="auto"/>
              <w:right w:val="single" w:sz="4" w:space="0" w:color="auto"/>
            </w:tcBorders>
            <w:shd w:val="clear" w:color="auto" w:fill="auto"/>
            <w:vAlign w:val="center"/>
            <w:hideMark/>
          </w:tcPr>
          <w:p w14:paraId="4ED5C5ED"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17</w:t>
            </w:r>
          </w:p>
        </w:tc>
        <w:tc>
          <w:tcPr>
            <w:tcW w:w="1289" w:type="pct"/>
            <w:tcBorders>
              <w:top w:val="nil"/>
              <w:left w:val="nil"/>
              <w:bottom w:val="single" w:sz="4" w:space="0" w:color="auto"/>
              <w:right w:val="single" w:sz="4" w:space="0" w:color="auto"/>
            </w:tcBorders>
            <w:shd w:val="clear" w:color="auto" w:fill="auto"/>
            <w:noWrap/>
            <w:vAlign w:val="bottom"/>
            <w:hideMark/>
          </w:tcPr>
          <w:p w14:paraId="7A16E7E4"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340%</w:t>
            </w:r>
          </w:p>
        </w:tc>
      </w:tr>
      <w:tr w:rsidR="00CE5B06" w:rsidRPr="00484A10" w14:paraId="6B44CF29"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7727597"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Ouvrages de prises construits</w:t>
            </w:r>
          </w:p>
        </w:tc>
        <w:tc>
          <w:tcPr>
            <w:tcW w:w="463" w:type="pct"/>
            <w:tcBorders>
              <w:top w:val="nil"/>
              <w:left w:val="nil"/>
              <w:bottom w:val="single" w:sz="4" w:space="0" w:color="auto"/>
              <w:right w:val="single" w:sz="4" w:space="0" w:color="auto"/>
            </w:tcBorders>
            <w:shd w:val="clear" w:color="auto" w:fill="auto"/>
            <w:vAlign w:val="center"/>
            <w:hideMark/>
          </w:tcPr>
          <w:p w14:paraId="1D15F33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463" w:type="pct"/>
            <w:tcBorders>
              <w:top w:val="nil"/>
              <w:left w:val="nil"/>
              <w:bottom w:val="single" w:sz="4" w:space="0" w:color="auto"/>
              <w:right w:val="single" w:sz="4" w:space="0" w:color="auto"/>
            </w:tcBorders>
            <w:shd w:val="clear" w:color="auto" w:fill="auto"/>
            <w:vAlign w:val="center"/>
            <w:hideMark/>
          </w:tcPr>
          <w:p w14:paraId="6E20DBF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w:t>
            </w:r>
          </w:p>
        </w:tc>
        <w:tc>
          <w:tcPr>
            <w:tcW w:w="1289" w:type="pct"/>
            <w:tcBorders>
              <w:top w:val="nil"/>
              <w:left w:val="nil"/>
              <w:bottom w:val="single" w:sz="4" w:space="0" w:color="auto"/>
              <w:right w:val="single" w:sz="4" w:space="0" w:color="auto"/>
            </w:tcBorders>
            <w:shd w:val="clear" w:color="auto" w:fill="auto"/>
            <w:noWrap/>
            <w:vAlign w:val="bottom"/>
            <w:hideMark/>
          </w:tcPr>
          <w:p w14:paraId="7DA2D7FC"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60%</w:t>
            </w:r>
          </w:p>
        </w:tc>
      </w:tr>
      <w:tr w:rsidR="00CE5B06" w:rsidRPr="00484A10" w14:paraId="1D09F7CA"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49CC5865"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Bassins de rétention réalisés</w:t>
            </w:r>
          </w:p>
        </w:tc>
        <w:tc>
          <w:tcPr>
            <w:tcW w:w="463" w:type="pct"/>
            <w:tcBorders>
              <w:top w:val="nil"/>
              <w:left w:val="nil"/>
              <w:bottom w:val="single" w:sz="4" w:space="0" w:color="auto"/>
              <w:right w:val="single" w:sz="4" w:space="0" w:color="auto"/>
            </w:tcBorders>
            <w:shd w:val="clear" w:color="auto" w:fill="auto"/>
            <w:vAlign w:val="center"/>
            <w:hideMark/>
          </w:tcPr>
          <w:p w14:paraId="3F68085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20</w:t>
            </w:r>
          </w:p>
        </w:tc>
        <w:tc>
          <w:tcPr>
            <w:tcW w:w="463" w:type="pct"/>
            <w:tcBorders>
              <w:top w:val="nil"/>
              <w:left w:val="nil"/>
              <w:bottom w:val="single" w:sz="4" w:space="0" w:color="auto"/>
              <w:right w:val="single" w:sz="4" w:space="0" w:color="auto"/>
            </w:tcBorders>
            <w:shd w:val="clear" w:color="auto" w:fill="auto"/>
            <w:vAlign w:val="center"/>
            <w:hideMark/>
          </w:tcPr>
          <w:p w14:paraId="1513B4F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c>
          <w:tcPr>
            <w:tcW w:w="1289" w:type="pct"/>
            <w:tcBorders>
              <w:top w:val="nil"/>
              <w:left w:val="nil"/>
              <w:bottom w:val="single" w:sz="4" w:space="0" w:color="auto"/>
              <w:right w:val="single" w:sz="4" w:space="0" w:color="auto"/>
            </w:tcBorders>
            <w:shd w:val="clear" w:color="auto" w:fill="auto"/>
            <w:noWrap/>
            <w:vAlign w:val="bottom"/>
            <w:hideMark/>
          </w:tcPr>
          <w:p w14:paraId="301126C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r>
      <w:tr w:rsidR="00CE5B06" w:rsidRPr="00484A10" w14:paraId="1FD34896"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2273C325"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Banques céréalières</w:t>
            </w:r>
          </w:p>
        </w:tc>
        <w:tc>
          <w:tcPr>
            <w:tcW w:w="463" w:type="pct"/>
            <w:tcBorders>
              <w:top w:val="nil"/>
              <w:left w:val="nil"/>
              <w:bottom w:val="single" w:sz="4" w:space="0" w:color="auto"/>
              <w:right w:val="single" w:sz="4" w:space="0" w:color="auto"/>
            </w:tcBorders>
            <w:shd w:val="clear" w:color="auto" w:fill="auto"/>
            <w:vAlign w:val="center"/>
            <w:hideMark/>
          </w:tcPr>
          <w:p w14:paraId="4E123636"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200</w:t>
            </w:r>
          </w:p>
        </w:tc>
        <w:tc>
          <w:tcPr>
            <w:tcW w:w="463" w:type="pct"/>
            <w:tcBorders>
              <w:top w:val="nil"/>
              <w:left w:val="nil"/>
              <w:bottom w:val="single" w:sz="4" w:space="0" w:color="auto"/>
              <w:right w:val="single" w:sz="4" w:space="0" w:color="auto"/>
            </w:tcBorders>
            <w:shd w:val="clear" w:color="auto" w:fill="auto"/>
            <w:vAlign w:val="center"/>
            <w:hideMark/>
          </w:tcPr>
          <w:p w14:paraId="2BB6924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101</w:t>
            </w:r>
          </w:p>
        </w:tc>
        <w:tc>
          <w:tcPr>
            <w:tcW w:w="1289" w:type="pct"/>
            <w:tcBorders>
              <w:top w:val="nil"/>
              <w:left w:val="nil"/>
              <w:bottom w:val="single" w:sz="4" w:space="0" w:color="auto"/>
              <w:right w:val="single" w:sz="4" w:space="0" w:color="auto"/>
            </w:tcBorders>
            <w:shd w:val="clear" w:color="auto" w:fill="auto"/>
            <w:noWrap/>
            <w:vAlign w:val="bottom"/>
            <w:hideMark/>
          </w:tcPr>
          <w:p w14:paraId="16178844"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51%</w:t>
            </w:r>
          </w:p>
        </w:tc>
      </w:tr>
      <w:tr w:rsidR="00CE5B06" w:rsidRPr="00484A10" w14:paraId="6202B814"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07945898"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Boutiques d'intrants</w:t>
            </w:r>
          </w:p>
        </w:tc>
        <w:tc>
          <w:tcPr>
            <w:tcW w:w="463" w:type="pct"/>
            <w:tcBorders>
              <w:top w:val="nil"/>
              <w:left w:val="nil"/>
              <w:bottom w:val="single" w:sz="4" w:space="0" w:color="auto"/>
              <w:right w:val="single" w:sz="4" w:space="0" w:color="auto"/>
            </w:tcBorders>
            <w:shd w:val="clear" w:color="auto" w:fill="auto"/>
            <w:vAlign w:val="center"/>
            <w:hideMark/>
          </w:tcPr>
          <w:p w14:paraId="6117783D"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200</w:t>
            </w:r>
          </w:p>
        </w:tc>
        <w:tc>
          <w:tcPr>
            <w:tcW w:w="463" w:type="pct"/>
            <w:tcBorders>
              <w:top w:val="nil"/>
              <w:left w:val="nil"/>
              <w:bottom w:val="single" w:sz="4" w:space="0" w:color="auto"/>
              <w:right w:val="single" w:sz="4" w:space="0" w:color="auto"/>
            </w:tcBorders>
            <w:shd w:val="clear" w:color="auto" w:fill="auto"/>
            <w:vAlign w:val="center"/>
            <w:hideMark/>
          </w:tcPr>
          <w:p w14:paraId="5C6C9EC4"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64</w:t>
            </w:r>
          </w:p>
        </w:tc>
        <w:tc>
          <w:tcPr>
            <w:tcW w:w="1289" w:type="pct"/>
            <w:tcBorders>
              <w:top w:val="nil"/>
              <w:left w:val="nil"/>
              <w:bottom w:val="single" w:sz="4" w:space="0" w:color="auto"/>
              <w:right w:val="single" w:sz="4" w:space="0" w:color="auto"/>
            </w:tcBorders>
            <w:shd w:val="clear" w:color="auto" w:fill="auto"/>
            <w:noWrap/>
            <w:vAlign w:val="bottom"/>
            <w:hideMark/>
          </w:tcPr>
          <w:p w14:paraId="4E13A08A"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32%</w:t>
            </w:r>
          </w:p>
        </w:tc>
      </w:tr>
      <w:tr w:rsidR="00CE5B06" w:rsidRPr="00484A10" w14:paraId="3F4C8369"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D5CD154"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 xml:space="preserve">Magasins de warrantage </w:t>
            </w:r>
          </w:p>
        </w:tc>
        <w:tc>
          <w:tcPr>
            <w:tcW w:w="463" w:type="pct"/>
            <w:tcBorders>
              <w:top w:val="nil"/>
              <w:left w:val="nil"/>
              <w:bottom w:val="single" w:sz="4" w:space="0" w:color="auto"/>
              <w:right w:val="single" w:sz="4" w:space="0" w:color="auto"/>
            </w:tcBorders>
            <w:shd w:val="clear" w:color="auto" w:fill="auto"/>
            <w:vAlign w:val="center"/>
            <w:hideMark/>
          </w:tcPr>
          <w:p w14:paraId="0CD732E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200</w:t>
            </w:r>
          </w:p>
        </w:tc>
        <w:tc>
          <w:tcPr>
            <w:tcW w:w="463" w:type="pct"/>
            <w:tcBorders>
              <w:top w:val="nil"/>
              <w:left w:val="nil"/>
              <w:bottom w:val="single" w:sz="4" w:space="0" w:color="auto"/>
              <w:right w:val="single" w:sz="4" w:space="0" w:color="auto"/>
            </w:tcBorders>
            <w:shd w:val="clear" w:color="auto" w:fill="auto"/>
            <w:vAlign w:val="center"/>
            <w:hideMark/>
          </w:tcPr>
          <w:p w14:paraId="36C7670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w:t>
            </w:r>
          </w:p>
        </w:tc>
        <w:tc>
          <w:tcPr>
            <w:tcW w:w="1289" w:type="pct"/>
            <w:tcBorders>
              <w:top w:val="nil"/>
              <w:left w:val="nil"/>
              <w:bottom w:val="single" w:sz="4" w:space="0" w:color="auto"/>
              <w:right w:val="single" w:sz="4" w:space="0" w:color="auto"/>
            </w:tcBorders>
            <w:shd w:val="clear" w:color="auto" w:fill="auto"/>
            <w:noWrap/>
            <w:vAlign w:val="bottom"/>
            <w:hideMark/>
          </w:tcPr>
          <w:p w14:paraId="1AC9805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w:t>
            </w:r>
          </w:p>
        </w:tc>
      </w:tr>
      <w:tr w:rsidR="00CE5B06" w:rsidRPr="00484A10" w14:paraId="2A69B52E"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755A20C4"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Magasins de stockage</w:t>
            </w:r>
          </w:p>
        </w:tc>
        <w:tc>
          <w:tcPr>
            <w:tcW w:w="463" w:type="pct"/>
            <w:tcBorders>
              <w:top w:val="nil"/>
              <w:left w:val="nil"/>
              <w:bottom w:val="single" w:sz="4" w:space="0" w:color="auto"/>
              <w:right w:val="single" w:sz="4" w:space="0" w:color="auto"/>
            </w:tcBorders>
            <w:shd w:val="clear" w:color="auto" w:fill="auto"/>
            <w:vAlign w:val="center"/>
            <w:hideMark/>
          </w:tcPr>
          <w:p w14:paraId="1DA8064D"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50</w:t>
            </w:r>
          </w:p>
        </w:tc>
        <w:tc>
          <w:tcPr>
            <w:tcW w:w="463" w:type="pct"/>
            <w:tcBorders>
              <w:top w:val="nil"/>
              <w:left w:val="nil"/>
              <w:bottom w:val="single" w:sz="4" w:space="0" w:color="auto"/>
              <w:right w:val="single" w:sz="4" w:space="0" w:color="auto"/>
            </w:tcBorders>
            <w:shd w:val="clear" w:color="auto" w:fill="auto"/>
            <w:vAlign w:val="center"/>
            <w:hideMark/>
          </w:tcPr>
          <w:p w14:paraId="52067EA1"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54</w:t>
            </w:r>
          </w:p>
        </w:tc>
        <w:tc>
          <w:tcPr>
            <w:tcW w:w="1289" w:type="pct"/>
            <w:tcBorders>
              <w:top w:val="nil"/>
              <w:left w:val="nil"/>
              <w:bottom w:val="single" w:sz="4" w:space="0" w:color="auto"/>
              <w:right w:val="single" w:sz="4" w:space="0" w:color="auto"/>
            </w:tcBorders>
            <w:shd w:val="clear" w:color="auto" w:fill="auto"/>
            <w:noWrap/>
            <w:vAlign w:val="bottom"/>
            <w:hideMark/>
          </w:tcPr>
          <w:p w14:paraId="5E34CB5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108%</w:t>
            </w:r>
          </w:p>
        </w:tc>
      </w:tr>
      <w:tr w:rsidR="00CE5B06" w:rsidRPr="00484A10" w14:paraId="43CC6727"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345860C1" w14:textId="47BF31E3"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Pistes</w:t>
            </w:r>
            <w:r w:rsidR="003D34E5">
              <w:rPr>
                <w:rFonts w:ascii="Calibri" w:eastAsia="Times New Roman" w:hAnsi="Calibri" w:cs="Calibri"/>
                <w:sz w:val="20"/>
                <w:szCs w:val="20"/>
                <w:lang w:eastAsia="fr-FR"/>
              </w:rPr>
              <w:t xml:space="preserve"> </w:t>
            </w:r>
            <w:r w:rsidRPr="00484A10">
              <w:rPr>
                <w:rFonts w:ascii="Calibri" w:eastAsia="Times New Roman" w:hAnsi="Calibri" w:cs="Calibri"/>
                <w:sz w:val="20"/>
                <w:szCs w:val="20"/>
                <w:lang w:eastAsia="fr-FR"/>
              </w:rPr>
              <w:t>desserte réhabilitées (km)</w:t>
            </w:r>
          </w:p>
        </w:tc>
        <w:tc>
          <w:tcPr>
            <w:tcW w:w="463" w:type="pct"/>
            <w:tcBorders>
              <w:top w:val="nil"/>
              <w:left w:val="nil"/>
              <w:bottom w:val="single" w:sz="4" w:space="0" w:color="auto"/>
              <w:right w:val="single" w:sz="4" w:space="0" w:color="auto"/>
            </w:tcBorders>
            <w:shd w:val="clear" w:color="auto" w:fill="auto"/>
            <w:vAlign w:val="center"/>
            <w:hideMark/>
          </w:tcPr>
          <w:p w14:paraId="3D84AB0C"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45</w:t>
            </w:r>
          </w:p>
        </w:tc>
        <w:tc>
          <w:tcPr>
            <w:tcW w:w="463" w:type="pct"/>
            <w:tcBorders>
              <w:top w:val="nil"/>
              <w:left w:val="nil"/>
              <w:bottom w:val="single" w:sz="4" w:space="0" w:color="auto"/>
              <w:right w:val="single" w:sz="4" w:space="0" w:color="auto"/>
            </w:tcBorders>
            <w:shd w:val="clear" w:color="auto" w:fill="auto"/>
            <w:vAlign w:val="center"/>
            <w:hideMark/>
          </w:tcPr>
          <w:p w14:paraId="25A2CA85"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43</w:t>
            </w:r>
          </w:p>
        </w:tc>
        <w:tc>
          <w:tcPr>
            <w:tcW w:w="1289" w:type="pct"/>
            <w:tcBorders>
              <w:top w:val="nil"/>
              <w:left w:val="nil"/>
              <w:bottom w:val="single" w:sz="4" w:space="0" w:color="auto"/>
              <w:right w:val="single" w:sz="4" w:space="0" w:color="auto"/>
            </w:tcBorders>
            <w:shd w:val="clear" w:color="auto" w:fill="auto"/>
            <w:noWrap/>
            <w:vAlign w:val="bottom"/>
            <w:hideMark/>
          </w:tcPr>
          <w:p w14:paraId="71401E04"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96%</w:t>
            </w:r>
          </w:p>
        </w:tc>
      </w:tr>
      <w:tr w:rsidR="00CE5B06" w:rsidRPr="00484A10" w14:paraId="40FE0D21"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39E2BFF"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Pistes de dessertes construites (km)</w:t>
            </w:r>
          </w:p>
        </w:tc>
        <w:tc>
          <w:tcPr>
            <w:tcW w:w="463" w:type="pct"/>
            <w:tcBorders>
              <w:top w:val="nil"/>
              <w:left w:val="nil"/>
              <w:bottom w:val="single" w:sz="4" w:space="0" w:color="auto"/>
              <w:right w:val="single" w:sz="4" w:space="0" w:color="auto"/>
            </w:tcBorders>
            <w:shd w:val="clear" w:color="auto" w:fill="auto"/>
            <w:vAlign w:val="center"/>
            <w:hideMark/>
          </w:tcPr>
          <w:p w14:paraId="360A8D89"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70</w:t>
            </w:r>
          </w:p>
        </w:tc>
        <w:tc>
          <w:tcPr>
            <w:tcW w:w="463" w:type="pct"/>
            <w:tcBorders>
              <w:top w:val="nil"/>
              <w:left w:val="nil"/>
              <w:bottom w:val="single" w:sz="4" w:space="0" w:color="auto"/>
              <w:right w:val="single" w:sz="4" w:space="0" w:color="auto"/>
            </w:tcBorders>
            <w:shd w:val="clear" w:color="auto" w:fill="auto"/>
            <w:vAlign w:val="center"/>
            <w:hideMark/>
          </w:tcPr>
          <w:p w14:paraId="4DE48794"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106</w:t>
            </w:r>
          </w:p>
        </w:tc>
        <w:tc>
          <w:tcPr>
            <w:tcW w:w="1289" w:type="pct"/>
            <w:tcBorders>
              <w:top w:val="nil"/>
              <w:left w:val="nil"/>
              <w:bottom w:val="single" w:sz="4" w:space="0" w:color="auto"/>
              <w:right w:val="single" w:sz="4" w:space="0" w:color="auto"/>
            </w:tcBorders>
            <w:shd w:val="clear" w:color="auto" w:fill="auto"/>
            <w:noWrap/>
            <w:vAlign w:val="bottom"/>
            <w:hideMark/>
          </w:tcPr>
          <w:p w14:paraId="53320531"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151%</w:t>
            </w:r>
          </w:p>
        </w:tc>
      </w:tr>
      <w:tr w:rsidR="00CE5B06" w:rsidRPr="00484A10" w14:paraId="081FD7A1"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6D4A8D24"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Digues de protection réalisées</w:t>
            </w:r>
          </w:p>
        </w:tc>
        <w:tc>
          <w:tcPr>
            <w:tcW w:w="463" w:type="pct"/>
            <w:tcBorders>
              <w:top w:val="nil"/>
              <w:left w:val="nil"/>
              <w:bottom w:val="single" w:sz="4" w:space="0" w:color="auto"/>
              <w:right w:val="single" w:sz="4" w:space="0" w:color="auto"/>
            </w:tcBorders>
            <w:shd w:val="clear" w:color="auto" w:fill="auto"/>
            <w:vAlign w:val="center"/>
            <w:hideMark/>
          </w:tcPr>
          <w:p w14:paraId="60159C55"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w:t>
            </w:r>
          </w:p>
        </w:tc>
        <w:tc>
          <w:tcPr>
            <w:tcW w:w="463" w:type="pct"/>
            <w:tcBorders>
              <w:top w:val="nil"/>
              <w:left w:val="nil"/>
              <w:bottom w:val="single" w:sz="4" w:space="0" w:color="auto"/>
              <w:right w:val="single" w:sz="4" w:space="0" w:color="auto"/>
            </w:tcBorders>
            <w:shd w:val="clear" w:color="auto" w:fill="auto"/>
            <w:vAlign w:val="center"/>
            <w:hideMark/>
          </w:tcPr>
          <w:p w14:paraId="381B4544"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w:t>
            </w:r>
          </w:p>
        </w:tc>
        <w:tc>
          <w:tcPr>
            <w:tcW w:w="1289" w:type="pct"/>
            <w:tcBorders>
              <w:top w:val="nil"/>
              <w:left w:val="nil"/>
              <w:bottom w:val="single" w:sz="4" w:space="0" w:color="auto"/>
              <w:right w:val="single" w:sz="4" w:space="0" w:color="auto"/>
            </w:tcBorders>
            <w:shd w:val="clear" w:color="auto" w:fill="auto"/>
            <w:noWrap/>
            <w:vAlign w:val="bottom"/>
            <w:hideMark/>
          </w:tcPr>
          <w:p w14:paraId="093D1A1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72%</w:t>
            </w:r>
          </w:p>
        </w:tc>
      </w:tr>
      <w:tr w:rsidR="00CE5B06" w:rsidRPr="00484A10" w14:paraId="29D865E4"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489FF016"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Longueur de berges de cours d'eau protégées (ml)</w:t>
            </w:r>
          </w:p>
        </w:tc>
        <w:tc>
          <w:tcPr>
            <w:tcW w:w="463" w:type="pct"/>
            <w:tcBorders>
              <w:top w:val="nil"/>
              <w:left w:val="nil"/>
              <w:bottom w:val="single" w:sz="4" w:space="0" w:color="auto"/>
              <w:right w:val="single" w:sz="4" w:space="0" w:color="auto"/>
            </w:tcBorders>
            <w:shd w:val="clear" w:color="auto" w:fill="auto"/>
            <w:vAlign w:val="center"/>
            <w:hideMark/>
          </w:tcPr>
          <w:p w14:paraId="3ACA697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2500</w:t>
            </w:r>
          </w:p>
        </w:tc>
        <w:tc>
          <w:tcPr>
            <w:tcW w:w="463" w:type="pct"/>
            <w:tcBorders>
              <w:top w:val="nil"/>
              <w:left w:val="nil"/>
              <w:bottom w:val="single" w:sz="4" w:space="0" w:color="auto"/>
              <w:right w:val="single" w:sz="4" w:space="0" w:color="auto"/>
            </w:tcBorders>
            <w:shd w:val="clear" w:color="auto" w:fill="auto"/>
            <w:vAlign w:val="center"/>
            <w:hideMark/>
          </w:tcPr>
          <w:p w14:paraId="023CBC2C"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1272</w:t>
            </w:r>
          </w:p>
        </w:tc>
        <w:tc>
          <w:tcPr>
            <w:tcW w:w="1289" w:type="pct"/>
            <w:tcBorders>
              <w:top w:val="nil"/>
              <w:left w:val="nil"/>
              <w:bottom w:val="single" w:sz="4" w:space="0" w:color="auto"/>
              <w:right w:val="single" w:sz="4" w:space="0" w:color="auto"/>
            </w:tcBorders>
            <w:shd w:val="clear" w:color="auto" w:fill="auto"/>
            <w:noWrap/>
            <w:vAlign w:val="bottom"/>
            <w:hideMark/>
          </w:tcPr>
          <w:p w14:paraId="6F0B917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51%</w:t>
            </w:r>
          </w:p>
        </w:tc>
      </w:tr>
      <w:tr w:rsidR="00CE5B06" w:rsidRPr="00484A10" w14:paraId="2A59C411"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6DC99658" w14:textId="7DE18409"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Récupération des terres</w:t>
            </w:r>
            <w:r w:rsidR="003D34E5">
              <w:rPr>
                <w:rFonts w:ascii="Calibri" w:eastAsia="Times New Roman" w:hAnsi="Calibri" w:cs="Calibri"/>
                <w:sz w:val="20"/>
                <w:szCs w:val="20"/>
                <w:lang w:eastAsia="fr-FR"/>
              </w:rPr>
              <w:t xml:space="preserve"> </w:t>
            </w:r>
            <w:r w:rsidRPr="00484A10">
              <w:rPr>
                <w:rFonts w:ascii="Calibri" w:eastAsia="Times New Roman" w:hAnsi="Calibri" w:cs="Calibri"/>
                <w:sz w:val="20"/>
                <w:szCs w:val="20"/>
                <w:lang w:eastAsia="fr-FR"/>
              </w:rPr>
              <w:t>(ha)</w:t>
            </w:r>
          </w:p>
        </w:tc>
        <w:tc>
          <w:tcPr>
            <w:tcW w:w="463" w:type="pct"/>
            <w:tcBorders>
              <w:top w:val="nil"/>
              <w:left w:val="nil"/>
              <w:bottom w:val="single" w:sz="4" w:space="0" w:color="auto"/>
              <w:right w:val="single" w:sz="4" w:space="0" w:color="auto"/>
            </w:tcBorders>
            <w:shd w:val="clear" w:color="auto" w:fill="auto"/>
            <w:vAlign w:val="center"/>
            <w:hideMark/>
          </w:tcPr>
          <w:p w14:paraId="6999A8D9"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1000</w:t>
            </w:r>
          </w:p>
        </w:tc>
        <w:tc>
          <w:tcPr>
            <w:tcW w:w="463" w:type="pct"/>
            <w:tcBorders>
              <w:top w:val="nil"/>
              <w:left w:val="nil"/>
              <w:bottom w:val="single" w:sz="4" w:space="0" w:color="auto"/>
              <w:right w:val="single" w:sz="4" w:space="0" w:color="auto"/>
            </w:tcBorders>
            <w:shd w:val="clear" w:color="auto" w:fill="auto"/>
            <w:vAlign w:val="center"/>
            <w:hideMark/>
          </w:tcPr>
          <w:p w14:paraId="46EF88D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358</w:t>
            </w:r>
          </w:p>
        </w:tc>
        <w:tc>
          <w:tcPr>
            <w:tcW w:w="1289" w:type="pct"/>
            <w:tcBorders>
              <w:top w:val="nil"/>
              <w:left w:val="nil"/>
              <w:bottom w:val="single" w:sz="4" w:space="0" w:color="auto"/>
              <w:right w:val="single" w:sz="4" w:space="0" w:color="auto"/>
            </w:tcBorders>
            <w:shd w:val="clear" w:color="auto" w:fill="auto"/>
            <w:noWrap/>
            <w:vAlign w:val="bottom"/>
            <w:hideMark/>
          </w:tcPr>
          <w:p w14:paraId="6E616B2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36%</w:t>
            </w:r>
          </w:p>
        </w:tc>
      </w:tr>
      <w:tr w:rsidR="00CE5B06" w:rsidRPr="00484A10" w14:paraId="28D269B1"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noWrap/>
            <w:vAlign w:val="center"/>
            <w:hideMark/>
          </w:tcPr>
          <w:p w14:paraId="50C3797F"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Pesticides fournis (litres)</w:t>
            </w:r>
          </w:p>
        </w:tc>
        <w:tc>
          <w:tcPr>
            <w:tcW w:w="463" w:type="pct"/>
            <w:tcBorders>
              <w:top w:val="nil"/>
              <w:left w:val="nil"/>
              <w:bottom w:val="single" w:sz="4" w:space="0" w:color="auto"/>
              <w:right w:val="single" w:sz="4" w:space="0" w:color="auto"/>
            </w:tcBorders>
            <w:shd w:val="clear" w:color="auto" w:fill="auto"/>
            <w:vAlign w:val="center"/>
            <w:hideMark/>
          </w:tcPr>
          <w:p w14:paraId="7618D54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43600</w:t>
            </w:r>
          </w:p>
        </w:tc>
        <w:tc>
          <w:tcPr>
            <w:tcW w:w="463" w:type="pct"/>
            <w:tcBorders>
              <w:top w:val="nil"/>
              <w:left w:val="nil"/>
              <w:bottom w:val="single" w:sz="4" w:space="0" w:color="auto"/>
              <w:right w:val="single" w:sz="4" w:space="0" w:color="auto"/>
            </w:tcBorders>
            <w:shd w:val="clear" w:color="auto" w:fill="auto"/>
            <w:vAlign w:val="center"/>
            <w:hideMark/>
          </w:tcPr>
          <w:p w14:paraId="31B9E978"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35000</w:t>
            </w:r>
          </w:p>
        </w:tc>
        <w:tc>
          <w:tcPr>
            <w:tcW w:w="1289" w:type="pct"/>
            <w:tcBorders>
              <w:top w:val="nil"/>
              <w:left w:val="nil"/>
              <w:bottom w:val="single" w:sz="4" w:space="0" w:color="auto"/>
              <w:right w:val="single" w:sz="4" w:space="0" w:color="auto"/>
            </w:tcBorders>
            <w:shd w:val="clear" w:color="auto" w:fill="auto"/>
            <w:noWrap/>
            <w:vAlign w:val="bottom"/>
            <w:hideMark/>
          </w:tcPr>
          <w:p w14:paraId="443E65C1"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80%</w:t>
            </w:r>
          </w:p>
        </w:tc>
      </w:tr>
      <w:tr w:rsidR="00CE5B06" w:rsidRPr="00484A10" w14:paraId="76B30274"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noWrap/>
            <w:vAlign w:val="center"/>
            <w:hideMark/>
          </w:tcPr>
          <w:p w14:paraId="2B2D7734"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Appareils auto portés</w:t>
            </w:r>
          </w:p>
        </w:tc>
        <w:tc>
          <w:tcPr>
            <w:tcW w:w="463" w:type="pct"/>
            <w:tcBorders>
              <w:top w:val="nil"/>
              <w:left w:val="nil"/>
              <w:bottom w:val="single" w:sz="4" w:space="0" w:color="auto"/>
              <w:right w:val="single" w:sz="4" w:space="0" w:color="auto"/>
            </w:tcBorders>
            <w:shd w:val="clear" w:color="auto" w:fill="auto"/>
            <w:vAlign w:val="center"/>
            <w:hideMark/>
          </w:tcPr>
          <w:p w14:paraId="0A42DFC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w:t>
            </w:r>
          </w:p>
        </w:tc>
        <w:tc>
          <w:tcPr>
            <w:tcW w:w="463" w:type="pct"/>
            <w:tcBorders>
              <w:top w:val="nil"/>
              <w:left w:val="nil"/>
              <w:bottom w:val="single" w:sz="4" w:space="0" w:color="auto"/>
              <w:right w:val="single" w:sz="4" w:space="0" w:color="auto"/>
            </w:tcBorders>
            <w:shd w:val="clear" w:color="auto" w:fill="auto"/>
            <w:vAlign w:val="center"/>
            <w:hideMark/>
          </w:tcPr>
          <w:p w14:paraId="4290BA7A"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w:t>
            </w:r>
          </w:p>
        </w:tc>
        <w:tc>
          <w:tcPr>
            <w:tcW w:w="1289" w:type="pct"/>
            <w:tcBorders>
              <w:top w:val="nil"/>
              <w:left w:val="nil"/>
              <w:bottom w:val="single" w:sz="4" w:space="0" w:color="auto"/>
              <w:right w:val="single" w:sz="4" w:space="0" w:color="auto"/>
            </w:tcBorders>
            <w:shd w:val="clear" w:color="auto" w:fill="auto"/>
            <w:noWrap/>
            <w:vAlign w:val="bottom"/>
            <w:hideMark/>
          </w:tcPr>
          <w:p w14:paraId="454EAF9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100%</w:t>
            </w:r>
          </w:p>
        </w:tc>
      </w:tr>
      <w:tr w:rsidR="00CE5B06" w:rsidRPr="00484A10" w14:paraId="543F26D4"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4C720ABC"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Appareil motorisé à dos</w:t>
            </w:r>
          </w:p>
        </w:tc>
        <w:tc>
          <w:tcPr>
            <w:tcW w:w="463" w:type="pct"/>
            <w:tcBorders>
              <w:top w:val="nil"/>
              <w:left w:val="nil"/>
              <w:bottom w:val="single" w:sz="4" w:space="0" w:color="auto"/>
              <w:right w:val="single" w:sz="4" w:space="0" w:color="auto"/>
            </w:tcBorders>
            <w:shd w:val="clear" w:color="auto" w:fill="auto"/>
            <w:vAlign w:val="center"/>
            <w:hideMark/>
          </w:tcPr>
          <w:p w14:paraId="4E12AC08"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463" w:type="pct"/>
            <w:tcBorders>
              <w:top w:val="nil"/>
              <w:left w:val="nil"/>
              <w:bottom w:val="single" w:sz="4" w:space="0" w:color="auto"/>
              <w:right w:val="single" w:sz="4" w:space="0" w:color="auto"/>
            </w:tcBorders>
            <w:shd w:val="clear" w:color="auto" w:fill="auto"/>
            <w:vAlign w:val="center"/>
            <w:hideMark/>
          </w:tcPr>
          <w:p w14:paraId="3D5E91AA"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105</w:t>
            </w:r>
          </w:p>
        </w:tc>
        <w:tc>
          <w:tcPr>
            <w:tcW w:w="1289" w:type="pct"/>
            <w:tcBorders>
              <w:top w:val="nil"/>
              <w:left w:val="nil"/>
              <w:bottom w:val="single" w:sz="4" w:space="0" w:color="auto"/>
              <w:right w:val="single" w:sz="4" w:space="0" w:color="auto"/>
            </w:tcBorders>
            <w:shd w:val="clear" w:color="auto" w:fill="auto"/>
            <w:noWrap/>
            <w:vAlign w:val="bottom"/>
            <w:hideMark/>
          </w:tcPr>
          <w:p w14:paraId="7006E9A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2100%</w:t>
            </w:r>
          </w:p>
        </w:tc>
      </w:tr>
      <w:tr w:rsidR="00CE5B06" w:rsidRPr="00484A10" w14:paraId="69ADB7EC"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5C16776"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d'agents formés</w:t>
            </w:r>
          </w:p>
        </w:tc>
        <w:tc>
          <w:tcPr>
            <w:tcW w:w="463" w:type="pct"/>
            <w:tcBorders>
              <w:top w:val="nil"/>
              <w:left w:val="nil"/>
              <w:bottom w:val="single" w:sz="4" w:space="0" w:color="auto"/>
              <w:right w:val="single" w:sz="4" w:space="0" w:color="auto"/>
            </w:tcBorders>
            <w:shd w:val="clear" w:color="auto" w:fill="auto"/>
            <w:vAlign w:val="center"/>
            <w:hideMark/>
          </w:tcPr>
          <w:p w14:paraId="37AAE88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8</w:t>
            </w:r>
          </w:p>
        </w:tc>
        <w:tc>
          <w:tcPr>
            <w:tcW w:w="463" w:type="pct"/>
            <w:tcBorders>
              <w:top w:val="nil"/>
              <w:left w:val="nil"/>
              <w:bottom w:val="single" w:sz="4" w:space="0" w:color="auto"/>
              <w:right w:val="single" w:sz="4" w:space="0" w:color="auto"/>
            </w:tcBorders>
            <w:shd w:val="clear" w:color="auto" w:fill="auto"/>
            <w:vAlign w:val="center"/>
            <w:hideMark/>
          </w:tcPr>
          <w:p w14:paraId="32A7EBB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1289" w:type="pct"/>
            <w:tcBorders>
              <w:top w:val="nil"/>
              <w:left w:val="nil"/>
              <w:bottom w:val="single" w:sz="4" w:space="0" w:color="auto"/>
              <w:right w:val="single" w:sz="4" w:space="0" w:color="auto"/>
            </w:tcBorders>
            <w:shd w:val="clear" w:color="auto" w:fill="auto"/>
            <w:noWrap/>
            <w:vAlign w:val="bottom"/>
            <w:hideMark/>
          </w:tcPr>
          <w:p w14:paraId="6F09E54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63%</w:t>
            </w:r>
          </w:p>
        </w:tc>
      </w:tr>
      <w:tr w:rsidR="00CE5B06" w:rsidRPr="00484A10" w14:paraId="2BAAD8C0"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4875BE90"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de bâtiments construits</w:t>
            </w:r>
          </w:p>
        </w:tc>
        <w:tc>
          <w:tcPr>
            <w:tcW w:w="463" w:type="pct"/>
            <w:tcBorders>
              <w:top w:val="nil"/>
              <w:left w:val="nil"/>
              <w:bottom w:val="single" w:sz="4" w:space="0" w:color="auto"/>
              <w:right w:val="single" w:sz="4" w:space="0" w:color="auto"/>
            </w:tcBorders>
            <w:shd w:val="clear" w:color="auto" w:fill="auto"/>
            <w:vAlign w:val="center"/>
            <w:hideMark/>
          </w:tcPr>
          <w:p w14:paraId="681C6E61"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7</w:t>
            </w:r>
          </w:p>
        </w:tc>
        <w:tc>
          <w:tcPr>
            <w:tcW w:w="463" w:type="pct"/>
            <w:tcBorders>
              <w:top w:val="nil"/>
              <w:left w:val="nil"/>
              <w:bottom w:val="single" w:sz="4" w:space="0" w:color="auto"/>
              <w:right w:val="single" w:sz="4" w:space="0" w:color="auto"/>
            </w:tcBorders>
            <w:shd w:val="clear" w:color="auto" w:fill="auto"/>
            <w:vAlign w:val="center"/>
            <w:hideMark/>
          </w:tcPr>
          <w:p w14:paraId="25C377CD"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w:t>
            </w:r>
          </w:p>
        </w:tc>
        <w:tc>
          <w:tcPr>
            <w:tcW w:w="1289" w:type="pct"/>
            <w:tcBorders>
              <w:top w:val="nil"/>
              <w:left w:val="nil"/>
              <w:bottom w:val="single" w:sz="4" w:space="0" w:color="auto"/>
              <w:right w:val="single" w:sz="4" w:space="0" w:color="auto"/>
            </w:tcBorders>
            <w:shd w:val="clear" w:color="auto" w:fill="auto"/>
            <w:noWrap/>
            <w:vAlign w:val="bottom"/>
            <w:hideMark/>
          </w:tcPr>
          <w:p w14:paraId="56D7B0EA"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14%</w:t>
            </w:r>
          </w:p>
        </w:tc>
      </w:tr>
      <w:tr w:rsidR="00CE5B06" w:rsidRPr="00484A10" w14:paraId="308E9A85"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544A0C20"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d'Appareils motorisés à dos</w:t>
            </w:r>
          </w:p>
        </w:tc>
        <w:tc>
          <w:tcPr>
            <w:tcW w:w="463" w:type="pct"/>
            <w:tcBorders>
              <w:top w:val="nil"/>
              <w:left w:val="nil"/>
              <w:bottom w:val="single" w:sz="4" w:space="0" w:color="auto"/>
              <w:right w:val="single" w:sz="4" w:space="0" w:color="auto"/>
            </w:tcBorders>
            <w:shd w:val="clear" w:color="auto" w:fill="auto"/>
            <w:vAlign w:val="center"/>
            <w:hideMark/>
          </w:tcPr>
          <w:p w14:paraId="37C00151"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463" w:type="pct"/>
            <w:tcBorders>
              <w:top w:val="nil"/>
              <w:left w:val="nil"/>
              <w:bottom w:val="single" w:sz="4" w:space="0" w:color="auto"/>
              <w:right w:val="single" w:sz="4" w:space="0" w:color="auto"/>
            </w:tcBorders>
            <w:shd w:val="clear" w:color="auto" w:fill="auto"/>
            <w:vAlign w:val="center"/>
            <w:hideMark/>
          </w:tcPr>
          <w:p w14:paraId="5BFF4429"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1289" w:type="pct"/>
            <w:tcBorders>
              <w:top w:val="nil"/>
              <w:left w:val="nil"/>
              <w:bottom w:val="single" w:sz="4" w:space="0" w:color="auto"/>
              <w:right w:val="single" w:sz="4" w:space="0" w:color="auto"/>
            </w:tcBorders>
            <w:shd w:val="clear" w:color="auto" w:fill="auto"/>
            <w:noWrap/>
            <w:vAlign w:val="bottom"/>
            <w:hideMark/>
          </w:tcPr>
          <w:p w14:paraId="6AE6BA86"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100%</w:t>
            </w:r>
          </w:p>
        </w:tc>
      </w:tr>
      <w:tr w:rsidR="00CE5B06" w:rsidRPr="00484A10" w14:paraId="46EEFB68"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69CAB343"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d'Appareils auto portés</w:t>
            </w:r>
          </w:p>
        </w:tc>
        <w:tc>
          <w:tcPr>
            <w:tcW w:w="463" w:type="pct"/>
            <w:tcBorders>
              <w:top w:val="nil"/>
              <w:left w:val="nil"/>
              <w:bottom w:val="single" w:sz="4" w:space="0" w:color="auto"/>
              <w:right w:val="single" w:sz="4" w:space="0" w:color="auto"/>
            </w:tcBorders>
            <w:shd w:val="clear" w:color="auto" w:fill="auto"/>
            <w:vAlign w:val="center"/>
            <w:hideMark/>
          </w:tcPr>
          <w:p w14:paraId="204BEE1A"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w:t>
            </w:r>
          </w:p>
        </w:tc>
        <w:tc>
          <w:tcPr>
            <w:tcW w:w="463" w:type="pct"/>
            <w:tcBorders>
              <w:top w:val="nil"/>
              <w:left w:val="nil"/>
              <w:bottom w:val="single" w:sz="4" w:space="0" w:color="auto"/>
              <w:right w:val="single" w:sz="4" w:space="0" w:color="auto"/>
            </w:tcBorders>
            <w:shd w:val="clear" w:color="auto" w:fill="auto"/>
            <w:vAlign w:val="center"/>
            <w:hideMark/>
          </w:tcPr>
          <w:p w14:paraId="1BFA305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w:t>
            </w:r>
          </w:p>
        </w:tc>
        <w:tc>
          <w:tcPr>
            <w:tcW w:w="1289" w:type="pct"/>
            <w:tcBorders>
              <w:top w:val="nil"/>
              <w:left w:val="nil"/>
              <w:bottom w:val="single" w:sz="4" w:space="0" w:color="auto"/>
              <w:right w:val="single" w:sz="4" w:space="0" w:color="auto"/>
            </w:tcBorders>
            <w:shd w:val="clear" w:color="auto" w:fill="auto"/>
            <w:noWrap/>
            <w:vAlign w:val="bottom"/>
            <w:hideMark/>
          </w:tcPr>
          <w:p w14:paraId="681D4BBA"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100%</w:t>
            </w:r>
          </w:p>
        </w:tc>
      </w:tr>
      <w:tr w:rsidR="00CE5B06" w:rsidRPr="00484A10" w14:paraId="575D7E78"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592FA0A4"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de GPS</w:t>
            </w:r>
          </w:p>
        </w:tc>
        <w:tc>
          <w:tcPr>
            <w:tcW w:w="463" w:type="pct"/>
            <w:tcBorders>
              <w:top w:val="nil"/>
              <w:left w:val="nil"/>
              <w:bottom w:val="single" w:sz="4" w:space="0" w:color="auto"/>
              <w:right w:val="single" w:sz="4" w:space="0" w:color="auto"/>
            </w:tcBorders>
            <w:shd w:val="clear" w:color="auto" w:fill="auto"/>
            <w:vAlign w:val="center"/>
            <w:hideMark/>
          </w:tcPr>
          <w:p w14:paraId="1332A7F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463" w:type="pct"/>
            <w:tcBorders>
              <w:top w:val="nil"/>
              <w:left w:val="nil"/>
              <w:bottom w:val="single" w:sz="4" w:space="0" w:color="auto"/>
              <w:right w:val="single" w:sz="4" w:space="0" w:color="auto"/>
            </w:tcBorders>
            <w:shd w:val="clear" w:color="auto" w:fill="auto"/>
            <w:vAlign w:val="center"/>
            <w:hideMark/>
          </w:tcPr>
          <w:p w14:paraId="1961A5C4"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w:t>
            </w:r>
          </w:p>
        </w:tc>
        <w:tc>
          <w:tcPr>
            <w:tcW w:w="1289" w:type="pct"/>
            <w:tcBorders>
              <w:top w:val="nil"/>
              <w:left w:val="nil"/>
              <w:bottom w:val="single" w:sz="4" w:space="0" w:color="auto"/>
              <w:right w:val="single" w:sz="4" w:space="0" w:color="auto"/>
            </w:tcBorders>
            <w:shd w:val="clear" w:color="auto" w:fill="auto"/>
            <w:noWrap/>
            <w:vAlign w:val="bottom"/>
            <w:hideMark/>
          </w:tcPr>
          <w:p w14:paraId="5221022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100%</w:t>
            </w:r>
          </w:p>
        </w:tc>
      </w:tr>
      <w:tr w:rsidR="00CE5B06" w:rsidRPr="00484A10" w14:paraId="721E044C"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4D38A063"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 xml:space="preserve">Nombre de tracteurs </w:t>
            </w:r>
          </w:p>
        </w:tc>
        <w:tc>
          <w:tcPr>
            <w:tcW w:w="463" w:type="pct"/>
            <w:tcBorders>
              <w:top w:val="nil"/>
              <w:left w:val="nil"/>
              <w:bottom w:val="single" w:sz="4" w:space="0" w:color="auto"/>
              <w:right w:val="single" w:sz="4" w:space="0" w:color="auto"/>
            </w:tcBorders>
            <w:shd w:val="clear" w:color="auto" w:fill="auto"/>
            <w:vAlign w:val="center"/>
            <w:hideMark/>
          </w:tcPr>
          <w:p w14:paraId="106DC1A5"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400</w:t>
            </w:r>
          </w:p>
        </w:tc>
        <w:tc>
          <w:tcPr>
            <w:tcW w:w="463" w:type="pct"/>
            <w:tcBorders>
              <w:top w:val="nil"/>
              <w:left w:val="nil"/>
              <w:bottom w:val="single" w:sz="4" w:space="0" w:color="auto"/>
              <w:right w:val="single" w:sz="4" w:space="0" w:color="auto"/>
            </w:tcBorders>
            <w:shd w:val="clear" w:color="auto" w:fill="auto"/>
            <w:vAlign w:val="center"/>
            <w:hideMark/>
          </w:tcPr>
          <w:p w14:paraId="5DAA9BF3"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50</w:t>
            </w:r>
          </w:p>
        </w:tc>
        <w:tc>
          <w:tcPr>
            <w:tcW w:w="1289" w:type="pct"/>
            <w:tcBorders>
              <w:top w:val="nil"/>
              <w:left w:val="nil"/>
              <w:bottom w:val="single" w:sz="4" w:space="0" w:color="auto"/>
              <w:right w:val="single" w:sz="4" w:space="0" w:color="auto"/>
            </w:tcBorders>
            <w:shd w:val="clear" w:color="auto" w:fill="auto"/>
            <w:noWrap/>
            <w:vAlign w:val="bottom"/>
            <w:hideMark/>
          </w:tcPr>
          <w:p w14:paraId="752D9E4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13%</w:t>
            </w:r>
          </w:p>
        </w:tc>
      </w:tr>
      <w:tr w:rsidR="00CE5B06" w:rsidRPr="00484A10" w14:paraId="2865C4C3"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0497D737"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de motoculteurs</w:t>
            </w:r>
          </w:p>
        </w:tc>
        <w:tc>
          <w:tcPr>
            <w:tcW w:w="463" w:type="pct"/>
            <w:tcBorders>
              <w:top w:val="nil"/>
              <w:left w:val="nil"/>
              <w:bottom w:val="single" w:sz="4" w:space="0" w:color="auto"/>
              <w:right w:val="single" w:sz="4" w:space="0" w:color="auto"/>
            </w:tcBorders>
            <w:shd w:val="clear" w:color="auto" w:fill="auto"/>
            <w:vAlign w:val="center"/>
            <w:hideMark/>
          </w:tcPr>
          <w:p w14:paraId="50281958"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650</w:t>
            </w:r>
          </w:p>
        </w:tc>
        <w:tc>
          <w:tcPr>
            <w:tcW w:w="463" w:type="pct"/>
            <w:tcBorders>
              <w:top w:val="nil"/>
              <w:left w:val="nil"/>
              <w:bottom w:val="single" w:sz="4" w:space="0" w:color="auto"/>
              <w:right w:val="single" w:sz="4" w:space="0" w:color="auto"/>
            </w:tcBorders>
            <w:shd w:val="clear" w:color="auto" w:fill="auto"/>
            <w:vAlign w:val="center"/>
            <w:hideMark/>
          </w:tcPr>
          <w:p w14:paraId="2D611FE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c>
          <w:tcPr>
            <w:tcW w:w="1289" w:type="pct"/>
            <w:tcBorders>
              <w:top w:val="nil"/>
              <w:left w:val="nil"/>
              <w:bottom w:val="single" w:sz="4" w:space="0" w:color="auto"/>
              <w:right w:val="single" w:sz="4" w:space="0" w:color="auto"/>
            </w:tcBorders>
            <w:shd w:val="clear" w:color="auto" w:fill="auto"/>
            <w:noWrap/>
            <w:vAlign w:val="bottom"/>
            <w:hideMark/>
          </w:tcPr>
          <w:p w14:paraId="0212DAE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r>
      <w:tr w:rsidR="00CE5B06" w:rsidRPr="00484A10" w14:paraId="7458E58E"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633A40AF"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de kits</w:t>
            </w:r>
          </w:p>
        </w:tc>
        <w:tc>
          <w:tcPr>
            <w:tcW w:w="463" w:type="pct"/>
            <w:tcBorders>
              <w:top w:val="nil"/>
              <w:left w:val="nil"/>
              <w:bottom w:val="single" w:sz="4" w:space="0" w:color="auto"/>
              <w:right w:val="single" w:sz="4" w:space="0" w:color="auto"/>
            </w:tcBorders>
            <w:shd w:val="clear" w:color="auto" w:fill="auto"/>
            <w:vAlign w:val="center"/>
            <w:hideMark/>
          </w:tcPr>
          <w:p w14:paraId="4CD0743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4000</w:t>
            </w:r>
          </w:p>
        </w:tc>
        <w:tc>
          <w:tcPr>
            <w:tcW w:w="463" w:type="pct"/>
            <w:tcBorders>
              <w:top w:val="nil"/>
              <w:left w:val="nil"/>
              <w:bottom w:val="single" w:sz="4" w:space="0" w:color="auto"/>
              <w:right w:val="single" w:sz="4" w:space="0" w:color="auto"/>
            </w:tcBorders>
            <w:shd w:val="clear" w:color="auto" w:fill="auto"/>
            <w:vAlign w:val="center"/>
            <w:hideMark/>
          </w:tcPr>
          <w:p w14:paraId="7407E288"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c>
          <w:tcPr>
            <w:tcW w:w="1289" w:type="pct"/>
            <w:tcBorders>
              <w:top w:val="nil"/>
              <w:left w:val="nil"/>
              <w:bottom w:val="single" w:sz="4" w:space="0" w:color="auto"/>
              <w:right w:val="single" w:sz="4" w:space="0" w:color="auto"/>
            </w:tcBorders>
            <w:shd w:val="clear" w:color="auto" w:fill="auto"/>
            <w:noWrap/>
            <w:vAlign w:val="bottom"/>
            <w:hideMark/>
          </w:tcPr>
          <w:p w14:paraId="6D8A7935"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r>
      <w:tr w:rsidR="00CE5B06" w:rsidRPr="00484A10" w14:paraId="5A8F4004"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16B69CE"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cadres et producteurs formés</w:t>
            </w:r>
          </w:p>
        </w:tc>
        <w:tc>
          <w:tcPr>
            <w:tcW w:w="463" w:type="pct"/>
            <w:tcBorders>
              <w:top w:val="nil"/>
              <w:left w:val="nil"/>
              <w:bottom w:val="single" w:sz="4" w:space="0" w:color="auto"/>
              <w:right w:val="single" w:sz="4" w:space="0" w:color="auto"/>
            </w:tcBorders>
            <w:shd w:val="clear" w:color="auto" w:fill="auto"/>
            <w:vAlign w:val="center"/>
            <w:hideMark/>
          </w:tcPr>
          <w:p w14:paraId="60C6C8F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849</w:t>
            </w:r>
          </w:p>
        </w:tc>
        <w:tc>
          <w:tcPr>
            <w:tcW w:w="463" w:type="pct"/>
            <w:tcBorders>
              <w:top w:val="nil"/>
              <w:left w:val="nil"/>
              <w:bottom w:val="single" w:sz="4" w:space="0" w:color="auto"/>
              <w:right w:val="single" w:sz="4" w:space="0" w:color="auto"/>
            </w:tcBorders>
            <w:shd w:val="clear" w:color="auto" w:fill="auto"/>
            <w:vAlign w:val="center"/>
            <w:hideMark/>
          </w:tcPr>
          <w:p w14:paraId="4519AB3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953</w:t>
            </w:r>
          </w:p>
        </w:tc>
        <w:tc>
          <w:tcPr>
            <w:tcW w:w="1289" w:type="pct"/>
            <w:tcBorders>
              <w:top w:val="nil"/>
              <w:left w:val="nil"/>
              <w:bottom w:val="single" w:sz="4" w:space="0" w:color="auto"/>
              <w:right w:val="single" w:sz="4" w:space="0" w:color="auto"/>
            </w:tcBorders>
            <w:shd w:val="clear" w:color="auto" w:fill="auto"/>
            <w:noWrap/>
            <w:vAlign w:val="bottom"/>
            <w:hideMark/>
          </w:tcPr>
          <w:p w14:paraId="04CA28E3"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112%</w:t>
            </w:r>
          </w:p>
        </w:tc>
      </w:tr>
      <w:tr w:rsidR="00CE5B06" w:rsidRPr="00484A10" w14:paraId="6061A0B0"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270DD6F0"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de maisons de paysans</w:t>
            </w:r>
          </w:p>
        </w:tc>
        <w:tc>
          <w:tcPr>
            <w:tcW w:w="463" w:type="pct"/>
            <w:tcBorders>
              <w:top w:val="nil"/>
              <w:left w:val="nil"/>
              <w:bottom w:val="single" w:sz="4" w:space="0" w:color="auto"/>
              <w:right w:val="single" w:sz="4" w:space="0" w:color="auto"/>
            </w:tcBorders>
            <w:shd w:val="clear" w:color="auto" w:fill="auto"/>
            <w:vAlign w:val="center"/>
            <w:hideMark/>
          </w:tcPr>
          <w:p w14:paraId="58FB7819"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24</w:t>
            </w:r>
          </w:p>
        </w:tc>
        <w:tc>
          <w:tcPr>
            <w:tcW w:w="463" w:type="pct"/>
            <w:tcBorders>
              <w:top w:val="nil"/>
              <w:left w:val="nil"/>
              <w:bottom w:val="single" w:sz="4" w:space="0" w:color="auto"/>
              <w:right w:val="single" w:sz="4" w:space="0" w:color="auto"/>
            </w:tcBorders>
            <w:shd w:val="clear" w:color="auto" w:fill="auto"/>
            <w:vAlign w:val="center"/>
            <w:hideMark/>
          </w:tcPr>
          <w:p w14:paraId="423B38CA"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c>
          <w:tcPr>
            <w:tcW w:w="1289" w:type="pct"/>
            <w:tcBorders>
              <w:top w:val="nil"/>
              <w:left w:val="nil"/>
              <w:bottom w:val="single" w:sz="4" w:space="0" w:color="auto"/>
              <w:right w:val="single" w:sz="4" w:space="0" w:color="auto"/>
            </w:tcBorders>
            <w:shd w:val="clear" w:color="auto" w:fill="auto"/>
            <w:noWrap/>
            <w:vAlign w:val="bottom"/>
            <w:hideMark/>
          </w:tcPr>
          <w:p w14:paraId="74FE71D3"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r>
      <w:tr w:rsidR="00CE5B06" w:rsidRPr="00484A10" w14:paraId="2596804D" w14:textId="77777777" w:rsidTr="00856FD8">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C5E75A7"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éléments construits et approvisionnés/équipés</w:t>
            </w:r>
          </w:p>
        </w:tc>
        <w:tc>
          <w:tcPr>
            <w:tcW w:w="463" w:type="pct"/>
            <w:tcBorders>
              <w:top w:val="nil"/>
              <w:left w:val="nil"/>
              <w:bottom w:val="single" w:sz="4" w:space="0" w:color="auto"/>
              <w:right w:val="single" w:sz="4" w:space="0" w:color="auto"/>
            </w:tcBorders>
            <w:shd w:val="clear" w:color="auto" w:fill="auto"/>
            <w:vAlign w:val="center"/>
            <w:hideMark/>
          </w:tcPr>
          <w:p w14:paraId="6ED448DA"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52</w:t>
            </w:r>
          </w:p>
        </w:tc>
        <w:tc>
          <w:tcPr>
            <w:tcW w:w="463" w:type="pct"/>
            <w:tcBorders>
              <w:top w:val="nil"/>
              <w:left w:val="nil"/>
              <w:bottom w:val="single" w:sz="4" w:space="0" w:color="auto"/>
              <w:right w:val="single" w:sz="4" w:space="0" w:color="auto"/>
            </w:tcBorders>
            <w:shd w:val="clear" w:color="auto" w:fill="auto"/>
            <w:vAlign w:val="center"/>
            <w:hideMark/>
          </w:tcPr>
          <w:p w14:paraId="60FBD472"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c>
          <w:tcPr>
            <w:tcW w:w="1289" w:type="pct"/>
            <w:tcBorders>
              <w:top w:val="nil"/>
              <w:left w:val="nil"/>
              <w:bottom w:val="single" w:sz="4" w:space="0" w:color="auto"/>
              <w:right w:val="single" w:sz="4" w:space="0" w:color="auto"/>
            </w:tcBorders>
            <w:shd w:val="clear" w:color="auto" w:fill="auto"/>
            <w:noWrap/>
            <w:vAlign w:val="bottom"/>
            <w:hideMark/>
          </w:tcPr>
          <w:p w14:paraId="3811FFF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0%</w:t>
            </w:r>
          </w:p>
        </w:tc>
      </w:tr>
      <w:tr w:rsidR="00CE5B06" w:rsidRPr="00484A10" w14:paraId="23C533DA"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9C4D953"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CEP, apprenants</w:t>
            </w:r>
          </w:p>
        </w:tc>
        <w:tc>
          <w:tcPr>
            <w:tcW w:w="463" w:type="pct"/>
            <w:tcBorders>
              <w:top w:val="nil"/>
              <w:left w:val="nil"/>
              <w:bottom w:val="single" w:sz="4" w:space="0" w:color="auto"/>
              <w:right w:val="single" w:sz="4" w:space="0" w:color="auto"/>
            </w:tcBorders>
            <w:shd w:val="clear" w:color="auto" w:fill="auto"/>
            <w:vAlign w:val="center"/>
            <w:hideMark/>
          </w:tcPr>
          <w:p w14:paraId="2FD2065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574</w:t>
            </w:r>
          </w:p>
        </w:tc>
        <w:tc>
          <w:tcPr>
            <w:tcW w:w="463" w:type="pct"/>
            <w:tcBorders>
              <w:top w:val="nil"/>
              <w:left w:val="nil"/>
              <w:bottom w:val="single" w:sz="4" w:space="0" w:color="auto"/>
              <w:right w:val="single" w:sz="4" w:space="0" w:color="auto"/>
            </w:tcBorders>
            <w:shd w:val="clear" w:color="auto" w:fill="auto"/>
            <w:vAlign w:val="center"/>
            <w:hideMark/>
          </w:tcPr>
          <w:p w14:paraId="274A127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394</w:t>
            </w:r>
          </w:p>
        </w:tc>
        <w:tc>
          <w:tcPr>
            <w:tcW w:w="1289" w:type="pct"/>
            <w:tcBorders>
              <w:top w:val="nil"/>
              <w:left w:val="nil"/>
              <w:bottom w:val="single" w:sz="4" w:space="0" w:color="auto"/>
              <w:right w:val="single" w:sz="4" w:space="0" w:color="auto"/>
            </w:tcBorders>
            <w:shd w:val="clear" w:color="auto" w:fill="auto"/>
            <w:noWrap/>
            <w:vAlign w:val="bottom"/>
            <w:hideMark/>
          </w:tcPr>
          <w:p w14:paraId="5FB45246"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69%</w:t>
            </w:r>
          </w:p>
        </w:tc>
      </w:tr>
      <w:tr w:rsidR="00CE5B06" w:rsidRPr="00484A10" w14:paraId="04413EAF"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5F6305AA"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parcelles, participants</w:t>
            </w:r>
          </w:p>
        </w:tc>
        <w:tc>
          <w:tcPr>
            <w:tcW w:w="463" w:type="pct"/>
            <w:tcBorders>
              <w:top w:val="nil"/>
              <w:left w:val="nil"/>
              <w:bottom w:val="single" w:sz="4" w:space="0" w:color="auto"/>
              <w:right w:val="single" w:sz="4" w:space="0" w:color="auto"/>
            </w:tcBorders>
            <w:shd w:val="clear" w:color="auto" w:fill="auto"/>
            <w:vAlign w:val="center"/>
            <w:hideMark/>
          </w:tcPr>
          <w:p w14:paraId="74DD31E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1125</w:t>
            </w:r>
          </w:p>
        </w:tc>
        <w:tc>
          <w:tcPr>
            <w:tcW w:w="463" w:type="pct"/>
            <w:tcBorders>
              <w:top w:val="nil"/>
              <w:left w:val="nil"/>
              <w:bottom w:val="single" w:sz="4" w:space="0" w:color="auto"/>
              <w:right w:val="single" w:sz="4" w:space="0" w:color="auto"/>
            </w:tcBorders>
            <w:shd w:val="clear" w:color="auto" w:fill="auto"/>
            <w:vAlign w:val="center"/>
            <w:hideMark/>
          </w:tcPr>
          <w:p w14:paraId="64D17C3B"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1094</w:t>
            </w:r>
          </w:p>
        </w:tc>
        <w:tc>
          <w:tcPr>
            <w:tcW w:w="1289" w:type="pct"/>
            <w:tcBorders>
              <w:top w:val="nil"/>
              <w:left w:val="nil"/>
              <w:bottom w:val="single" w:sz="4" w:space="0" w:color="auto"/>
              <w:right w:val="single" w:sz="4" w:space="0" w:color="auto"/>
            </w:tcBorders>
            <w:shd w:val="clear" w:color="auto" w:fill="auto"/>
            <w:noWrap/>
            <w:vAlign w:val="bottom"/>
            <w:hideMark/>
          </w:tcPr>
          <w:p w14:paraId="5397DE8A"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97%</w:t>
            </w:r>
          </w:p>
        </w:tc>
      </w:tr>
      <w:tr w:rsidR="00CE5B06" w:rsidRPr="00484A10" w14:paraId="34C8A8A9"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560E7E4A" w14:textId="3C26281A" w:rsidR="00CE5B06" w:rsidRPr="00484A10" w:rsidRDefault="00484A10"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 xml:space="preserve">Nombre </w:t>
            </w:r>
            <w:r w:rsidR="00CE5B06" w:rsidRPr="00484A10">
              <w:rPr>
                <w:rFonts w:ascii="Calibri" w:eastAsia="Times New Roman" w:hAnsi="Calibri" w:cs="Calibri"/>
                <w:sz w:val="20"/>
                <w:szCs w:val="20"/>
                <w:lang w:eastAsia="fr-FR"/>
              </w:rPr>
              <w:t xml:space="preserve">personnes touchées </w:t>
            </w:r>
          </w:p>
        </w:tc>
        <w:tc>
          <w:tcPr>
            <w:tcW w:w="463" w:type="pct"/>
            <w:tcBorders>
              <w:top w:val="nil"/>
              <w:left w:val="nil"/>
              <w:bottom w:val="single" w:sz="4" w:space="0" w:color="auto"/>
              <w:right w:val="single" w:sz="4" w:space="0" w:color="auto"/>
            </w:tcBorders>
            <w:shd w:val="clear" w:color="auto" w:fill="auto"/>
            <w:vAlign w:val="center"/>
            <w:hideMark/>
          </w:tcPr>
          <w:p w14:paraId="050FB80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350</w:t>
            </w:r>
          </w:p>
        </w:tc>
        <w:tc>
          <w:tcPr>
            <w:tcW w:w="463" w:type="pct"/>
            <w:tcBorders>
              <w:top w:val="nil"/>
              <w:left w:val="nil"/>
              <w:bottom w:val="single" w:sz="4" w:space="0" w:color="auto"/>
              <w:right w:val="single" w:sz="4" w:space="0" w:color="auto"/>
            </w:tcBorders>
            <w:shd w:val="clear" w:color="auto" w:fill="auto"/>
            <w:vAlign w:val="center"/>
            <w:hideMark/>
          </w:tcPr>
          <w:p w14:paraId="471286AE"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344</w:t>
            </w:r>
          </w:p>
        </w:tc>
        <w:tc>
          <w:tcPr>
            <w:tcW w:w="1289" w:type="pct"/>
            <w:tcBorders>
              <w:top w:val="nil"/>
              <w:left w:val="nil"/>
              <w:bottom w:val="single" w:sz="4" w:space="0" w:color="auto"/>
              <w:right w:val="single" w:sz="4" w:space="0" w:color="auto"/>
            </w:tcBorders>
            <w:shd w:val="clear" w:color="auto" w:fill="auto"/>
            <w:noWrap/>
            <w:vAlign w:val="bottom"/>
            <w:hideMark/>
          </w:tcPr>
          <w:p w14:paraId="2CC5A145"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98%</w:t>
            </w:r>
          </w:p>
        </w:tc>
      </w:tr>
      <w:tr w:rsidR="00CE5B06" w:rsidRPr="00484A10" w14:paraId="6A950968" w14:textId="77777777" w:rsidTr="00105E3D">
        <w:trPr>
          <w:trHeight w:val="170"/>
        </w:trPr>
        <w:tc>
          <w:tcPr>
            <w:tcW w:w="2785" w:type="pct"/>
            <w:tcBorders>
              <w:top w:val="nil"/>
              <w:left w:val="single" w:sz="4" w:space="0" w:color="auto"/>
              <w:bottom w:val="single" w:sz="4" w:space="0" w:color="auto"/>
              <w:right w:val="single" w:sz="4" w:space="0" w:color="auto"/>
            </w:tcBorders>
            <w:shd w:val="clear" w:color="auto" w:fill="auto"/>
            <w:vAlign w:val="center"/>
            <w:hideMark/>
          </w:tcPr>
          <w:p w14:paraId="10FB3802" w14:textId="77777777" w:rsidR="00CE5B06" w:rsidRPr="00484A10" w:rsidRDefault="00CE5B06" w:rsidP="00F12682">
            <w:pPr>
              <w:spacing w:after="0" w:line="240" w:lineRule="auto"/>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Nombre de membres de COGES</w:t>
            </w:r>
          </w:p>
        </w:tc>
        <w:tc>
          <w:tcPr>
            <w:tcW w:w="463" w:type="pct"/>
            <w:tcBorders>
              <w:top w:val="nil"/>
              <w:left w:val="nil"/>
              <w:bottom w:val="single" w:sz="4" w:space="0" w:color="auto"/>
              <w:right w:val="single" w:sz="4" w:space="0" w:color="auto"/>
            </w:tcBorders>
            <w:shd w:val="clear" w:color="auto" w:fill="auto"/>
            <w:vAlign w:val="center"/>
            <w:hideMark/>
          </w:tcPr>
          <w:p w14:paraId="10A06BB0"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1200</w:t>
            </w:r>
          </w:p>
        </w:tc>
        <w:tc>
          <w:tcPr>
            <w:tcW w:w="463" w:type="pct"/>
            <w:tcBorders>
              <w:top w:val="nil"/>
              <w:left w:val="nil"/>
              <w:bottom w:val="single" w:sz="4" w:space="0" w:color="auto"/>
              <w:right w:val="single" w:sz="4" w:space="0" w:color="auto"/>
            </w:tcBorders>
            <w:shd w:val="clear" w:color="auto" w:fill="auto"/>
            <w:vAlign w:val="center"/>
            <w:hideMark/>
          </w:tcPr>
          <w:p w14:paraId="754FF2EF"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489</w:t>
            </w:r>
          </w:p>
        </w:tc>
        <w:tc>
          <w:tcPr>
            <w:tcW w:w="1289" w:type="pct"/>
            <w:tcBorders>
              <w:top w:val="nil"/>
              <w:left w:val="nil"/>
              <w:bottom w:val="single" w:sz="4" w:space="0" w:color="auto"/>
              <w:right w:val="single" w:sz="4" w:space="0" w:color="auto"/>
            </w:tcBorders>
            <w:shd w:val="clear" w:color="auto" w:fill="auto"/>
            <w:noWrap/>
            <w:vAlign w:val="bottom"/>
            <w:hideMark/>
          </w:tcPr>
          <w:p w14:paraId="1727BD47" w14:textId="77777777" w:rsidR="00CE5B06" w:rsidRPr="00484A10" w:rsidRDefault="00CE5B06" w:rsidP="00F12682">
            <w:pPr>
              <w:spacing w:after="0" w:line="240" w:lineRule="auto"/>
              <w:jc w:val="right"/>
              <w:rPr>
                <w:rFonts w:ascii="Calibri" w:eastAsia="Times New Roman" w:hAnsi="Calibri" w:cs="Calibri"/>
                <w:sz w:val="20"/>
                <w:szCs w:val="20"/>
                <w:lang w:eastAsia="fr-FR"/>
              </w:rPr>
            </w:pPr>
            <w:r w:rsidRPr="00484A10">
              <w:rPr>
                <w:rFonts w:ascii="Calibri" w:eastAsia="Times New Roman" w:hAnsi="Calibri" w:cs="Calibri"/>
                <w:sz w:val="20"/>
                <w:szCs w:val="20"/>
                <w:lang w:eastAsia="fr-FR"/>
              </w:rPr>
              <w:t>41%</w:t>
            </w:r>
          </w:p>
        </w:tc>
      </w:tr>
    </w:tbl>
    <w:p w14:paraId="0B30955C" w14:textId="77777777" w:rsidR="007F358B" w:rsidRDefault="007F358B" w:rsidP="00F12682">
      <w:pPr>
        <w:spacing w:after="120" w:line="276" w:lineRule="auto"/>
        <w:jc w:val="both"/>
        <w:rPr>
          <w:rFonts w:ascii="Calibri" w:eastAsiaTheme="majorEastAsia" w:hAnsi="Calibri" w:cs="Calibri"/>
          <w:iCs/>
          <w:sz w:val="24"/>
        </w:rPr>
      </w:pPr>
    </w:p>
    <w:p w14:paraId="61DEB101" w14:textId="77777777" w:rsidR="007F358B" w:rsidRPr="00673E94" w:rsidRDefault="007F358B" w:rsidP="00F12682">
      <w:pPr>
        <w:spacing w:after="120" w:line="276" w:lineRule="auto"/>
        <w:jc w:val="both"/>
        <w:rPr>
          <w:rFonts w:ascii="Calibri" w:eastAsiaTheme="majorEastAsia" w:hAnsi="Calibri" w:cs="Calibri"/>
          <w:iCs/>
          <w:sz w:val="24"/>
        </w:rPr>
      </w:pPr>
    </w:p>
    <w:p w14:paraId="6E34CBF0" w14:textId="67B8D879" w:rsidR="005970F0" w:rsidRPr="00387E29" w:rsidRDefault="005970F0" w:rsidP="00F12682">
      <w:pPr>
        <w:pStyle w:val="Titre2"/>
        <w:numPr>
          <w:ilvl w:val="1"/>
          <w:numId w:val="22"/>
        </w:numPr>
        <w:rPr>
          <w:rFonts w:asciiTheme="minorHAnsi" w:hAnsiTheme="minorHAnsi" w:cstheme="minorHAnsi"/>
        </w:rPr>
      </w:pPr>
      <w:bookmarkStart w:id="175" w:name="_Toc529305042"/>
      <w:r w:rsidRPr="00387E29">
        <w:rPr>
          <w:rFonts w:asciiTheme="minorHAnsi" w:hAnsiTheme="minorHAnsi" w:cstheme="minorHAnsi"/>
        </w:rPr>
        <w:lastRenderedPageBreak/>
        <w:t>Ministère de l’E</w:t>
      </w:r>
      <w:r w:rsidR="007F358B" w:rsidRPr="00387E29">
        <w:rPr>
          <w:rFonts w:asciiTheme="minorHAnsi" w:hAnsiTheme="minorHAnsi" w:cstheme="minorHAnsi"/>
        </w:rPr>
        <w:t>levage (MEL)</w:t>
      </w:r>
      <w:bookmarkEnd w:id="175"/>
    </w:p>
    <w:p w14:paraId="480D6463"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l’efficacité</w:t>
      </w:r>
      <w:r>
        <w:rPr>
          <w:rFonts w:asciiTheme="minorHAnsi" w:hAnsiTheme="minorHAnsi" w:cstheme="minorHAnsi"/>
        </w:rPr>
        <w:t xml:space="preserve"> des dépenses de fonctionnement</w:t>
      </w:r>
    </w:p>
    <w:p w14:paraId="07F7F8A3" w14:textId="6C0FFA68" w:rsidR="00FF0CAD" w:rsidRDefault="00457FB2"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En 2016 au MEL,</w:t>
      </w:r>
      <w:r w:rsidR="009A2ED1">
        <w:rPr>
          <w:rFonts w:ascii="Calibri" w:eastAsiaTheme="majorEastAsia" w:hAnsi="Calibri" w:cs="Calibri"/>
          <w:iCs/>
          <w:sz w:val="24"/>
        </w:rPr>
        <w:t xml:space="preserve"> </w:t>
      </w:r>
      <w:r w:rsidR="00E77C7E">
        <w:rPr>
          <w:rFonts w:ascii="Calibri" w:eastAsiaTheme="majorEastAsia" w:hAnsi="Calibri" w:cs="Calibri"/>
          <w:iCs/>
          <w:sz w:val="24"/>
        </w:rPr>
        <w:t>l</w:t>
      </w:r>
      <w:r w:rsidR="00CF4C9F" w:rsidRPr="00484A10">
        <w:rPr>
          <w:rFonts w:ascii="Calibri" w:eastAsiaTheme="majorEastAsia" w:hAnsi="Calibri" w:cs="Calibri"/>
          <w:iCs/>
          <w:sz w:val="24"/>
        </w:rPr>
        <w:t>es dépenses de crédits de fonctionnement sont</w:t>
      </w:r>
      <w:r w:rsidR="00E77C7E">
        <w:rPr>
          <w:rFonts w:ascii="Calibri" w:eastAsiaTheme="majorEastAsia" w:hAnsi="Calibri" w:cs="Calibri"/>
          <w:iCs/>
          <w:sz w:val="24"/>
        </w:rPr>
        <w:t xml:space="preserve"> pour la moitié (49,6%) centralisées au niveau du cabinet.</w:t>
      </w:r>
      <w:r w:rsidR="00825758">
        <w:rPr>
          <w:rFonts w:ascii="Calibri" w:eastAsiaTheme="majorEastAsia" w:hAnsi="Calibri" w:cs="Calibri"/>
          <w:iCs/>
          <w:sz w:val="24"/>
        </w:rPr>
        <w:t xml:space="preserve"> </w:t>
      </w:r>
      <w:r w:rsidR="00CF4C9F" w:rsidRPr="00484A10">
        <w:rPr>
          <w:rFonts w:ascii="Calibri" w:eastAsiaTheme="majorEastAsia" w:hAnsi="Calibri" w:cs="Calibri"/>
          <w:iCs/>
          <w:sz w:val="24"/>
        </w:rPr>
        <w:t xml:space="preserve">Le niveau déconcentré (régions, départements et communes) n’ont reçu </w:t>
      </w:r>
      <w:r w:rsidR="00FF0CAD">
        <w:rPr>
          <w:rFonts w:ascii="Calibri" w:eastAsiaTheme="majorEastAsia" w:hAnsi="Calibri" w:cs="Calibri"/>
          <w:iCs/>
          <w:sz w:val="24"/>
        </w:rPr>
        <w:t>que 15</w:t>
      </w:r>
      <w:r w:rsidR="00CF4C9F" w:rsidRPr="00484A10">
        <w:rPr>
          <w:rFonts w:ascii="Calibri" w:eastAsiaTheme="majorEastAsia" w:hAnsi="Calibri" w:cs="Calibri"/>
          <w:iCs/>
          <w:sz w:val="24"/>
        </w:rPr>
        <w:t xml:space="preserve">% des crédits de fonctionnement </w:t>
      </w:r>
      <w:r w:rsidR="00FF0CAD">
        <w:rPr>
          <w:rFonts w:ascii="Calibri" w:eastAsiaTheme="majorEastAsia" w:hAnsi="Calibri" w:cs="Calibri"/>
          <w:iCs/>
          <w:sz w:val="24"/>
        </w:rPr>
        <w:t xml:space="preserve">(tableau </w:t>
      </w:r>
      <w:r w:rsidR="0023259E">
        <w:rPr>
          <w:rFonts w:ascii="Calibri" w:eastAsiaTheme="majorEastAsia" w:hAnsi="Calibri" w:cs="Calibri"/>
          <w:iCs/>
          <w:sz w:val="24"/>
        </w:rPr>
        <w:t>ci-dessous</w:t>
      </w:r>
      <w:r w:rsidR="00FF0CAD">
        <w:rPr>
          <w:rFonts w:ascii="Calibri" w:eastAsiaTheme="majorEastAsia" w:hAnsi="Calibri" w:cs="Calibri"/>
          <w:iCs/>
          <w:sz w:val="24"/>
        </w:rPr>
        <w:t xml:space="preserve">). Parmi les directions centrales, seules la statistique et la </w:t>
      </w:r>
      <w:r w:rsidR="00BD0156" w:rsidRPr="00BD0156">
        <w:rPr>
          <w:rFonts w:ascii="Calibri" w:eastAsiaTheme="majorEastAsia" w:hAnsi="Calibri" w:cs="Calibri"/>
          <w:iCs/>
          <w:sz w:val="24"/>
        </w:rPr>
        <w:t xml:space="preserve">Direction Générale des Services Vétérinaires </w:t>
      </w:r>
      <w:r w:rsidR="00FF0CAD">
        <w:rPr>
          <w:rFonts w:ascii="Calibri" w:eastAsiaTheme="majorEastAsia" w:hAnsi="Calibri" w:cs="Calibri"/>
          <w:iCs/>
          <w:sz w:val="24"/>
        </w:rPr>
        <w:t xml:space="preserve">ont bénéficié </w:t>
      </w:r>
      <w:r w:rsidR="00F06C81">
        <w:rPr>
          <w:rFonts w:ascii="Calibri" w:eastAsiaTheme="majorEastAsia" w:hAnsi="Calibri" w:cs="Calibri"/>
          <w:iCs/>
          <w:sz w:val="24"/>
        </w:rPr>
        <w:t>des crédits relativement conséquents</w:t>
      </w:r>
      <w:r w:rsidR="00FF0CAD">
        <w:rPr>
          <w:rFonts w:ascii="Calibri" w:eastAsiaTheme="majorEastAsia" w:hAnsi="Calibri" w:cs="Calibri"/>
          <w:iCs/>
          <w:sz w:val="24"/>
        </w:rPr>
        <w:t>.</w:t>
      </w:r>
    </w:p>
    <w:p w14:paraId="572FF61F" w14:textId="77777777" w:rsidR="00CF4C9F" w:rsidRDefault="00CF4C9F" w:rsidP="00F12682">
      <w:pPr>
        <w:pStyle w:val="Lgende"/>
      </w:pPr>
    </w:p>
    <w:p w14:paraId="4E2BC9E7" w14:textId="69D20728" w:rsidR="00C278DC" w:rsidRPr="00484A10" w:rsidRDefault="00C278DC" w:rsidP="00F12682">
      <w:pPr>
        <w:pStyle w:val="Lgende"/>
        <w:rPr>
          <w:rFonts w:eastAsiaTheme="majorEastAsia" w:cs="Calibri"/>
          <w:iCs w:val="0"/>
        </w:rPr>
      </w:pPr>
      <w:bookmarkStart w:id="176" w:name="_Toc529305095"/>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41</w:t>
      </w:r>
      <w:r w:rsidR="00A773EB">
        <w:rPr>
          <w:noProof/>
        </w:rPr>
        <w:fldChar w:fldCharType="end"/>
      </w:r>
      <w:r>
        <w:rPr>
          <w:rFonts w:eastAsiaTheme="majorEastAsia" w:cs="Calibri"/>
          <w:iCs w:val="0"/>
        </w:rPr>
        <w:t xml:space="preserve"> : Répartition du budget de fonctionnement </w:t>
      </w:r>
      <w:r w:rsidRPr="00484A10">
        <w:rPr>
          <w:rFonts w:eastAsiaTheme="majorEastAsia" w:cs="Calibri"/>
          <w:iCs w:val="0"/>
        </w:rPr>
        <w:t xml:space="preserve">en 2016 au </w:t>
      </w:r>
      <w:r>
        <w:rPr>
          <w:rFonts w:eastAsiaTheme="majorEastAsia" w:cs="Calibri"/>
          <w:iCs w:val="0"/>
        </w:rPr>
        <w:t>MEL</w:t>
      </w:r>
      <w:bookmarkEnd w:id="1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8"/>
        <w:gridCol w:w="1356"/>
        <w:gridCol w:w="1656"/>
        <w:gridCol w:w="1358"/>
        <w:gridCol w:w="1650"/>
      </w:tblGrid>
      <w:tr w:rsidR="006E4ED3" w:rsidRPr="00457FB2" w14:paraId="2C4E7477" w14:textId="77777777" w:rsidTr="00457FB2">
        <w:trPr>
          <w:tblHeader/>
        </w:trPr>
        <w:tc>
          <w:tcPr>
            <w:tcW w:w="1874" w:type="pct"/>
            <w:shd w:val="clear" w:color="auto" w:fill="auto"/>
            <w:noWrap/>
            <w:vAlign w:val="center"/>
            <w:hideMark/>
          </w:tcPr>
          <w:p w14:paraId="2BA82716" w14:textId="77777777" w:rsidR="006E4ED3" w:rsidRPr="00457FB2" w:rsidRDefault="006E4ED3" w:rsidP="00F12682">
            <w:pPr>
              <w:spacing w:after="0" w:line="240" w:lineRule="auto"/>
              <w:jc w:val="center"/>
              <w:rPr>
                <w:rFonts w:ascii="Calibri" w:eastAsia="Times New Roman" w:hAnsi="Calibri" w:cs="Calibri"/>
                <w:b/>
                <w:bCs/>
                <w:color w:val="000000"/>
                <w:sz w:val="18"/>
                <w:szCs w:val="20"/>
                <w:lang w:eastAsia="fr-FR"/>
              </w:rPr>
            </w:pPr>
            <w:r w:rsidRPr="00457FB2">
              <w:rPr>
                <w:rFonts w:ascii="Calibri" w:eastAsia="Times New Roman" w:hAnsi="Calibri" w:cs="Calibri"/>
                <w:b/>
                <w:bCs/>
                <w:color w:val="000000"/>
                <w:sz w:val="18"/>
                <w:szCs w:val="20"/>
                <w:lang w:eastAsia="fr-FR"/>
              </w:rPr>
              <w:t>Fonctionnement</w:t>
            </w:r>
          </w:p>
        </w:tc>
        <w:tc>
          <w:tcPr>
            <w:tcW w:w="704" w:type="pct"/>
            <w:shd w:val="clear" w:color="auto" w:fill="auto"/>
            <w:noWrap/>
            <w:vAlign w:val="center"/>
            <w:hideMark/>
          </w:tcPr>
          <w:p w14:paraId="6CF039AD" w14:textId="77777777" w:rsidR="006E4ED3" w:rsidRPr="00457FB2" w:rsidRDefault="006E4ED3" w:rsidP="00F12682">
            <w:pPr>
              <w:spacing w:after="0" w:line="240" w:lineRule="auto"/>
              <w:jc w:val="center"/>
              <w:rPr>
                <w:rFonts w:ascii="Calibri" w:eastAsia="Times New Roman" w:hAnsi="Calibri" w:cs="Calibri"/>
                <w:b/>
                <w:bCs/>
                <w:color w:val="000000"/>
                <w:sz w:val="18"/>
                <w:szCs w:val="20"/>
                <w:lang w:eastAsia="fr-FR"/>
              </w:rPr>
            </w:pPr>
            <w:r w:rsidRPr="00457FB2">
              <w:rPr>
                <w:rFonts w:ascii="Calibri" w:eastAsia="Times New Roman" w:hAnsi="Calibri" w:cs="Calibri"/>
                <w:b/>
                <w:bCs/>
                <w:color w:val="000000"/>
                <w:sz w:val="18"/>
                <w:szCs w:val="20"/>
                <w:lang w:eastAsia="fr-FR"/>
              </w:rPr>
              <w:t>Prévision</w:t>
            </w:r>
          </w:p>
        </w:tc>
        <w:tc>
          <w:tcPr>
            <w:tcW w:w="860" w:type="pct"/>
            <w:shd w:val="clear" w:color="auto" w:fill="auto"/>
            <w:vAlign w:val="center"/>
            <w:hideMark/>
          </w:tcPr>
          <w:p w14:paraId="56E19503" w14:textId="77777777" w:rsidR="006E4ED3" w:rsidRPr="00457FB2" w:rsidRDefault="006E4ED3" w:rsidP="00F12682">
            <w:pPr>
              <w:spacing w:after="0" w:line="240" w:lineRule="auto"/>
              <w:jc w:val="center"/>
              <w:rPr>
                <w:rFonts w:ascii="Calibri" w:eastAsia="Times New Roman" w:hAnsi="Calibri" w:cs="Calibri"/>
                <w:b/>
                <w:bCs/>
                <w:color w:val="000000"/>
                <w:sz w:val="18"/>
                <w:szCs w:val="20"/>
                <w:lang w:eastAsia="fr-FR"/>
              </w:rPr>
            </w:pPr>
            <w:r w:rsidRPr="00457FB2">
              <w:rPr>
                <w:rFonts w:ascii="Calibri" w:eastAsia="Times New Roman" w:hAnsi="Calibri" w:cs="Calibri"/>
                <w:b/>
                <w:bCs/>
                <w:color w:val="000000"/>
                <w:sz w:val="18"/>
                <w:szCs w:val="20"/>
                <w:lang w:eastAsia="fr-FR"/>
              </w:rPr>
              <w:t>Part de prévision par administration</w:t>
            </w:r>
          </w:p>
        </w:tc>
        <w:tc>
          <w:tcPr>
            <w:tcW w:w="705" w:type="pct"/>
            <w:shd w:val="clear" w:color="auto" w:fill="auto"/>
            <w:vAlign w:val="center"/>
            <w:hideMark/>
          </w:tcPr>
          <w:p w14:paraId="271E74F9" w14:textId="77777777" w:rsidR="006E4ED3" w:rsidRPr="00457FB2" w:rsidRDefault="006E4ED3" w:rsidP="00F12682">
            <w:pPr>
              <w:spacing w:after="0" w:line="240" w:lineRule="auto"/>
              <w:jc w:val="center"/>
              <w:rPr>
                <w:rFonts w:ascii="Calibri" w:eastAsia="Times New Roman" w:hAnsi="Calibri" w:cs="Calibri"/>
                <w:b/>
                <w:bCs/>
                <w:color w:val="000000"/>
                <w:sz w:val="18"/>
                <w:szCs w:val="20"/>
                <w:lang w:eastAsia="fr-FR"/>
              </w:rPr>
            </w:pPr>
            <w:r w:rsidRPr="00457FB2">
              <w:rPr>
                <w:rFonts w:ascii="Calibri" w:eastAsia="Times New Roman" w:hAnsi="Calibri" w:cs="Calibri"/>
                <w:b/>
                <w:bCs/>
                <w:color w:val="000000"/>
                <w:sz w:val="18"/>
                <w:szCs w:val="20"/>
                <w:lang w:eastAsia="fr-FR"/>
              </w:rPr>
              <w:t xml:space="preserve">Exécution </w:t>
            </w:r>
          </w:p>
        </w:tc>
        <w:tc>
          <w:tcPr>
            <w:tcW w:w="857" w:type="pct"/>
            <w:shd w:val="clear" w:color="auto" w:fill="auto"/>
            <w:vAlign w:val="center"/>
            <w:hideMark/>
          </w:tcPr>
          <w:p w14:paraId="567A48FA" w14:textId="77777777" w:rsidR="006E4ED3" w:rsidRPr="00457FB2" w:rsidRDefault="006E4ED3" w:rsidP="00F12682">
            <w:pPr>
              <w:spacing w:after="0" w:line="240" w:lineRule="auto"/>
              <w:jc w:val="center"/>
              <w:rPr>
                <w:rFonts w:ascii="Calibri" w:eastAsia="Times New Roman" w:hAnsi="Calibri" w:cs="Calibri"/>
                <w:b/>
                <w:bCs/>
                <w:color w:val="000000"/>
                <w:sz w:val="18"/>
                <w:szCs w:val="20"/>
                <w:lang w:eastAsia="fr-FR"/>
              </w:rPr>
            </w:pPr>
            <w:r w:rsidRPr="00457FB2">
              <w:rPr>
                <w:rFonts w:ascii="Calibri" w:eastAsia="Times New Roman" w:hAnsi="Calibri" w:cs="Calibri"/>
                <w:b/>
                <w:bCs/>
                <w:color w:val="000000"/>
                <w:sz w:val="18"/>
                <w:szCs w:val="20"/>
                <w:lang w:eastAsia="fr-FR"/>
              </w:rPr>
              <w:t>Part d'exécution par administration</w:t>
            </w:r>
          </w:p>
        </w:tc>
      </w:tr>
      <w:tr w:rsidR="006E4ED3" w:rsidRPr="00457FB2" w14:paraId="30C9181A" w14:textId="77777777" w:rsidTr="00457FB2">
        <w:tc>
          <w:tcPr>
            <w:tcW w:w="1874" w:type="pct"/>
            <w:shd w:val="clear" w:color="auto" w:fill="auto"/>
            <w:noWrap/>
            <w:vAlign w:val="center"/>
            <w:hideMark/>
          </w:tcPr>
          <w:p w14:paraId="58D6C44F" w14:textId="2BF60BF9"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Cabinet</w:t>
            </w:r>
          </w:p>
        </w:tc>
        <w:tc>
          <w:tcPr>
            <w:tcW w:w="704" w:type="pct"/>
            <w:shd w:val="clear" w:color="auto" w:fill="auto"/>
            <w:noWrap/>
            <w:vAlign w:val="center"/>
            <w:hideMark/>
          </w:tcPr>
          <w:p w14:paraId="4235E4B0"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419 005 174</w:t>
            </w:r>
          </w:p>
        </w:tc>
        <w:tc>
          <w:tcPr>
            <w:tcW w:w="860" w:type="pct"/>
            <w:shd w:val="clear" w:color="auto" w:fill="auto"/>
            <w:noWrap/>
            <w:vAlign w:val="center"/>
            <w:hideMark/>
          </w:tcPr>
          <w:p w14:paraId="2893138C"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52,0%</w:t>
            </w:r>
          </w:p>
        </w:tc>
        <w:tc>
          <w:tcPr>
            <w:tcW w:w="705" w:type="pct"/>
            <w:shd w:val="clear" w:color="auto" w:fill="auto"/>
            <w:noWrap/>
            <w:vAlign w:val="center"/>
            <w:hideMark/>
          </w:tcPr>
          <w:p w14:paraId="2D61B302"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214 355 568</w:t>
            </w:r>
          </w:p>
        </w:tc>
        <w:tc>
          <w:tcPr>
            <w:tcW w:w="857" w:type="pct"/>
            <w:shd w:val="clear" w:color="auto" w:fill="auto"/>
            <w:noWrap/>
            <w:vAlign w:val="center"/>
            <w:hideMark/>
          </w:tcPr>
          <w:p w14:paraId="181D22B4"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49,6%</w:t>
            </w:r>
          </w:p>
        </w:tc>
      </w:tr>
      <w:tr w:rsidR="006E4ED3" w:rsidRPr="00457FB2" w14:paraId="5303B773" w14:textId="77777777" w:rsidTr="00457FB2">
        <w:tc>
          <w:tcPr>
            <w:tcW w:w="1874" w:type="pct"/>
            <w:shd w:val="clear" w:color="auto" w:fill="auto"/>
            <w:noWrap/>
            <w:vAlign w:val="center"/>
            <w:hideMark/>
          </w:tcPr>
          <w:p w14:paraId="2DAE6694" w14:textId="203028B9" w:rsidR="006E4ED3" w:rsidRPr="00457FB2" w:rsidRDefault="00266F25"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Secrétariat</w:t>
            </w:r>
            <w:r w:rsidR="009B7543" w:rsidRPr="00457FB2">
              <w:rPr>
                <w:rFonts w:ascii="Calibri" w:eastAsia="Times New Roman" w:hAnsi="Calibri" w:cs="Calibri"/>
                <w:color w:val="000000"/>
                <w:sz w:val="20"/>
                <w:szCs w:val="20"/>
                <w:lang w:eastAsia="fr-FR"/>
              </w:rPr>
              <w:t xml:space="preserve"> </w:t>
            </w:r>
            <w:r w:rsidRPr="00457FB2">
              <w:rPr>
                <w:rFonts w:ascii="Calibri" w:eastAsia="Times New Roman" w:hAnsi="Calibri" w:cs="Calibri"/>
                <w:color w:val="000000"/>
                <w:sz w:val="20"/>
                <w:szCs w:val="20"/>
                <w:lang w:eastAsia="fr-FR"/>
              </w:rPr>
              <w:t>G</w:t>
            </w:r>
            <w:r>
              <w:rPr>
                <w:rFonts w:ascii="Calibri" w:eastAsia="Times New Roman" w:hAnsi="Calibri" w:cs="Calibri"/>
                <w:color w:val="000000"/>
                <w:sz w:val="20"/>
                <w:szCs w:val="20"/>
                <w:lang w:eastAsia="fr-FR"/>
              </w:rPr>
              <w:t>é</w:t>
            </w:r>
            <w:r w:rsidRPr="00457FB2">
              <w:rPr>
                <w:rFonts w:ascii="Calibri" w:eastAsia="Times New Roman" w:hAnsi="Calibri" w:cs="Calibri"/>
                <w:color w:val="000000"/>
                <w:sz w:val="20"/>
                <w:szCs w:val="20"/>
                <w:lang w:eastAsia="fr-FR"/>
              </w:rPr>
              <w:t>néral</w:t>
            </w:r>
          </w:p>
        </w:tc>
        <w:tc>
          <w:tcPr>
            <w:tcW w:w="704" w:type="pct"/>
            <w:shd w:val="clear" w:color="auto" w:fill="auto"/>
            <w:noWrap/>
            <w:vAlign w:val="center"/>
            <w:hideMark/>
          </w:tcPr>
          <w:p w14:paraId="16A1FA09"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76 559 909</w:t>
            </w:r>
          </w:p>
        </w:tc>
        <w:tc>
          <w:tcPr>
            <w:tcW w:w="860" w:type="pct"/>
            <w:shd w:val="clear" w:color="auto" w:fill="auto"/>
            <w:noWrap/>
            <w:vAlign w:val="center"/>
            <w:hideMark/>
          </w:tcPr>
          <w:p w14:paraId="5F01DC92"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9,5%</w:t>
            </w:r>
          </w:p>
        </w:tc>
        <w:tc>
          <w:tcPr>
            <w:tcW w:w="705" w:type="pct"/>
            <w:shd w:val="clear" w:color="auto" w:fill="auto"/>
            <w:noWrap/>
            <w:vAlign w:val="center"/>
            <w:hideMark/>
          </w:tcPr>
          <w:p w14:paraId="6577BACF"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33 857 473</w:t>
            </w:r>
          </w:p>
        </w:tc>
        <w:tc>
          <w:tcPr>
            <w:tcW w:w="857" w:type="pct"/>
            <w:shd w:val="clear" w:color="auto" w:fill="auto"/>
            <w:noWrap/>
            <w:vAlign w:val="center"/>
            <w:hideMark/>
          </w:tcPr>
          <w:p w14:paraId="3D467503"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7,8%</w:t>
            </w:r>
          </w:p>
        </w:tc>
      </w:tr>
      <w:tr w:rsidR="006E4ED3" w:rsidRPr="00457FB2" w14:paraId="46DB3605" w14:textId="77777777" w:rsidTr="00457FB2">
        <w:tc>
          <w:tcPr>
            <w:tcW w:w="1874" w:type="pct"/>
            <w:shd w:val="clear" w:color="auto" w:fill="auto"/>
            <w:noWrap/>
            <w:vAlign w:val="center"/>
            <w:hideMark/>
          </w:tcPr>
          <w:p w14:paraId="50A19BEE" w14:textId="4030FBFB"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 xml:space="preserve">Inspection </w:t>
            </w:r>
            <w:r w:rsidR="00266F25" w:rsidRPr="00457FB2">
              <w:rPr>
                <w:rFonts w:ascii="Calibri" w:eastAsia="Times New Roman" w:hAnsi="Calibri" w:cs="Calibri"/>
                <w:color w:val="000000"/>
                <w:sz w:val="20"/>
                <w:szCs w:val="20"/>
                <w:lang w:eastAsia="fr-FR"/>
              </w:rPr>
              <w:t>Générale</w:t>
            </w:r>
            <w:r w:rsidRPr="00457FB2">
              <w:rPr>
                <w:rFonts w:ascii="Calibri" w:eastAsia="Times New Roman" w:hAnsi="Calibri" w:cs="Calibri"/>
                <w:color w:val="000000"/>
                <w:sz w:val="20"/>
                <w:szCs w:val="20"/>
                <w:lang w:eastAsia="fr-FR"/>
              </w:rPr>
              <w:t xml:space="preserve"> </w:t>
            </w:r>
            <w:r w:rsidR="00266F25" w:rsidRPr="00457FB2">
              <w:rPr>
                <w:rFonts w:ascii="Calibri" w:eastAsia="Times New Roman" w:hAnsi="Calibri" w:cs="Calibri"/>
                <w:color w:val="000000"/>
                <w:sz w:val="20"/>
                <w:szCs w:val="20"/>
                <w:lang w:eastAsia="fr-FR"/>
              </w:rPr>
              <w:t>des Services</w:t>
            </w:r>
          </w:p>
        </w:tc>
        <w:tc>
          <w:tcPr>
            <w:tcW w:w="704" w:type="pct"/>
            <w:shd w:val="clear" w:color="auto" w:fill="auto"/>
            <w:noWrap/>
            <w:vAlign w:val="center"/>
            <w:hideMark/>
          </w:tcPr>
          <w:p w14:paraId="62E7DB8A"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4 433 932</w:t>
            </w:r>
          </w:p>
        </w:tc>
        <w:tc>
          <w:tcPr>
            <w:tcW w:w="860" w:type="pct"/>
            <w:shd w:val="clear" w:color="auto" w:fill="auto"/>
            <w:noWrap/>
            <w:vAlign w:val="center"/>
            <w:hideMark/>
          </w:tcPr>
          <w:p w14:paraId="73DE346A"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0,5%</w:t>
            </w:r>
          </w:p>
        </w:tc>
        <w:tc>
          <w:tcPr>
            <w:tcW w:w="705" w:type="pct"/>
            <w:shd w:val="clear" w:color="auto" w:fill="auto"/>
            <w:noWrap/>
            <w:vAlign w:val="center"/>
            <w:hideMark/>
          </w:tcPr>
          <w:p w14:paraId="2E8DCD4E"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w:t>
            </w:r>
          </w:p>
        </w:tc>
        <w:tc>
          <w:tcPr>
            <w:tcW w:w="857" w:type="pct"/>
            <w:shd w:val="clear" w:color="auto" w:fill="auto"/>
            <w:noWrap/>
            <w:vAlign w:val="center"/>
            <w:hideMark/>
          </w:tcPr>
          <w:p w14:paraId="1109FA7D"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0,0%</w:t>
            </w:r>
          </w:p>
        </w:tc>
      </w:tr>
      <w:tr w:rsidR="006E4ED3" w:rsidRPr="00457FB2" w14:paraId="1F22F805" w14:textId="77777777" w:rsidTr="00457FB2">
        <w:tc>
          <w:tcPr>
            <w:tcW w:w="1874" w:type="pct"/>
            <w:shd w:val="clear" w:color="auto" w:fill="auto"/>
            <w:noWrap/>
            <w:vAlign w:val="center"/>
            <w:hideMark/>
          </w:tcPr>
          <w:p w14:paraId="62B448E3" w14:textId="332BA9C1"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 xml:space="preserve">Direction </w:t>
            </w:r>
            <w:r w:rsidR="00266F25" w:rsidRPr="00457FB2">
              <w:rPr>
                <w:rFonts w:ascii="Calibri" w:eastAsia="Times New Roman" w:hAnsi="Calibri" w:cs="Calibri"/>
                <w:color w:val="000000"/>
                <w:sz w:val="20"/>
                <w:szCs w:val="20"/>
                <w:lang w:eastAsia="fr-FR"/>
              </w:rPr>
              <w:t xml:space="preserve">de la </w:t>
            </w:r>
            <w:r w:rsidRPr="00457FB2">
              <w:rPr>
                <w:rFonts w:ascii="Calibri" w:eastAsia="Times New Roman" w:hAnsi="Calibri" w:cs="Calibri"/>
                <w:color w:val="000000"/>
                <w:sz w:val="20"/>
                <w:szCs w:val="20"/>
                <w:lang w:eastAsia="fr-FR"/>
              </w:rPr>
              <w:t>L</w:t>
            </w:r>
            <w:r w:rsidR="00266F25">
              <w:rPr>
                <w:rFonts w:ascii="Calibri" w:eastAsia="Times New Roman" w:hAnsi="Calibri" w:cs="Calibri"/>
                <w:color w:val="000000"/>
                <w:sz w:val="20"/>
                <w:szCs w:val="20"/>
                <w:lang w:eastAsia="fr-FR"/>
              </w:rPr>
              <w:t>é</w:t>
            </w:r>
            <w:r w:rsidRPr="00457FB2">
              <w:rPr>
                <w:rFonts w:ascii="Calibri" w:eastAsia="Times New Roman" w:hAnsi="Calibri" w:cs="Calibri"/>
                <w:color w:val="000000"/>
                <w:sz w:val="20"/>
                <w:szCs w:val="20"/>
                <w:lang w:eastAsia="fr-FR"/>
              </w:rPr>
              <w:t>gislation</w:t>
            </w:r>
          </w:p>
        </w:tc>
        <w:tc>
          <w:tcPr>
            <w:tcW w:w="704" w:type="pct"/>
            <w:shd w:val="clear" w:color="auto" w:fill="auto"/>
            <w:noWrap/>
            <w:vAlign w:val="center"/>
            <w:hideMark/>
          </w:tcPr>
          <w:p w14:paraId="395D1BF5"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3 321 738</w:t>
            </w:r>
          </w:p>
        </w:tc>
        <w:tc>
          <w:tcPr>
            <w:tcW w:w="860" w:type="pct"/>
            <w:shd w:val="clear" w:color="auto" w:fill="auto"/>
            <w:noWrap/>
            <w:vAlign w:val="center"/>
            <w:hideMark/>
          </w:tcPr>
          <w:p w14:paraId="44066AA2"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0,4%</w:t>
            </w:r>
          </w:p>
        </w:tc>
        <w:tc>
          <w:tcPr>
            <w:tcW w:w="705" w:type="pct"/>
            <w:shd w:val="clear" w:color="auto" w:fill="auto"/>
            <w:noWrap/>
            <w:vAlign w:val="center"/>
            <w:hideMark/>
          </w:tcPr>
          <w:p w14:paraId="4535A085"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w:t>
            </w:r>
          </w:p>
        </w:tc>
        <w:tc>
          <w:tcPr>
            <w:tcW w:w="857" w:type="pct"/>
            <w:shd w:val="clear" w:color="auto" w:fill="auto"/>
            <w:noWrap/>
            <w:vAlign w:val="center"/>
            <w:hideMark/>
          </w:tcPr>
          <w:p w14:paraId="355BD5B9"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0,0%</w:t>
            </w:r>
          </w:p>
        </w:tc>
      </w:tr>
      <w:tr w:rsidR="006E4ED3" w:rsidRPr="00457FB2" w14:paraId="720E659A" w14:textId="77777777" w:rsidTr="00457FB2">
        <w:tc>
          <w:tcPr>
            <w:tcW w:w="1874" w:type="pct"/>
            <w:shd w:val="clear" w:color="auto" w:fill="auto"/>
            <w:noWrap/>
            <w:vAlign w:val="center"/>
            <w:hideMark/>
          </w:tcPr>
          <w:p w14:paraId="1B919B2E" w14:textId="0D5BC20D"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 xml:space="preserve">Direction </w:t>
            </w:r>
            <w:r w:rsidR="00266F25" w:rsidRPr="00457FB2">
              <w:rPr>
                <w:rFonts w:ascii="Calibri" w:eastAsia="Times New Roman" w:hAnsi="Calibri" w:cs="Calibri"/>
                <w:color w:val="000000"/>
                <w:sz w:val="20"/>
                <w:szCs w:val="20"/>
                <w:lang w:eastAsia="fr-FR"/>
              </w:rPr>
              <w:t xml:space="preserve">des </w:t>
            </w:r>
            <w:r w:rsidRPr="00457FB2">
              <w:rPr>
                <w:rFonts w:ascii="Calibri" w:eastAsia="Times New Roman" w:hAnsi="Calibri" w:cs="Calibri"/>
                <w:color w:val="000000"/>
                <w:sz w:val="20"/>
                <w:szCs w:val="20"/>
                <w:lang w:eastAsia="fr-FR"/>
              </w:rPr>
              <w:t>Archives</w:t>
            </w:r>
            <w:r w:rsidR="006E4ED3" w:rsidRPr="00457FB2">
              <w:rPr>
                <w:rFonts w:ascii="Calibri" w:eastAsia="Times New Roman" w:hAnsi="Calibri" w:cs="Calibri"/>
                <w:color w:val="000000"/>
                <w:sz w:val="20"/>
                <w:szCs w:val="20"/>
                <w:lang w:eastAsia="fr-FR"/>
              </w:rPr>
              <w:t xml:space="preserve">, </w:t>
            </w:r>
            <w:r w:rsidR="00266F25" w:rsidRPr="00457FB2">
              <w:rPr>
                <w:rFonts w:ascii="Calibri" w:eastAsia="Times New Roman" w:hAnsi="Calibri" w:cs="Calibri"/>
                <w:color w:val="000000"/>
                <w:sz w:val="20"/>
                <w:szCs w:val="20"/>
                <w:lang w:eastAsia="fr-FR"/>
              </w:rPr>
              <w:t>de l'information</w:t>
            </w:r>
            <w:r w:rsidR="006E4ED3" w:rsidRPr="00457FB2">
              <w:rPr>
                <w:rFonts w:ascii="Calibri" w:eastAsia="Times New Roman" w:hAnsi="Calibri" w:cs="Calibri"/>
                <w:color w:val="000000"/>
                <w:sz w:val="20"/>
                <w:szCs w:val="20"/>
                <w:lang w:eastAsia="fr-FR"/>
              </w:rPr>
              <w:t xml:space="preserve">, </w:t>
            </w:r>
            <w:r w:rsidR="00266F25" w:rsidRPr="00457FB2">
              <w:rPr>
                <w:rFonts w:ascii="Calibri" w:eastAsia="Times New Roman" w:hAnsi="Calibri" w:cs="Calibri"/>
                <w:color w:val="000000"/>
                <w:sz w:val="20"/>
                <w:szCs w:val="20"/>
                <w:lang w:eastAsia="fr-FR"/>
              </w:rPr>
              <w:t xml:space="preserve">de la </w:t>
            </w:r>
            <w:r w:rsidRPr="00457FB2">
              <w:rPr>
                <w:rFonts w:ascii="Calibri" w:eastAsia="Times New Roman" w:hAnsi="Calibri" w:cs="Calibri"/>
                <w:color w:val="000000"/>
                <w:sz w:val="20"/>
                <w:szCs w:val="20"/>
                <w:lang w:eastAsia="fr-FR"/>
              </w:rPr>
              <w:t xml:space="preserve">Documentation </w:t>
            </w:r>
            <w:r w:rsidR="00266F25" w:rsidRPr="00457FB2">
              <w:rPr>
                <w:rFonts w:ascii="Calibri" w:eastAsia="Times New Roman" w:hAnsi="Calibri" w:cs="Calibri"/>
                <w:color w:val="000000"/>
                <w:sz w:val="20"/>
                <w:szCs w:val="20"/>
                <w:lang w:eastAsia="fr-FR"/>
              </w:rPr>
              <w:t xml:space="preserve">et </w:t>
            </w:r>
            <w:r w:rsidR="006E4ED3" w:rsidRPr="00457FB2">
              <w:rPr>
                <w:rFonts w:ascii="Calibri" w:eastAsia="Times New Roman" w:hAnsi="Calibri" w:cs="Calibri"/>
                <w:color w:val="000000"/>
                <w:sz w:val="20"/>
                <w:szCs w:val="20"/>
                <w:lang w:eastAsia="fr-FR"/>
              </w:rPr>
              <w:t xml:space="preserve">DES </w:t>
            </w:r>
            <w:r w:rsidRPr="00457FB2">
              <w:rPr>
                <w:rFonts w:ascii="Calibri" w:eastAsia="Times New Roman" w:hAnsi="Calibri" w:cs="Calibri"/>
                <w:color w:val="000000"/>
                <w:sz w:val="20"/>
                <w:szCs w:val="20"/>
                <w:lang w:eastAsia="fr-FR"/>
              </w:rPr>
              <w:t>Relations Publiques</w:t>
            </w:r>
          </w:p>
        </w:tc>
        <w:tc>
          <w:tcPr>
            <w:tcW w:w="704" w:type="pct"/>
            <w:shd w:val="clear" w:color="auto" w:fill="auto"/>
            <w:noWrap/>
            <w:vAlign w:val="center"/>
            <w:hideMark/>
          </w:tcPr>
          <w:p w14:paraId="3BFAF280"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2 275 655</w:t>
            </w:r>
          </w:p>
        </w:tc>
        <w:tc>
          <w:tcPr>
            <w:tcW w:w="860" w:type="pct"/>
            <w:shd w:val="clear" w:color="auto" w:fill="auto"/>
            <w:noWrap/>
            <w:vAlign w:val="center"/>
            <w:hideMark/>
          </w:tcPr>
          <w:p w14:paraId="2535FA95"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0,3%</w:t>
            </w:r>
          </w:p>
        </w:tc>
        <w:tc>
          <w:tcPr>
            <w:tcW w:w="705" w:type="pct"/>
            <w:shd w:val="clear" w:color="auto" w:fill="auto"/>
            <w:noWrap/>
            <w:vAlign w:val="center"/>
            <w:hideMark/>
          </w:tcPr>
          <w:p w14:paraId="22DAF70E"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w:t>
            </w:r>
          </w:p>
        </w:tc>
        <w:tc>
          <w:tcPr>
            <w:tcW w:w="857" w:type="pct"/>
            <w:shd w:val="clear" w:color="auto" w:fill="auto"/>
            <w:noWrap/>
            <w:vAlign w:val="center"/>
            <w:hideMark/>
          </w:tcPr>
          <w:p w14:paraId="45448E28"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0,0%</w:t>
            </w:r>
          </w:p>
        </w:tc>
      </w:tr>
      <w:tr w:rsidR="006E4ED3" w:rsidRPr="00457FB2" w14:paraId="5A6904D2" w14:textId="77777777" w:rsidTr="00457FB2">
        <w:tc>
          <w:tcPr>
            <w:tcW w:w="1874" w:type="pct"/>
            <w:shd w:val="clear" w:color="auto" w:fill="auto"/>
            <w:noWrap/>
            <w:vAlign w:val="center"/>
            <w:hideMark/>
          </w:tcPr>
          <w:p w14:paraId="2D5CB351" w14:textId="0F6A5914"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 xml:space="preserve">Direction </w:t>
            </w:r>
            <w:r w:rsidR="00266F25" w:rsidRPr="00457FB2">
              <w:rPr>
                <w:rFonts w:ascii="Calibri" w:eastAsia="Times New Roman" w:hAnsi="Calibri" w:cs="Calibri"/>
                <w:color w:val="000000"/>
                <w:sz w:val="20"/>
                <w:szCs w:val="20"/>
                <w:lang w:eastAsia="fr-FR"/>
              </w:rPr>
              <w:t xml:space="preserve">des  </w:t>
            </w:r>
            <w:r w:rsidRPr="00457FB2">
              <w:rPr>
                <w:rFonts w:ascii="Calibri" w:eastAsia="Times New Roman" w:hAnsi="Calibri" w:cs="Calibri"/>
                <w:color w:val="000000"/>
                <w:sz w:val="20"/>
                <w:szCs w:val="20"/>
                <w:lang w:eastAsia="fr-FR"/>
              </w:rPr>
              <w:t>Ressources Humaines</w:t>
            </w:r>
          </w:p>
        </w:tc>
        <w:tc>
          <w:tcPr>
            <w:tcW w:w="704" w:type="pct"/>
            <w:shd w:val="clear" w:color="auto" w:fill="auto"/>
            <w:noWrap/>
            <w:vAlign w:val="center"/>
            <w:hideMark/>
          </w:tcPr>
          <w:p w14:paraId="5857F354"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3 321 738</w:t>
            </w:r>
          </w:p>
        </w:tc>
        <w:tc>
          <w:tcPr>
            <w:tcW w:w="860" w:type="pct"/>
            <w:shd w:val="clear" w:color="auto" w:fill="auto"/>
            <w:noWrap/>
            <w:vAlign w:val="center"/>
            <w:hideMark/>
          </w:tcPr>
          <w:p w14:paraId="411ED39A"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0,4%</w:t>
            </w:r>
          </w:p>
        </w:tc>
        <w:tc>
          <w:tcPr>
            <w:tcW w:w="705" w:type="pct"/>
            <w:shd w:val="clear" w:color="auto" w:fill="auto"/>
            <w:noWrap/>
            <w:vAlign w:val="center"/>
            <w:hideMark/>
          </w:tcPr>
          <w:p w14:paraId="56A89EF9"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w:t>
            </w:r>
          </w:p>
        </w:tc>
        <w:tc>
          <w:tcPr>
            <w:tcW w:w="857" w:type="pct"/>
            <w:shd w:val="clear" w:color="auto" w:fill="auto"/>
            <w:noWrap/>
            <w:vAlign w:val="center"/>
            <w:hideMark/>
          </w:tcPr>
          <w:p w14:paraId="1DE7A31B"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0,0%</w:t>
            </w:r>
          </w:p>
        </w:tc>
      </w:tr>
      <w:tr w:rsidR="006E4ED3" w:rsidRPr="00457FB2" w14:paraId="2DD50357" w14:textId="77777777" w:rsidTr="00457FB2">
        <w:tc>
          <w:tcPr>
            <w:tcW w:w="1874" w:type="pct"/>
            <w:shd w:val="clear" w:color="auto" w:fill="auto"/>
            <w:noWrap/>
            <w:vAlign w:val="center"/>
            <w:hideMark/>
          </w:tcPr>
          <w:p w14:paraId="09EAC71B" w14:textId="4B919DC5"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 xml:space="preserve">Direction </w:t>
            </w:r>
            <w:r w:rsidR="00266F25" w:rsidRPr="00457FB2">
              <w:rPr>
                <w:rFonts w:ascii="Calibri" w:eastAsia="Times New Roman" w:hAnsi="Calibri" w:cs="Calibri"/>
                <w:color w:val="000000"/>
                <w:sz w:val="20"/>
                <w:szCs w:val="20"/>
                <w:lang w:eastAsia="fr-FR"/>
              </w:rPr>
              <w:t xml:space="preserve">des </w:t>
            </w:r>
            <w:r w:rsidRPr="00457FB2">
              <w:rPr>
                <w:rFonts w:ascii="Calibri" w:eastAsia="Times New Roman" w:hAnsi="Calibri" w:cs="Calibri"/>
                <w:color w:val="000000"/>
                <w:sz w:val="20"/>
                <w:szCs w:val="20"/>
                <w:lang w:eastAsia="fr-FR"/>
              </w:rPr>
              <w:t xml:space="preserve">Etudes </w:t>
            </w:r>
            <w:r w:rsidR="00266F25" w:rsidRPr="00457FB2">
              <w:rPr>
                <w:rFonts w:ascii="Calibri" w:eastAsia="Times New Roman" w:hAnsi="Calibri" w:cs="Calibri"/>
                <w:color w:val="000000"/>
                <w:sz w:val="20"/>
                <w:szCs w:val="20"/>
                <w:lang w:eastAsia="fr-FR"/>
              </w:rPr>
              <w:t xml:space="preserve">et de la </w:t>
            </w:r>
            <w:r w:rsidRPr="00457FB2">
              <w:rPr>
                <w:rFonts w:ascii="Calibri" w:eastAsia="Times New Roman" w:hAnsi="Calibri" w:cs="Calibri"/>
                <w:color w:val="000000"/>
                <w:sz w:val="20"/>
                <w:szCs w:val="20"/>
                <w:lang w:eastAsia="fr-FR"/>
              </w:rPr>
              <w:t>Programmation</w:t>
            </w:r>
          </w:p>
        </w:tc>
        <w:tc>
          <w:tcPr>
            <w:tcW w:w="704" w:type="pct"/>
            <w:shd w:val="clear" w:color="auto" w:fill="auto"/>
            <w:noWrap/>
            <w:vAlign w:val="center"/>
            <w:hideMark/>
          </w:tcPr>
          <w:p w14:paraId="0EE50FFB"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3 321 738</w:t>
            </w:r>
          </w:p>
        </w:tc>
        <w:tc>
          <w:tcPr>
            <w:tcW w:w="860" w:type="pct"/>
            <w:shd w:val="clear" w:color="auto" w:fill="auto"/>
            <w:noWrap/>
            <w:vAlign w:val="center"/>
            <w:hideMark/>
          </w:tcPr>
          <w:p w14:paraId="04A2DA5E"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0,4%</w:t>
            </w:r>
          </w:p>
        </w:tc>
        <w:tc>
          <w:tcPr>
            <w:tcW w:w="705" w:type="pct"/>
            <w:shd w:val="clear" w:color="auto" w:fill="auto"/>
            <w:noWrap/>
            <w:vAlign w:val="center"/>
            <w:hideMark/>
          </w:tcPr>
          <w:p w14:paraId="769FF4E1"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w:t>
            </w:r>
          </w:p>
        </w:tc>
        <w:tc>
          <w:tcPr>
            <w:tcW w:w="857" w:type="pct"/>
            <w:shd w:val="clear" w:color="auto" w:fill="auto"/>
            <w:noWrap/>
            <w:vAlign w:val="center"/>
            <w:hideMark/>
          </w:tcPr>
          <w:p w14:paraId="7182466F"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0,0%</w:t>
            </w:r>
          </w:p>
        </w:tc>
      </w:tr>
      <w:tr w:rsidR="006E4ED3" w:rsidRPr="00457FB2" w14:paraId="17547D27" w14:textId="77777777" w:rsidTr="00457FB2">
        <w:tc>
          <w:tcPr>
            <w:tcW w:w="1874" w:type="pct"/>
            <w:shd w:val="clear" w:color="auto" w:fill="auto"/>
            <w:noWrap/>
            <w:vAlign w:val="center"/>
            <w:hideMark/>
          </w:tcPr>
          <w:p w14:paraId="5FEDF38D" w14:textId="1462C178"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Direction  Promotion Organisation Eleveurs</w:t>
            </w:r>
          </w:p>
        </w:tc>
        <w:tc>
          <w:tcPr>
            <w:tcW w:w="704" w:type="pct"/>
            <w:shd w:val="clear" w:color="auto" w:fill="auto"/>
            <w:noWrap/>
            <w:vAlign w:val="center"/>
            <w:hideMark/>
          </w:tcPr>
          <w:p w14:paraId="46A544FC"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3 321 738</w:t>
            </w:r>
          </w:p>
        </w:tc>
        <w:tc>
          <w:tcPr>
            <w:tcW w:w="860" w:type="pct"/>
            <w:shd w:val="clear" w:color="auto" w:fill="auto"/>
            <w:noWrap/>
            <w:vAlign w:val="center"/>
            <w:hideMark/>
          </w:tcPr>
          <w:p w14:paraId="4D544C71"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0,4%</w:t>
            </w:r>
          </w:p>
        </w:tc>
        <w:tc>
          <w:tcPr>
            <w:tcW w:w="705" w:type="pct"/>
            <w:shd w:val="clear" w:color="auto" w:fill="auto"/>
            <w:noWrap/>
            <w:vAlign w:val="center"/>
            <w:hideMark/>
          </w:tcPr>
          <w:p w14:paraId="36055D2C"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w:t>
            </w:r>
          </w:p>
        </w:tc>
        <w:tc>
          <w:tcPr>
            <w:tcW w:w="857" w:type="pct"/>
            <w:shd w:val="clear" w:color="auto" w:fill="auto"/>
            <w:noWrap/>
            <w:vAlign w:val="center"/>
            <w:hideMark/>
          </w:tcPr>
          <w:p w14:paraId="06D43DD3"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0,0%</w:t>
            </w:r>
          </w:p>
        </w:tc>
      </w:tr>
      <w:tr w:rsidR="006E4ED3" w:rsidRPr="00457FB2" w14:paraId="567322A3" w14:textId="77777777" w:rsidTr="00457FB2">
        <w:tc>
          <w:tcPr>
            <w:tcW w:w="1874" w:type="pct"/>
            <w:shd w:val="clear" w:color="auto" w:fill="auto"/>
            <w:noWrap/>
            <w:vAlign w:val="center"/>
            <w:hideMark/>
          </w:tcPr>
          <w:p w14:paraId="1F520F2C" w14:textId="0739B986"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 xml:space="preserve">Direction </w:t>
            </w:r>
            <w:r w:rsidR="00266F25">
              <w:rPr>
                <w:rFonts w:ascii="Calibri" w:eastAsia="Times New Roman" w:hAnsi="Calibri" w:cs="Calibri"/>
                <w:color w:val="000000"/>
                <w:sz w:val="20"/>
                <w:szCs w:val="20"/>
                <w:lang w:eastAsia="fr-FR"/>
              </w:rPr>
              <w:t>des</w:t>
            </w:r>
            <w:r w:rsidR="006E4ED3" w:rsidRPr="00457FB2">
              <w:rPr>
                <w:rFonts w:ascii="Calibri" w:eastAsia="Times New Roman" w:hAnsi="Calibri" w:cs="Calibri"/>
                <w:color w:val="000000"/>
                <w:sz w:val="20"/>
                <w:szCs w:val="20"/>
                <w:lang w:eastAsia="fr-FR"/>
              </w:rPr>
              <w:t xml:space="preserve"> </w:t>
            </w:r>
            <w:r w:rsidRPr="00457FB2">
              <w:rPr>
                <w:rFonts w:ascii="Calibri" w:eastAsia="Times New Roman" w:hAnsi="Calibri" w:cs="Calibri"/>
                <w:color w:val="000000"/>
                <w:sz w:val="20"/>
                <w:szCs w:val="20"/>
                <w:lang w:eastAsia="fr-FR"/>
              </w:rPr>
              <w:t xml:space="preserve">Ressources </w:t>
            </w:r>
            <w:r w:rsidR="00266F25" w:rsidRPr="00457FB2">
              <w:rPr>
                <w:rFonts w:ascii="Calibri" w:eastAsia="Times New Roman" w:hAnsi="Calibri" w:cs="Calibri"/>
                <w:color w:val="000000"/>
                <w:sz w:val="20"/>
                <w:szCs w:val="20"/>
                <w:lang w:eastAsia="fr-FR"/>
              </w:rPr>
              <w:t>Financières</w:t>
            </w:r>
            <w:r w:rsidRPr="00457FB2">
              <w:rPr>
                <w:rFonts w:ascii="Calibri" w:eastAsia="Times New Roman" w:hAnsi="Calibri" w:cs="Calibri"/>
                <w:color w:val="000000"/>
                <w:sz w:val="20"/>
                <w:szCs w:val="20"/>
                <w:lang w:eastAsia="fr-FR"/>
              </w:rPr>
              <w:t xml:space="preserve"> </w:t>
            </w:r>
            <w:r w:rsidR="00266F25" w:rsidRPr="00457FB2">
              <w:rPr>
                <w:rFonts w:ascii="Calibri" w:eastAsia="Times New Roman" w:hAnsi="Calibri" w:cs="Calibri"/>
                <w:color w:val="000000"/>
                <w:sz w:val="20"/>
                <w:szCs w:val="20"/>
                <w:lang w:eastAsia="fr-FR"/>
              </w:rPr>
              <w:t xml:space="preserve">et du </w:t>
            </w:r>
            <w:r w:rsidRPr="00457FB2">
              <w:rPr>
                <w:rFonts w:ascii="Calibri" w:eastAsia="Times New Roman" w:hAnsi="Calibri" w:cs="Calibri"/>
                <w:color w:val="000000"/>
                <w:sz w:val="20"/>
                <w:szCs w:val="20"/>
                <w:lang w:eastAsia="fr-FR"/>
              </w:rPr>
              <w:t>Mat</w:t>
            </w:r>
            <w:r w:rsidR="00266F25">
              <w:rPr>
                <w:rFonts w:ascii="Calibri" w:eastAsia="Times New Roman" w:hAnsi="Calibri" w:cs="Calibri"/>
                <w:color w:val="000000"/>
                <w:sz w:val="20"/>
                <w:szCs w:val="20"/>
                <w:lang w:eastAsia="fr-FR"/>
              </w:rPr>
              <w:t>é</w:t>
            </w:r>
            <w:r w:rsidRPr="00457FB2">
              <w:rPr>
                <w:rFonts w:ascii="Calibri" w:eastAsia="Times New Roman" w:hAnsi="Calibri" w:cs="Calibri"/>
                <w:color w:val="000000"/>
                <w:sz w:val="20"/>
                <w:szCs w:val="20"/>
                <w:lang w:eastAsia="fr-FR"/>
              </w:rPr>
              <w:t>riel</w:t>
            </w:r>
          </w:p>
        </w:tc>
        <w:tc>
          <w:tcPr>
            <w:tcW w:w="704" w:type="pct"/>
            <w:shd w:val="clear" w:color="auto" w:fill="auto"/>
            <w:noWrap/>
            <w:vAlign w:val="center"/>
            <w:hideMark/>
          </w:tcPr>
          <w:p w14:paraId="2A1CC1D5"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38 918 806</w:t>
            </w:r>
          </w:p>
        </w:tc>
        <w:tc>
          <w:tcPr>
            <w:tcW w:w="860" w:type="pct"/>
            <w:shd w:val="clear" w:color="auto" w:fill="auto"/>
            <w:noWrap/>
            <w:vAlign w:val="center"/>
            <w:hideMark/>
          </w:tcPr>
          <w:p w14:paraId="2C44E0B9"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4,8%</w:t>
            </w:r>
          </w:p>
        </w:tc>
        <w:tc>
          <w:tcPr>
            <w:tcW w:w="705" w:type="pct"/>
            <w:shd w:val="clear" w:color="auto" w:fill="auto"/>
            <w:noWrap/>
            <w:vAlign w:val="center"/>
            <w:hideMark/>
          </w:tcPr>
          <w:p w14:paraId="696DD29A"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16 601 759</w:t>
            </w:r>
          </w:p>
        </w:tc>
        <w:tc>
          <w:tcPr>
            <w:tcW w:w="857" w:type="pct"/>
            <w:shd w:val="clear" w:color="auto" w:fill="auto"/>
            <w:noWrap/>
            <w:vAlign w:val="center"/>
            <w:hideMark/>
          </w:tcPr>
          <w:p w14:paraId="35353D08"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3,8%</w:t>
            </w:r>
          </w:p>
        </w:tc>
      </w:tr>
      <w:tr w:rsidR="006E4ED3" w:rsidRPr="00457FB2" w14:paraId="3F4E1096" w14:textId="77777777" w:rsidTr="00457FB2">
        <w:tc>
          <w:tcPr>
            <w:tcW w:w="1874" w:type="pct"/>
            <w:shd w:val="clear" w:color="auto" w:fill="auto"/>
            <w:noWrap/>
            <w:vAlign w:val="center"/>
            <w:hideMark/>
          </w:tcPr>
          <w:p w14:paraId="1A04B30A" w14:textId="268B9459"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 xml:space="preserve">Direction </w:t>
            </w:r>
            <w:r w:rsidR="00266F25">
              <w:rPr>
                <w:rFonts w:ascii="Calibri" w:eastAsia="Times New Roman" w:hAnsi="Calibri" w:cs="Calibri"/>
                <w:color w:val="000000"/>
                <w:sz w:val="20"/>
                <w:szCs w:val="20"/>
                <w:lang w:eastAsia="fr-FR"/>
              </w:rPr>
              <w:t>des</w:t>
            </w:r>
            <w:r w:rsidR="006E4ED3" w:rsidRPr="00457FB2">
              <w:rPr>
                <w:rFonts w:ascii="Calibri" w:eastAsia="Times New Roman" w:hAnsi="Calibri" w:cs="Calibri"/>
                <w:color w:val="000000"/>
                <w:sz w:val="20"/>
                <w:szCs w:val="20"/>
                <w:lang w:eastAsia="fr-FR"/>
              </w:rPr>
              <w:t xml:space="preserve"> </w:t>
            </w:r>
            <w:r w:rsidRPr="00457FB2">
              <w:rPr>
                <w:rFonts w:ascii="Calibri" w:eastAsia="Times New Roman" w:hAnsi="Calibri" w:cs="Calibri"/>
                <w:color w:val="000000"/>
                <w:sz w:val="20"/>
                <w:szCs w:val="20"/>
                <w:lang w:eastAsia="fr-FR"/>
              </w:rPr>
              <w:t>Statistiques</w:t>
            </w:r>
          </w:p>
        </w:tc>
        <w:tc>
          <w:tcPr>
            <w:tcW w:w="704" w:type="pct"/>
            <w:shd w:val="clear" w:color="auto" w:fill="auto"/>
            <w:noWrap/>
            <w:vAlign w:val="center"/>
            <w:hideMark/>
          </w:tcPr>
          <w:p w14:paraId="415548B8"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122 160 880</w:t>
            </w:r>
          </w:p>
        </w:tc>
        <w:tc>
          <w:tcPr>
            <w:tcW w:w="860" w:type="pct"/>
            <w:shd w:val="clear" w:color="auto" w:fill="auto"/>
            <w:noWrap/>
            <w:vAlign w:val="center"/>
            <w:hideMark/>
          </w:tcPr>
          <w:p w14:paraId="7FD39C9F"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15,2%</w:t>
            </w:r>
          </w:p>
        </w:tc>
        <w:tc>
          <w:tcPr>
            <w:tcW w:w="705" w:type="pct"/>
            <w:shd w:val="clear" w:color="auto" w:fill="auto"/>
            <w:noWrap/>
            <w:vAlign w:val="center"/>
            <w:hideMark/>
          </w:tcPr>
          <w:p w14:paraId="742C8189"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65 709 786</w:t>
            </w:r>
          </w:p>
        </w:tc>
        <w:tc>
          <w:tcPr>
            <w:tcW w:w="857" w:type="pct"/>
            <w:shd w:val="clear" w:color="auto" w:fill="auto"/>
            <w:noWrap/>
            <w:vAlign w:val="center"/>
            <w:hideMark/>
          </w:tcPr>
          <w:p w14:paraId="6A7255AF"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15,2%</w:t>
            </w:r>
          </w:p>
        </w:tc>
      </w:tr>
      <w:tr w:rsidR="006E4ED3" w:rsidRPr="00457FB2" w14:paraId="6A9240AC" w14:textId="77777777" w:rsidTr="00457FB2">
        <w:tc>
          <w:tcPr>
            <w:tcW w:w="1874" w:type="pct"/>
            <w:shd w:val="clear" w:color="auto" w:fill="auto"/>
            <w:noWrap/>
            <w:vAlign w:val="center"/>
            <w:hideMark/>
          </w:tcPr>
          <w:p w14:paraId="30DF278E" w14:textId="234DE7D2"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Direction G</w:t>
            </w:r>
            <w:r w:rsidR="00266F25">
              <w:rPr>
                <w:rFonts w:ascii="Calibri" w:eastAsia="Times New Roman" w:hAnsi="Calibri" w:cs="Calibri"/>
                <w:color w:val="000000"/>
                <w:sz w:val="20"/>
                <w:szCs w:val="20"/>
                <w:lang w:eastAsia="fr-FR"/>
              </w:rPr>
              <w:t>é</w:t>
            </w:r>
            <w:r w:rsidRPr="00457FB2">
              <w:rPr>
                <w:rFonts w:ascii="Calibri" w:eastAsia="Times New Roman" w:hAnsi="Calibri" w:cs="Calibri"/>
                <w:color w:val="000000"/>
                <w:sz w:val="20"/>
                <w:szCs w:val="20"/>
                <w:lang w:eastAsia="fr-FR"/>
              </w:rPr>
              <w:t>n</w:t>
            </w:r>
            <w:r w:rsidR="00266F25">
              <w:rPr>
                <w:rFonts w:ascii="Calibri" w:eastAsia="Times New Roman" w:hAnsi="Calibri" w:cs="Calibri"/>
                <w:color w:val="000000"/>
                <w:sz w:val="20"/>
                <w:szCs w:val="20"/>
                <w:lang w:eastAsia="fr-FR"/>
              </w:rPr>
              <w:t>é</w:t>
            </w:r>
            <w:r w:rsidRPr="00457FB2">
              <w:rPr>
                <w:rFonts w:ascii="Calibri" w:eastAsia="Times New Roman" w:hAnsi="Calibri" w:cs="Calibri"/>
                <w:color w:val="000000"/>
                <w:sz w:val="20"/>
                <w:szCs w:val="20"/>
                <w:lang w:eastAsia="fr-FR"/>
              </w:rPr>
              <w:t xml:space="preserve">rale </w:t>
            </w:r>
            <w:r w:rsidR="00266F25" w:rsidRPr="00457FB2">
              <w:rPr>
                <w:rFonts w:ascii="Calibri" w:eastAsia="Times New Roman" w:hAnsi="Calibri" w:cs="Calibri"/>
                <w:color w:val="000000"/>
                <w:sz w:val="20"/>
                <w:szCs w:val="20"/>
                <w:lang w:eastAsia="fr-FR"/>
              </w:rPr>
              <w:t xml:space="preserve">de la </w:t>
            </w:r>
            <w:r w:rsidRPr="00457FB2">
              <w:rPr>
                <w:rFonts w:ascii="Calibri" w:eastAsia="Times New Roman" w:hAnsi="Calibri" w:cs="Calibri"/>
                <w:color w:val="000000"/>
                <w:sz w:val="20"/>
                <w:szCs w:val="20"/>
                <w:lang w:eastAsia="fr-FR"/>
              </w:rPr>
              <w:t xml:space="preserve">Production </w:t>
            </w:r>
            <w:r w:rsidR="00266F25" w:rsidRPr="00457FB2">
              <w:rPr>
                <w:rFonts w:ascii="Calibri" w:eastAsia="Times New Roman" w:hAnsi="Calibri" w:cs="Calibri"/>
                <w:color w:val="000000"/>
                <w:sz w:val="20"/>
                <w:szCs w:val="20"/>
                <w:lang w:eastAsia="fr-FR"/>
              </w:rPr>
              <w:t xml:space="preserve">et </w:t>
            </w:r>
            <w:r w:rsidR="00266F25">
              <w:rPr>
                <w:rFonts w:ascii="Calibri" w:eastAsia="Times New Roman" w:hAnsi="Calibri" w:cs="Calibri"/>
                <w:color w:val="000000"/>
                <w:sz w:val="20"/>
                <w:szCs w:val="20"/>
                <w:lang w:eastAsia="fr-FR"/>
              </w:rPr>
              <w:t>des</w:t>
            </w:r>
            <w:r w:rsidR="006E4ED3" w:rsidRPr="00457FB2">
              <w:rPr>
                <w:rFonts w:ascii="Calibri" w:eastAsia="Times New Roman" w:hAnsi="Calibri" w:cs="Calibri"/>
                <w:color w:val="000000"/>
                <w:sz w:val="20"/>
                <w:szCs w:val="20"/>
                <w:lang w:eastAsia="fr-FR"/>
              </w:rPr>
              <w:t xml:space="preserve"> </w:t>
            </w:r>
            <w:r w:rsidRPr="00457FB2">
              <w:rPr>
                <w:rFonts w:ascii="Calibri" w:eastAsia="Times New Roman" w:hAnsi="Calibri" w:cs="Calibri"/>
                <w:color w:val="000000"/>
                <w:sz w:val="20"/>
                <w:szCs w:val="20"/>
                <w:lang w:eastAsia="fr-FR"/>
              </w:rPr>
              <w:t>Industries Animales</w:t>
            </w:r>
          </w:p>
        </w:tc>
        <w:tc>
          <w:tcPr>
            <w:tcW w:w="704" w:type="pct"/>
            <w:shd w:val="clear" w:color="auto" w:fill="auto"/>
            <w:noWrap/>
            <w:vAlign w:val="center"/>
            <w:hideMark/>
          </w:tcPr>
          <w:p w14:paraId="7BFD3CFD"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14 824 490</w:t>
            </w:r>
          </w:p>
        </w:tc>
        <w:tc>
          <w:tcPr>
            <w:tcW w:w="860" w:type="pct"/>
            <w:shd w:val="clear" w:color="auto" w:fill="auto"/>
            <w:noWrap/>
            <w:vAlign w:val="center"/>
            <w:hideMark/>
          </w:tcPr>
          <w:p w14:paraId="3D199DE9"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1,8%</w:t>
            </w:r>
          </w:p>
        </w:tc>
        <w:tc>
          <w:tcPr>
            <w:tcW w:w="705" w:type="pct"/>
            <w:shd w:val="clear" w:color="auto" w:fill="auto"/>
            <w:noWrap/>
            <w:vAlign w:val="center"/>
            <w:hideMark/>
          </w:tcPr>
          <w:p w14:paraId="1ACBD1FB"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w:t>
            </w:r>
          </w:p>
        </w:tc>
        <w:tc>
          <w:tcPr>
            <w:tcW w:w="857" w:type="pct"/>
            <w:shd w:val="clear" w:color="auto" w:fill="auto"/>
            <w:noWrap/>
            <w:vAlign w:val="center"/>
            <w:hideMark/>
          </w:tcPr>
          <w:p w14:paraId="184357F6"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0,0%</w:t>
            </w:r>
          </w:p>
        </w:tc>
      </w:tr>
      <w:tr w:rsidR="006E4ED3" w:rsidRPr="00457FB2" w14:paraId="677C5B26" w14:textId="77777777" w:rsidTr="00457FB2">
        <w:tc>
          <w:tcPr>
            <w:tcW w:w="1874" w:type="pct"/>
            <w:shd w:val="clear" w:color="auto" w:fill="auto"/>
            <w:noWrap/>
            <w:vAlign w:val="center"/>
            <w:hideMark/>
          </w:tcPr>
          <w:p w14:paraId="07C7EB31" w14:textId="28D76383" w:rsidR="006E4ED3" w:rsidRPr="00457FB2" w:rsidRDefault="009B7543"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Direction G</w:t>
            </w:r>
            <w:r w:rsidR="00266F25">
              <w:rPr>
                <w:rFonts w:ascii="Calibri" w:eastAsia="Times New Roman" w:hAnsi="Calibri" w:cs="Calibri"/>
                <w:color w:val="000000"/>
                <w:sz w:val="20"/>
                <w:szCs w:val="20"/>
                <w:lang w:eastAsia="fr-FR"/>
              </w:rPr>
              <w:t>é</w:t>
            </w:r>
            <w:r w:rsidRPr="00457FB2">
              <w:rPr>
                <w:rFonts w:ascii="Calibri" w:eastAsia="Times New Roman" w:hAnsi="Calibri" w:cs="Calibri"/>
                <w:color w:val="000000"/>
                <w:sz w:val="20"/>
                <w:szCs w:val="20"/>
                <w:lang w:eastAsia="fr-FR"/>
              </w:rPr>
              <w:t>n</w:t>
            </w:r>
            <w:r w:rsidR="00266F25">
              <w:rPr>
                <w:rFonts w:ascii="Calibri" w:eastAsia="Times New Roman" w:hAnsi="Calibri" w:cs="Calibri"/>
                <w:color w:val="000000"/>
                <w:sz w:val="20"/>
                <w:szCs w:val="20"/>
                <w:lang w:eastAsia="fr-FR"/>
              </w:rPr>
              <w:t>é</w:t>
            </w:r>
            <w:r w:rsidRPr="00457FB2">
              <w:rPr>
                <w:rFonts w:ascii="Calibri" w:eastAsia="Times New Roman" w:hAnsi="Calibri" w:cs="Calibri"/>
                <w:color w:val="000000"/>
                <w:sz w:val="20"/>
                <w:szCs w:val="20"/>
                <w:lang w:eastAsia="fr-FR"/>
              </w:rPr>
              <w:t xml:space="preserve">rale </w:t>
            </w:r>
            <w:r w:rsidR="00266F25" w:rsidRPr="00457FB2">
              <w:rPr>
                <w:rFonts w:ascii="Calibri" w:eastAsia="Times New Roman" w:hAnsi="Calibri" w:cs="Calibri"/>
                <w:color w:val="000000"/>
                <w:sz w:val="20"/>
                <w:szCs w:val="20"/>
                <w:lang w:eastAsia="fr-FR"/>
              </w:rPr>
              <w:t xml:space="preserve">des </w:t>
            </w:r>
            <w:r w:rsidRPr="00457FB2">
              <w:rPr>
                <w:rFonts w:ascii="Calibri" w:eastAsia="Times New Roman" w:hAnsi="Calibri" w:cs="Calibri"/>
                <w:color w:val="000000"/>
                <w:sz w:val="20"/>
                <w:szCs w:val="20"/>
                <w:lang w:eastAsia="fr-FR"/>
              </w:rPr>
              <w:t xml:space="preserve">Services </w:t>
            </w:r>
            <w:r w:rsidR="00266F25" w:rsidRPr="00457FB2">
              <w:rPr>
                <w:rFonts w:ascii="Calibri" w:eastAsia="Times New Roman" w:hAnsi="Calibri" w:cs="Calibri"/>
                <w:color w:val="000000"/>
                <w:sz w:val="20"/>
                <w:szCs w:val="20"/>
                <w:lang w:eastAsia="fr-FR"/>
              </w:rPr>
              <w:t>Vétérinaires</w:t>
            </w:r>
          </w:p>
        </w:tc>
        <w:tc>
          <w:tcPr>
            <w:tcW w:w="704" w:type="pct"/>
            <w:shd w:val="clear" w:color="auto" w:fill="auto"/>
            <w:noWrap/>
            <w:vAlign w:val="center"/>
            <w:hideMark/>
          </w:tcPr>
          <w:p w14:paraId="1B966F13"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48 446 420</w:t>
            </w:r>
          </w:p>
        </w:tc>
        <w:tc>
          <w:tcPr>
            <w:tcW w:w="860" w:type="pct"/>
            <w:shd w:val="clear" w:color="auto" w:fill="auto"/>
            <w:noWrap/>
            <w:vAlign w:val="center"/>
            <w:hideMark/>
          </w:tcPr>
          <w:p w14:paraId="752FEF2F"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6,0%</w:t>
            </w:r>
          </w:p>
        </w:tc>
        <w:tc>
          <w:tcPr>
            <w:tcW w:w="705" w:type="pct"/>
            <w:shd w:val="clear" w:color="auto" w:fill="auto"/>
            <w:noWrap/>
            <w:vAlign w:val="center"/>
            <w:hideMark/>
          </w:tcPr>
          <w:p w14:paraId="4AF7E29F"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36 989 620</w:t>
            </w:r>
          </w:p>
        </w:tc>
        <w:tc>
          <w:tcPr>
            <w:tcW w:w="857" w:type="pct"/>
            <w:shd w:val="clear" w:color="auto" w:fill="auto"/>
            <w:noWrap/>
            <w:vAlign w:val="center"/>
            <w:hideMark/>
          </w:tcPr>
          <w:p w14:paraId="22BDD40A"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8,6%</w:t>
            </w:r>
          </w:p>
        </w:tc>
      </w:tr>
      <w:tr w:rsidR="006E4ED3" w:rsidRPr="00457FB2" w14:paraId="67443446" w14:textId="77777777" w:rsidTr="00457FB2">
        <w:tc>
          <w:tcPr>
            <w:tcW w:w="1874" w:type="pct"/>
            <w:shd w:val="clear" w:color="auto" w:fill="auto"/>
            <w:noWrap/>
            <w:vAlign w:val="center"/>
            <w:hideMark/>
          </w:tcPr>
          <w:p w14:paraId="28C1A0A4" w14:textId="2B7C6C38" w:rsidR="006E4ED3" w:rsidRPr="00457FB2" w:rsidRDefault="00266F25" w:rsidP="00F12682">
            <w:pPr>
              <w:spacing w:after="0" w:line="240" w:lineRule="auto"/>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 xml:space="preserve">Niveau déconcentré </w:t>
            </w:r>
            <w:r w:rsidR="006E4ED3" w:rsidRPr="00457FB2">
              <w:rPr>
                <w:rFonts w:ascii="Calibri" w:eastAsia="Times New Roman" w:hAnsi="Calibri" w:cs="Calibri"/>
                <w:color w:val="000000"/>
                <w:sz w:val="20"/>
                <w:szCs w:val="20"/>
                <w:lang w:eastAsia="fr-FR"/>
              </w:rPr>
              <w:t>(</w:t>
            </w:r>
            <w:r w:rsidRPr="00457FB2">
              <w:rPr>
                <w:rFonts w:ascii="Calibri" w:eastAsia="Times New Roman" w:hAnsi="Calibri" w:cs="Calibri"/>
                <w:color w:val="000000"/>
                <w:sz w:val="20"/>
                <w:szCs w:val="20"/>
                <w:lang w:eastAsia="fr-FR"/>
              </w:rPr>
              <w:t>Régions</w:t>
            </w:r>
            <w:r w:rsidR="006E4ED3" w:rsidRPr="00457FB2">
              <w:rPr>
                <w:rFonts w:ascii="Calibri" w:eastAsia="Times New Roman" w:hAnsi="Calibri" w:cs="Calibri"/>
                <w:color w:val="000000"/>
                <w:sz w:val="20"/>
                <w:szCs w:val="20"/>
                <w:lang w:eastAsia="fr-FR"/>
              </w:rPr>
              <w:t xml:space="preserve">, </w:t>
            </w:r>
            <w:r w:rsidRPr="00457FB2">
              <w:rPr>
                <w:rFonts w:ascii="Calibri" w:eastAsia="Times New Roman" w:hAnsi="Calibri" w:cs="Calibri"/>
                <w:color w:val="000000"/>
                <w:sz w:val="20"/>
                <w:szCs w:val="20"/>
                <w:lang w:eastAsia="fr-FR"/>
              </w:rPr>
              <w:t>Départements et Communes</w:t>
            </w:r>
            <w:r w:rsidR="006E4ED3" w:rsidRPr="00457FB2">
              <w:rPr>
                <w:rFonts w:ascii="Calibri" w:eastAsia="Times New Roman" w:hAnsi="Calibri" w:cs="Calibri"/>
                <w:color w:val="000000"/>
                <w:sz w:val="20"/>
                <w:szCs w:val="20"/>
                <w:lang w:eastAsia="fr-FR"/>
              </w:rPr>
              <w:t>)</w:t>
            </w:r>
          </w:p>
        </w:tc>
        <w:tc>
          <w:tcPr>
            <w:tcW w:w="704" w:type="pct"/>
            <w:shd w:val="clear" w:color="auto" w:fill="auto"/>
            <w:noWrap/>
            <w:vAlign w:val="center"/>
            <w:hideMark/>
          </w:tcPr>
          <w:p w14:paraId="273C7345"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66 422 323</w:t>
            </w:r>
          </w:p>
        </w:tc>
        <w:tc>
          <w:tcPr>
            <w:tcW w:w="860" w:type="pct"/>
            <w:shd w:val="clear" w:color="auto" w:fill="auto"/>
            <w:noWrap/>
            <w:vAlign w:val="center"/>
            <w:hideMark/>
          </w:tcPr>
          <w:p w14:paraId="551EE0AD"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8,2%</w:t>
            </w:r>
          </w:p>
        </w:tc>
        <w:tc>
          <w:tcPr>
            <w:tcW w:w="705" w:type="pct"/>
            <w:shd w:val="clear" w:color="auto" w:fill="auto"/>
            <w:noWrap/>
            <w:vAlign w:val="center"/>
            <w:hideMark/>
          </w:tcPr>
          <w:p w14:paraId="1C9E390C"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65 034 283</w:t>
            </w:r>
          </w:p>
        </w:tc>
        <w:tc>
          <w:tcPr>
            <w:tcW w:w="857" w:type="pct"/>
            <w:shd w:val="clear" w:color="auto" w:fill="auto"/>
            <w:noWrap/>
            <w:vAlign w:val="center"/>
            <w:hideMark/>
          </w:tcPr>
          <w:p w14:paraId="7CFF3FEC" w14:textId="77777777" w:rsidR="006E4ED3" w:rsidRPr="00457FB2" w:rsidRDefault="006E4ED3" w:rsidP="00F12682">
            <w:pPr>
              <w:spacing w:after="0" w:line="240" w:lineRule="auto"/>
              <w:jc w:val="right"/>
              <w:rPr>
                <w:rFonts w:ascii="Calibri" w:eastAsia="Times New Roman" w:hAnsi="Calibri" w:cs="Calibri"/>
                <w:color w:val="000000"/>
                <w:sz w:val="20"/>
                <w:szCs w:val="20"/>
                <w:lang w:eastAsia="fr-FR"/>
              </w:rPr>
            </w:pPr>
            <w:r w:rsidRPr="00457FB2">
              <w:rPr>
                <w:rFonts w:ascii="Calibri" w:eastAsia="Times New Roman" w:hAnsi="Calibri" w:cs="Calibri"/>
                <w:color w:val="000000"/>
                <w:sz w:val="20"/>
                <w:szCs w:val="20"/>
                <w:lang w:eastAsia="fr-FR"/>
              </w:rPr>
              <w:t>15,0%</w:t>
            </w:r>
          </w:p>
        </w:tc>
      </w:tr>
      <w:tr w:rsidR="006E4ED3" w:rsidRPr="00457FB2" w14:paraId="030A0B66" w14:textId="77777777" w:rsidTr="00457FB2">
        <w:tc>
          <w:tcPr>
            <w:tcW w:w="1874" w:type="pct"/>
            <w:shd w:val="clear" w:color="auto" w:fill="auto"/>
            <w:noWrap/>
            <w:vAlign w:val="center"/>
            <w:hideMark/>
          </w:tcPr>
          <w:p w14:paraId="3E963EDE" w14:textId="089B4249" w:rsidR="006E4ED3" w:rsidRPr="00457FB2" w:rsidRDefault="00BD0156" w:rsidP="00F12682">
            <w:pPr>
              <w:spacing w:after="0" w:line="240" w:lineRule="auto"/>
              <w:jc w:val="center"/>
              <w:rPr>
                <w:rFonts w:ascii="Calibri" w:eastAsia="Times New Roman" w:hAnsi="Calibri" w:cs="Calibri"/>
                <w:b/>
                <w:color w:val="000000"/>
                <w:sz w:val="20"/>
                <w:szCs w:val="20"/>
                <w:lang w:eastAsia="fr-FR"/>
              </w:rPr>
            </w:pPr>
            <w:r w:rsidRPr="00457FB2">
              <w:rPr>
                <w:rFonts w:ascii="Calibri" w:eastAsia="Times New Roman" w:hAnsi="Calibri" w:cs="Calibri"/>
                <w:b/>
                <w:color w:val="000000"/>
                <w:sz w:val="20"/>
                <w:szCs w:val="20"/>
                <w:lang w:eastAsia="fr-FR"/>
              </w:rPr>
              <w:t>Total</w:t>
            </w:r>
          </w:p>
        </w:tc>
        <w:tc>
          <w:tcPr>
            <w:tcW w:w="704" w:type="pct"/>
            <w:shd w:val="clear" w:color="auto" w:fill="auto"/>
            <w:noWrap/>
            <w:vAlign w:val="center"/>
            <w:hideMark/>
          </w:tcPr>
          <w:p w14:paraId="24F69188" w14:textId="77777777" w:rsidR="006E4ED3" w:rsidRPr="00457FB2" w:rsidRDefault="006E4ED3" w:rsidP="00F12682">
            <w:pPr>
              <w:spacing w:after="0" w:line="240" w:lineRule="auto"/>
              <w:jc w:val="right"/>
              <w:rPr>
                <w:rFonts w:ascii="Calibri" w:eastAsia="Times New Roman" w:hAnsi="Calibri" w:cs="Calibri"/>
                <w:b/>
                <w:color w:val="000000"/>
                <w:sz w:val="20"/>
                <w:szCs w:val="20"/>
                <w:lang w:eastAsia="fr-FR"/>
              </w:rPr>
            </w:pPr>
            <w:r w:rsidRPr="00457FB2">
              <w:rPr>
                <w:rFonts w:ascii="Calibri" w:eastAsia="Times New Roman" w:hAnsi="Calibri" w:cs="Calibri"/>
                <w:b/>
                <w:color w:val="000000"/>
                <w:sz w:val="20"/>
                <w:szCs w:val="20"/>
                <w:lang w:eastAsia="fr-FR"/>
              </w:rPr>
              <w:t>806 334 541</w:t>
            </w:r>
          </w:p>
        </w:tc>
        <w:tc>
          <w:tcPr>
            <w:tcW w:w="860" w:type="pct"/>
            <w:shd w:val="clear" w:color="auto" w:fill="auto"/>
            <w:noWrap/>
            <w:vAlign w:val="center"/>
            <w:hideMark/>
          </w:tcPr>
          <w:p w14:paraId="2239E1CE" w14:textId="77777777" w:rsidR="006E4ED3" w:rsidRPr="00457FB2" w:rsidRDefault="006E4ED3" w:rsidP="00F12682">
            <w:pPr>
              <w:spacing w:after="0" w:line="240" w:lineRule="auto"/>
              <w:jc w:val="right"/>
              <w:rPr>
                <w:rFonts w:ascii="Calibri" w:eastAsia="Times New Roman" w:hAnsi="Calibri" w:cs="Calibri"/>
                <w:b/>
                <w:color w:val="000000"/>
                <w:sz w:val="20"/>
                <w:szCs w:val="20"/>
                <w:lang w:eastAsia="fr-FR"/>
              </w:rPr>
            </w:pPr>
            <w:r w:rsidRPr="00457FB2">
              <w:rPr>
                <w:rFonts w:ascii="Calibri" w:eastAsia="Times New Roman" w:hAnsi="Calibri" w:cs="Calibri"/>
                <w:b/>
                <w:color w:val="000000"/>
                <w:sz w:val="20"/>
                <w:szCs w:val="20"/>
                <w:lang w:eastAsia="fr-FR"/>
              </w:rPr>
              <w:t>100,0%</w:t>
            </w:r>
          </w:p>
        </w:tc>
        <w:tc>
          <w:tcPr>
            <w:tcW w:w="705" w:type="pct"/>
            <w:shd w:val="clear" w:color="auto" w:fill="auto"/>
            <w:noWrap/>
            <w:vAlign w:val="center"/>
            <w:hideMark/>
          </w:tcPr>
          <w:p w14:paraId="219855AF" w14:textId="77777777" w:rsidR="006E4ED3" w:rsidRPr="00457FB2" w:rsidRDefault="006E4ED3" w:rsidP="00F12682">
            <w:pPr>
              <w:spacing w:after="0" w:line="240" w:lineRule="auto"/>
              <w:jc w:val="right"/>
              <w:rPr>
                <w:rFonts w:ascii="Calibri" w:eastAsia="Times New Roman" w:hAnsi="Calibri" w:cs="Calibri"/>
                <w:b/>
                <w:color w:val="000000"/>
                <w:sz w:val="20"/>
                <w:szCs w:val="20"/>
                <w:lang w:eastAsia="fr-FR"/>
              </w:rPr>
            </w:pPr>
            <w:r w:rsidRPr="00457FB2">
              <w:rPr>
                <w:rFonts w:ascii="Calibri" w:eastAsia="Times New Roman" w:hAnsi="Calibri" w:cs="Calibri"/>
                <w:b/>
                <w:color w:val="000000"/>
                <w:sz w:val="20"/>
                <w:szCs w:val="20"/>
                <w:lang w:eastAsia="fr-FR"/>
              </w:rPr>
              <w:t>432 548 489</w:t>
            </w:r>
          </w:p>
        </w:tc>
        <w:tc>
          <w:tcPr>
            <w:tcW w:w="857" w:type="pct"/>
            <w:shd w:val="clear" w:color="auto" w:fill="auto"/>
            <w:noWrap/>
            <w:vAlign w:val="center"/>
            <w:hideMark/>
          </w:tcPr>
          <w:p w14:paraId="6C1BD6BD" w14:textId="77777777" w:rsidR="006E4ED3" w:rsidRPr="00457FB2" w:rsidRDefault="006E4ED3" w:rsidP="00F12682">
            <w:pPr>
              <w:spacing w:after="0" w:line="240" w:lineRule="auto"/>
              <w:jc w:val="right"/>
              <w:rPr>
                <w:rFonts w:ascii="Calibri" w:eastAsia="Times New Roman" w:hAnsi="Calibri" w:cs="Calibri"/>
                <w:b/>
                <w:color w:val="000000"/>
                <w:sz w:val="20"/>
                <w:szCs w:val="20"/>
                <w:lang w:eastAsia="fr-FR"/>
              </w:rPr>
            </w:pPr>
            <w:r w:rsidRPr="00457FB2">
              <w:rPr>
                <w:rFonts w:ascii="Calibri" w:eastAsia="Times New Roman" w:hAnsi="Calibri" w:cs="Calibri"/>
                <w:b/>
                <w:color w:val="000000"/>
                <w:sz w:val="20"/>
                <w:szCs w:val="20"/>
                <w:lang w:eastAsia="fr-FR"/>
              </w:rPr>
              <w:t>100,0%</w:t>
            </w:r>
          </w:p>
        </w:tc>
      </w:tr>
    </w:tbl>
    <w:p w14:paraId="124B6A17" w14:textId="77777777" w:rsidR="007F358B" w:rsidRPr="00673E94" w:rsidRDefault="007F358B" w:rsidP="00F12682">
      <w:pPr>
        <w:spacing w:after="120" w:line="276" w:lineRule="auto"/>
        <w:jc w:val="both"/>
        <w:rPr>
          <w:rFonts w:ascii="Calibri" w:eastAsiaTheme="majorEastAsia" w:hAnsi="Calibri" w:cs="Calibri"/>
          <w:iCs/>
          <w:sz w:val="24"/>
        </w:rPr>
      </w:pPr>
    </w:p>
    <w:p w14:paraId="7231A176"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l’efficacité des dépenses d’investissement</w:t>
      </w:r>
    </w:p>
    <w:p w14:paraId="4B50B3A6" w14:textId="77777777" w:rsidR="00941B87" w:rsidRDefault="00941B87"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 xml:space="preserve">Plus de trois quart (76%) des dépenses d’investissements effectuées dans le sous-secteur de l’élevage en 2016 proviennent du trésor. Les 23% restant sont des emprunts auprès de l’IDA. </w:t>
      </w:r>
    </w:p>
    <w:p w14:paraId="7208B24E" w14:textId="77777777" w:rsidR="00941B87" w:rsidRDefault="00941B87"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Les autres</w:t>
      </w:r>
      <w:r w:rsidRPr="003570FA">
        <w:rPr>
          <w:rFonts w:ascii="Calibri" w:eastAsiaTheme="majorEastAsia" w:hAnsi="Calibri" w:cs="Calibri"/>
          <w:iCs/>
          <w:sz w:val="24"/>
        </w:rPr>
        <w:t xml:space="preserve"> financement</w:t>
      </w:r>
      <w:r>
        <w:rPr>
          <w:rFonts w:ascii="Calibri" w:eastAsiaTheme="majorEastAsia" w:hAnsi="Calibri" w:cs="Calibri"/>
          <w:iCs/>
          <w:sz w:val="24"/>
        </w:rPr>
        <w:t>s de type ANR provenant de la FAO et de l’UEMOA inscrits pour la même année, n’ont pas été exécutés.</w:t>
      </w:r>
    </w:p>
    <w:p w14:paraId="7BFF953A" w14:textId="77777777" w:rsidR="0023259E" w:rsidRDefault="0023259E" w:rsidP="00F12682">
      <w:pPr>
        <w:spacing w:after="0" w:line="240" w:lineRule="auto"/>
        <w:jc w:val="both"/>
        <w:rPr>
          <w:rFonts w:ascii="Calibri" w:eastAsiaTheme="majorEastAsia" w:hAnsi="Calibri" w:cs="Calibri"/>
          <w:iCs/>
          <w:sz w:val="24"/>
        </w:rPr>
      </w:pPr>
    </w:p>
    <w:p w14:paraId="52AD53B8" w14:textId="77777777" w:rsidR="00941B87" w:rsidRDefault="00941B87" w:rsidP="00F12682">
      <w:pPr>
        <w:pStyle w:val="Lgende"/>
        <w:rPr>
          <w:rFonts w:eastAsiaTheme="majorEastAsia" w:cs="Calibri"/>
          <w:iCs w:val="0"/>
        </w:rPr>
      </w:pPr>
      <w:bookmarkStart w:id="177" w:name="_Toc529305096"/>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42</w:t>
      </w:r>
      <w:r w:rsidR="00A773EB">
        <w:rPr>
          <w:noProof/>
        </w:rPr>
        <w:fldChar w:fldCharType="end"/>
      </w:r>
      <w:r w:rsidRPr="005970F0">
        <w:rPr>
          <w:rFonts w:eastAsiaTheme="majorEastAsia" w:cs="Calibri"/>
          <w:iCs w:val="0"/>
        </w:rPr>
        <w:t> : Répartition des investissements par source de financements au MEL en 2016</w:t>
      </w:r>
      <w:bookmarkEnd w:id="177"/>
    </w:p>
    <w:tbl>
      <w:tblPr>
        <w:tblW w:w="9514" w:type="dxa"/>
        <w:tblInd w:w="-5" w:type="dxa"/>
        <w:tblCellMar>
          <w:left w:w="70" w:type="dxa"/>
          <w:right w:w="70" w:type="dxa"/>
        </w:tblCellMar>
        <w:tblLook w:val="04A0" w:firstRow="1" w:lastRow="0" w:firstColumn="1" w:lastColumn="0" w:noHBand="0" w:noVBand="1"/>
      </w:tblPr>
      <w:tblGrid>
        <w:gridCol w:w="2127"/>
        <w:gridCol w:w="2002"/>
        <w:gridCol w:w="1860"/>
        <w:gridCol w:w="2268"/>
        <w:gridCol w:w="1257"/>
      </w:tblGrid>
      <w:tr w:rsidR="00BD0156" w:rsidRPr="00BD0156" w14:paraId="354721CD" w14:textId="77777777" w:rsidTr="00BD015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51386" w14:textId="77777777" w:rsidR="00BD0156" w:rsidRPr="00BD0156" w:rsidRDefault="00BD0156" w:rsidP="00F12682">
            <w:pPr>
              <w:spacing w:after="0" w:line="240" w:lineRule="auto"/>
              <w:jc w:val="center"/>
              <w:rPr>
                <w:rFonts w:ascii="Calibri" w:eastAsia="Times New Roman" w:hAnsi="Calibri" w:cs="Calibri"/>
                <w:b/>
                <w:bCs/>
                <w:sz w:val="20"/>
                <w:lang w:eastAsia="fr-FR"/>
              </w:rPr>
            </w:pPr>
            <w:r w:rsidRPr="00BD0156">
              <w:rPr>
                <w:rFonts w:ascii="Calibri" w:eastAsia="Times New Roman" w:hAnsi="Calibri" w:cs="Calibri"/>
                <w:b/>
                <w:bCs/>
                <w:sz w:val="20"/>
                <w:lang w:eastAsia="fr-FR"/>
              </w:rPr>
              <w:t>Type de financement</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599AB932" w14:textId="77777777" w:rsidR="00BD0156" w:rsidRPr="00BD0156" w:rsidRDefault="00BD0156" w:rsidP="00F12682">
            <w:pPr>
              <w:spacing w:after="0" w:line="240" w:lineRule="auto"/>
              <w:jc w:val="center"/>
              <w:rPr>
                <w:rFonts w:ascii="Calibri" w:eastAsia="Times New Roman" w:hAnsi="Calibri" w:cs="Calibri"/>
                <w:b/>
                <w:bCs/>
                <w:sz w:val="20"/>
                <w:lang w:eastAsia="fr-FR"/>
              </w:rPr>
            </w:pPr>
            <w:r w:rsidRPr="00BD0156">
              <w:rPr>
                <w:rFonts w:ascii="Calibri" w:eastAsia="Times New Roman" w:hAnsi="Calibri" w:cs="Calibri"/>
                <w:b/>
                <w:bCs/>
                <w:sz w:val="20"/>
                <w:lang w:eastAsia="fr-FR"/>
              </w:rPr>
              <w:t>Crédits votés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1FBF91E0" w14:textId="77777777" w:rsidR="00BD0156" w:rsidRPr="00BD0156" w:rsidRDefault="00BD0156" w:rsidP="00F12682">
            <w:pPr>
              <w:spacing w:after="0" w:line="240" w:lineRule="auto"/>
              <w:jc w:val="center"/>
              <w:rPr>
                <w:rFonts w:ascii="Calibri" w:eastAsia="Times New Roman" w:hAnsi="Calibri" w:cs="Calibri"/>
                <w:b/>
                <w:bCs/>
                <w:sz w:val="20"/>
                <w:lang w:eastAsia="fr-FR"/>
              </w:rPr>
            </w:pPr>
            <w:r w:rsidRPr="00BD0156">
              <w:rPr>
                <w:rFonts w:ascii="Calibri" w:eastAsia="Times New Roman" w:hAnsi="Calibri" w:cs="Calibri"/>
                <w:b/>
                <w:bCs/>
                <w:sz w:val="20"/>
                <w:lang w:eastAsia="fr-FR"/>
              </w:rPr>
              <w:t>Crédits consommés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34C08A2" w14:textId="77777777" w:rsidR="00BD0156" w:rsidRPr="00BD0156" w:rsidRDefault="00BD0156" w:rsidP="00F12682">
            <w:pPr>
              <w:spacing w:after="0" w:line="240" w:lineRule="auto"/>
              <w:jc w:val="center"/>
              <w:rPr>
                <w:rFonts w:ascii="Calibri" w:eastAsia="Times New Roman" w:hAnsi="Calibri" w:cs="Calibri"/>
                <w:b/>
                <w:bCs/>
                <w:sz w:val="20"/>
                <w:lang w:eastAsia="fr-FR"/>
              </w:rPr>
            </w:pPr>
            <w:r w:rsidRPr="00BD0156">
              <w:rPr>
                <w:rFonts w:ascii="Calibri" w:eastAsia="Times New Roman" w:hAnsi="Calibri" w:cs="Calibri"/>
                <w:b/>
                <w:bCs/>
                <w:sz w:val="20"/>
                <w:lang w:eastAsia="fr-FR"/>
              </w:rPr>
              <w:t>Taux de consommation</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66F3E28D" w14:textId="77777777" w:rsidR="00BD0156" w:rsidRPr="00BD0156" w:rsidRDefault="00BD0156" w:rsidP="00F12682">
            <w:pPr>
              <w:spacing w:after="0" w:line="240" w:lineRule="auto"/>
              <w:jc w:val="center"/>
              <w:rPr>
                <w:rFonts w:ascii="Calibri" w:eastAsia="Times New Roman" w:hAnsi="Calibri" w:cs="Calibri"/>
                <w:b/>
                <w:bCs/>
                <w:sz w:val="20"/>
                <w:lang w:eastAsia="fr-FR"/>
              </w:rPr>
            </w:pPr>
            <w:r w:rsidRPr="00BD0156">
              <w:rPr>
                <w:rFonts w:ascii="Calibri" w:eastAsia="Times New Roman" w:hAnsi="Calibri" w:cs="Calibri"/>
                <w:b/>
                <w:bCs/>
                <w:sz w:val="20"/>
                <w:lang w:eastAsia="fr-FR"/>
              </w:rPr>
              <w:t>Part relative</w:t>
            </w:r>
          </w:p>
        </w:tc>
      </w:tr>
      <w:tr w:rsidR="00BD0156" w:rsidRPr="00BD0156" w14:paraId="29E25375" w14:textId="77777777" w:rsidTr="00BD0156">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B36065" w14:textId="77777777" w:rsidR="00BD0156" w:rsidRPr="00BD0156" w:rsidRDefault="00BD0156" w:rsidP="00F12682">
            <w:pPr>
              <w:spacing w:after="0" w:line="240" w:lineRule="auto"/>
              <w:rPr>
                <w:rFonts w:ascii="Calibri" w:eastAsia="Times New Roman" w:hAnsi="Calibri" w:cs="Calibri"/>
                <w:lang w:eastAsia="fr-FR"/>
              </w:rPr>
            </w:pPr>
            <w:r w:rsidRPr="00BD0156">
              <w:rPr>
                <w:rFonts w:ascii="Calibri" w:eastAsia="Times New Roman" w:hAnsi="Calibri" w:cs="Calibri"/>
                <w:lang w:eastAsia="fr-FR"/>
              </w:rPr>
              <w:t>ANR</w:t>
            </w:r>
          </w:p>
        </w:tc>
        <w:tc>
          <w:tcPr>
            <w:tcW w:w="2002" w:type="dxa"/>
            <w:tcBorders>
              <w:top w:val="nil"/>
              <w:left w:val="nil"/>
              <w:bottom w:val="single" w:sz="4" w:space="0" w:color="auto"/>
              <w:right w:val="single" w:sz="4" w:space="0" w:color="auto"/>
            </w:tcBorders>
            <w:shd w:val="clear" w:color="auto" w:fill="auto"/>
            <w:noWrap/>
            <w:vAlign w:val="center"/>
            <w:hideMark/>
          </w:tcPr>
          <w:p w14:paraId="3785FE8C"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186 266 534</w:t>
            </w:r>
          </w:p>
        </w:tc>
        <w:tc>
          <w:tcPr>
            <w:tcW w:w="1860" w:type="dxa"/>
            <w:tcBorders>
              <w:top w:val="nil"/>
              <w:left w:val="nil"/>
              <w:bottom w:val="single" w:sz="4" w:space="0" w:color="auto"/>
              <w:right w:val="single" w:sz="4" w:space="0" w:color="auto"/>
            </w:tcBorders>
            <w:shd w:val="clear" w:color="auto" w:fill="auto"/>
            <w:noWrap/>
            <w:vAlign w:val="center"/>
            <w:hideMark/>
          </w:tcPr>
          <w:p w14:paraId="2A832471"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0</w:t>
            </w:r>
          </w:p>
        </w:tc>
        <w:tc>
          <w:tcPr>
            <w:tcW w:w="2268" w:type="dxa"/>
            <w:tcBorders>
              <w:top w:val="nil"/>
              <w:left w:val="nil"/>
              <w:bottom w:val="single" w:sz="4" w:space="0" w:color="auto"/>
              <w:right w:val="single" w:sz="4" w:space="0" w:color="auto"/>
            </w:tcBorders>
            <w:shd w:val="clear" w:color="auto" w:fill="auto"/>
            <w:noWrap/>
            <w:vAlign w:val="center"/>
            <w:hideMark/>
          </w:tcPr>
          <w:p w14:paraId="0419C5E4"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0,00%</w:t>
            </w:r>
          </w:p>
        </w:tc>
        <w:tc>
          <w:tcPr>
            <w:tcW w:w="1257" w:type="dxa"/>
            <w:tcBorders>
              <w:top w:val="nil"/>
              <w:left w:val="nil"/>
              <w:bottom w:val="single" w:sz="4" w:space="0" w:color="auto"/>
              <w:right w:val="single" w:sz="4" w:space="0" w:color="auto"/>
            </w:tcBorders>
            <w:shd w:val="clear" w:color="auto" w:fill="auto"/>
            <w:noWrap/>
            <w:vAlign w:val="center"/>
            <w:hideMark/>
          </w:tcPr>
          <w:p w14:paraId="6BC97033"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0,00%</w:t>
            </w:r>
          </w:p>
        </w:tc>
      </w:tr>
      <w:tr w:rsidR="00BD0156" w:rsidRPr="00BD0156" w14:paraId="155801C6" w14:textId="77777777" w:rsidTr="00BD0156">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A87DF4" w14:textId="77777777" w:rsidR="00BD0156" w:rsidRPr="00BD0156" w:rsidRDefault="00BD0156" w:rsidP="00F12682">
            <w:pPr>
              <w:spacing w:after="0" w:line="240" w:lineRule="auto"/>
              <w:rPr>
                <w:rFonts w:ascii="Calibri" w:eastAsia="Times New Roman" w:hAnsi="Calibri" w:cs="Calibri"/>
                <w:lang w:eastAsia="fr-FR"/>
              </w:rPr>
            </w:pPr>
            <w:r w:rsidRPr="00BD0156">
              <w:rPr>
                <w:rFonts w:ascii="Calibri" w:eastAsia="Times New Roman" w:hAnsi="Calibri" w:cs="Calibri"/>
                <w:lang w:eastAsia="fr-FR"/>
              </w:rPr>
              <w:t>Emprunt (IDA)</w:t>
            </w:r>
          </w:p>
        </w:tc>
        <w:tc>
          <w:tcPr>
            <w:tcW w:w="2002" w:type="dxa"/>
            <w:tcBorders>
              <w:top w:val="nil"/>
              <w:left w:val="nil"/>
              <w:bottom w:val="single" w:sz="4" w:space="0" w:color="auto"/>
              <w:right w:val="single" w:sz="4" w:space="0" w:color="auto"/>
            </w:tcBorders>
            <w:shd w:val="clear" w:color="auto" w:fill="auto"/>
            <w:noWrap/>
            <w:vAlign w:val="center"/>
            <w:hideMark/>
          </w:tcPr>
          <w:p w14:paraId="5CF4DA4C"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5 060 300 000</w:t>
            </w:r>
          </w:p>
        </w:tc>
        <w:tc>
          <w:tcPr>
            <w:tcW w:w="1860" w:type="dxa"/>
            <w:tcBorders>
              <w:top w:val="nil"/>
              <w:left w:val="nil"/>
              <w:bottom w:val="single" w:sz="4" w:space="0" w:color="auto"/>
              <w:right w:val="single" w:sz="4" w:space="0" w:color="auto"/>
            </w:tcBorders>
            <w:shd w:val="clear" w:color="auto" w:fill="auto"/>
            <w:noWrap/>
            <w:vAlign w:val="center"/>
            <w:hideMark/>
          </w:tcPr>
          <w:p w14:paraId="38677B96"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857 531 250</w:t>
            </w:r>
          </w:p>
        </w:tc>
        <w:tc>
          <w:tcPr>
            <w:tcW w:w="2268" w:type="dxa"/>
            <w:tcBorders>
              <w:top w:val="nil"/>
              <w:left w:val="nil"/>
              <w:bottom w:val="single" w:sz="4" w:space="0" w:color="auto"/>
              <w:right w:val="single" w:sz="4" w:space="0" w:color="auto"/>
            </w:tcBorders>
            <w:shd w:val="clear" w:color="auto" w:fill="auto"/>
            <w:noWrap/>
            <w:vAlign w:val="center"/>
            <w:hideMark/>
          </w:tcPr>
          <w:p w14:paraId="74FD0B7F"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16,90%</w:t>
            </w:r>
          </w:p>
        </w:tc>
        <w:tc>
          <w:tcPr>
            <w:tcW w:w="1257" w:type="dxa"/>
            <w:tcBorders>
              <w:top w:val="nil"/>
              <w:left w:val="nil"/>
              <w:bottom w:val="single" w:sz="4" w:space="0" w:color="auto"/>
              <w:right w:val="single" w:sz="4" w:space="0" w:color="auto"/>
            </w:tcBorders>
            <w:shd w:val="clear" w:color="auto" w:fill="auto"/>
            <w:noWrap/>
            <w:vAlign w:val="center"/>
            <w:hideMark/>
          </w:tcPr>
          <w:p w14:paraId="2AAEF775"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23,01%</w:t>
            </w:r>
          </w:p>
        </w:tc>
      </w:tr>
      <w:tr w:rsidR="00BD0156" w:rsidRPr="00BD0156" w14:paraId="4D757D34" w14:textId="77777777" w:rsidTr="00BD0156">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48BA3B" w14:textId="77777777" w:rsidR="00BD0156" w:rsidRPr="00BD0156" w:rsidRDefault="00BD0156" w:rsidP="00F12682">
            <w:pPr>
              <w:spacing w:after="0" w:line="240" w:lineRule="auto"/>
              <w:rPr>
                <w:rFonts w:ascii="Calibri" w:eastAsia="Times New Roman" w:hAnsi="Calibri" w:cs="Calibri"/>
                <w:lang w:eastAsia="fr-FR"/>
              </w:rPr>
            </w:pPr>
            <w:r w:rsidRPr="00BD0156">
              <w:rPr>
                <w:rFonts w:ascii="Calibri" w:eastAsia="Times New Roman" w:hAnsi="Calibri" w:cs="Calibri"/>
                <w:lang w:eastAsia="fr-FR"/>
              </w:rPr>
              <w:t>Trésor</w:t>
            </w:r>
          </w:p>
        </w:tc>
        <w:tc>
          <w:tcPr>
            <w:tcW w:w="2002" w:type="dxa"/>
            <w:tcBorders>
              <w:top w:val="nil"/>
              <w:left w:val="nil"/>
              <w:bottom w:val="single" w:sz="4" w:space="0" w:color="auto"/>
              <w:right w:val="single" w:sz="4" w:space="0" w:color="auto"/>
            </w:tcBorders>
            <w:shd w:val="clear" w:color="auto" w:fill="auto"/>
            <w:noWrap/>
            <w:vAlign w:val="bottom"/>
            <w:hideMark/>
          </w:tcPr>
          <w:p w14:paraId="3D1D5734"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4 442 775 934</w:t>
            </w:r>
          </w:p>
        </w:tc>
        <w:tc>
          <w:tcPr>
            <w:tcW w:w="1860" w:type="dxa"/>
            <w:tcBorders>
              <w:top w:val="nil"/>
              <w:left w:val="nil"/>
              <w:bottom w:val="single" w:sz="4" w:space="0" w:color="auto"/>
              <w:right w:val="single" w:sz="4" w:space="0" w:color="auto"/>
            </w:tcBorders>
            <w:shd w:val="clear" w:color="auto" w:fill="auto"/>
            <w:noWrap/>
            <w:vAlign w:val="bottom"/>
            <w:hideMark/>
          </w:tcPr>
          <w:p w14:paraId="29A743C7"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2 869 129 405</w:t>
            </w:r>
          </w:p>
        </w:tc>
        <w:tc>
          <w:tcPr>
            <w:tcW w:w="2268" w:type="dxa"/>
            <w:tcBorders>
              <w:top w:val="nil"/>
              <w:left w:val="nil"/>
              <w:bottom w:val="single" w:sz="4" w:space="0" w:color="auto"/>
              <w:right w:val="single" w:sz="4" w:space="0" w:color="auto"/>
            </w:tcBorders>
            <w:shd w:val="clear" w:color="auto" w:fill="auto"/>
            <w:noWrap/>
            <w:vAlign w:val="center"/>
            <w:hideMark/>
          </w:tcPr>
          <w:p w14:paraId="10DFF3A0"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64,58%</w:t>
            </w:r>
          </w:p>
        </w:tc>
        <w:tc>
          <w:tcPr>
            <w:tcW w:w="1257" w:type="dxa"/>
            <w:tcBorders>
              <w:top w:val="nil"/>
              <w:left w:val="nil"/>
              <w:bottom w:val="single" w:sz="4" w:space="0" w:color="auto"/>
              <w:right w:val="single" w:sz="4" w:space="0" w:color="auto"/>
            </w:tcBorders>
            <w:shd w:val="clear" w:color="auto" w:fill="auto"/>
            <w:noWrap/>
            <w:vAlign w:val="center"/>
            <w:hideMark/>
          </w:tcPr>
          <w:p w14:paraId="7A91FBCA"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76,99%</w:t>
            </w:r>
          </w:p>
        </w:tc>
      </w:tr>
      <w:tr w:rsidR="00BD0156" w:rsidRPr="00BD0156" w14:paraId="0AF4BAF7" w14:textId="77777777" w:rsidTr="00BD0156">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837802" w14:textId="77777777" w:rsidR="00BD0156" w:rsidRPr="00BD0156" w:rsidRDefault="00BD0156" w:rsidP="00F12682">
            <w:pPr>
              <w:spacing w:after="0" w:line="240" w:lineRule="auto"/>
              <w:rPr>
                <w:rFonts w:ascii="Calibri" w:eastAsia="Times New Roman" w:hAnsi="Calibri" w:cs="Calibri"/>
                <w:b/>
                <w:bCs/>
                <w:lang w:eastAsia="fr-FR"/>
              </w:rPr>
            </w:pPr>
            <w:r w:rsidRPr="00BD0156">
              <w:rPr>
                <w:rFonts w:ascii="Calibri" w:eastAsia="Times New Roman" w:hAnsi="Calibri" w:cs="Calibri"/>
                <w:b/>
                <w:bCs/>
                <w:lang w:eastAsia="fr-FR"/>
              </w:rPr>
              <w:t>Total général</w:t>
            </w:r>
          </w:p>
        </w:tc>
        <w:tc>
          <w:tcPr>
            <w:tcW w:w="2002" w:type="dxa"/>
            <w:tcBorders>
              <w:top w:val="nil"/>
              <w:left w:val="nil"/>
              <w:bottom w:val="single" w:sz="4" w:space="0" w:color="auto"/>
              <w:right w:val="single" w:sz="4" w:space="0" w:color="auto"/>
            </w:tcBorders>
            <w:shd w:val="clear" w:color="auto" w:fill="auto"/>
            <w:noWrap/>
            <w:vAlign w:val="center"/>
            <w:hideMark/>
          </w:tcPr>
          <w:p w14:paraId="269FA89D" w14:textId="77777777" w:rsidR="00BD0156" w:rsidRPr="00BD0156" w:rsidRDefault="00BD0156" w:rsidP="00F12682">
            <w:pPr>
              <w:spacing w:after="0" w:line="240" w:lineRule="auto"/>
              <w:jc w:val="right"/>
              <w:rPr>
                <w:rFonts w:ascii="Calibri" w:eastAsia="Times New Roman" w:hAnsi="Calibri" w:cs="Calibri"/>
                <w:b/>
                <w:bCs/>
                <w:lang w:eastAsia="fr-FR"/>
              </w:rPr>
            </w:pPr>
            <w:r w:rsidRPr="00BD0156">
              <w:rPr>
                <w:rFonts w:ascii="Calibri" w:eastAsia="Times New Roman" w:hAnsi="Calibri" w:cs="Calibri"/>
                <w:b/>
                <w:bCs/>
                <w:lang w:eastAsia="fr-FR"/>
              </w:rPr>
              <w:t>9 689 342 468</w:t>
            </w:r>
          </w:p>
        </w:tc>
        <w:tc>
          <w:tcPr>
            <w:tcW w:w="1860" w:type="dxa"/>
            <w:tcBorders>
              <w:top w:val="nil"/>
              <w:left w:val="nil"/>
              <w:bottom w:val="single" w:sz="4" w:space="0" w:color="auto"/>
              <w:right w:val="single" w:sz="4" w:space="0" w:color="auto"/>
            </w:tcBorders>
            <w:shd w:val="clear" w:color="auto" w:fill="auto"/>
            <w:noWrap/>
            <w:vAlign w:val="center"/>
            <w:hideMark/>
          </w:tcPr>
          <w:p w14:paraId="5614583D" w14:textId="77777777" w:rsidR="00BD0156" w:rsidRPr="00BD0156" w:rsidRDefault="00BD0156" w:rsidP="00F12682">
            <w:pPr>
              <w:spacing w:after="0" w:line="240" w:lineRule="auto"/>
              <w:jc w:val="right"/>
              <w:rPr>
                <w:rFonts w:ascii="Calibri" w:eastAsia="Times New Roman" w:hAnsi="Calibri" w:cs="Calibri"/>
                <w:b/>
                <w:bCs/>
                <w:lang w:eastAsia="fr-FR"/>
              </w:rPr>
            </w:pPr>
            <w:r w:rsidRPr="00BD0156">
              <w:rPr>
                <w:rFonts w:ascii="Calibri" w:eastAsia="Times New Roman" w:hAnsi="Calibri" w:cs="Calibri"/>
                <w:b/>
                <w:bCs/>
                <w:lang w:eastAsia="fr-FR"/>
              </w:rPr>
              <w:t>3 726 660 655</w:t>
            </w:r>
          </w:p>
        </w:tc>
        <w:tc>
          <w:tcPr>
            <w:tcW w:w="2268" w:type="dxa"/>
            <w:tcBorders>
              <w:top w:val="nil"/>
              <w:left w:val="nil"/>
              <w:bottom w:val="single" w:sz="4" w:space="0" w:color="auto"/>
              <w:right w:val="single" w:sz="4" w:space="0" w:color="auto"/>
            </w:tcBorders>
            <w:shd w:val="clear" w:color="auto" w:fill="auto"/>
            <w:noWrap/>
            <w:vAlign w:val="center"/>
            <w:hideMark/>
          </w:tcPr>
          <w:p w14:paraId="658A07C1" w14:textId="77777777" w:rsidR="00BD0156" w:rsidRPr="00BD0156" w:rsidRDefault="00BD0156" w:rsidP="00F12682">
            <w:pPr>
              <w:spacing w:after="0" w:line="240" w:lineRule="auto"/>
              <w:jc w:val="right"/>
              <w:rPr>
                <w:rFonts w:ascii="Calibri" w:eastAsia="Times New Roman" w:hAnsi="Calibri" w:cs="Calibri"/>
                <w:b/>
                <w:bCs/>
                <w:lang w:eastAsia="fr-FR"/>
              </w:rPr>
            </w:pPr>
            <w:r w:rsidRPr="00BD0156">
              <w:rPr>
                <w:rFonts w:ascii="Calibri" w:eastAsia="Times New Roman" w:hAnsi="Calibri" w:cs="Calibri"/>
                <w:b/>
                <w:bCs/>
                <w:lang w:eastAsia="fr-FR"/>
              </w:rPr>
              <w:t>38,50%</w:t>
            </w:r>
          </w:p>
        </w:tc>
        <w:tc>
          <w:tcPr>
            <w:tcW w:w="1257" w:type="dxa"/>
            <w:tcBorders>
              <w:top w:val="nil"/>
              <w:left w:val="nil"/>
              <w:bottom w:val="single" w:sz="4" w:space="0" w:color="auto"/>
              <w:right w:val="single" w:sz="4" w:space="0" w:color="auto"/>
            </w:tcBorders>
            <w:shd w:val="clear" w:color="auto" w:fill="auto"/>
            <w:noWrap/>
            <w:vAlign w:val="center"/>
            <w:hideMark/>
          </w:tcPr>
          <w:p w14:paraId="7B587105" w14:textId="77777777" w:rsidR="00BD0156" w:rsidRPr="00BD0156" w:rsidRDefault="00BD0156" w:rsidP="00F12682">
            <w:pPr>
              <w:spacing w:after="0" w:line="240" w:lineRule="auto"/>
              <w:jc w:val="right"/>
              <w:rPr>
                <w:rFonts w:ascii="Calibri" w:eastAsia="Times New Roman" w:hAnsi="Calibri" w:cs="Calibri"/>
                <w:lang w:eastAsia="fr-FR"/>
              </w:rPr>
            </w:pPr>
            <w:r w:rsidRPr="00BD0156">
              <w:rPr>
                <w:rFonts w:ascii="Calibri" w:eastAsia="Times New Roman" w:hAnsi="Calibri" w:cs="Calibri"/>
                <w:lang w:eastAsia="fr-FR"/>
              </w:rPr>
              <w:t>100,00%</w:t>
            </w:r>
          </w:p>
        </w:tc>
      </w:tr>
    </w:tbl>
    <w:p w14:paraId="157A8B55" w14:textId="77777777" w:rsidR="007F358B" w:rsidRPr="00685320" w:rsidRDefault="007F358B" w:rsidP="00F12682">
      <w:pPr>
        <w:pStyle w:val="Titre4"/>
        <w:rPr>
          <w:rFonts w:cstheme="minorHAnsi"/>
        </w:rPr>
      </w:pPr>
      <w:r w:rsidRPr="004A5122">
        <w:rPr>
          <w:rFonts w:asciiTheme="minorHAnsi" w:hAnsiTheme="minorHAnsi" w:cstheme="minorHAnsi"/>
          <w:i w:val="0"/>
        </w:rPr>
        <w:lastRenderedPageBreak/>
        <w:t>Synthèse et perspective</w:t>
      </w:r>
    </w:p>
    <w:p w14:paraId="6D233B0D" w14:textId="5EA5FF92" w:rsidR="00456367" w:rsidRDefault="00456367"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En 2016,  les dépenses d’investissements du sous-secteur de l’élevage sont supportées pour plus du tiers par le trésor public. Les crédits de fonctionnement sont mal répartis au niveau de ce sous-secteur. Le cabinet exécute près de la moitié des tous les crédits destinées au fonctionnement du MEL.</w:t>
      </w:r>
    </w:p>
    <w:p w14:paraId="1EA3FF28" w14:textId="77777777" w:rsidR="007F358B" w:rsidRPr="00673E94" w:rsidRDefault="007F358B" w:rsidP="00F12682">
      <w:pPr>
        <w:spacing w:after="120" w:line="276" w:lineRule="auto"/>
        <w:jc w:val="both"/>
        <w:rPr>
          <w:rFonts w:ascii="Calibri" w:eastAsiaTheme="majorEastAsia" w:hAnsi="Calibri" w:cs="Calibri"/>
          <w:iCs/>
          <w:sz w:val="24"/>
        </w:rPr>
      </w:pPr>
    </w:p>
    <w:p w14:paraId="637E1921" w14:textId="77777777" w:rsidR="00484A10" w:rsidRPr="00673E94" w:rsidRDefault="00484A10" w:rsidP="00F12682">
      <w:pPr>
        <w:spacing w:after="120" w:line="276" w:lineRule="auto"/>
        <w:jc w:val="both"/>
        <w:rPr>
          <w:rFonts w:ascii="Calibri" w:eastAsiaTheme="majorEastAsia" w:hAnsi="Calibri" w:cs="Calibri"/>
          <w:iCs/>
          <w:sz w:val="24"/>
        </w:rPr>
      </w:pPr>
    </w:p>
    <w:p w14:paraId="2DB4D8A0" w14:textId="0A9D84A7" w:rsidR="005445F6" w:rsidRDefault="005300FA" w:rsidP="00F12682">
      <w:pPr>
        <w:pStyle w:val="Titre2"/>
        <w:numPr>
          <w:ilvl w:val="1"/>
          <w:numId w:val="22"/>
        </w:numPr>
        <w:rPr>
          <w:rFonts w:asciiTheme="minorHAnsi" w:hAnsiTheme="minorHAnsi" w:cstheme="minorHAnsi"/>
        </w:rPr>
      </w:pPr>
      <w:bookmarkStart w:id="178" w:name="_Toc529305043"/>
      <w:r>
        <w:rPr>
          <w:rFonts w:asciiTheme="minorHAnsi" w:hAnsiTheme="minorHAnsi" w:cstheme="minorHAnsi"/>
        </w:rPr>
        <w:t>Ministère de l’Environnement et du Développement Durable (</w:t>
      </w:r>
      <w:r w:rsidR="005445F6" w:rsidRPr="004A5122">
        <w:rPr>
          <w:rFonts w:asciiTheme="minorHAnsi" w:hAnsiTheme="minorHAnsi" w:cstheme="minorHAnsi"/>
        </w:rPr>
        <w:t>MEDD</w:t>
      </w:r>
      <w:r>
        <w:rPr>
          <w:rFonts w:asciiTheme="minorHAnsi" w:hAnsiTheme="minorHAnsi" w:cstheme="minorHAnsi"/>
        </w:rPr>
        <w:t>)</w:t>
      </w:r>
      <w:bookmarkEnd w:id="178"/>
    </w:p>
    <w:p w14:paraId="68A741EA" w14:textId="77777777" w:rsidR="00895CB2" w:rsidRPr="004A5122" w:rsidRDefault="00895CB2" w:rsidP="00F12682">
      <w:pPr>
        <w:pStyle w:val="Titre4"/>
        <w:rPr>
          <w:rFonts w:asciiTheme="minorHAnsi" w:hAnsiTheme="minorHAnsi" w:cstheme="minorHAnsi"/>
        </w:rPr>
      </w:pPr>
      <w:r w:rsidRPr="004A5122">
        <w:rPr>
          <w:rFonts w:asciiTheme="minorHAnsi" w:hAnsiTheme="minorHAnsi" w:cstheme="minorHAnsi"/>
        </w:rPr>
        <w:t xml:space="preserve">Analyse de l’efficacité des dépenses de fonctionnement </w:t>
      </w:r>
    </w:p>
    <w:p w14:paraId="502D9B14" w14:textId="541082E2" w:rsidR="00C03E1E" w:rsidRDefault="00B5163C" w:rsidP="00F12682">
      <w:pPr>
        <w:spacing w:after="120" w:line="276" w:lineRule="auto"/>
        <w:jc w:val="both"/>
        <w:rPr>
          <w:rFonts w:ascii="Calibri" w:eastAsiaTheme="majorEastAsia" w:hAnsi="Calibri" w:cs="Calibri"/>
          <w:iCs/>
          <w:sz w:val="24"/>
        </w:rPr>
      </w:pPr>
      <w:r w:rsidRPr="0023259E">
        <w:rPr>
          <w:rFonts w:ascii="Calibri" w:eastAsiaTheme="majorEastAsia" w:hAnsi="Calibri" w:cs="Calibri"/>
          <w:iCs/>
          <w:sz w:val="24"/>
        </w:rPr>
        <w:t>En 2016 au MEDD, les crédits de fonctionnement ont été gérés à plus du tiers par la DRFM, et le niveau déconcentré toute portion confondue n’a eu moins de 10%</w:t>
      </w:r>
      <w:r w:rsidR="00266F25" w:rsidRPr="0023259E">
        <w:rPr>
          <w:rFonts w:ascii="Calibri" w:eastAsiaTheme="majorEastAsia" w:hAnsi="Calibri" w:cs="Calibri"/>
          <w:iCs/>
          <w:sz w:val="24"/>
        </w:rPr>
        <w:t xml:space="preserve">. </w:t>
      </w:r>
      <w:r w:rsidRPr="0023259E">
        <w:rPr>
          <w:rFonts w:ascii="Calibri" w:eastAsiaTheme="majorEastAsia" w:hAnsi="Calibri" w:cs="Calibri"/>
          <w:iCs/>
          <w:sz w:val="24"/>
        </w:rPr>
        <w:t>La répartition des crédits de fonctionnement</w:t>
      </w:r>
      <w:r w:rsidR="007A7284" w:rsidRPr="0023259E">
        <w:rPr>
          <w:rFonts w:ascii="Calibri" w:eastAsiaTheme="majorEastAsia" w:hAnsi="Calibri" w:cs="Calibri"/>
          <w:iCs/>
          <w:sz w:val="24"/>
        </w:rPr>
        <w:t>.</w:t>
      </w:r>
    </w:p>
    <w:p w14:paraId="187A05E0" w14:textId="77777777" w:rsidR="0023259E" w:rsidRPr="0023259E" w:rsidRDefault="0023259E" w:rsidP="00F12682">
      <w:pPr>
        <w:spacing w:after="120" w:line="276" w:lineRule="auto"/>
        <w:jc w:val="both"/>
        <w:rPr>
          <w:rFonts w:ascii="Calibri" w:eastAsiaTheme="majorEastAsia" w:hAnsi="Calibri" w:cs="Calibri"/>
          <w:iCs/>
          <w:sz w:val="24"/>
        </w:rPr>
      </w:pPr>
    </w:p>
    <w:p w14:paraId="41F4660A" w14:textId="4EE03B55" w:rsidR="00E97F57" w:rsidRPr="005300FA" w:rsidRDefault="005970F0" w:rsidP="00F12682">
      <w:pPr>
        <w:pStyle w:val="Lgende"/>
        <w:rPr>
          <w:rFonts w:eastAsiaTheme="majorEastAsia" w:cs="Calibri"/>
          <w:iCs w:val="0"/>
        </w:rPr>
      </w:pPr>
      <w:bookmarkStart w:id="179" w:name="_Toc529305097"/>
      <w:r>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43</w:t>
      </w:r>
      <w:r w:rsidR="00A773EB">
        <w:rPr>
          <w:noProof/>
        </w:rPr>
        <w:fldChar w:fldCharType="end"/>
      </w:r>
      <w:r w:rsidR="005300FA">
        <w:rPr>
          <w:rFonts w:eastAsiaTheme="majorEastAsia" w:cs="Calibri"/>
          <w:iCs w:val="0"/>
        </w:rPr>
        <w:t xml:space="preserve"> : </w:t>
      </w:r>
      <w:r w:rsidR="00E97F57" w:rsidRPr="005300FA">
        <w:rPr>
          <w:rFonts w:eastAsiaTheme="majorEastAsia" w:cs="Calibri"/>
          <w:iCs w:val="0"/>
        </w:rPr>
        <w:t>Répartition des fonctionnements par administration du MEDD</w:t>
      </w:r>
      <w:r w:rsidR="005300FA">
        <w:rPr>
          <w:rFonts w:eastAsiaTheme="majorEastAsia" w:cs="Calibri"/>
          <w:iCs w:val="0"/>
        </w:rPr>
        <w:t xml:space="preserve"> en 2016</w:t>
      </w:r>
      <w:bookmarkEnd w:id="179"/>
    </w:p>
    <w:tbl>
      <w:tblPr>
        <w:tblW w:w="5276" w:type="pct"/>
        <w:tblLayout w:type="fixed"/>
        <w:tblCellMar>
          <w:left w:w="70" w:type="dxa"/>
          <w:right w:w="70" w:type="dxa"/>
        </w:tblCellMar>
        <w:tblLook w:val="04A0" w:firstRow="1" w:lastRow="0" w:firstColumn="1" w:lastColumn="0" w:noHBand="0" w:noVBand="1"/>
      </w:tblPr>
      <w:tblGrid>
        <w:gridCol w:w="4363"/>
        <w:gridCol w:w="1321"/>
        <w:gridCol w:w="1518"/>
        <w:gridCol w:w="1321"/>
        <w:gridCol w:w="1636"/>
      </w:tblGrid>
      <w:tr w:rsidR="0004459F" w:rsidRPr="00457FB2" w14:paraId="7EB1EA36" w14:textId="77777777" w:rsidTr="00BD0156">
        <w:tc>
          <w:tcPr>
            <w:tcW w:w="2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390AC" w14:textId="2794FF52" w:rsidR="0004459F" w:rsidRPr="00457FB2" w:rsidRDefault="0004459F" w:rsidP="00F12682">
            <w:pPr>
              <w:spacing w:after="0" w:line="240" w:lineRule="auto"/>
              <w:jc w:val="center"/>
              <w:rPr>
                <w:rFonts w:ascii="Calibri" w:eastAsia="Times New Roman" w:hAnsi="Calibri" w:cs="Calibri"/>
                <w:b/>
                <w:bCs/>
                <w:color w:val="000000"/>
                <w:sz w:val="18"/>
                <w:szCs w:val="18"/>
                <w:lang w:eastAsia="fr-FR"/>
              </w:rPr>
            </w:pPr>
            <w:r w:rsidRPr="00457FB2">
              <w:rPr>
                <w:rFonts w:ascii="Calibri" w:eastAsia="Times New Roman" w:hAnsi="Calibri" w:cs="Calibri"/>
                <w:b/>
                <w:bCs/>
                <w:color w:val="000000"/>
                <w:sz w:val="18"/>
                <w:szCs w:val="18"/>
                <w:lang w:eastAsia="fr-FR"/>
              </w:rPr>
              <w:t>Administration</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2211D74D" w14:textId="5FA7DDB9" w:rsidR="0004459F" w:rsidRPr="00457FB2" w:rsidRDefault="00BD0156" w:rsidP="00F12682">
            <w:pPr>
              <w:spacing w:after="0" w:line="240" w:lineRule="auto"/>
              <w:jc w:val="center"/>
              <w:rPr>
                <w:rFonts w:ascii="Calibri" w:eastAsia="Times New Roman" w:hAnsi="Calibri" w:cs="Calibri"/>
                <w:b/>
                <w:bCs/>
                <w:color w:val="000000"/>
                <w:sz w:val="18"/>
                <w:szCs w:val="18"/>
                <w:lang w:eastAsia="fr-FR"/>
              </w:rPr>
            </w:pPr>
            <w:r>
              <w:rPr>
                <w:rFonts w:ascii="Calibri" w:eastAsia="Times New Roman" w:hAnsi="Calibri" w:cs="Calibri"/>
                <w:b/>
                <w:bCs/>
                <w:color w:val="000000"/>
                <w:sz w:val="18"/>
                <w:szCs w:val="18"/>
                <w:lang w:eastAsia="fr-FR"/>
              </w:rPr>
              <w:t>Crédits v</w:t>
            </w:r>
            <w:r w:rsidR="0004459F" w:rsidRPr="00457FB2">
              <w:rPr>
                <w:rFonts w:ascii="Calibri" w:eastAsia="Times New Roman" w:hAnsi="Calibri" w:cs="Calibri"/>
                <w:b/>
                <w:bCs/>
                <w:color w:val="000000"/>
                <w:sz w:val="18"/>
                <w:szCs w:val="18"/>
                <w:lang w:eastAsia="fr-FR"/>
              </w:rPr>
              <w:t>oté</w:t>
            </w:r>
            <w:r>
              <w:rPr>
                <w:rFonts w:ascii="Calibri" w:eastAsia="Times New Roman" w:hAnsi="Calibri" w:cs="Calibri"/>
                <w:b/>
                <w:bCs/>
                <w:color w:val="000000"/>
                <w:sz w:val="18"/>
                <w:szCs w:val="18"/>
                <w:lang w:eastAsia="fr-FR"/>
              </w:rPr>
              <w:t>s</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17D5D05" w14:textId="17386E21" w:rsidR="0004459F" w:rsidRPr="00457FB2" w:rsidRDefault="0004459F" w:rsidP="00F12682">
            <w:pPr>
              <w:spacing w:after="0" w:line="240" w:lineRule="auto"/>
              <w:jc w:val="center"/>
              <w:rPr>
                <w:rFonts w:ascii="Calibri" w:eastAsia="Times New Roman" w:hAnsi="Calibri" w:cs="Calibri"/>
                <w:b/>
                <w:bCs/>
                <w:color w:val="000000"/>
                <w:sz w:val="18"/>
                <w:szCs w:val="18"/>
                <w:lang w:eastAsia="fr-FR"/>
              </w:rPr>
            </w:pPr>
            <w:r w:rsidRPr="00457FB2">
              <w:rPr>
                <w:rFonts w:ascii="Calibri" w:eastAsia="Times New Roman" w:hAnsi="Calibri" w:cs="Calibri"/>
                <w:b/>
                <w:bCs/>
                <w:color w:val="000000"/>
                <w:sz w:val="18"/>
                <w:szCs w:val="18"/>
                <w:lang w:eastAsia="fr-FR"/>
              </w:rPr>
              <w:t>Part des crédits votés par administration</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61665D8F" w14:textId="6C42B6A1" w:rsidR="0004459F" w:rsidRPr="00457FB2" w:rsidRDefault="0004459F" w:rsidP="00F12682">
            <w:pPr>
              <w:spacing w:after="0" w:line="240" w:lineRule="auto"/>
              <w:jc w:val="center"/>
              <w:rPr>
                <w:rFonts w:ascii="Calibri" w:eastAsia="Times New Roman" w:hAnsi="Calibri" w:cs="Calibri"/>
                <w:b/>
                <w:bCs/>
                <w:color w:val="000000"/>
                <w:sz w:val="18"/>
                <w:szCs w:val="18"/>
                <w:lang w:eastAsia="fr-FR"/>
              </w:rPr>
            </w:pPr>
            <w:r w:rsidRPr="00457FB2">
              <w:rPr>
                <w:rFonts w:ascii="Calibri" w:eastAsia="Times New Roman" w:hAnsi="Calibri" w:cs="Calibri"/>
                <w:b/>
                <w:bCs/>
                <w:color w:val="000000"/>
                <w:sz w:val="18"/>
                <w:szCs w:val="18"/>
                <w:lang w:eastAsia="fr-FR"/>
              </w:rPr>
              <w:t>C</w:t>
            </w:r>
            <w:r w:rsidR="00BD0156">
              <w:rPr>
                <w:rFonts w:ascii="Calibri" w:eastAsia="Times New Roman" w:hAnsi="Calibri" w:cs="Calibri"/>
                <w:b/>
                <w:bCs/>
                <w:color w:val="000000"/>
                <w:sz w:val="18"/>
                <w:szCs w:val="18"/>
                <w:lang w:eastAsia="fr-FR"/>
              </w:rPr>
              <w:t>rédits c</w:t>
            </w:r>
            <w:r w:rsidRPr="00457FB2">
              <w:rPr>
                <w:rFonts w:ascii="Calibri" w:eastAsia="Times New Roman" w:hAnsi="Calibri" w:cs="Calibri"/>
                <w:b/>
                <w:bCs/>
                <w:color w:val="000000"/>
                <w:sz w:val="18"/>
                <w:szCs w:val="18"/>
                <w:lang w:eastAsia="fr-FR"/>
              </w:rPr>
              <w:t>onsommé</w:t>
            </w:r>
            <w:r w:rsidR="00BD0156">
              <w:rPr>
                <w:rFonts w:ascii="Calibri" w:eastAsia="Times New Roman" w:hAnsi="Calibri" w:cs="Calibri"/>
                <w:b/>
                <w:bCs/>
                <w:color w:val="000000"/>
                <w:sz w:val="18"/>
                <w:szCs w:val="18"/>
                <w:lang w:eastAsia="fr-FR"/>
              </w:rPr>
              <w:t>s</w:t>
            </w:r>
          </w:p>
        </w:tc>
        <w:tc>
          <w:tcPr>
            <w:tcW w:w="805" w:type="pct"/>
            <w:tcBorders>
              <w:top w:val="single" w:sz="4" w:space="0" w:color="auto"/>
              <w:left w:val="nil"/>
              <w:bottom w:val="single" w:sz="4" w:space="0" w:color="auto"/>
              <w:right w:val="single" w:sz="4" w:space="0" w:color="auto"/>
            </w:tcBorders>
            <w:shd w:val="clear" w:color="auto" w:fill="auto"/>
            <w:vAlign w:val="center"/>
            <w:hideMark/>
          </w:tcPr>
          <w:p w14:paraId="2F202180" w14:textId="1C4C4E38" w:rsidR="0004459F" w:rsidRPr="00457FB2" w:rsidRDefault="0004459F" w:rsidP="00F12682">
            <w:pPr>
              <w:spacing w:after="0" w:line="240" w:lineRule="auto"/>
              <w:jc w:val="center"/>
              <w:rPr>
                <w:rFonts w:ascii="Calibri" w:eastAsia="Times New Roman" w:hAnsi="Calibri" w:cs="Calibri"/>
                <w:b/>
                <w:bCs/>
                <w:color w:val="000000"/>
                <w:sz w:val="18"/>
                <w:szCs w:val="18"/>
                <w:lang w:eastAsia="fr-FR"/>
              </w:rPr>
            </w:pPr>
            <w:r w:rsidRPr="00457FB2">
              <w:rPr>
                <w:rFonts w:ascii="Calibri" w:eastAsia="Times New Roman" w:hAnsi="Calibri" w:cs="Calibri"/>
                <w:b/>
                <w:bCs/>
                <w:color w:val="000000"/>
                <w:sz w:val="18"/>
                <w:szCs w:val="18"/>
                <w:lang w:eastAsia="fr-FR"/>
              </w:rPr>
              <w:t>Part des crédits Consommés par administration</w:t>
            </w:r>
          </w:p>
        </w:tc>
      </w:tr>
      <w:tr w:rsidR="00544DF7" w:rsidRPr="00457FB2" w14:paraId="1AF4599D"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0A731B19" w14:textId="34ED03BC"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Cabinet</w:t>
            </w:r>
          </w:p>
        </w:tc>
        <w:tc>
          <w:tcPr>
            <w:tcW w:w="650" w:type="pct"/>
            <w:tcBorders>
              <w:top w:val="nil"/>
              <w:left w:val="nil"/>
              <w:bottom w:val="single" w:sz="4" w:space="0" w:color="auto"/>
              <w:right w:val="single" w:sz="4" w:space="0" w:color="auto"/>
            </w:tcBorders>
            <w:shd w:val="clear" w:color="auto" w:fill="auto"/>
            <w:noWrap/>
            <w:vAlign w:val="center"/>
            <w:hideMark/>
          </w:tcPr>
          <w:p w14:paraId="7CE33CC2"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164 793 226</w:t>
            </w:r>
          </w:p>
        </w:tc>
        <w:tc>
          <w:tcPr>
            <w:tcW w:w="747" w:type="pct"/>
            <w:tcBorders>
              <w:top w:val="nil"/>
              <w:left w:val="nil"/>
              <w:bottom w:val="single" w:sz="4" w:space="0" w:color="auto"/>
              <w:right w:val="single" w:sz="4" w:space="0" w:color="auto"/>
            </w:tcBorders>
            <w:shd w:val="clear" w:color="auto" w:fill="auto"/>
            <w:noWrap/>
            <w:vAlign w:val="center"/>
            <w:hideMark/>
          </w:tcPr>
          <w:p w14:paraId="349EE4E6"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26,9%</w:t>
            </w:r>
          </w:p>
        </w:tc>
        <w:tc>
          <w:tcPr>
            <w:tcW w:w="650" w:type="pct"/>
            <w:tcBorders>
              <w:top w:val="nil"/>
              <w:left w:val="nil"/>
              <w:bottom w:val="single" w:sz="4" w:space="0" w:color="auto"/>
              <w:right w:val="single" w:sz="4" w:space="0" w:color="auto"/>
            </w:tcBorders>
            <w:shd w:val="clear" w:color="auto" w:fill="auto"/>
            <w:noWrap/>
            <w:vAlign w:val="center"/>
            <w:hideMark/>
          </w:tcPr>
          <w:p w14:paraId="4EC0204C"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53 370 989</w:t>
            </w:r>
          </w:p>
        </w:tc>
        <w:tc>
          <w:tcPr>
            <w:tcW w:w="805" w:type="pct"/>
            <w:tcBorders>
              <w:top w:val="nil"/>
              <w:left w:val="nil"/>
              <w:bottom w:val="single" w:sz="4" w:space="0" w:color="auto"/>
              <w:right w:val="single" w:sz="4" w:space="0" w:color="auto"/>
            </w:tcBorders>
            <w:shd w:val="clear" w:color="auto" w:fill="auto"/>
            <w:noWrap/>
            <w:vAlign w:val="center"/>
            <w:hideMark/>
          </w:tcPr>
          <w:p w14:paraId="3BA3EE28"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26,8%</w:t>
            </w:r>
          </w:p>
        </w:tc>
      </w:tr>
      <w:tr w:rsidR="00544DF7" w:rsidRPr="00457FB2" w14:paraId="56DF76B1"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2B1E90C9" w14:textId="727DA543" w:rsidR="00544DF7" w:rsidRPr="00457FB2" w:rsidRDefault="00AC0016"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Secrétariat</w:t>
            </w:r>
            <w:r w:rsidR="00266F25" w:rsidRPr="00457FB2">
              <w:rPr>
                <w:rFonts w:ascii="Calibri" w:eastAsia="Times New Roman" w:hAnsi="Calibri" w:cs="Calibri"/>
                <w:color w:val="000000"/>
                <w:sz w:val="18"/>
                <w:szCs w:val="18"/>
                <w:lang w:eastAsia="fr-FR"/>
              </w:rPr>
              <w:t xml:space="preserve"> G</w:t>
            </w:r>
            <w:r>
              <w:rPr>
                <w:rFonts w:ascii="Calibri" w:eastAsia="Times New Roman" w:hAnsi="Calibri" w:cs="Calibri"/>
                <w:color w:val="000000"/>
                <w:sz w:val="18"/>
                <w:szCs w:val="18"/>
                <w:lang w:eastAsia="fr-FR"/>
              </w:rPr>
              <w:t>é</w:t>
            </w:r>
            <w:r w:rsidR="00266F25" w:rsidRPr="00457FB2">
              <w:rPr>
                <w:rFonts w:ascii="Calibri" w:eastAsia="Times New Roman" w:hAnsi="Calibri" w:cs="Calibri"/>
                <w:color w:val="000000"/>
                <w:sz w:val="18"/>
                <w:szCs w:val="18"/>
                <w:lang w:eastAsia="fr-FR"/>
              </w:rPr>
              <w:t>n</w:t>
            </w:r>
            <w:r>
              <w:rPr>
                <w:rFonts w:ascii="Calibri" w:eastAsia="Times New Roman" w:hAnsi="Calibri" w:cs="Calibri"/>
                <w:color w:val="000000"/>
                <w:sz w:val="18"/>
                <w:szCs w:val="18"/>
                <w:lang w:eastAsia="fr-FR"/>
              </w:rPr>
              <w:t>é</w:t>
            </w:r>
            <w:r w:rsidR="00266F25" w:rsidRPr="00457FB2">
              <w:rPr>
                <w:rFonts w:ascii="Calibri" w:eastAsia="Times New Roman" w:hAnsi="Calibri" w:cs="Calibri"/>
                <w:color w:val="000000"/>
                <w:sz w:val="18"/>
                <w:szCs w:val="18"/>
                <w:lang w:eastAsia="fr-FR"/>
              </w:rPr>
              <w:t>ral</w:t>
            </w:r>
          </w:p>
        </w:tc>
        <w:tc>
          <w:tcPr>
            <w:tcW w:w="650" w:type="pct"/>
            <w:tcBorders>
              <w:top w:val="nil"/>
              <w:left w:val="nil"/>
              <w:bottom w:val="single" w:sz="4" w:space="0" w:color="auto"/>
              <w:right w:val="single" w:sz="4" w:space="0" w:color="auto"/>
            </w:tcBorders>
            <w:shd w:val="clear" w:color="auto" w:fill="auto"/>
            <w:noWrap/>
            <w:vAlign w:val="center"/>
            <w:hideMark/>
          </w:tcPr>
          <w:p w14:paraId="4EA54410"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14 704 320</w:t>
            </w:r>
          </w:p>
        </w:tc>
        <w:tc>
          <w:tcPr>
            <w:tcW w:w="747" w:type="pct"/>
            <w:tcBorders>
              <w:top w:val="nil"/>
              <w:left w:val="nil"/>
              <w:bottom w:val="single" w:sz="4" w:space="0" w:color="auto"/>
              <w:right w:val="single" w:sz="4" w:space="0" w:color="auto"/>
            </w:tcBorders>
            <w:shd w:val="clear" w:color="auto" w:fill="auto"/>
            <w:noWrap/>
            <w:vAlign w:val="center"/>
            <w:hideMark/>
          </w:tcPr>
          <w:p w14:paraId="3530F9DF"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2,4%</w:t>
            </w:r>
          </w:p>
        </w:tc>
        <w:tc>
          <w:tcPr>
            <w:tcW w:w="650" w:type="pct"/>
            <w:tcBorders>
              <w:top w:val="nil"/>
              <w:left w:val="nil"/>
              <w:bottom w:val="single" w:sz="4" w:space="0" w:color="auto"/>
              <w:right w:val="single" w:sz="4" w:space="0" w:color="auto"/>
            </w:tcBorders>
            <w:shd w:val="clear" w:color="auto" w:fill="auto"/>
            <w:noWrap/>
            <w:vAlign w:val="center"/>
            <w:hideMark/>
          </w:tcPr>
          <w:p w14:paraId="32EEB49B"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4 153 149</w:t>
            </w:r>
          </w:p>
        </w:tc>
        <w:tc>
          <w:tcPr>
            <w:tcW w:w="805" w:type="pct"/>
            <w:tcBorders>
              <w:top w:val="nil"/>
              <w:left w:val="nil"/>
              <w:bottom w:val="single" w:sz="4" w:space="0" w:color="auto"/>
              <w:right w:val="single" w:sz="4" w:space="0" w:color="auto"/>
            </w:tcBorders>
            <w:shd w:val="clear" w:color="auto" w:fill="auto"/>
            <w:noWrap/>
            <w:vAlign w:val="center"/>
            <w:hideMark/>
          </w:tcPr>
          <w:p w14:paraId="0A937AEC"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2,1%</w:t>
            </w:r>
          </w:p>
        </w:tc>
      </w:tr>
      <w:tr w:rsidR="00544DF7" w:rsidRPr="00457FB2" w14:paraId="3C60C0AE"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55D93EAA" w14:textId="2E0ACAD1"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Inspection G</w:t>
            </w:r>
            <w:r w:rsidR="00AC0016">
              <w:rPr>
                <w:rFonts w:ascii="Calibri" w:eastAsia="Times New Roman" w:hAnsi="Calibri" w:cs="Calibri"/>
                <w:color w:val="000000"/>
                <w:sz w:val="18"/>
                <w:szCs w:val="18"/>
                <w:lang w:eastAsia="fr-FR"/>
              </w:rPr>
              <w:t>é</w:t>
            </w:r>
            <w:r w:rsidRPr="00457FB2">
              <w:rPr>
                <w:rFonts w:ascii="Calibri" w:eastAsia="Times New Roman" w:hAnsi="Calibri" w:cs="Calibri"/>
                <w:color w:val="000000"/>
                <w:sz w:val="18"/>
                <w:szCs w:val="18"/>
                <w:lang w:eastAsia="fr-FR"/>
              </w:rPr>
              <w:t>n</w:t>
            </w:r>
            <w:r w:rsidR="00AC0016">
              <w:rPr>
                <w:rFonts w:ascii="Calibri" w:eastAsia="Times New Roman" w:hAnsi="Calibri" w:cs="Calibri"/>
                <w:color w:val="000000"/>
                <w:sz w:val="18"/>
                <w:szCs w:val="18"/>
                <w:lang w:eastAsia="fr-FR"/>
              </w:rPr>
              <w:t>é</w:t>
            </w:r>
            <w:r w:rsidRPr="00457FB2">
              <w:rPr>
                <w:rFonts w:ascii="Calibri" w:eastAsia="Times New Roman" w:hAnsi="Calibri" w:cs="Calibri"/>
                <w:color w:val="000000"/>
                <w:sz w:val="18"/>
                <w:szCs w:val="18"/>
                <w:lang w:eastAsia="fr-FR"/>
              </w:rPr>
              <w:t xml:space="preserve">rale </w:t>
            </w:r>
            <w:r w:rsidR="00AC0016" w:rsidRPr="00457FB2">
              <w:rPr>
                <w:rFonts w:ascii="Calibri" w:eastAsia="Times New Roman" w:hAnsi="Calibri" w:cs="Calibri"/>
                <w:color w:val="000000"/>
                <w:sz w:val="18"/>
                <w:szCs w:val="18"/>
                <w:lang w:eastAsia="fr-FR"/>
              </w:rPr>
              <w:t xml:space="preserve">des </w:t>
            </w:r>
            <w:r w:rsidRPr="00457FB2">
              <w:rPr>
                <w:rFonts w:ascii="Calibri" w:eastAsia="Times New Roman" w:hAnsi="Calibri" w:cs="Calibri"/>
                <w:color w:val="000000"/>
                <w:sz w:val="18"/>
                <w:szCs w:val="18"/>
                <w:lang w:eastAsia="fr-FR"/>
              </w:rPr>
              <w:t>Services</w:t>
            </w:r>
          </w:p>
        </w:tc>
        <w:tc>
          <w:tcPr>
            <w:tcW w:w="650" w:type="pct"/>
            <w:tcBorders>
              <w:top w:val="nil"/>
              <w:left w:val="nil"/>
              <w:bottom w:val="single" w:sz="4" w:space="0" w:color="auto"/>
              <w:right w:val="single" w:sz="4" w:space="0" w:color="auto"/>
            </w:tcBorders>
            <w:shd w:val="clear" w:color="auto" w:fill="auto"/>
            <w:noWrap/>
            <w:vAlign w:val="center"/>
            <w:hideMark/>
          </w:tcPr>
          <w:p w14:paraId="0A45DBD9"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6 881 051</w:t>
            </w:r>
          </w:p>
        </w:tc>
        <w:tc>
          <w:tcPr>
            <w:tcW w:w="747" w:type="pct"/>
            <w:tcBorders>
              <w:top w:val="nil"/>
              <w:left w:val="nil"/>
              <w:bottom w:val="single" w:sz="4" w:space="0" w:color="auto"/>
              <w:right w:val="single" w:sz="4" w:space="0" w:color="auto"/>
            </w:tcBorders>
            <w:shd w:val="clear" w:color="auto" w:fill="auto"/>
            <w:noWrap/>
            <w:vAlign w:val="center"/>
            <w:hideMark/>
          </w:tcPr>
          <w:p w14:paraId="350FD060"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1,1%</w:t>
            </w:r>
          </w:p>
        </w:tc>
        <w:tc>
          <w:tcPr>
            <w:tcW w:w="650" w:type="pct"/>
            <w:tcBorders>
              <w:top w:val="nil"/>
              <w:left w:val="nil"/>
              <w:bottom w:val="single" w:sz="4" w:space="0" w:color="auto"/>
              <w:right w:val="single" w:sz="4" w:space="0" w:color="auto"/>
            </w:tcBorders>
            <w:shd w:val="clear" w:color="auto" w:fill="auto"/>
            <w:noWrap/>
            <w:vAlign w:val="center"/>
            <w:hideMark/>
          </w:tcPr>
          <w:p w14:paraId="3AB9C3B9"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1 712 055</w:t>
            </w:r>
          </w:p>
        </w:tc>
        <w:tc>
          <w:tcPr>
            <w:tcW w:w="805" w:type="pct"/>
            <w:tcBorders>
              <w:top w:val="nil"/>
              <w:left w:val="nil"/>
              <w:bottom w:val="single" w:sz="4" w:space="0" w:color="auto"/>
              <w:right w:val="single" w:sz="4" w:space="0" w:color="auto"/>
            </w:tcBorders>
            <w:shd w:val="clear" w:color="auto" w:fill="auto"/>
            <w:noWrap/>
            <w:vAlign w:val="center"/>
            <w:hideMark/>
          </w:tcPr>
          <w:p w14:paraId="039669AD"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0,9%</w:t>
            </w:r>
          </w:p>
        </w:tc>
      </w:tr>
      <w:tr w:rsidR="00544DF7" w:rsidRPr="00457FB2" w14:paraId="0AB233C7"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66CC9AD7" w14:textId="56EC8D44"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 xml:space="preserve">Bureau </w:t>
            </w:r>
            <w:r w:rsidR="00AC0016" w:rsidRPr="00457FB2">
              <w:rPr>
                <w:rFonts w:ascii="Calibri" w:eastAsia="Times New Roman" w:hAnsi="Calibri" w:cs="Calibri"/>
                <w:color w:val="000000"/>
                <w:sz w:val="18"/>
                <w:szCs w:val="18"/>
                <w:lang w:eastAsia="fr-FR"/>
              </w:rPr>
              <w:t>de l'</w:t>
            </w:r>
            <w:r w:rsidR="00AC0016">
              <w:rPr>
                <w:rFonts w:ascii="Calibri" w:eastAsia="Times New Roman" w:hAnsi="Calibri" w:cs="Calibri"/>
                <w:color w:val="000000"/>
                <w:sz w:val="18"/>
                <w:szCs w:val="18"/>
                <w:lang w:eastAsia="fr-FR"/>
              </w:rPr>
              <w:t>E</w:t>
            </w:r>
            <w:r w:rsidR="00AC0016" w:rsidRPr="00457FB2">
              <w:rPr>
                <w:rFonts w:ascii="Calibri" w:eastAsia="Times New Roman" w:hAnsi="Calibri" w:cs="Calibri"/>
                <w:color w:val="000000"/>
                <w:sz w:val="18"/>
                <w:szCs w:val="18"/>
                <w:lang w:eastAsia="fr-FR"/>
              </w:rPr>
              <w:t xml:space="preserve">valuation </w:t>
            </w:r>
            <w:r w:rsidRPr="00457FB2">
              <w:rPr>
                <w:rFonts w:ascii="Calibri" w:eastAsia="Times New Roman" w:hAnsi="Calibri" w:cs="Calibri"/>
                <w:color w:val="000000"/>
                <w:sz w:val="18"/>
                <w:szCs w:val="18"/>
                <w:lang w:eastAsia="fr-FR"/>
              </w:rPr>
              <w:t xml:space="preserve">Environnementale </w:t>
            </w:r>
            <w:r w:rsidR="00AC0016" w:rsidRPr="00457FB2">
              <w:rPr>
                <w:rFonts w:ascii="Calibri" w:eastAsia="Times New Roman" w:hAnsi="Calibri" w:cs="Calibri"/>
                <w:color w:val="000000"/>
                <w:sz w:val="18"/>
                <w:szCs w:val="18"/>
                <w:lang w:eastAsia="fr-FR"/>
              </w:rPr>
              <w:t xml:space="preserve">et des </w:t>
            </w:r>
            <w:r w:rsidRPr="00457FB2">
              <w:rPr>
                <w:rFonts w:ascii="Calibri" w:eastAsia="Times New Roman" w:hAnsi="Calibri" w:cs="Calibri"/>
                <w:color w:val="000000"/>
                <w:sz w:val="18"/>
                <w:szCs w:val="18"/>
                <w:lang w:eastAsia="fr-FR"/>
              </w:rPr>
              <w:t xml:space="preserve">Etudes </w:t>
            </w:r>
            <w:r w:rsidR="00AC0016" w:rsidRPr="00457FB2">
              <w:rPr>
                <w:rFonts w:ascii="Calibri" w:eastAsia="Times New Roman" w:hAnsi="Calibri" w:cs="Calibri"/>
                <w:color w:val="000000"/>
                <w:sz w:val="18"/>
                <w:szCs w:val="18"/>
                <w:lang w:eastAsia="fr-FR"/>
              </w:rPr>
              <w:t>d'impact</w:t>
            </w:r>
          </w:p>
        </w:tc>
        <w:tc>
          <w:tcPr>
            <w:tcW w:w="650" w:type="pct"/>
            <w:tcBorders>
              <w:top w:val="nil"/>
              <w:left w:val="nil"/>
              <w:bottom w:val="single" w:sz="4" w:space="0" w:color="auto"/>
              <w:right w:val="single" w:sz="4" w:space="0" w:color="auto"/>
            </w:tcBorders>
            <w:shd w:val="clear" w:color="auto" w:fill="auto"/>
            <w:noWrap/>
            <w:vAlign w:val="center"/>
            <w:hideMark/>
          </w:tcPr>
          <w:p w14:paraId="525D1CD2"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7 824 133</w:t>
            </w:r>
          </w:p>
        </w:tc>
        <w:tc>
          <w:tcPr>
            <w:tcW w:w="747" w:type="pct"/>
            <w:tcBorders>
              <w:top w:val="nil"/>
              <w:left w:val="nil"/>
              <w:bottom w:val="single" w:sz="4" w:space="0" w:color="auto"/>
              <w:right w:val="single" w:sz="4" w:space="0" w:color="auto"/>
            </w:tcBorders>
            <w:shd w:val="clear" w:color="auto" w:fill="auto"/>
            <w:noWrap/>
            <w:vAlign w:val="center"/>
            <w:hideMark/>
          </w:tcPr>
          <w:p w14:paraId="592781A6"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1,3%</w:t>
            </w:r>
          </w:p>
        </w:tc>
        <w:tc>
          <w:tcPr>
            <w:tcW w:w="650" w:type="pct"/>
            <w:tcBorders>
              <w:top w:val="nil"/>
              <w:left w:val="nil"/>
              <w:bottom w:val="single" w:sz="4" w:space="0" w:color="auto"/>
              <w:right w:val="single" w:sz="4" w:space="0" w:color="auto"/>
            </w:tcBorders>
            <w:shd w:val="clear" w:color="auto" w:fill="auto"/>
            <w:noWrap/>
            <w:vAlign w:val="center"/>
            <w:hideMark/>
          </w:tcPr>
          <w:p w14:paraId="5BA5A395"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w:t>
            </w:r>
          </w:p>
        </w:tc>
        <w:tc>
          <w:tcPr>
            <w:tcW w:w="805" w:type="pct"/>
            <w:tcBorders>
              <w:top w:val="nil"/>
              <w:left w:val="nil"/>
              <w:bottom w:val="single" w:sz="4" w:space="0" w:color="auto"/>
              <w:right w:val="single" w:sz="4" w:space="0" w:color="auto"/>
            </w:tcBorders>
            <w:shd w:val="clear" w:color="auto" w:fill="auto"/>
            <w:noWrap/>
            <w:vAlign w:val="center"/>
            <w:hideMark/>
          </w:tcPr>
          <w:p w14:paraId="7C8162A4"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0,0%</w:t>
            </w:r>
          </w:p>
        </w:tc>
      </w:tr>
      <w:tr w:rsidR="00544DF7" w:rsidRPr="00457FB2" w14:paraId="6ACEF085"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7179190E" w14:textId="3B291711"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 xml:space="preserve">Centre </w:t>
            </w:r>
            <w:r w:rsidR="00AC0016" w:rsidRPr="00457FB2">
              <w:rPr>
                <w:rFonts w:ascii="Calibri" w:eastAsia="Times New Roman" w:hAnsi="Calibri" w:cs="Calibri"/>
                <w:color w:val="000000"/>
                <w:sz w:val="18"/>
                <w:szCs w:val="18"/>
                <w:lang w:eastAsia="fr-FR"/>
              </w:rPr>
              <w:t xml:space="preserve">de </w:t>
            </w:r>
            <w:r w:rsidRPr="00457FB2">
              <w:rPr>
                <w:rFonts w:ascii="Calibri" w:eastAsia="Times New Roman" w:hAnsi="Calibri" w:cs="Calibri"/>
                <w:color w:val="000000"/>
                <w:sz w:val="18"/>
                <w:szCs w:val="18"/>
                <w:lang w:eastAsia="fr-FR"/>
              </w:rPr>
              <w:t xml:space="preserve">Semences </w:t>
            </w:r>
            <w:r w:rsidR="00AC0016" w:rsidRPr="00457FB2">
              <w:rPr>
                <w:rFonts w:ascii="Calibri" w:eastAsia="Times New Roman" w:hAnsi="Calibri" w:cs="Calibri"/>
                <w:color w:val="000000"/>
                <w:sz w:val="18"/>
                <w:szCs w:val="18"/>
                <w:lang w:eastAsia="fr-FR"/>
              </w:rPr>
              <w:t>Forestières</w:t>
            </w:r>
          </w:p>
        </w:tc>
        <w:tc>
          <w:tcPr>
            <w:tcW w:w="650" w:type="pct"/>
            <w:tcBorders>
              <w:top w:val="nil"/>
              <w:left w:val="nil"/>
              <w:bottom w:val="single" w:sz="4" w:space="0" w:color="auto"/>
              <w:right w:val="single" w:sz="4" w:space="0" w:color="auto"/>
            </w:tcBorders>
            <w:shd w:val="clear" w:color="auto" w:fill="auto"/>
            <w:noWrap/>
            <w:vAlign w:val="center"/>
            <w:hideMark/>
          </w:tcPr>
          <w:p w14:paraId="4DC31E07"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11 057 073</w:t>
            </w:r>
          </w:p>
        </w:tc>
        <w:tc>
          <w:tcPr>
            <w:tcW w:w="747" w:type="pct"/>
            <w:tcBorders>
              <w:top w:val="nil"/>
              <w:left w:val="nil"/>
              <w:bottom w:val="single" w:sz="4" w:space="0" w:color="auto"/>
              <w:right w:val="single" w:sz="4" w:space="0" w:color="auto"/>
            </w:tcBorders>
            <w:shd w:val="clear" w:color="auto" w:fill="auto"/>
            <w:noWrap/>
            <w:vAlign w:val="center"/>
            <w:hideMark/>
          </w:tcPr>
          <w:p w14:paraId="5163DAC4"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1,8%</w:t>
            </w:r>
          </w:p>
        </w:tc>
        <w:tc>
          <w:tcPr>
            <w:tcW w:w="650" w:type="pct"/>
            <w:tcBorders>
              <w:top w:val="nil"/>
              <w:left w:val="nil"/>
              <w:bottom w:val="single" w:sz="4" w:space="0" w:color="auto"/>
              <w:right w:val="single" w:sz="4" w:space="0" w:color="auto"/>
            </w:tcBorders>
            <w:shd w:val="clear" w:color="auto" w:fill="auto"/>
            <w:noWrap/>
            <w:vAlign w:val="center"/>
            <w:hideMark/>
          </w:tcPr>
          <w:p w14:paraId="7ECC8470"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351 050</w:t>
            </w:r>
          </w:p>
        </w:tc>
        <w:tc>
          <w:tcPr>
            <w:tcW w:w="805" w:type="pct"/>
            <w:tcBorders>
              <w:top w:val="nil"/>
              <w:left w:val="nil"/>
              <w:bottom w:val="single" w:sz="4" w:space="0" w:color="auto"/>
              <w:right w:val="single" w:sz="4" w:space="0" w:color="auto"/>
            </w:tcBorders>
            <w:shd w:val="clear" w:color="auto" w:fill="auto"/>
            <w:noWrap/>
            <w:vAlign w:val="center"/>
            <w:hideMark/>
          </w:tcPr>
          <w:p w14:paraId="0701CAD5"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0,2%</w:t>
            </w:r>
          </w:p>
        </w:tc>
      </w:tr>
      <w:tr w:rsidR="00544DF7" w:rsidRPr="00457FB2" w14:paraId="70D76BF5"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1FEDFF6D" w14:textId="2855A72A"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 xml:space="preserve">Centre National </w:t>
            </w:r>
            <w:r w:rsidR="00AC0016" w:rsidRPr="00457FB2">
              <w:rPr>
                <w:rFonts w:ascii="Calibri" w:eastAsia="Times New Roman" w:hAnsi="Calibri" w:cs="Calibri"/>
                <w:color w:val="000000"/>
                <w:sz w:val="18"/>
                <w:szCs w:val="18"/>
                <w:lang w:eastAsia="fr-FR"/>
              </w:rPr>
              <w:t xml:space="preserve">de </w:t>
            </w:r>
            <w:r w:rsidRPr="00457FB2">
              <w:rPr>
                <w:rFonts w:ascii="Calibri" w:eastAsia="Times New Roman" w:hAnsi="Calibri" w:cs="Calibri"/>
                <w:color w:val="000000"/>
                <w:sz w:val="18"/>
                <w:szCs w:val="18"/>
                <w:lang w:eastAsia="fr-FR"/>
              </w:rPr>
              <w:t>Suivi Ecologique</w:t>
            </w:r>
          </w:p>
        </w:tc>
        <w:tc>
          <w:tcPr>
            <w:tcW w:w="650" w:type="pct"/>
            <w:tcBorders>
              <w:top w:val="nil"/>
              <w:left w:val="nil"/>
              <w:bottom w:val="single" w:sz="4" w:space="0" w:color="auto"/>
              <w:right w:val="single" w:sz="4" w:space="0" w:color="auto"/>
            </w:tcBorders>
            <w:shd w:val="clear" w:color="auto" w:fill="auto"/>
            <w:noWrap/>
            <w:vAlign w:val="center"/>
            <w:hideMark/>
          </w:tcPr>
          <w:p w14:paraId="086CBBAA"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14 664 215</w:t>
            </w:r>
          </w:p>
        </w:tc>
        <w:tc>
          <w:tcPr>
            <w:tcW w:w="747" w:type="pct"/>
            <w:tcBorders>
              <w:top w:val="nil"/>
              <w:left w:val="nil"/>
              <w:bottom w:val="single" w:sz="4" w:space="0" w:color="auto"/>
              <w:right w:val="single" w:sz="4" w:space="0" w:color="auto"/>
            </w:tcBorders>
            <w:shd w:val="clear" w:color="auto" w:fill="auto"/>
            <w:noWrap/>
            <w:vAlign w:val="center"/>
            <w:hideMark/>
          </w:tcPr>
          <w:p w14:paraId="4E680BAD"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2,4%</w:t>
            </w:r>
          </w:p>
        </w:tc>
        <w:tc>
          <w:tcPr>
            <w:tcW w:w="650" w:type="pct"/>
            <w:tcBorders>
              <w:top w:val="nil"/>
              <w:left w:val="nil"/>
              <w:bottom w:val="single" w:sz="4" w:space="0" w:color="auto"/>
              <w:right w:val="single" w:sz="4" w:space="0" w:color="auto"/>
            </w:tcBorders>
            <w:shd w:val="clear" w:color="auto" w:fill="auto"/>
            <w:noWrap/>
            <w:vAlign w:val="center"/>
            <w:hideMark/>
          </w:tcPr>
          <w:p w14:paraId="0894B80E"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699 744</w:t>
            </w:r>
          </w:p>
        </w:tc>
        <w:tc>
          <w:tcPr>
            <w:tcW w:w="805" w:type="pct"/>
            <w:tcBorders>
              <w:top w:val="nil"/>
              <w:left w:val="nil"/>
              <w:bottom w:val="single" w:sz="4" w:space="0" w:color="auto"/>
              <w:right w:val="single" w:sz="4" w:space="0" w:color="auto"/>
            </w:tcBorders>
            <w:shd w:val="clear" w:color="auto" w:fill="auto"/>
            <w:noWrap/>
            <w:vAlign w:val="center"/>
            <w:hideMark/>
          </w:tcPr>
          <w:p w14:paraId="4C659A25"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0,4%</w:t>
            </w:r>
          </w:p>
        </w:tc>
      </w:tr>
      <w:tr w:rsidR="00544DF7" w:rsidRPr="00457FB2" w14:paraId="1FCDE7A6"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13559323" w14:textId="793C2130"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 xml:space="preserve">Direction </w:t>
            </w:r>
            <w:r w:rsidR="00AC0016" w:rsidRPr="00457FB2">
              <w:rPr>
                <w:rFonts w:ascii="Calibri" w:eastAsia="Times New Roman" w:hAnsi="Calibri" w:cs="Calibri"/>
                <w:color w:val="000000"/>
                <w:sz w:val="18"/>
                <w:szCs w:val="18"/>
                <w:lang w:eastAsia="fr-FR"/>
              </w:rPr>
              <w:t xml:space="preserve">des </w:t>
            </w:r>
            <w:r w:rsidRPr="00457FB2">
              <w:rPr>
                <w:rFonts w:ascii="Calibri" w:eastAsia="Times New Roman" w:hAnsi="Calibri" w:cs="Calibri"/>
                <w:color w:val="000000"/>
                <w:sz w:val="18"/>
                <w:szCs w:val="18"/>
                <w:lang w:eastAsia="fr-FR"/>
              </w:rPr>
              <w:t>Archives</w:t>
            </w:r>
            <w:r w:rsidR="00544DF7" w:rsidRPr="00457FB2">
              <w:rPr>
                <w:rFonts w:ascii="Calibri" w:eastAsia="Times New Roman" w:hAnsi="Calibri" w:cs="Calibri"/>
                <w:color w:val="000000"/>
                <w:sz w:val="18"/>
                <w:szCs w:val="18"/>
                <w:lang w:eastAsia="fr-FR"/>
              </w:rPr>
              <w:t xml:space="preserve">, </w:t>
            </w:r>
            <w:r w:rsidR="00AC0016" w:rsidRPr="00457FB2">
              <w:rPr>
                <w:rFonts w:ascii="Calibri" w:eastAsia="Times New Roman" w:hAnsi="Calibri" w:cs="Calibri"/>
                <w:color w:val="000000"/>
                <w:sz w:val="18"/>
                <w:szCs w:val="18"/>
                <w:lang w:eastAsia="fr-FR"/>
              </w:rPr>
              <w:t>de l</w:t>
            </w:r>
            <w:r w:rsidR="00673E94" w:rsidRPr="00457FB2">
              <w:rPr>
                <w:rFonts w:ascii="Calibri" w:eastAsia="Times New Roman" w:hAnsi="Calibri" w:cs="Calibri"/>
                <w:color w:val="000000"/>
                <w:sz w:val="18"/>
                <w:szCs w:val="18"/>
                <w:lang w:eastAsia="fr-FR"/>
              </w:rPr>
              <w:t>'</w:t>
            </w:r>
            <w:r w:rsidRPr="00457FB2">
              <w:rPr>
                <w:rFonts w:ascii="Calibri" w:eastAsia="Times New Roman" w:hAnsi="Calibri" w:cs="Calibri"/>
                <w:color w:val="000000"/>
                <w:sz w:val="18"/>
                <w:szCs w:val="18"/>
                <w:lang w:eastAsia="fr-FR"/>
              </w:rPr>
              <w:t>information</w:t>
            </w:r>
            <w:r w:rsidR="00673E94" w:rsidRPr="00457FB2">
              <w:rPr>
                <w:rFonts w:ascii="Calibri" w:eastAsia="Times New Roman" w:hAnsi="Calibri" w:cs="Calibri"/>
                <w:color w:val="000000"/>
                <w:sz w:val="18"/>
                <w:szCs w:val="18"/>
                <w:lang w:eastAsia="fr-FR"/>
              </w:rPr>
              <w:t xml:space="preserve">, </w:t>
            </w:r>
            <w:r w:rsidR="00AC0016" w:rsidRPr="00457FB2">
              <w:rPr>
                <w:rFonts w:ascii="Calibri" w:eastAsia="Times New Roman" w:hAnsi="Calibri" w:cs="Calibri"/>
                <w:color w:val="000000"/>
                <w:sz w:val="18"/>
                <w:szCs w:val="18"/>
                <w:lang w:eastAsia="fr-FR"/>
              </w:rPr>
              <w:t xml:space="preserve">de la </w:t>
            </w:r>
            <w:r w:rsidRPr="00457FB2">
              <w:rPr>
                <w:rFonts w:ascii="Calibri" w:eastAsia="Times New Roman" w:hAnsi="Calibri" w:cs="Calibri"/>
                <w:color w:val="000000"/>
                <w:sz w:val="18"/>
                <w:szCs w:val="18"/>
                <w:lang w:eastAsia="fr-FR"/>
              </w:rPr>
              <w:t xml:space="preserve">Documentation </w:t>
            </w:r>
            <w:r w:rsidR="00AC0016" w:rsidRPr="00457FB2">
              <w:rPr>
                <w:rFonts w:ascii="Calibri" w:eastAsia="Times New Roman" w:hAnsi="Calibri" w:cs="Calibri"/>
                <w:color w:val="000000"/>
                <w:sz w:val="18"/>
                <w:szCs w:val="18"/>
                <w:lang w:eastAsia="fr-FR"/>
              </w:rPr>
              <w:t xml:space="preserve">et des </w:t>
            </w:r>
            <w:r w:rsidRPr="00457FB2">
              <w:rPr>
                <w:rFonts w:ascii="Calibri" w:eastAsia="Times New Roman" w:hAnsi="Calibri" w:cs="Calibri"/>
                <w:color w:val="000000"/>
                <w:sz w:val="18"/>
                <w:szCs w:val="18"/>
                <w:lang w:eastAsia="fr-FR"/>
              </w:rPr>
              <w:t>Relations Publiques</w:t>
            </w:r>
          </w:p>
        </w:tc>
        <w:tc>
          <w:tcPr>
            <w:tcW w:w="650" w:type="pct"/>
            <w:tcBorders>
              <w:top w:val="nil"/>
              <w:left w:val="nil"/>
              <w:bottom w:val="single" w:sz="4" w:space="0" w:color="auto"/>
              <w:right w:val="single" w:sz="4" w:space="0" w:color="auto"/>
            </w:tcBorders>
            <w:shd w:val="clear" w:color="auto" w:fill="auto"/>
            <w:noWrap/>
            <w:vAlign w:val="center"/>
            <w:hideMark/>
          </w:tcPr>
          <w:p w14:paraId="54FA6661"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5 663 669</w:t>
            </w:r>
          </w:p>
        </w:tc>
        <w:tc>
          <w:tcPr>
            <w:tcW w:w="747" w:type="pct"/>
            <w:tcBorders>
              <w:top w:val="nil"/>
              <w:left w:val="nil"/>
              <w:bottom w:val="single" w:sz="4" w:space="0" w:color="auto"/>
              <w:right w:val="single" w:sz="4" w:space="0" w:color="auto"/>
            </w:tcBorders>
            <w:shd w:val="clear" w:color="auto" w:fill="auto"/>
            <w:noWrap/>
            <w:vAlign w:val="center"/>
            <w:hideMark/>
          </w:tcPr>
          <w:p w14:paraId="253667B7"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0,9%</w:t>
            </w:r>
          </w:p>
        </w:tc>
        <w:tc>
          <w:tcPr>
            <w:tcW w:w="650" w:type="pct"/>
            <w:tcBorders>
              <w:top w:val="nil"/>
              <w:left w:val="nil"/>
              <w:bottom w:val="single" w:sz="4" w:space="0" w:color="auto"/>
              <w:right w:val="single" w:sz="4" w:space="0" w:color="auto"/>
            </w:tcBorders>
            <w:shd w:val="clear" w:color="auto" w:fill="auto"/>
            <w:noWrap/>
            <w:vAlign w:val="center"/>
            <w:hideMark/>
          </w:tcPr>
          <w:p w14:paraId="33358E1B"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1 382 608</w:t>
            </w:r>
          </w:p>
        </w:tc>
        <w:tc>
          <w:tcPr>
            <w:tcW w:w="805" w:type="pct"/>
            <w:tcBorders>
              <w:top w:val="nil"/>
              <w:left w:val="nil"/>
              <w:bottom w:val="single" w:sz="4" w:space="0" w:color="auto"/>
              <w:right w:val="single" w:sz="4" w:space="0" w:color="auto"/>
            </w:tcBorders>
            <w:shd w:val="clear" w:color="auto" w:fill="auto"/>
            <w:noWrap/>
            <w:vAlign w:val="center"/>
            <w:hideMark/>
          </w:tcPr>
          <w:p w14:paraId="2899653F"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0,7%</w:t>
            </w:r>
          </w:p>
        </w:tc>
      </w:tr>
      <w:tr w:rsidR="00544DF7" w:rsidRPr="00457FB2" w14:paraId="49609404"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393C82E7" w14:textId="27EDF2AD"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 xml:space="preserve">Direction </w:t>
            </w:r>
            <w:r w:rsidR="00AC0016" w:rsidRPr="00457FB2">
              <w:rPr>
                <w:rFonts w:ascii="Calibri" w:eastAsia="Times New Roman" w:hAnsi="Calibri" w:cs="Calibri"/>
                <w:color w:val="000000"/>
                <w:sz w:val="18"/>
                <w:szCs w:val="18"/>
                <w:lang w:eastAsia="fr-FR"/>
              </w:rPr>
              <w:t xml:space="preserve">des </w:t>
            </w:r>
            <w:r w:rsidRPr="00457FB2">
              <w:rPr>
                <w:rFonts w:ascii="Calibri" w:eastAsia="Times New Roman" w:hAnsi="Calibri" w:cs="Calibri"/>
                <w:color w:val="000000"/>
                <w:sz w:val="18"/>
                <w:szCs w:val="18"/>
                <w:lang w:eastAsia="fr-FR"/>
              </w:rPr>
              <w:t xml:space="preserve">Etudes </w:t>
            </w:r>
            <w:r w:rsidR="00AC0016" w:rsidRPr="00457FB2">
              <w:rPr>
                <w:rFonts w:ascii="Calibri" w:eastAsia="Times New Roman" w:hAnsi="Calibri" w:cs="Calibri"/>
                <w:color w:val="000000"/>
                <w:sz w:val="18"/>
                <w:szCs w:val="18"/>
                <w:lang w:eastAsia="fr-FR"/>
              </w:rPr>
              <w:t xml:space="preserve">et de la </w:t>
            </w:r>
            <w:r w:rsidRPr="00457FB2">
              <w:rPr>
                <w:rFonts w:ascii="Calibri" w:eastAsia="Times New Roman" w:hAnsi="Calibri" w:cs="Calibri"/>
                <w:color w:val="000000"/>
                <w:sz w:val="18"/>
                <w:szCs w:val="18"/>
                <w:lang w:eastAsia="fr-FR"/>
              </w:rPr>
              <w:t>Programmation</w:t>
            </w:r>
          </w:p>
        </w:tc>
        <w:tc>
          <w:tcPr>
            <w:tcW w:w="650" w:type="pct"/>
            <w:tcBorders>
              <w:top w:val="nil"/>
              <w:left w:val="nil"/>
              <w:bottom w:val="single" w:sz="4" w:space="0" w:color="auto"/>
              <w:right w:val="single" w:sz="4" w:space="0" w:color="auto"/>
            </w:tcBorders>
            <w:shd w:val="clear" w:color="auto" w:fill="auto"/>
            <w:noWrap/>
            <w:vAlign w:val="center"/>
            <w:hideMark/>
          </w:tcPr>
          <w:p w14:paraId="6176A937"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16 267 636</w:t>
            </w:r>
          </w:p>
        </w:tc>
        <w:tc>
          <w:tcPr>
            <w:tcW w:w="747" w:type="pct"/>
            <w:tcBorders>
              <w:top w:val="nil"/>
              <w:left w:val="nil"/>
              <w:bottom w:val="single" w:sz="4" w:space="0" w:color="auto"/>
              <w:right w:val="single" w:sz="4" w:space="0" w:color="auto"/>
            </w:tcBorders>
            <w:shd w:val="clear" w:color="auto" w:fill="auto"/>
            <w:noWrap/>
            <w:vAlign w:val="center"/>
            <w:hideMark/>
          </w:tcPr>
          <w:p w14:paraId="20467FE5"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2,7%</w:t>
            </w:r>
          </w:p>
        </w:tc>
        <w:tc>
          <w:tcPr>
            <w:tcW w:w="650" w:type="pct"/>
            <w:tcBorders>
              <w:top w:val="nil"/>
              <w:left w:val="nil"/>
              <w:bottom w:val="single" w:sz="4" w:space="0" w:color="auto"/>
              <w:right w:val="single" w:sz="4" w:space="0" w:color="auto"/>
            </w:tcBorders>
            <w:shd w:val="clear" w:color="auto" w:fill="auto"/>
            <w:noWrap/>
            <w:vAlign w:val="center"/>
            <w:hideMark/>
          </w:tcPr>
          <w:p w14:paraId="4BA530A8"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w:t>
            </w:r>
          </w:p>
        </w:tc>
        <w:tc>
          <w:tcPr>
            <w:tcW w:w="805" w:type="pct"/>
            <w:tcBorders>
              <w:top w:val="nil"/>
              <w:left w:val="nil"/>
              <w:bottom w:val="single" w:sz="4" w:space="0" w:color="auto"/>
              <w:right w:val="single" w:sz="4" w:space="0" w:color="auto"/>
            </w:tcBorders>
            <w:shd w:val="clear" w:color="auto" w:fill="auto"/>
            <w:noWrap/>
            <w:vAlign w:val="center"/>
            <w:hideMark/>
          </w:tcPr>
          <w:p w14:paraId="1B488D47"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0,0%</w:t>
            </w:r>
          </w:p>
        </w:tc>
      </w:tr>
      <w:tr w:rsidR="00544DF7" w:rsidRPr="00457FB2" w14:paraId="45629694"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191B3246" w14:textId="4C0D0DE5"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 xml:space="preserve">Direction </w:t>
            </w:r>
            <w:r w:rsidR="00AC0016" w:rsidRPr="00457FB2">
              <w:rPr>
                <w:rFonts w:ascii="Calibri" w:eastAsia="Times New Roman" w:hAnsi="Calibri" w:cs="Calibri"/>
                <w:color w:val="000000"/>
                <w:sz w:val="18"/>
                <w:szCs w:val="18"/>
                <w:lang w:eastAsia="fr-FR"/>
              </w:rPr>
              <w:t xml:space="preserve">des </w:t>
            </w:r>
            <w:r w:rsidRPr="00457FB2">
              <w:rPr>
                <w:rFonts w:ascii="Calibri" w:eastAsia="Times New Roman" w:hAnsi="Calibri" w:cs="Calibri"/>
                <w:color w:val="000000"/>
                <w:sz w:val="18"/>
                <w:szCs w:val="18"/>
                <w:lang w:eastAsia="fr-FR"/>
              </w:rPr>
              <w:t>Ressources Humaines</w:t>
            </w:r>
          </w:p>
        </w:tc>
        <w:tc>
          <w:tcPr>
            <w:tcW w:w="650" w:type="pct"/>
            <w:tcBorders>
              <w:top w:val="nil"/>
              <w:left w:val="nil"/>
              <w:bottom w:val="single" w:sz="4" w:space="0" w:color="auto"/>
              <w:right w:val="single" w:sz="4" w:space="0" w:color="auto"/>
            </w:tcBorders>
            <w:shd w:val="clear" w:color="auto" w:fill="auto"/>
            <w:noWrap/>
            <w:vAlign w:val="center"/>
            <w:hideMark/>
          </w:tcPr>
          <w:p w14:paraId="43647295"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4 272 310</w:t>
            </w:r>
          </w:p>
        </w:tc>
        <w:tc>
          <w:tcPr>
            <w:tcW w:w="747" w:type="pct"/>
            <w:tcBorders>
              <w:top w:val="nil"/>
              <w:left w:val="nil"/>
              <w:bottom w:val="single" w:sz="4" w:space="0" w:color="auto"/>
              <w:right w:val="single" w:sz="4" w:space="0" w:color="auto"/>
            </w:tcBorders>
            <w:shd w:val="clear" w:color="auto" w:fill="auto"/>
            <w:noWrap/>
            <w:vAlign w:val="center"/>
            <w:hideMark/>
          </w:tcPr>
          <w:p w14:paraId="7F8C9F15"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0,7%</w:t>
            </w:r>
          </w:p>
        </w:tc>
        <w:tc>
          <w:tcPr>
            <w:tcW w:w="650" w:type="pct"/>
            <w:tcBorders>
              <w:top w:val="nil"/>
              <w:left w:val="nil"/>
              <w:bottom w:val="single" w:sz="4" w:space="0" w:color="auto"/>
              <w:right w:val="single" w:sz="4" w:space="0" w:color="auto"/>
            </w:tcBorders>
            <w:shd w:val="clear" w:color="auto" w:fill="auto"/>
            <w:noWrap/>
            <w:vAlign w:val="center"/>
            <w:hideMark/>
          </w:tcPr>
          <w:p w14:paraId="50BFEA7B"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1 893 445</w:t>
            </w:r>
          </w:p>
        </w:tc>
        <w:tc>
          <w:tcPr>
            <w:tcW w:w="805" w:type="pct"/>
            <w:tcBorders>
              <w:top w:val="nil"/>
              <w:left w:val="nil"/>
              <w:bottom w:val="single" w:sz="4" w:space="0" w:color="auto"/>
              <w:right w:val="single" w:sz="4" w:space="0" w:color="auto"/>
            </w:tcBorders>
            <w:shd w:val="clear" w:color="auto" w:fill="auto"/>
            <w:noWrap/>
            <w:vAlign w:val="center"/>
            <w:hideMark/>
          </w:tcPr>
          <w:p w14:paraId="6D934247"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1,0%</w:t>
            </w:r>
          </w:p>
        </w:tc>
      </w:tr>
      <w:tr w:rsidR="00544DF7" w:rsidRPr="00457FB2" w14:paraId="49E0F743"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72377E1C" w14:textId="29D2483C"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 xml:space="preserve">Direction </w:t>
            </w:r>
            <w:r w:rsidR="00AC0016" w:rsidRPr="00457FB2">
              <w:rPr>
                <w:rFonts w:ascii="Calibri" w:eastAsia="Times New Roman" w:hAnsi="Calibri" w:cs="Calibri"/>
                <w:color w:val="000000"/>
                <w:sz w:val="18"/>
                <w:szCs w:val="18"/>
                <w:lang w:eastAsia="fr-FR"/>
              </w:rPr>
              <w:t xml:space="preserve">des </w:t>
            </w:r>
            <w:r w:rsidRPr="00457FB2">
              <w:rPr>
                <w:rFonts w:ascii="Calibri" w:eastAsia="Times New Roman" w:hAnsi="Calibri" w:cs="Calibri"/>
                <w:color w:val="000000"/>
                <w:sz w:val="18"/>
                <w:szCs w:val="18"/>
                <w:lang w:eastAsia="fr-FR"/>
              </w:rPr>
              <w:t xml:space="preserve">Affaires </w:t>
            </w:r>
            <w:r w:rsidR="00AC0016" w:rsidRPr="00457FB2">
              <w:rPr>
                <w:rFonts w:ascii="Calibri" w:eastAsia="Times New Roman" w:hAnsi="Calibri" w:cs="Calibri"/>
                <w:color w:val="000000"/>
                <w:sz w:val="18"/>
                <w:szCs w:val="18"/>
                <w:lang w:eastAsia="fr-FR"/>
              </w:rPr>
              <w:t>Financières</w:t>
            </w:r>
            <w:r w:rsidRPr="00457FB2">
              <w:rPr>
                <w:rFonts w:ascii="Calibri" w:eastAsia="Times New Roman" w:hAnsi="Calibri" w:cs="Calibri"/>
                <w:color w:val="000000"/>
                <w:sz w:val="18"/>
                <w:szCs w:val="18"/>
                <w:lang w:eastAsia="fr-FR"/>
              </w:rPr>
              <w:t xml:space="preserve"> </w:t>
            </w:r>
            <w:r w:rsidR="00AC0016" w:rsidRPr="00457FB2">
              <w:rPr>
                <w:rFonts w:ascii="Calibri" w:eastAsia="Times New Roman" w:hAnsi="Calibri" w:cs="Calibri"/>
                <w:color w:val="000000"/>
                <w:sz w:val="18"/>
                <w:szCs w:val="18"/>
                <w:lang w:eastAsia="fr-FR"/>
              </w:rPr>
              <w:t>et du Matériel</w:t>
            </w:r>
          </w:p>
        </w:tc>
        <w:tc>
          <w:tcPr>
            <w:tcW w:w="650" w:type="pct"/>
            <w:tcBorders>
              <w:top w:val="nil"/>
              <w:left w:val="nil"/>
              <w:bottom w:val="single" w:sz="4" w:space="0" w:color="auto"/>
              <w:right w:val="single" w:sz="4" w:space="0" w:color="auto"/>
            </w:tcBorders>
            <w:shd w:val="clear" w:color="auto" w:fill="auto"/>
            <w:noWrap/>
            <w:vAlign w:val="center"/>
            <w:hideMark/>
          </w:tcPr>
          <w:p w14:paraId="55EDE9E9"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121 907 430</w:t>
            </w:r>
          </w:p>
        </w:tc>
        <w:tc>
          <w:tcPr>
            <w:tcW w:w="747" w:type="pct"/>
            <w:tcBorders>
              <w:top w:val="nil"/>
              <w:left w:val="nil"/>
              <w:bottom w:val="single" w:sz="4" w:space="0" w:color="auto"/>
              <w:right w:val="single" w:sz="4" w:space="0" w:color="auto"/>
            </w:tcBorders>
            <w:shd w:val="clear" w:color="auto" w:fill="auto"/>
            <w:noWrap/>
            <w:vAlign w:val="center"/>
            <w:hideMark/>
          </w:tcPr>
          <w:p w14:paraId="233385A9"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19,9%</w:t>
            </w:r>
          </w:p>
        </w:tc>
        <w:tc>
          <w:tcPr>
            <w:tcW w:w="650" w:type="pct"/>
            <w:tcBorders>
              <w:top w:val="nil"/>
              <w:left w:val="nil"/>
              <w:bottom w:val="single" w:sz="4" w:space="0" w:color="auto"/>
              <w:right w:val="single" w:sz="4" w:space="0" w:color="auto"/>
            </w:tcBorders>
            <w:shd w:val="clear" w:color="auto" w:fill="auto"/>
            <w:noWrap/>
            <w:vAlign w:val="center"/>
            <w:hideMark/>
          </w:tcPr>
          <w:p w14:paraId="0A9B5B19"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69 908 616</w:t>
            </w:r>
          </w:p>
        </w:tc>
        <w:tc>
          <w:tcPr>
            <w:tcW w:w="805" w:type="pct"/>
            <w:tcBorders>
              <w:top w:val="nil"/>
              <w:left w:val="nil"/>
              <w:bottom w:val="single" w:sz="4" w:space="0" w:color="auto"/>
              <w:right w:val="single" w:sz="4" w:space="0" w:color="auto"/>
            </w:tcBorders>
            <w:shd w:val="clear" w:color="auto" w:fill="auto"/>
            <w:noWrap/>
            <w:vAlign w:val="center"/>
            <w:hideMark/>
          </w:tcPr>
          <w:p w14:paraId="05027220"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35,1%</w:t>
            </w:r>
          </w:p>
        </w:tc>
      </w:tr>
      <w:tr w:rsidR="00544DF7" w:rsidRPr="00457FB2" w14:paraId="5102C90D"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567AA3AC" w14:textId="7D5DA097"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Direction G</w:t>
            </w:r>
            <w:r w:rsidR="00AC0016">
              <w:rPr>
                <w:rFonts w:ascii="Calibri" w:eastAsia="Times New Roman" w:hAnsi="Calibri" w:cs="Calibri"/>
                <w:color w:val="000000"/>
                <w:sz w:val="18"/>
                <w:szCs w:val="18"/>
                <w:lang w:eastAsia="fr-FR"/>
              </w:rPr>
              <w:t>é</w:t>
            </w:r>
            <w:r w:rsidRPr="00457FB2">
              <w:rPr>
                <w:rFonts w:ascii="Calibri" w:eastAsia="Times New Roman" w:hAnsi="Calibri" w:cs="Calibri"/>
                <w:color w:val="000000"/>
                <w:sz w:val="18"/>
                <w:szCs w:val="18"/>
                <w:lang w:eastAsia="fr-FR"/>
              </w:rPr>
              <w:t>n</w:t>
            </w:r>
            <w:r w:rsidR="00AC0016">
              <w:rPr>
                <w:rFonts w:ascii="Calibri" w:eastAsia="Times New Roman" w:hAnsi="Calibri" w:cs="Calibri"/>
                <w:color w:val="000000"/>
                <w:sz w:val="18"/>
                <w:szCs w:val="18"/>
                <w:lang w:eastAsia="fr-FR"/>
              </w:rPr>
              <w:t>é</w:t>
            </w:r>
            <w:r w:rsidRPr="00457FB2">
              <w:rPr>
                <w:rFonts w:ascii="Calibri" w:eastAsia="Times New Roman" w:hAnsi="Calibri" w:cs="Calibri"/>
                <w:color w:val="000000"/>
                <w:sz w:val="18"/>
                <w:szCs w:val="18"/>
                <w:lang w:eastAsia="fr-FR"/>
              </w:rPr>
              <w:t xml:space="preserve">rale </w:t>
            </w:r>
            <w:r w:rsidR="00544DF7" w:rsidRPr="00457FB2">
              <w:rPr>
                <w:rFonts w:ascii="Calibri" w:eastAsia="Times New Roman" w:hAnsi="Calibri" w:cs="Calibri"/>
                <w:color w:val="000000"/>
                <w:sz w:val="18"/>
                <w:szCs w:val="18"/>
                <w:lang w:eastAsia="fr-FR"/>
              </w:rPr>
              <w:t>DE L'</w:t>
            </w:r>
            <w:r w:rsidR="00AC0016">
              <w:rPr>
                <w:rFonts w:ascii="Calibri" w:eastAsia="Times New Roman" w:hAnsi="Calibri" w:cs="Calibri"/>
                <w:color w:val="000000"/>
                <w:sz w:val="18"/>
                <w:szCs w:val="18"/>
                <w:lang w:eastAsia="fr-FR"/>
              </w:rPr>
              <w:t>E</w:t>
            </w:r>
            <w:r w:rsidRPr="00457FB2">
              <w:rPr>
                <w:rFonts w:ascii="Calibri" w:eastAsia="Times New Roman" w:hAnsi="Calibri" w:cs="Calibri"/>
                <w:color w:val="000000"/>
                <w:sz w:val="18"/>
                <w:szCs w:val="18"/>
                <w:lang w:eastAsia="fr-FR"/>
              </w:rPr>
              <w:t>nvironnement</w:t>
            </w:r>
            <w:r w:rsidR="00544DF7" w:rsidRPr="00457FB2">
              <w:rPr>
                <w:rFonts w:ascii="Calibri" w:eastAsia="Times New Roman" w:hAnsi="Calibri" w:cs="Calibri"/>
                <w:color w:val="000000"/>
                <w:sz w:val="18"/>
                <w:szCs w:val="18"/>
                <w:lang w:eastAsia="fr-FR"/>
              </w:rPr>
              <w:t xml:space="preserve"> </w:t>
            </w:r>
            <w:r w:rsidR="00AC0016" w:rsidRPr="00457FB2">
              <w:rPr>
                <w:rFonts w:ascii="Calibri" w:eastAsia="Times New Roman" w:hAnsi="Calibri" w:cs="Calibri"/>
                <w:color w:val="000000"/>
                <w:sz w:val="18"/>
                <w:szCs w:val="18"/>
                <w:lang w:eastAsia="fr-FR"/>
              </w:rPr>
              <w:t>et du Développ</w:t>
            </w:r>
            <w:r w:rsidR="00AC0016">
              <w:rPr>
                <w:rFonts w:ascii="Calibri" w:eastAsia="Times New Roman" w:hAnsi="Calibri" w:cs="Calibri"/>
                <w:color w:val="000000"/>
                <w:sz w:val="18"/>
                <w:szCs w:val="18"/>
                <w:lang w:eastAsia="fr-FR"/>
              </w:rPr>
              <w:t>em</w:t>
            </w:r>
            <w:r w:rsidR="00AC0016" w:rsidRPr="00457FB2">
              <w:rPr>
                <w:rFonts w:ascii="Calibri" w:eastAsia="Times New Roman" w:hAnsi="Calibri" w:cs="Calibri"/>
                <w:color w:val="000000"/>
                <w:sz w:val="18"/>
                <w:szCs w:val="18"/>
                <w:lang w:eastAsia="fr-FR"/>
              </w:rPr>
              <w:t>ent</w:t>
            </w:r>
            <w:r w:rsidRPr="00457FB2">
              <w:rPr>
                <w:rFonts w:ascii="Calibri" w:eastAsia="Times New Roman" w:hAnsi="Calibri" w:cs="Calibri"/>
                <w:color w:val="000000"/>
                <w:sz w:val="18"/>
                <w:szCs w:val="18"/>
                <w:lang w:eastAsia="fr-FR"/>
              </w:rPr>
              <w:t xml:space="preserve"> Durable </w:t>
            </w:r>
            <w:r w:rsidR="00544DF7" w:rsidRPr="00457FB2">
              <w:rPr>
                <w:rFonts w:ascii="Calibri" w:eastAsia="Times New Roman" w:hAnsi="Calibri" w:cs="Calibri"/>
                <w:color w:val="000000"/>
                <w:sz w:val="18"/>
                <w:szCs w:val="18"/>
                <w:lang w:eastAsia="fr-FR"/>
              </w:rPr>
              <w:t>(DGE/DD)</w:t>
            </w:r>
          </w:p>
        </w:tc>
        <w:tc>
          <w:tcPr>
            <w:tcW w:w="650" w:type="pct"/>
            <w:tcBorders>
              <w:top w:val="nil"/>
              <w:left w:val="nil"/>
              <w:bottom w:val="single" w:sz="4" w:space="0" w:color="auto"/>
              <w:right w:val="single" w:sz="4" w:space="0" w:color="auto"/>
            </w:tcBorders>
            <w:shd w:val="clear" w:color="auto" w:fill="auto"/>
            <w:noWrap/>
            <w:vAlign w:val="center"/>
            <w:hideMark/>
          </w:tcPr>
          <w:p w14:paraId="39E5F1A0"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14 299 726</w:t>
            </w:r>
          </w:p>
        </w:tc>
        <w:tc>
          <w:tcPr>
            <w:tcW w:w="747" w:type="pct"/>
            <w:tcBorders>
              <w:top w:val="nil"/>
              <w:left w:val="nil"/>
              <w:bottom w:val="single" w:sz="4" w:space="0" w:color="auto"/>
              <w:right w:val="single" w:sz="4" w:space="0" w:color="auto"/>
            </w:tcBorders>
            <w:shd w:val="clear" w:color="auto" w:fill="auto"/>
            <w:noWrap/>
            <w:vAlign w:val="center"/>
            <w:hideMark/>
          </w:tcPr>
          <w:p w14:paraId="45734F6E"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2,3%</w:t>
            </w:r>
          </w:p>
        </w:tc>
        <w:tc>
          <w:tcPr>
            <w:tcW w:w="650" w:type="pct"/>
            <w:tcBorders>
              <w:top w:val="nil"/>
              <w:left w:val="nil"/>
              <w:bottom w:val="single" w:sz="4" w:space="0" w:color="auto"/>
              <w:right w:val="single" w:sz="4" w:space="0" w:color="auto"/>
            </w:tcBorders>
            <w:shd w:val="clear" w:color="auto" w:fill="auto"/>
            <w:noWrap/>
            <w:vAlign w:val="center"/>
            <w:hideMark/>
          </w:tcPr>
          <w:p w14:paraId="73BB13A9"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11 198 518</w:t>
            </w:r>
          </w:p>
        </w:tc>
        <w:tc>
          <w:tcPr>
            <w:tcW w:w="805" w:type="pct"/>
            <w:tcBorders>
              <w:top w:val="nil"/>
              <w:left w:val="nil"/>
              <w:bottom w:val="single" w:sz="4" w:space="0" w:color="auto"/>
              <w:right w:val="single" w:sz="4" w:space="0" w:color="auto"/>
            </w:tcBorders>
            <w:shd w:val="clear" w:color="auto" w:fill="auto"/>
            <w:noWrap/>
            <w:vAlign w:val="center"/>
            <w:hideMark/>
          </w:tcPr>
          <w:p w14:paraId="6AEE3F64"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5,6%</w:t>
            </w:r>
          </w:p>
        </w:tc>
      </w:tr>
      <w:tr w:rsidR="00544DF7" w:rsidRPr="00457FB2" w14:paraId="7F0F1180"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72E7DCF3" w14:textId="1D3FF8C8"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Direction G</w:t>
            </w:r>
            <w:r w:rsidR="00AC0016">
              <w:rPr>
                <w:rFonts w:ascii="Calibri" w:eastAsia="Times New Roman" w:hAnsi="Calibri" w:cs="Calibri"/>
                <w:color w:val="000000"/>
                <w:sz w:val="18"/>
                <w:szCs w:val="18"/>
                <w:lang w:eastAsia="fr-FR"/>
              </w:rPr>
              <w:t>é</w:t>
            </w:r>
            <w:r w:rsidRPr="00457FB2">
              <w:rPr>
                <w:rFonts w:ascii="Calibri" w:eastAsia="Times New Roman" w:hAnsi="Calibri" w:cs="Calibri"/>
                <w:color w:val="000000"/>
                <w:sz w:val="18"/>
                <w:szCs w:val="18"/>
                <w:lang w:eastAsia="fr-FR"/>
              </w:rPr>
              <w:t>n</w:t>
            </w:r>
            <w:r w:rsidR="00AC0016">
              <w:rPr>
                <w:rFonts w:ascii="Calibri" w:eastAsia="Times New Roman" w:hAnsi="Calibri" w:cs="Calibri"/>
                <w:color w:val="000000"/>
                <w:sz w:val="18"/>
                <w:szCs w:val="18"/>
                <w:lang w:eastAsia="fr-FR"/>
              </w:rPr>
              <w:t>é</w:t>
            </w:r>
            <w:r w:rsidRPr="00457FB2">
              <w:rPr>
                <w:rFonts w:ascii="Calibri" w:eastAsia="Times New Roman" w:hAnsi="Calibri" w:cs="Calibri"/>
                <w:color w:val="000000"/>
                <w:sz w:val="18"/>
                <w:szCs w:val="18"/>
                <w:lang w:eastAsia="fr-FR"/>
              </w:rPr>
              <w:t xml:space="preserve">rale </w:t>
            </w:r>
            <w:r w:rsidR="00AC0016" w:rsidRPr="00457FB2">
              <w:rPr>
                <w:rFonts w:ascii="Calibri" w:eastAsia="Times New Roman" w:hAnsi="Calibri" w:cs="Calibri"/>
                <w:color w:val="000000"/>
                <w:sz w:val="18"/>
                <w:szCs w:val="18"/>
                <w:lang w:eastAsia="fr-FR"/>
              </w:rPr>
              <w:t>de l</w:t>
            </w:r>
            <w:r w:rsidR="00544DF7" w:rsidRPr="00457FB2">
              <w:rPr>
                <w:rFonts w:ascii="Calibri" w:eastAsia="Times New Roman" w:hAnsi="Calibri" w:cs="Calibri"/>
                <w:color w:val="000000"/>
                <w:sz w:val="18"/>
                <w:szCs w:val="18"/>
                <w:lang w:eastAsia="fr-FR"/>
              </w:rPr>
              <w:t>'</w:t>
            </w:r>
            <w:r w:rsidR="00AC0016">
              <w:rPr>
                <w:rFonts w:ascii="Calibri" w:eastAsia="Times New Roman" w:hAnsi="Calibri" w:cs="Calibri"/>
                <w:color w:val="000000"/>
                <w:sz w:val="18"/>
                <w:szCs w:val="18"/>
                <w:lang w:eastAsia="fr-FR"/>
              </w:rPr>
              <w:t>E</w:t>
            </w:r>
            <w:r w:rsidRPr="00457FB2">
              <w:rPr>
                <w:rFonts w:ascii="Calibri" w:eastAsia="Times New Roman" w:hAnsi="Calibri" w:cs="Calibri"/>
                <w:color w:val="000000"/>
                <w:sz w:val="18"/>
                <w:szCs w:val="18"/>
                <w:lang w:eastAsia="fr-FR"/>
              </w:rPr>
              <w:t>nvironnement</w:t>
            </w:r>
            <w:r w:rsidR="00544DF7" w:rsidRPr="00457FB2">
              <w:rPr>
                <w:rFonts w:ascii="Calibri" w:eastAsia="Times New Roman" w:hAnsi="Calibri" w:cs="Calibri"/>
                <w:color w:val="000000"/>
                <w:sz w:val="18"/>
                <w:szCs w:val="18"/>
                <w:lang w:eastAsia="fr-FR"/>
              </w:rPr>
              <w:t xml:space="preserve"> </w:t>
            </w:r>
            <w:r w:rsidR="00AC0016" w:rsidRPr="00457FB2">
              <w:rPr>
                <w:rFonts w:ascii="Calibri" w:eastAsia="Times New Roman" w:hAnsi="Calibri" w:cs="Calibri"/>
                <w:color w:val="000000"/>
                <w:sz w:val="18"/>
                <w:szCs w:val="18"/>
                <w:lang w:eastAsia="fr-FR"/>
              </w:rPr>
              <w:t xml:space="preserve">et des </w:t>
            </w:r>
            <w:r w:rsidRPr="00457FB2">
              <w:rPr>
                <w:rFonts w:ascii="Calibri" w:eastAsia="Times New Roman" w:hAnsi="Calibri" w:cs="Calibri"/>
                <w:color w:val="000000"/>
                <w:sz w:val="18"/>
                <w:szCs w:val="18"/>
                <w:lang w:eastAsia="fr-FR"/>
              </w:rPr>
              <w:t xml:space="preserve">Eaux </w:t>
            </w:r>
            <w:r w:rsidR="00AC0016" w:rsidRPr="00457FB2">
              <w:rPr>
                <w:rFonts w:ascii="Calibri" w:eastAsia="Times New Roman" w:hAnsi="Calibri" w:cs="Calibri"/>
                <w:color w:val="000000"/>
                <w:sz w:val="18"/>
                <w:szCs w:val="18"/>
                <w:lang w:eastAsia="fr-FR"/>
              </w:rPr>
              <w:t xml:space="preserve">et </w:t>
            </w:r>
            <w:r w:rsidRPr="00457FB2">
              <w:rPr>
                <w:rFonts w:ascii="Calibri" w:eastAsia="Times New Roman" w:hAnsi="Calibri" w:cs="Calibri"/>
                <w:color w:val="000000"/>
                <w:sz w:val="18"/>
                <w:szCs w:val="18"/>
                <w:lang w:eastAsia="fr-FR"/>
              </w:rPr>
              <w:t>Forets</w:t>
            </w:r>
          </w:p>
        </w:tc>
        <w:tc>
          <w:tcPr>
            <w:tcW w:w="650" w:type="pct"/>
            <w:tcBorders>
              <w:top w:val="nil"/>
              <w:left w:val="nil"/>
              <w:bottom w:val="nil"/>
              <w:right w:val="nil"/>
            </w:tcBorders>
            <w:shd w:val="clear" w:color="auto" w:fill="auto"/>
            <w:noWrap/>
            <w:vAlign w:val="center"/>
            <w:hideMark/>
          </w:tcPr>
          <w:p w14:paraId="44143F54"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118 565 160</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14:paraId="57CE4677"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19,4%</w:t>
            </w:r>
          </w:p>
        </w:tc>
        <w:tc>
          <w:tcPr>
            <w:tcW w:w="650" w:type="pct"/>
            <w:tcBorders>
              <w:top w:val="nil"/>
              <w:left w:val="nil"/>
              <w:bottom w:val="nil"/>
              <w:right w:val="nil"/>
            </w:tcBorders>
            <w:shd w:val="clear" w:color="auto" w:fill="auto"/>
            <w:noWrap/>
            <w:vAlign w:val="center"/>
            <w:hideMark/>
          </w:tcPr>
          <w:p w14:paraId="1F7231FA"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35 365 708</w:t>
            </w:r>
          </w:p>
        </w:tc>
        <w:tc>
          <w:tcPr>
            <w:tcW w:w="805" w:type="pct"/>
            <w:tcBorders>
              <w:top w:val="nil"/>
              <w:left w:val="single" w:sz="4" w:space="0" w:color="auto"/>
              <w:bottom w:val="single" w:sz="4" w:space="0" w:color="auto"/>
              <w:right w:val="single" w:sz="4" w:space="0" w:color="auto"/>
            </w:tcBorders>
            <w:shd w:val="clear" w:color="auto" w:fill="auto"/>
            <w:noWrap/>
            <w:vAlign w:val="center"/>
            <w:hideMark/>
          </w:tcPr>
          <w:p w14:paraId="7AF40920"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17,7%</w:t>
            </w:r>
          </w:p>
        </w:tc>
      </w:tr>
      <w:tr w:rsidR="00544DF7" w:rsidRPr="00457FB2" w14:paraId="0F4707CC"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001F4587" w14:textId="5F288BB0" w:rsidR="00544DF7" w:rsidRPr="00457FB2" w:rsidRDefault="00266F25" w:rsidP="00F12682">
            <w:pPr>
              <w:spacing w:after="0" w:line="240" w:lineRule="auto"/>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 xml:space="preserve">Niveau </w:t>
            </w:r>
            <w:r w:rsidR="00AC0016">
              <w:rPr>
                <w:rFonts w:ascii="Calibri" w:eastAsia="Times New Roman" w:hAnsi="Calibri" w:cs="Calibri"/>
                <w:color w:val="000000"/>
                <w:sz w:val="18"/>
                <w:szCs w:val="18"/>
                <w:lang w:eastAsia="fr-FR"/>
              </w:rPr>
              <w:t>d</w:t>
            </w:r>
            <w:r w:rsidR="00AC0016" w:rsidRPr="00457FB2">
              <w:rPr>
                <w:rFonts w:ascii="Calibri" w:eastAsia="Times New Roman" w:hAnsi="Calibri" w:cs="Calibri"/>
                <w:color w:val="000000"/>
                <w:sz w:val="18"/>
                <w:szCs w:val="18"/>
                <w:lang w:eastAsia="fr-FR"/>
              </w:rPr>
              <w:t>éconcentré</w:t>
            </w:r>
            <w:r w:rsidRPr="00457FB2">
              <w:rPr>
                <w:rFonts w:ascii="Calibri" w:eastAsia="Times New Roman" w:hAnsi="Calibri" w:cs="Calibri"/>
                <w:color w:val="000000"/>
                <w:sz w:val="18"/>
                <w:szCs w:val="18"/>
                <w:lang w:eastAsia="fr-FR"/>
              </w:rPr>
              <w:t xml:space="preserve"> </w:t>
            </w:r>
            <w:r w:rsidR="00544DF7" w:rsidRPr="00457FB2">
              <w:rPr>
                <w:rFonts w:ascii="Calibri" w:eastAsia="Times New Roman" w:hAnsi="Calibri" w:cs="Calibri"/>
                <w:color w:val="000000"/>
                <w:sz w:val="18"/>
                <w:szCs w:val="18"/>
                <w:lang w:eastAsia="fr-FR"/>
              </w:rPr>
              <w:t>(</w:t>
            </w:r>
            <w:r w:rsidR="00AC0016" w:rsidRPr="00457FB2">
              <w:rPr>
                <w:rFonts w:ascii="Calibri" w:eastAsia="Times New Roman" w:hAnsi="Calibri" w:cs="Calibri"/>
                <w:color w:val="000000"/>
                <w:sz w:val="18"/>
                <w:szCs w:val="18"/>
                <w:lang w:eastAsia="fr-FR"/>
              </w:rPr>
              <w:t>Régions</w:t>
            </w:r>
            <w:r w:rsidR="00544DF7" w:rsidRPr="00457FB2">
              <w:rPr>
                <w:rFonts w:ascii="Calibri" w:eastAsia="Times New Roman" w:hAnsi="Calibri" w:cs="Calibri"/>
                <w:color w:val="000000"/>
                <w:sz w:val="18"/>
                <w:szCs w:val="18"/>
                <w:lang w:eastAsia="fr-FR"/>
              </w:rPr>
              <w:t xml:space="preserve">, </w:t>
            </w:r>
            <w:r w:rsidR="00AC0016" w:rsidRPr="00457FB2">
              <w:rPr>
                <w:rFonts w:ascii="Calibri" w:eastAsia="Times New Roman" w:hAnsi="Calibri" w:cs="Calibri"/>
                <w:color w:val="000000"/>
                <w:sz w:val="18"/>
                <w:szCs w:val="18"/>
                <w:lang w:eastAsia="fr-FR"/>
              </w:rPr>
              <w:t>Départements</w:t>
            </w:r>
            <w:r w:rsidRPr="00457FB2">
              <w:rPr>
                <w:rFonts w:ascii="Calibri" w:eastAsia="Times New Roman" w:hAnsi="Calibri" w:cs="Calibri"/>
                <w:color w:val="000000"/>
                <w:sz w:val="18"/>
                <w:szCs w:val="18"/>
                <w:lang w:eastAsia="fr-FR"/>
              </w:rPr>
              <w:t xml:space="preserve"> </w:t>
            </w:r>
            <w:r w:rsidR="00AC0016" w:rsidRPr="00457FB2">
              <w:rPr>
                <w:rFonts w:ascii="Calibri" w:eastAsia="Times New Roman" w:hAnsi="Calibri" w:cs="Calibri"/>
                <w:color w:val="000000"/>
                <w:sz w:val="18"/>
                <w:szCs w:val="18"/>
                <w:lang w:eastAsia="fr-FR"/>
              </w:rPr>
              <w:t xml:space="preserve">et </w:t>
            </w:r>
            <w:r w:rsidRPr="00457FB2">
              <w:rPr>
                <w:rFonts w:ascii="Calibri" w:eastAsia="Times New Roman" w:hAnsi="Calibri" w:cs="Calibri"/>
                <w:color w:val="000000"/>
                <w:sz w:val="18"/>
                <w:szCs w:val="18"/>
                <w:lang w:eastAsia="fr-FR"/>
              </w:rPr>
              <w:t>Communes</w:t>
            </w:r>
            <w:r w:rsidR="00544DF7" w:rsidRPr="00457FB2">
              <w:rPr>
                <w:rFonts w:ascii="Calibri" w:eastAsia="Times New Roman" w:hAnsi="Calibri" w:cs="Calibri"/>
                <w:color w:val="000000"/>
                <w:sz w:val="18"/>
                <w:szCs w:val="18"/>
                <w:lang w:eastAsia="fr-FR"/>
              </w:rPr>
              <w:t>)</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4ABB006B"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111 617 072</w:t>
            </w:r>
          </w:p>
        </w:tc>
        <w:tc>
          <w:tcPr>
            <w:tcW w:w="747" w:type="pct"/>
            <w:tcBorders>
              <w:top w:val="nil"/>
              <w:left w:val="nil"/>
              <w:bottom w:val="single" w:sz="4" w:space="0" w:color="auto"/>
              <w:right w:val="single" w:sz="4" w:space="0" w:color="auto"/>
            </w:tcBorders>
            <w:shd w:val="clear" w:color="auto" w:fill="auto"/>
            <w:noWrap/>
            <w:vAlign w:val="center"/>
            <w:hideMark/>
          </w:tcPr>
          <w:p w14:paraId="030BE171"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18,2%</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79D4625F"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19 232 019</w:t>
            </w:r>
          </w:p>
        </w:tc>
        <w:tc>
          <w:tcPr>
            <w:tcW w:w="805" w:type="pct"/>
            <w:tcBorders>
              <w:top w:val="nil"/>
              <w:left w:val="nil"/>
              <w:bottom w:val="single" w:sz="4" w:space="0" w:color="auto"/>
              <w:right w:val="single" w:sz="4" w:space="0" w:color="auto"/>
            </w:tcBorders>
            <w:shd w:val="clear" w:color="auto" w:fill="auto"/>
            <w:noWrap/>
            <w:vAlign w:val="center"/>
            <w:hideMark/>
          </w:tcPr>
          <w:p w14:paraId="63CECACD" w14:textId="77777777" w:rsidR="00544DF7" w:rsidRPr="00457FB2" w:rsidRDefault="00544DF7" w:rsidP="00F12682">
            <w:pPr>
              <w:spacing w:after="0" w:line="240" w:lineRule="auto"/>
              <w:jc w:val="right"/>
              <w:rPr>
                <w:rFonts w:ascii="Calibri" w:eastAsia="Times New Roman" w:hAnsi="Calibri" w:cs="Calibri"/>
                <w:color w:val="000000"/>
                <w:sz w:val="18"/>
                <w:szCs w:val="18"/>
                <w:lang w:eastAsia="fr-FR"/>
              </w:rPr>
            </w:pPr>
            <w:r w:rsidRPr="00457FB2">
              <w:rPr>
                <w:rFonts w:ascii="Calibri" w:eastAsia="Times New Roman" w:hAnsi="Calibri" w:cs="Calibri"/>
                <w:color w:val="000000"/>
                <w:sz w:val="18"/>
                <w:szCs w:val="18"/>
                <w:lang w:eastAsia="fr-FR"/>
              </w:rPr>
              <w:t>9,7%</w:t>
            </w:r>
          </w:p>
        </w:tc>
      </w:tr>
      <w:tr w:rsidR="00544DF7" w:rsidRPr="00457FB2" w14:paraId="7EE50C37" w14:textId="77777777" w:rsidTr="00BD0156">
        <w:tc>
          <w:tcPr>
            <w:tcW w:w="2148" w:type="pct"/>
            <w:tcBorders>
              <w:top w:val="nil"/>
              <w:left w:val="single" w:sz="4" w:space="0" w:color="auto"/>
              <w:bottom w:val="single" w:sz="4" w:space="0" w:color="auto"/>
              <w:right w:val="single" w:sz="4" w:space="0" w:color="auto"/>
            </w:tcBorders>
            <w:shd w:val="clear" w:color="auto" w:fill="auto"/>
            <w:noWrap/>
            <w:vAlign w:val="center"/>
            <w:hideMark/>
          </w:tcPr>
          <w:p w14:paraId="3302D11C" w14:textId="77777777" w:rsidR="00544DF7" w:rsidRPr="00457FB2" w:rsidRDefault="00544DF7" w:rsidP="00F12682">
            <w:pPr>
              <w:spacing w:after="0" w:line="240" w:lineRule="auto"/>
              <w:rPr>
                <w:rFonts w:ascii="Calibri" w:eastAsia="Times New Roman" w:hAnsi="Calibri" w:cs="Calibri"/>
                <w:b/>
                <w:color w:val="000000"/>
                <w:sz w:val="18"/>
                <w:szCs w:val="18"/>
                <w:lang w:eastAsia="fr-FR"/>
              </w:rPr>
            </w:pPr>
            <w:r w:rsidRPr="00457FB2">
              <w:rPr>
                <w:rFonts w:ascii="Calibri" w:eastAsia="Times New Roman" w:hAnsi="Calibri" w:cs="Calibri"/>
                <w:b/>
                <w:color w:val="000000"/>
                <w:sz w:val="18"/>
                <w:szCs w:val="18"/>
                <w:lang w:eastAsia="fr-FR"/>
              </w:rPr>
              <w:t>TOTAL</w:t>
            </w:r>
          </w:p>
        </w:tc>
        <w:tc>
          <w:tcPr>
            <w:tcW w:w="650" w:type="pct"/>
            <w:tcBorders>
              <w:top w:val="nil"/>
              <w:left w:val="nil"/>
              <w:bottom w:val="single" w:sz="4" w:space="0" w:color="auto"/>
              <w:right w:val="single" w:sz="4" w:space="0" w:color="auto"/>
            </w:tcBorders>
            <w:shd w:val="clear" w:color="auto" w:fill="auto"/>
            <w:noWrap/>
            <w:vAlign w:val="center"/>
            <w:hideMark/>
          </w:tcPr>
          <w:p w14:paraId="0E1CFB43" w14:textId="77777777" w:rsidR="00544DF7" w:rsidRPr="00457FB2" w:rsidRDefault="00544DF7" w:rsidP="00F12682">
            <w:pPr>
              <w:spacing w:after="0" w:line="240" w:lineRule="auto"/>
              <w:jc w:val="right"/>
              <w:rPr>
                <w:rFonts w:ascii="Calibri" w:eastAsia="Times New Roman" w:hAnsi="Calibri" w:cs="Calibri"/>
                <w:b/>
                <w:color w:val="000000"/>
                <w:sz w:val="18"/>
                <w:szCs w:val="18"/>
                <w:lang w:eastAsia="fr-FR"/>
              </w:rPr>
            </w:pPr>
            <w:r w:rsidRPr="00457FB2">
              <w:rPr>
                <w:rFonts w:ascii="Calibri" w:eastAsia="Times New Roman" w:hAnsi="Calibri" w:cs="Calibri"/>
                <w:b/>
                <w:color w:val="000000"/>
                <w:sz w:val="18"/>
                <w:szCs w:val="18"/>
                <w:lang w:eastAsia="fr-FR"/>
              </w:rPr>
              <w:t>612 517 021</w:t>
            </w:r>
          </w:p>
        </w:tc>
        <w:tc>
          <w:tcPr>
            <w:tcW w:w="747" w:type="pct"/>
            <w:tcBorders>
              <w:top w:val="nil"/>
              <w:left w:val="nil"/>
              <w:bottom w:val="single" w:sz="4" w:space="0" w:color="auto"/>
              <w:right w:val="single" w:sz="4" w:space="0" w:color="auto"/>
            </w:tcBorders>
            <w:shd w:val="clear" w:color="auto" w:fill="auto"/>
            <w:noWrap/>
            <w:vAlign w:val="center"/>
            <w:hideMark/>
          </w:tcPr>
          <w:p w14:paraId="08DFF5E3" w14:textId="77777777" w:rsidR="00544DF7" w:rsidRPr="00457FB2" w:rsidRDefault="00544DF7" w:rsidP="00F12682">
            <w:pPr>
              <w:spacing w:after="0" w:line="240" w:lineRule="auto"/>
              <w:jc w:val="right"/>
              <w:rPr>
                <w:rFonts w:ascii="Calibri" w:eastAsia="Times New Roman" w:hAnsi="Calibri" w:cs="Calibri"/>
                <w:b/>
                <w:color w:val="000000"/>
                <w:sz w:val="18"/>
                <w:szCs w:val="18"/>
                <w:lang w:eastAsia="fr-FR"/>
              </w:rPr>
            </w:pPr>
            <w:r w:rsidRPr="00457FB2">
              <w:rPr>
                <w:rFonts w:ascii="Calibri" w:eastAsia="Times New Roman" w:hAnsi="Calibri" w:cs="Calibri"/>
                <w:b/>
                <w:color w:val="000000"/>
                <w:sz w:val="18"/>
                <w:szCs w:val="18"/>
                <w:lang w:eastAsia="fr-FR"/>
              </w:rPr>
              <w:t>100,0%</w:t>
            </w:r>
          </w:p>
        </w:tc>
        <w:tc>
          <w:tcPr>
            <w:tcW w:w="650" w:type="pct"/>
            <w:tcBorders>
              <w:top w:val="nil"/>
              <w:left w:val="nil"/>
              <w:bottom w:val="single" w:sz="4" w:space="0" w:color="auto"/>
              <w:right w:val="single" w:sz="4" w:space="0" w:color="auto"/>
            </w:tcBorders>
            <w:shd w:val="clear" w:color="auto" w:fill="auto"/>
            <w:noWrap/>
            <w:vAlign w:val="center"/>
            <w:hideMark/>
          </w:tcPr>
          <w:p w14:paraId="12E8AFF4" w14:textId="77777777" w:rsidR="00544DF7" w:rsidRPr="00457FB2" w:rsidRDefault="00544DF7" w:rsidP="00F12682">
            <w:pPr>
              <w:spacing w:after="0" w:line="240" w:lineRule="auto"/>
              <w:jc w:val="right"/>
              <w:rPr>
                <w:rFonts w:ascii="Calibri" w:eastAsia="Times New Roman" w:hAnsi="Calibri" w:cs="Calibri"/>
                <w:b/>
                <w:color w:val="000000"/>
                <w:sz w:val="18"/>
                <w:szCs w:val="18"/>
                <w:lang w:eastAsia="fr-FR"/>
              </w:rPr>
            </w:pPr>
            <w:r w:rsidRPr="00457FB2">
              <w:rPr>
                <w:rFonts w:ascii="Calibri" w:eastAsia="Times New Roman" w:hAnsi="Calibri" w:cs="Calibri"/>
                <w:b/>
                <w:color w:val="000000"/>
                <w:sz w:val="18"/>
                <w:szCs w:val="18"/>
                <w:lang w:eastAsia="fr-FR"/>
              </w:rPr>
              <w:t>199 267 901</w:t>
            </w:r>
          </w:p>
        </w:tc>
        <w:tc>
          <w:tcPr>
            <w:tcW w:w="805" w:type="pct"/>
            <w:tcBorders>
              <w:top w:val="nil"/>
              <w:left w:val="nil"/>
              <w:bottom w:val="single" w:sz="4" w:space="0" w:color="auto"/>
              <w:right w:val="single" w:sz="4" w:space="0" w:color="auto"/>
            </w:tcBorders>
            <w:shd w:val="clear" w:color="auto" w:fill="auto"/>
            <w:noWrap/>
            <w:vAlign w:val="center"/>
            <w:hideMark/>
          </w:tcPr>
          <w:p w14:paraId="03B2D6BF" w14:textId="77777777" w:rsidR="00544DF7" w:rsidRPr="00457FB2" w:rsidRDefault="00544DF7" w:rsidP="00F12682">
            <w:pPr>
              <w:spacing w:after="0" w:line="240" w:lineRule="auto"/>
              <w:jc w:val="right"/>
              <w:rPr>
                <w:rFonts w:ascii="Calibri" w:eastAsia="Times New Roman" w:hAnsi="Calibri" w:cs="Calibri"/>
                <w:b/>
                <w:color w:val="000000"/>
                <w:sz w:val="18"/>
                <w:szCs w:val="18"/>
                <w:lang w:eastAsia="fr-FR"/>
              </w:rPr>
            </w:pPr>
            <w:r w:rsidRPr="00457FB2">
              <w:rPr>
                <w:rFonts w:ascii="Calibri" w:eastAsia="Times New Roman" w:hAnsi="Calibri" w:cs="Calibri"/>
                <w:b/>
                <w:color w:val="000000"/>
                <w:sz w:val="18"/>
                <w:szCs w:val="18"/>
                <w:lang w:eastAsia="fr-FR"/>
              </w:rPr>
              <w:t>100,0%</w:t>
            </w:r>
          </w:p>
        </w:tc>
      </w:tr>
    </w:tbl>
    <w:p w14:paraId="65691C64" w14:textId="77777777" w:rsidR="00544DF7" w:rsidRPr="00D73A12" w:rsidRDefault="00544DF7" w:rsidP="00F12682">
      <w:pPr>
        <w:rPr>
          <w:rFonts w:cstheme="minorHAnsi"/>
        </w:rPr>
      </w:pPr>
    </w:p>
    <w:p w14:paraId="7398946F" w14:textId="77777777" w:rsidR="00895CB2" w:rsidRDefault="00895CB2" w:rsidP="00F12682">
      <w:pPr>
        <w:pStyle w:val="Titre4"/>
        <w:rPr>
          <w:rFonts w:asciiTheme="minorHAnsi" w:hAnsiTheme="minorHAnsi" w:cstheme="minorHAnsi"/>
        </w:rPr>
      </w:pPr>
      <w:r w:rsidRPr="004A5122">
        <w:rPr>
          <w:rFonts w:asciiTheme="minorHAnsi" w:hAnsiTheme="minorHAnsi" w:cstheme="minorHAnsi"/>
        </w:rPr>
        <w:t>Analyse de l’efficacité des dépenses d’investissement</w:t>
      </w:r>
    </w:p>
    <w:p w14:paraId="7C894359" w14:textId="77777777" w:rsidR="003F37BE" w:rsidRDefault="003F37BE"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Le très faible taux de consommation (12,8%) du sous-secteur de l’environnement est principalement lié aux très faibles consommations des aides non remboursables (10%) dont sa part relative dépasse la moitié (57%) des financements exécutés. Les aides non remboursables sont celles de</w:t>
      </w:r>
      <w:r w:rsidRPr="0023155C">
        <w:rPr>
          <w:rFonts w:ascii="Calibri" w:eastAsiaTheme="majorEastAsia" w:hAnsi="Calibri" w:cs="Calibri"/>
          <w:iCs/>
          <w:sz w:val="24"/>
        </w:rPr>
        <w:t xml:space="preserve"> l’AFD, </w:t>
      </w:r>
      <w:r>
        <w:rPr>
          <w:rFonts w:ascii="Calibri" w:eastAsiaTheme="majorEastAsia" w:hAnsi="Calibri" w:cs="Calibri"/>
          <w:iCs/>
          <w:sz w:val="24"/>
        </w:rPr>
        <w:t xml:space="preserve">de </w:t>
      </w:r>
      <w:r w:rsidRPr="0023155C">
        <w:rPr>
          <w:rFonts w:ascii="Calibri" w:eastAsiaTheme="majorEastAsia" w:hAnsi="Calibri" w:cs="Calibri"/>
          <w:iCs/>
          <w:sz w:val="24"/>
        </w:rPr>
        <w:t>l’UEMOA</w:t>
      </w:r>
      <w:r>
        <w:rPr>
          <w:rFonts w:ascii="Calibri" w:eastAsiaTheme="majorEastAsia" w:hAnsi="Calibri" w:cs="Calibri"/>
          <w:iCs/>
          <w:sz w:val="24"/>
        </w:rPr>
        <w:t xml:space="preserve"> et du</w:t>
      </w:r>
      <w:r w:rsidRPr="0023155C">
        <w:rPr>
          <w:rFonts w:ascii="Calibri" w:eastAsiaTheme="majorEastAsia" w:hAnsi="Calibri" w:cs="Calibri"/>
          <w:iCs/>
          <w:sz w:val="24"/>
        </w:rPr>
        <w:t xml:space="preserve"> PNUD.</w:t>
      </w:r>
      <w:r>
        <w:rPr>
          <w:rFonts w:ascii="Calibri" w:eastAsiaTheme="majorEastAsia" w:hAnsi="Calibri" w:cs="Calibri"/>
          <w:iCs/>
          <w:sz w:val="24"/>
        </w:rPr>
        <w:t xml:space="preserve"> </w:t>
      </w:r>
      <w:r w:rsidRPr="0023155C">
        <w:rPr>
          <w:rFonts w:ascii="Calibri" w:eastAsiaTheme="majorEastAsia" w:hAnsi="Calibri" w:cs="Calibri"/>
          <w:iCs/>
          <w:sz w:val="24"/>
        </w:rPr>
        <w:t xml:space="preserve">Mais en dehors des fonds de l’AFD </w:t>
      </w:r>
      <w:r>
        <w:rPr>
          <w:rFonts w:ascii="Calibri" w:eastAsiaTheme="majorEastAsia" w:hAnsi="Calibri" w:cs="Calibri"/>
          <w:iCs/>
          <w:sz w:val="24"/>
        </w:rPr>
        <w:t xml:space="preserve">qui ont atteint </w:t>
      </w:r>
      <w:r w:rsidRPr="0023155C">
        <w:rPr>
          <w:rFonts w:ascii="Calibri" w:eastAsiaTheme="majorEastAsia" w:hAnsi="Calibri" w:cs="Calibri"/>
          <w:iCs/>
          <w:sz w:val="24"/>
        </w:rPr>
        <w:t>un taux d’exécution de 28%</w:t>
      </w:r>
      <w:r>
        <w:rPr>
          <w:rFonts w:ascii="Calibri" w:eastAsiaTheme="majorEastAsia" w:hAnsi="Calibri" w:cs="Calibri"/>
          <w:iCs/>
          <w:sz w:val="24"/>
        </w:rPr>
        <w:t>, toutes les autres aides ont un</w:t>
      </w:r>
      <w:r w:rsidRPr="0023155C">
        <w:rPr>
          <w:rFonts w:ascii="Calibri" w:eastAsiaTheme="majorEastAsia" w:hAnsi="Calibri" w:cs="Calibri"/>
          <w:iCs/>
          <w:sz w:val="24"/>
        </w:rPr>
        <w:t xml:space="preserve"> taux d’exécution nul.</w:t>
      </w:r>
    </w:p>
    <w:p w14:paraId="5DC8F311" w14:textId="77777777" w:rsidR="00860B25" w:rsidRDefault="00860B25" w:rsidP="00F12682">
      <w:pPr>
        <w:spacing w:after="120" w:line="276" w:lineRule="auto"/>
        <w:jc w:val="both"/>
        <w:rPr>
          <w:rFonts w:ascii="Calibri" w:eastAsiaTheme="majorEastAsia" w:hAnsi="Calibri" w:cs="Calibri"/>
          <w:iCs/>
          <w:sz w:val="24"/>
        </w:rPr>
      </w:pPr>
    </w:p>
    <w:p w14:paraId="38E9B3FB" w14:textId="77777777" w:rsidR="003F37BE" w:rsidRDefault="003F37BE" w:rsidP="00F12682">
      <w:pPr>
        <w:pStyle w:val="Lgende"/>
        <w:rPr>
          <w:rFonts w:eastAsiaTheme="majorEastAsia" w:cs="Calibri"/>
          <w:iCs w:val="0"/>
        </w:rPr>
      </w:pPr>
      <w:bookmarkStart w:id="180" w:name="_Toc529305098"/>
      <w:r>
        <w:lastRenderedPageBreak/>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44</w:t>
      </w:r>
      <w:r w:rsidR="00A773EB">
        <w:rPr>
          <w:noProof/>
        </w:rPr>
        <w:fldChar w:fldCharType="end"/>
      </w:r>
      <w:r w:rsidRPr="005970F0">
        <w:rPr>
          <w:rFonts w:eastAsiaTheme="majorEastAsia" w:cs="Calibri"/>
          <w:iCs w:val="0"/>
        </w:rPr>
        <w:t> : Répartition des investissements par source de financements au MEDD en 2016</w:t>
      </w:r>
      <w:bookmarkEnd w:id="180"/>
    </w:p>
    <w:tbl>
      <w:tblPr>
        <w:tblW w:w="5000" w:type="pct"/>
        <w:tblCellMar>
          <w:left w:w="70" w:type="dxa"/>
          <w:right w:w="70" w:type="dxa"/>
        </w:tblCellMar>
        <w:tblLook w:val="04A0" w:firstRow="1" w:lastRow="0" w:firstColumn="1" w:lastColumn="0" w:noHBand="0" w:noVBand="1"/>
      </w:tblPr>
      <w:tblGrid>
        <w:gridCol w:w="1923"/>
        <w:gridCol w:w="1923"/>
        <w:gridCol w:w="1924"/>
        <w:gridCol w:w="1924"/>
        <w:gridCol w:w="1924"/>
      </w:tblGrid>
      <w:tr w:rsidR="003F37BE" w:rsidRPr="00B668B7" w14:paraId="0D302934" w14:textId="77777777" w:rsidTr="00F12682">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AA6764" w14:textId="77777777" w:rsidR="003F37BE" w:rsidRPr="00B668B7" w:rsidRDefault="003F37BE" w:rsidP="00F12682">
            <w:pPr>
              <w:spacing w:after="0" w:line="240" w:lineRule="auto"/>
              <w:jc w:val="center"/>
              <w:rPr>
                <w:rFonts w:ascii="Calibri" w:eastAsia="Times New Roman" w:hAnsi="Calibri" w:cs="Calibri"/>
                <w:b/>
                <w:bCs/>
                <w:color w:val="000000"/>
                <w:sz w:val="20"/>
                <w:szCs w:val="20"/>
                <w:lang w:eastAsia="fr-FR"/>
              </w:rPr>
            </w:pPr>
            <w:r w:rsidRPr="00B668B7">
              <w:rPr>
                <w:rFonts w:ascii="Calibri" w:eastAsia="Times New Roman" w:hAnsi="Calibri" w:cs="Calibri"/>
                <w:b/>
                <w:bCs/>
                <w:color w:val="000000"/>
                <w:sz w:val="20"/>
                <w:szCs w:val="20"/>
                <w:lang w:eastAsia="fr-FR"/>
              </w:rPr>
              <w:t>Sources de financement</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3C4D64E9" w14:textId="77777777" w:rsidR="003F37BE" w:rsidRPr="00B668B7" w:rsidRDefault="003F37BE" w:rsidP="00F12682">
            <w:pPr>
              <w:spacing w:after="0" w:line="240" w:lineRule="auto"/>
              <w:jc w:val="center"/>
              <w:rPr>
                <w:rFonts w:ascii="Calibri" w:eastAsia="Times New Roman" w:hAnsi="Calibri" w:cs="Calibri"/>
                <w:b/>
                <w:bCs/>
                <w:color w:val="000000"/>
                <w:sz w:val="20"/>
                <w:szCs w:val="20"/>
                <w:lang w:eastAsia="fr-FR"/>
              </w:rPr>
            </w:pPr>
            <w:r w:rsidRPr="00B668B7">
              <w:rPr>
                <w:rFonts w:ascii="Calibri" w:eastAsia="Times New Roman" w:hAnsi="Calibri" w:cs="Calibri"/>
                <w:b/>
                <w:bCs/>
                <w:color w:val="000000"/>
                <w:sz w:val="20"/>
                <w:szCs w:val="20"/>
                <w:lang w:eastAsia="fr-FR"/>
              </w:rPr>
              <w:t>Voté</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0025029C" w14:textId="77777777" w:rsidR="003F37BE" w:rsidRPr="00B668B7" w:rsidRDefault="003F37BE" w:rsidP="00F12682">
            <w:pPr>
              <w:spacing w:after="0" w:line="240" w:lineRule="auto"/>
              <w:jc w:val="center"/>
              <w:rPr>
                <w:rFonts w:ascii="Calibri" w:eastAsia="Times New Roman" w:hAnsi="Calibri" w:cs="Calibri"/>
                <w:b/>
                <w:bCs/>
                <w:color w:val="000000"/>
                <w:sz w:val="20"/>
                <w:szCs w:val="20"/>
                <w:lang w:eastAsia="fr-FR"/>
              </w:rPr>
            </w:pPr>
            <w:r w:rsidRPr="00B668B7">
              <w:rPr>
                <w:rFonts w:ascii="Calibri" w:eastAsia="Times New Roman" w:hAnsi="Calibri" w:cs="Calibri"/>
                <w:b/>
                <w:bCs/>
                <w:color w:val="000000"/>
                <w:sz w:val="20"/>
                <w:szCs w:val="20"/>
                <w:lang w:eastAsia="fr-FR"/>
              </w:rPr>
              <w:t>Consommé</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26E1C47C" w14:textId="77777777" w:rsidR="003F37BE" w:rsidRPr="00B668B7" w:rsidRDefault="003F37BE" w:rsidP="00F12682">
            <w:pPr>
              <w:spacing w:after="0" w:line="240" w:lineRule="auto"/>
              <w:jc w:val="center"/>
              <w:rPr>
                <w:rFonts w:ascii="Calibri" w:eastAsia="Times New Roman" w:hAnsi="Calibri" w:cs="Calibri"/>
                <w:b/>
                <w:bCs/>
                <w:color w:val="000000"/>
                <w:sz w:val="20"/>
                <w:szCs w:val="20"/>
                <w:lang w:eastAsia="fr-FR"/>
              </w:rPr>
            </w:pPr>
            <w:r w:rsidRPr="00B668B7">
              <w:rPr>
                <w:rFonts w:ascii="Calibri" w:eastAsia="Times New Roman" w:hAnsi="Calibri" w:cs="Calibri"/>
                <w:b/>
                <w:bCs/>
                <w:color w:val="000000"/>
                <w:sz w:val="20"/>
                <w:szCs w:val="20"/>
                <w:lang w:eastAsia="fr-FR"/>
              </w:rPr>
              <w:t>Taux de consommation</w:t>
            </w:r>
          </w:p>
        </w:tc>
        <w:tc>
          <w:tcPr>
            <w:tcW w:w="1000" w:type="pct"/>
            <w:tcBorders>
              <w:top w:val="single" w:sz="8" w:space="0" w:color="auto"/>
              <w:left w:val="nil"/>
              <w:bottom w:val="single" w:sz="8" w:space="0" w:color="auto"/>
              <w:right w:val="single" w:sz="8" w:space="0" w:color="auto"/>
            </w:tcBorders>
            <w:shd w:val="clear" w:color="auto" w:fill="auto"/>
            <w:vAlign w:val="center"/>
          </w:tcPr>
          <w:p w14:paraId="3E3B8A29" w14:textId="77777777" w:rsidR="003F37BE" w:rsidRPr="00B668B7" w:rsidRDefault="003F37BE" w:rsidP="00F12682">
            <w:pPr>
              <w:spacing w:after="0" w:line="240" w:lineRule="auto"/>
              <w:jc w:val="center"/>
              <w:rPr>
                <w:rFonts w:ascii="Calibri" w:eastAsia="Times New Roman" w:hAnsi="Calibri" w:cs="Calibri"/>
                <w:b/>
                <w:bCs/>
                <w:color w:val="000000"/>
                <w:sz w:val="20"/>
                <w:szCs w:val="20"/>
                <w:lang w:eastAsia="fr-FR"/>
              </w:rPr>
            </w:pPr>
            <w:r w:rsidRPr="00337326">
              <w:rPr>
                <w:rFonts w:ascii="Calibri" w:eastAsia="Times New Roman" w:hAnsi="Calibri" w:cs="Calibri"/>
                <w:b/>
                <w:bCs/>
                <w:color w:val="000000"/>
                <w:sz w:val="20"/>
                <w:szCs w:val="20"/>
                <w:lang w:eastAsia="fr-FR"/>
              </w:rPr>
              <w:t>Part relative</w:t>
            </w:r>
          </w:p>
        </w:tc>
      </w:tr>
      <w:tr w:rsidR="003F37BE" w:rsidRPr="00B668B7" w14:paraId="243D15D2" w14:textId="77777777" w:rsidTr="00F12682">
        <w:tc>
          <w:tcPr>
            <w:tcW w:w="1000" w:type="pct"/>
            <w:tcBorders>
              <w:top w:val="nil"/>
              <w:left w:val="single" w:sz="8" w:space="0" w:color="auto"/>
              <w:bottom w:val="single" w:sz="8" w:space="0" w:color="auto"/>
              <w:right w:val="single" w:sz="8" w:space="0" w:color="auto"/>
            </w:tcBorders>
            <w:shd w:val="clear" w:color="auto" w:fill="auto"/>
            <w:vAlign w:val="center"/>
            <w:hideMark/>
          </w:tcPr>
          <w:p w14:paraId="0BA96F5C" w14:textId="77777777" w:rsidR="003F37BE" w:rsidRPr="00B668B7" w:rsidRDefault="003F37BE" w:rsidP="00F12682">
            <w:pPr>
              <w:spacing w:after="0" w:line="240" w:lineRule="auto"/>
              <w:rPr>
                <w:rFonts w:ascii="Calibri" w:eastAsia="Times New Roman" w:hAnsi="Calibri" w:cs="Calibri"/>
                <w:color w:val="000000"/>
                <w:sz w:val="20"/>
                <w:szCs w:val="20"/>
                <w:lang w:eastAsia="fr-FR"/>
              </w:rPr>
            </w:pPr>
            <w:r w:rsidRPr="00B668B7">
              <w:rPr>
                <w:rFonts w:ascii="Calibri" w:eastAsia="Times New Roman" w:hAnsi="Calibri" w:cs="Calibri"/>
                <w:color w:val="000000"/>
                <w:sz w:val="20"/>
                <w:szCs w:val="20"/>
                <w:lang w:eastAsia="fr-FR"/>
              </w:rPr>
              <w:t>ANR</w:t>
            </w:r>
          </w:p>
        </w:tc>
        <w:tc>
          <w:tcPr>
            <w:tcW w:w="1000" w:type="pct"/>
            <w:tcBorders>
              <w:top w:val="nil"/>
              <w:left w:val="nil"/>
              <w:bottom w:val="single" w:sz="8" w:space="0" w:color="auto"/>
              <w:right w:val="single" w:sz="8" w:space="0" w:color="auto"/>
            </w:tcBorders>
            <w:shd w:val="clear" w:color="auto" w:fill="auto"/>
            <w:vAlign w:val="center"/>
            <w:hideMark/>
          </w:tcPr>
          <w:p w14:paraId="7E21CA20" w14:textId="77777777" w:rsidR="003F37BE" w:rsidRPr="00B668B7" w:rsidRDefault="003F37BE" w:rsidP="00F12682">
            <w:pPr>
              <w:spacing w:after="0" w:line="240" w:lineRule="auto"/>
              <w:jc w:val="right"/>
              <w:rPr>
                <w:rFonts w:ascii="Calibri" w:eastAsia="Times New Roman" w:hAnsi="Calibri" w:cs="Calibri"/>
                <w:color w:val="000000"/>
                <w:sz w:val="20"/>
                <w:szCs w:val="20"/>
                <w:lang w:eastAsia="fr-FR"/>
              </w:rPr>
            </w:pPr>
            <w:r w:rsidRPr="00B668B7">
              <w:rPr>
                <w:rFonts w:ascii="Calibri" w:eastAsia="Times New Roman" w:hAnsi="Calibri" w:cs="Calibri"/>
                <w:color w:val="000000"/>
                <w:sz w:val="20"/>
                <w:szCs w:val="20"/>
                <w:lang w:eastAsia="fr-FR"/>
              </w:rPr>
              <w:t>7</w:t>
            </w:r>
            <w:r>
              <w:rPr>
                <w:rFonts w:ascii="Calibri" w:eastAsia="Times New Roman" w:hAnsi="Calibri" w:cs="Calibri"/>
                <w:color w:val="000000"/>
                <w:sz w:val="20"/>
                <w:szCs w:val="20"/>
                <w:lang w:eastAsia="fr-FR"/>
              </w:rPr>
              <w:t> </w:t>
            </w:r>
            <w:r w:rsidRPr="00B668B7">
              <w:rPr>
                <w:rFonts w:ascii="Calibri" w:eastAsia="Times New Roman" w:hAnsi="Calibri" w:cs="Calibri"/>
                <w:color w:val="000000"/>
                <w:sz w:val="20"/>
                <w:szCs w:val="20"/>
                <w:lang w:eastAsia="fr-FR"/>
              </w:rPr>
              <w:t>364</w:t>
            </w:r>
            <w:r>
              <w:rPr>
                <w:rFonts w:ascii="Calibri" w:eastAsia="Times New Roman" w:hAnsi="Calibri" w:cs="Calibri"/>
                <w:color w:val="000000"/>
                <w:sz w:val="20"/>
                <w:szCs w:val="20"/>
                <w:lang w:eastAsia="fr-FR"/>
              </w:rPr>
              <w:t> </w:t>
            </w:r>
            <w:r w:rsidRPr="00B668B7">
              <w:rPr>
                <w:rFonts w:ascii="Calibri" w:eastAsia="Times New Roman" w:hAnsi="Calibri" w:cs="Calibri"/>
                <w:color w:val="000000"/>
                <w:sz w:val="20"/>
                <w:szCs w:val="20"/>
                <w:lang w:eastAsia="fr-FR"/>
              </w:rPr>
              <w:t>924</w:t>
            </w:r>
            <w:r>
              <w:rPr>
                <w:rFonts w:ascii="Calibri" w:eastAsia="Times New Roman" w:hAnsi="Calibri" w:cs="Calibri"/>
                <w:color w:val="000000"/>
                <w:sz w:val="20"/>
                <w:szCs w:val="20"/>
                <w:lang w:eastAsia="fr-FR"/>
              </w:rPr>
              <w:t xml:space="preserve"> </w:t>
            </w:r>
            <w:r w:rsidRPr="00B668B7">
              <w:rPr>
                <w:rFonts w:ascii="Calibri" w:eastAsia="Times New Roman" w:hAnsi="Calibri" w:cs="Calibri"/>
                <w:color w:val="000000"/>
                <w:sz w:val="20"/>
                <w:szCs w:val="20"/>
                <w:lang w:eastAsia="fr-FR"/>
              </w:rPr>
              <w:t>548</w:t>
            </w:r>
          </w:p>
        </w:tc>
        <w:tc>
          <w:tcPr>
            <w:tcW w:w="1000" w:type="pct"/>
            <w:tcBorders>
              <w:top w:val="nil"/>
              <w:left w:val="nil"/>
              <w:bottom w:val="single" w:sz="8" w:space="0" w:color="auto"/>
              <w:right w:val="single" w:sz="8" w:space="0" w:color="auto"/>
            </w:tcBorders>
            <w:shd w:val="clear" w:color="auto" w:fill="auto"/>
            <w:vAlign w:val="center"/>
            <w:hideMark/>
          </w:tcPr>
          <w:p w14:paraId="7154262F" w14:textId="77777777" w:rsidR="003F37BE" w:rsidRPr="00B668B7" w:rsidRDefault="003F37BE" w:rsidP="00F12682">
            <w:pPr>
              <w:spacing w:after="0" w:line="240" w:lineRule="auto"/>
              <w:jc w:val="right"/>
              <w:rPr>
                <w:rFonts w:ascii="Calibri" w:eastAsia="Times New Roman" w:hAnsi="Calibri" w:cs="Calibri"/>
                <w:color w:val="000000"/>
                <w:sz w:val="20"/>
                <w:szCs w:val="20"/>
                <w:lang w:eastAsia="fr-FR"/>
              </w:rPr>
            </w:pPr>
            <w:r w:rsidRPr="00B668B7">
              <w:rPr>
                <w:rFonts w:ascii="Calibri" w:eastAsia="Times New Roman" w:hAnsi="Calibri" w:cs="Calibri"/>
                <w:color w:val="000000"/>
                <w:sz w:val="20"/>
                <w:szCs w:val="20"/>
                <w:lang w:eastAsia="fr-FR"/>
              </w:rPr>
              <w:t>726</w:t>
            </w:r>
            <w:r>
              <w:rPr>
                <w:rFonts w:ascii="Calibri" w:eastAsia="Times New Roman" w:hAnsi="Calibri" w:cs="Calibri"/>
                <w:color w:val="000000"/>
                <w:sz w:val="20"/>
                <w:szCs w:val="20"/>
                <w:lang w:eastAsia="fr-FR"/>
              </w:rPr>
              <w:t xml:space="preserve"> </w:t>
            </w:r>
            <w:r w:rsidRPr="00B668B7">
              <w:rPr>
                <w:rFonts w:ascii="Calibri" w:eastAsia="Times New Roman" w:hAnsi="Calibri" w:cs="Calibri"/>
                <w:color w:val="000000"/>
                <w:sz w:val="20"/>
                <w:szCs w:val="20"/>
                <w:lang w:eastAsia="fr-FR"/>
              </w:rPr>
              <w:t>005</w:t>
            </w:r>
            <w:r>
              <w:rPr>
                <w:rFonts w:ascii="Calibri" w:eastAsia="Times New Roman" w:hAnsi="Calibri" w:cs="Calibri"/>
                <w:color w:val="000000"/>
                <w:sz w:val="20"/>
                <w:szCs w:val="20"/>
                <w:lang w:eastAsia="fr-FR"/>
              </w:rPr>
              <w:t xml:space="preserve"> </w:t>
            </w:r>
            <w:r w:rsidRPr="00B668B7">
              <w:rPr>
                <w:rFonts w:ascii="Calibri" w:eastAsia="Times New Roman" w:hAnsi="Calibri" w:cs="Calibri"/>
                <w:color w:val="000000"/>
                <w:sz w:val="20"/>
                <w:szCs w:val="20"/>
                <w:lang w:eastAsia="fr-FR"/>
              </w:rPr>
              <w:t>200</w:t>
            </w:r>
          </w:p>
        </w:tc>
        <w:tc>
          <w:tcPr>
            <w:tcW w:w="1000" w:type="pct"/>
            <w:tcBorders>
              <w:top w:val="nil"/>
              <w:left w:val="nil"/>
              <w:bottom w:val="single" w:sz="8" w:space="0" w:color="auto"/>
              <w:right w:val="single" w:sz="8" w:space="0" w:color="auto"/>
            </w:tcBorders>
            <w:shd w:val="clear" w:color="auto" w:fill="auto"/>
            <w:vAlign w:val="center"/>
            <w:hideMark/>
          </w:tcPr>
          <w:p w14:paraId="4449BCF4" w14:textId="77777777" w:rsidR="003F37BE" w:rsidRPr="00B668B7" w:rsidRDefault="003F37BE" w:rsidP="00F12682">
            <w:pPr>
              <w:spacing w:after="0" w:line="240" w:lineRule="auto"/>
              <w:jc w:val="right"/>
              <w:rPr>
                <w:rFonts w:ascii="Calibri" w:hAnsi="Calibri" w:cs="Calibri"/>
                <w:color w:val="000000"/>
                <w:sz w:val="20"/>
                <w:szCs w:val="20"/>
              </w:rPr>
            </w:pPr>
            <w:r>
              <w:rPr>
                <w:rFonts w:ascii="Calibri" w:hAnsi="Calibri" w:cs="Calibri"/>
                <w:color w:val="000000"/>
                <w:sz w:val="20"/>
                <w:szCs w:val="20"/>
              </w:rPr>
              <w:t>10%</w:t>
            </w:r>
          </w:p>
        </w:tc>
        <w:tc>
          <w:tcPr>
            <w:tcW w:w="1000" w:type="pct"/>
            <w:tcBorders>
              <w:top w:val="nil"/>
              <w:left w:val="nil"/>
              <w:bottom w:val="single" w:sz="8" w:space="0" w:color="auto"/>
              <w:right w:val="single" w:sz="8" w:space="0" w:color="auto"/>
            </w:tcBorders>
            <w:shd w:val="clear" w:color="auto" w:fill="auto"/>
            <w:vAlign w:val="bottom"/>
          </w:tcPr>
          <w:p w14:paraId="5BE2BB6C" w14:textId="77777777" w:rsidR="003F37BE" w:rsidRDefault="003F37BE" w:rsidP="00F12682">
            <w:pPr>
              <w:spacing w:after="0" w:line="240" w:lineRule="auto"/>
              <w:jc w:val="right"/>
              <w:rPr>
                <w:rFonts w:ascii="Calibri" w:hAnsi="Calibri" w:cs="Calibri"/>
                <w:color w:val="000000"/>
                <w:sz w:val="20"/>
                <w:szCs w:val="20"/>
              </w:rPr>
            </w:pPr>
            <w:r>
              <w:rPr>
                <w:rFonts w:ascii="Calibri" w:hAnsi="Calibri" w:cs="Calibri"/>
                <w:color w:val="000000"/>
              </w:rPr>
              <w:t>57%</w:t>
            </w:r>
          </w:p>
        </w:tc>
      </w:tr>
      <w:tr w:rsidR="003F37BE" w:rsidRPr="00B668B7" w14:paraId="2463AF6C" w14:textId="77777777" w:rsidTr="00F12682">
        <w:tc>
          <w:tcPr>
            <w:tcW w:w="1000" w:type="pct"/>
            <w:tcBorders>
              <w:top w:val="nil"/>
              <w:left w:val="single" w:sz="8" w:space="0" w:color="auto"/>
              <w:bottom w:val="single" w:sz="8" w:space="0" w:color="auto"/>
              <w:right w:val="single" w:sz="8" w:space="0" w:color="auto"/>
            </w:tcBorders>
            <w:shd w:val="clear" w:color="auto" w:fill="auto"/>
            <w:vAlign w:val="center"/>
            <w:hideMark/>
          </w:tcPr>
          <w:p w14:paraId="567AEF3B" w14:textId="77777777" w:rsidR="003F37BE" w:rsidRPr="00B668B7" w:rsidRDefault="003F37BE" w:rsidP="00F12682">
            <w:pPr>
              <w:spacing w:after="0" w:line="240" w:lineRule="auto"/>
              <w:rPr>
                <w:rFonts w:ascii="Calibri" w:eastAsia="Times New Roman" w:hAnsi="Calibri" w:cs="Calibri"/>
                <w:color w:val="000000"/>
                <w:sz w:val="20"/>
                <w:szCs w:val="20"/>
                <w:lang w:eastAsia="fr-FR"/>
              </w:rPr>
            </w:pPr>
            <w:r w:rsidRPr="00B668B7">
              <w:rPr>
                <w:rFonts w:ascii="Calibri" w:eastAsia="Times New Roman" w:hAnsi="Calibri" w:cs="Calibri"/>
                <w:color w:val="000000"/>
                <w:sz w:val="20"/>
                <w:szCs w:val="20"/>
                <w:lang w:eastAsia="fr-FR"/>
              </w:rPr>
              <w:t>Ressources PPTE</w:t>
            </w:r>
          </w:p>
        </w:tc>
        <w:tc>
          <w:tcPr>
            <w:tcW w:w="1000" w:type="pct"/>
            <w:tcBorders>
              <w:top w:val="nil"/>
              <w:left w:val="nil"/>
              <w:bottom w:val="single" w:sz="8" w:space="0" w:color="auto"/>
              <w:right w:val="single" w:sz="8" w:space="0" w:color="auto"/>
            </w:tcBorders>
            <w:shd w:val="clear" w:color="auto" w:fill="auto"/>
            <w:vAlign w:val="center"/>
            <w:hideMark/>
          </w:tcPr>
          <w:p w14:paraId="45389163" w14:textId="77777777" w:rsidR="003F37BE" w:rsidRPr="00B668B7" w:rsidRDefault="003F37BE" w:rsidP="00F12682">
            <w:pPr>
              <w:spacing w:after="0" w:line="240" w:lineRule="auto"/>
              <w:jc w:val="right"/>
              <w:rPr>
                <w:rFonts w:ascii="Calibri" w:eastAsia="Times New Roman" w:hAnsi="Calibri" w:cs="Calibri"/>
                <w:color w:val="000000"/>
                <w:sz w:val="20"/>
                <w:szCs w:val="20"/>
                <w:lang w:eastAsia="fr-FR"/>
              </w:rPr>
            </w:pPr>
            <w:r w:rsidRPr="00B668B7">
              <w:rPr>
                <w:rFonts w:ascii="Calibri" w:eastAsia="Times New Roman" w:hAnsi="Calibri" w:cs="Calibri"/>
                <w:color w:val="000000"/>
                <w:sz w:val="20"/>
                <w:szCs w:val="20"/>
                <w:lang w:eastAsia="fr-FR"/>
              </w:rPr>
              <w:t>1 157 000 000</w:t>
            </w:r>
          </w:p>
        </w:tc>
        <w:tc>
          <w:tcPr>
            <w:tcW w:w="1000" w:type="pct"/>
            <w:tcBorders>
              <w:top w:val="nil"/>
              <w:left w:val="nil"/>
              <w:bottom w:val="single" w:sz="8" w:space="0" w:color="auto"/>
              <w:right w:val="single" w:sz="8" w:space="0" w:color="auto"/>
            </w:tcBorders>
            <w:shd w:val="clear" w:color="auto" w:fill="auto"/>
            <w:vAlign w:val="center"/>
            <w:hideMark/>
          </w:tcPr>
          <w:p w14:paraId="262E4C79" w14:textId="77777777" w:rsidR="003F37BE" w:rsidRPr="00B668B7" w:rsidRDefault="003F37BE" w:rsidP="00F12682">
            <w:pPr>
              <w:spacing w:after="0" w:line="240" w:lineRule="auto"/>
              <w:jc w:val="right"/>
              <w:rPr>
                <w:rFonts w:ascii="Calibri" w:eastAsia="Times New Roman" w:hAnsi="Calibri" w:cs="Calibri"/>
                <w:color w:val="000000"/>
                <w:sz w:val="20"/>
                <w:szCs w:val="20"/>
                <w:lang w:eastAsia="fr-FR"/>
              </w:rPr>
            </w:pPr>
            <w:r w:rsidRPr="00B668B7">
              <w:rPr>
                <w:rFonts w:ascii="Calibri" w:eastAsia="Times New Roman" w:hAnsi="Calibri" w:cs="Calibri"/>
                <w:color w:val="000000"/>
                <w:sz w:val="20"/>
                <w:szCs w:val="20"/>
                <w:lang w:eastAsia="fr-FR"/>
              </w:rPr>
              <w:t>364 210 223</w:t>
            </w:r>
          </w:p>
        </w:tc>
        <w:tc>
          <w:tcPr>
            <w:tcW w:w="1000" w:type="pct"/>
            <w:tcBorders>
              <w:top w:val="nil"/>
              <w:left w:val="nil"/>
              <w:bottom w:val="single" w:sz="8" w:space="0" w:color="auto"/>
              <w:right w:val="single" w:sz="8" w:space="0" w:color="auto"/>
            </w:tcBorders>
            <w:shd w:val="clear" w:color="auto" w:fill="auto"/>
            <w:vAlign w:val="center"/>
            <w:hideMark/>
          </w:tcPr>
          <w:p w14:paraId="593878B3" w14:textId="77777777" w:rsidR="003F37BE" w:rsidRPr="00B668B7" w:rsidRDefault="003F37BE" w:rsidP="00F12682">
            <w:pPr>
              <w:spacing w:after="0" w:line="240" w:lineRule="auto"/>
              <w:jc w:val="right"/>
              <w:rPr>
                <w:rFonts w:ascii="Calibri" w:eastAsia="Times New Roman" w:hAnsi="Calibri" w:cs="Calibri"/>
                <w:color w:val="000000"/>
                <w:sz w:val="20"/>
                <w:szCs w:val="20"/>
                <w:lang w:eastAsia="fr-FR"/>
              </w:rPr>
            </w:pPr>
            <w:r w:rsidRPr="00B668B7">
              <w:rPr>
                <w:rFonts w:ascii="Calibri" w:eastAsia="Times New Roman" w:hAnsi="Calibri" w:cs="Calibri"/>
                <w:color w:val="000000"/>
                <w:sz w:val="20"/>
                <w:szCs w:val="20"/>
                <w:lang w:eastAsia="fr-FR"/>
              </w:rPr>
              <w:t>31,50%</w:t>
            </w:r>
          </w:p>
        </w:tc>
        <w:tc>
          <w:tcPr>
            <w:tcW w:w="1000" w:type="pct"/>
            <w:tcBorders>
              <w:top w:val="nil"/>
              <w:left w:val="nil"/>
              <w:bottom w:val="single" w:sz="8" w:space="0" w:color="auto"/>
              <w:right w:val="single" w:sz="8" w:space="0" w:color="auto"/>
            </w:tcBorders>
            <w:shd w:val="clear" w:color="auto" w:fill="auto"/>
            <w:vAlign w:val="bottom"/>
          </w:tcPr>
          <w:p w14:paraId="667B5473" w14:textId="77777777" w:rsidR="003F37BE" w:rsidRPr="00B668B7" w:rsidRDefault="003F37BE" w:rsidP="00F12682">
            <w:pPr>
              <w:spacing w:after="0" w:line="240" w:lineRule="auto"/>
              <w:jc w:val="right"/>
              <w:rPr>
                <w:rFonts w:ascii="Calibri" w:eastAsia="Times New Roman" w:hAnsi="Calibri" w:cs="Calibri"/>
                <w:color w:val="000000"/>
                <w:sz w:val="20"/>
                <w:szCs w:val="20"/>
                <w:lang w:eastAsia="fr-FR"/>
              </w:rPr>
            </w:pPr>
            <w:r>
              <w:rPr>
                <w:rFonts w:ascii="Calibri" w:hAnsi="Calibri" w:cs="Calibri"/>
                <w:color w:val="000000"/>
              </w:rPr>
              <w:t>29%</w:t>
            </w:r>
          </w:p>
        </w:tc>
      </w:tr>
      <w:tr w:rsidR="00B970D7" w:rsidRPr="00B668B7" w14:paraId="34503F84" w14:textId="77777777" w:rsidTr="00F12682">
        <w:tc>
          <w:tcPr>
            <w:tcW w:w="1000" w:type="pct"/>
            <w:tcBorders>
              <w:top w:val="nil"/>
              <w:left w:val="single" w:sz="8" w:space="0" w:color="auto"/>
              <w:bottom w:val="single" w:sz="8" w:space="0" w:color="auto"/>
              <w:right w:val="single" w:sz="8" w:space="0" w:color="auto"/>
            </w:tcBorders>
            <w:shd w:val="clear" w:color="auto" w:fill="auto"/>
            <w:vAlign w:val="center"/>
            <w:hideMark/>
          </w:tcPr>
          <w:p w14:paraId="1F4D8E70" w14:textId="77777777" w:rsidR="00B970D7" w:rsidRPr="00B668B7" w:rsidRDefault="00B970D7" w:rsidP="00F12682">
            <w:pPr>
              <w:spacing w:after="0" w:line="240" w:lineRule="auto"/>
              <w:rPr>
                <w:rFonts w:ascii="Calibri" w:eastAsia="Times New Roman" w:hAnsi="Calibri" w:cs="Calibri"/>
                <w:color w:val="000000"/>
                <w:sz w:val="20"/>
                <w:szCs w:val="20"/>
                <w:lang w:eastAsia="fr-FR"/>
              </w:rPr>
            </w:pPr>
            <w:r w:rsidRPr="00B668B7">
              <w:rPr>
                <w:rFonts w:ascii="Calibri" w:eastAsia="Times New Roman" w:hAnsi="Calibri" w:cs="Calibri"/>
                <w:color w:val="000000"/>
                <w:sz w:val="20"/>
                <w:szCs w:val="20"/>
                <w:lang w:eastAsia="fr-FR"/>
              </w:rPr>
              <w:t>Trésor</w:t>
            </w:r>
          </w:p>
        </w:tc>
        <w:tc>
          <w:tcPr>
            <w:tcW w:w="1000" w:type="pct"/>
            <w:tcBorders>
              <w:top w:val="nil"/>
              <w:left w:val="nil"/>
              <w:bottom w:val="single" w:sz="8" w:space="0" w:color="auto"/>
              <w:right w:val="single" w:sz="8" w:space="0" w:color="auto"/>
            </w:tcBorders>
            <w:shd w:val="clear" w:color="auto" w:fill="auto"/>
            <w:vAlign w:val="center"/>
            <w:hideMark/>
          </w:tcPr>
          <w:p w14:paraId="7D5E2E1C" w14:textId="5A6451CB" w:rsidR="00B970D7" w:rsidRPr="00B668B7" w:rsidRDefault="00B970D7" w:rsidP="00F12682">
            <w:pPr>
              <w:spacing w:after="0" w:line="240" w:lineRule="auto"/>
              <w:jc w:val="right"/>
              <w:rPr>
                <w:rFonts w:ascii="Calibri" w:eastAsia="Times New Roman" w:hAnsi="Calibri" w:cs="Calibri"/>
                <w:color w:val="000000"/>
                <w:sz w:val="20"/>
                <w:szCs w:val="20"/>
                <w:lang w:eastAsia="fr-FR"/>
              </w:rPr>
            </w:pPr>
            <w:r w:rsidRPr="00B970D7">
              <w:rPr>
                <w:rFonts w:ascii="Calibri" w:eastAsia="Times New Roman" w:hAnsi="Calibri" w:cs="Calibri"/>
                <w:color w:val="000000"/>
                <w:sz w:val="20"/>
                <w:szCs w:val="20"/>
                <w:lang w:eastAsia="fr-FR"/>
              </w:rPr>
              <w:t>1 441 391 281</w:t>
            </w:r>
          </w:p>
        </w:tc>
        <w:tc>
          <w:tcPr>
            <w:tcW w:w="1000" w:type="pct"/>
            <w:tcBorders>
              <w:top w:val="nil"/>
              <w:left w:val="nil"/>
              <w:bottom w:val="single" w:sz="8" w:space="0" w:color="auto"/>
              <w:right w:val="single" w:sz="8" w:space="0" w:color="auto"/>
            </w:tcBorders>
            <w:shd w:val="clear" w:color="auto" w:fill="auto"/>
            <w:vAlign w:val="center"/>
            <w:hideMark/>
          </w:tcPr>
          <w:p w14:paraId="211BD6B1" w14:textId="60F9F003" w:rsidR="00B970D7" w:rsidRPr="00B668B7" w:rsidRDefault="00B970D7" w:rsidP="00F12682">
            <w:pPr>
              <w:spacing w:after="0" w:line="240" w:lineRule="auto"/>
              <w:jc w:val="right"/>
              <w:rPr>
                <w:rFonts w:ascii="Calibri" w:eastAsia="Times New Roman" w:hAnsi="Calibri" w:cs="Calibri"/>
                <w:color w:val="000000"/>
                <w:sz w:val="20"/>
                <w:szCs w:val="20"/>
                <w:lang w:eastAsia="fr-FR"/>
              </w:rPr>
            </w:pPr>
            <w:r w:rsidRPr="00B970D7">
              <w:rPr>
                <w:rFonts w:ascii="Calibri" w:eastAsia="Times New Roman" w:hAnsi="Calibri" w:cs="Calibri"/>
                <w:color w:val="000000"/>
                <w:sz w:val="20"/>
                <w:szCs w:val="20"/>
                <w:lang w:eastAsia="fr-FR"/>
              </w:rPr>
              <w:t>184 825 445</w:t>
            </w:r>
          </w:p>
        </w:tc>
        <w:tc>
          <w:tcPr>
            <w:tcW w:w="1000" w:type="pct"/>
            <w:tcBorders>
              <w:top w:val="nil"/>
              <w:left w:val="nil"/>
              <w:bottom w:val="single" w:sz="8" w:space="0" w:color="auto"/>
              <w:right w:val="single" w:sz="8" w:space="0" w:color="auto"/>
            </w:tcBorders>
            <w:shd w:val="clear" w:color="auto" w:fill="auto"/>
            <w:vAlign w:val="center"/>
            <w:hideMark/>
          </w:tcPr>
          <w:p w14:paraId="44081B25" w14:textId="24725459" w:rsidR="00B970D7" w:rsidRPr="00B668B7" w:rsidRDefault="00B970D7" w:rsidP="00F12682">
            <w:pPr>
              <w:spacing w:after="0" w:line="240" w:lineRule="auto"/>
              <w:jc w:val="right"/>
              <w:rPr>
                <w:rFonts w:ascii="Calibri" w:eastAsia="Times New Roman" w:hAnsi="Calibri" w:cs="Calibri"/>
                <w:color w:val="000000"/>
                <w:sz w:val="20"/>
                <w:szCs w:val="20"/>
                <w:lang w:eastAsia="fr-FR"/>
              </w:rPr>
            </w:pPr>
            <w:r w:rsidRPr="00B970D7">
              <w:rPr>
                <w:rFonts w:ascii="Calibri" w:eastAsia="Times New Roman" w:hAnsi="Calibri" w:cs="Calibri"/>
                <w:color w:val="000000"/>
                <w:sz w:val="20"/>
                <w:szCs w:val="20"/>
                <w:lang w:eastAsia="fr-FR"/>
              </w:rPr>
              <w:t>12,82%</w:t>
            </w:r>
          </w:p>
        </w:tc>
        <w:tc>
          <w:tcPr>
            <w:tcW w:w="1000" w:type="pct"/>
            <w:tcBorders>
              <w:top w:val="nil"/>
              <w:left w:val="nil"/>
              <w:bottom w:val="single" w:sz="8" w:space="0" w:color="auto"/>
              <w:right w:val="single" w:sz="8" w:space="0" w:color="auto"/>
            </w:tcBorders>
            <w:shd w:val="clear" w:color="auto" w:fill="auto"/>
            <w:vAlign w:val="center"/>
          </w:tcPr>
          <w:p w14:paraId="060621ED" w14:textId="05EF6B25" w:rsidR="00B970D7" w:rsidRPr="00B668B7" w:rsidRDefault="00B970D7" w:rsidP="00F12682">
            <w:pPr>
              <w:spacing w:after="0" w:line="240" w:lineRule="auto"/>
              <w:jc w:val="right"/>
              <w:rPr>
                <w:rFonts w:ascii="Calibri" w:eastAsia="Times New Roman" w:hAnsi="Calibri" w:cs="Calibri"/>
                <w:color w:val="000000"/>
                <w:sz w:val="20"/>
                <w:szCs w:val="20"/>
                <w:lang w:eastAsia="fr-FR"/>
              </w:rPr>
            </w:pPr>
            <w:r w:rsidRPr="00B970D7">
              <w:rPr>
                <w:rFonts w:ascii="Calibri" w:eastAsia="Times New Roman" w:hAnsi="Calibri" w:cs="Calibri"/>
                <w:color w:val="000000"/>
                <w:lang w:eastAsia="fr-FR"/>
              </w:rPr>
              <w:t>14%</w:t>
            </w:r>
          </w:p>
        </w:tc>
      </w:tr>
      <w:tr w:rsidR="003F37BE" w:rsidRPr="00B668B7" w14:paraId="2446E210" w14:textId="77777777" w:rsidTr="00F12682">
        <w:tc>
          <w:tcPr>
            <w:tcW w:w="1000" w:type="pct"/>
            <w:tcBorders>
              <w:top w:val="nil"/>
              <w:left w:val="single" w:sz="8" w:space="0" w:color="auto"/>
              <w:bottom w:val="single" w:sz="8" w:space="0" w:color="auto"/>
              <w:right w:val="single" w:sz="8" w:space="0" w:color="auto"/>
            </w:tcBorders>
            <w:shd w:val="clear" w:color="auto" w:fill="auto"/>
            <w:vAlign w:val="center"/>
            <w:hideMark/>
          </w:tcPr>
          <w:p w14:paraId="082E793E" w14:textId="77777777" w:rsidR="003F37BE" w:rsidRPr="00B668B7" w:rsidRDefault="003F37BE" w:rsidP="00F12682">
            <w:pPr>
              <w:spacing w:after="0" w:line="240" w:lineRule="auto"/>
              <w:rPr>
                <w:rFonts w:ascii="Calibri" w:eastAsia="Times New Roman" w:hAnsi="Calibri" w:cs="Calibri"/>
                <w:b/>
                <w:bCs/>
                <w:color w:val="000000"/>
                <w:sz w:val="20"/>
                <w:szCs w:val="20"/>
                <w:lang w:eastAsia="fr-FR"/>
              </w:rPr>
            </w:pPr>
            <w:r w:rsidRPr="00B668B7">
              <w:rPr>
                <w:rFonts w:ascii="Calibri" w:eastAsia="Times New Roman" w:hAnsi="Calibri" w:cs="Calibri"/>
                <w:b/>
                <w:bCs/>
                <w:color w:val="000000"/>
                <w:sz w:val="20"/>
                <w:szCs w:val="20"/>
                <w:lang w:eastAsia="fr-FR"/>
              </w:rPr>
              <w:t>Total général</w:t>
            </w:r>
          </w:p>
        </w:tc>
        <w:tc>
          <w:tcPr>
            <w:tcW w:w="1000" w:type="pct"/>
            <w:tcBorders>
              <w:top w:val="nil"/>
              <w:left w:val="nil"/>
              <w:bottom w:val="single" w:sz="8" w:space="0" w:color="auto"/>
              <w:right w:val="single" w:sz="8" w:space="0" w:color="auto"/>
            </w:tcBorders>
            <w:shd w:val="clear" w:color="auto" w:fill="auto"/>
            <w:vAlign w:val="center"/>
            <w:hideMark/>
          </w:tcPr>
          <w:p w14:paraId="79EDEB5A" w14:textId="77777777" w:rsidR="003F37BE" w:rsidRPr="00B668B7" w:rsidRDefault="003F37BE" w:rsidP="00F12682">
            <w:pPr>
              <w:spacing w:after="0" w:line="240" w:lineRule="auto"/>
              <w:jc w:val="right"/>
              <w:rPr>
                <w:rFonts w:ascii="Calibri" w:eastAsia="Times New Roman" w:hAnsi="Calibri" w:cs="Calibri"/>
                <w:b/>
                <w:bCs/>
                <w:color w:val="000000"/>
                <w:sz w:val="20"/>
                <w:szCs w:val="20"/>
                <w:lang w:eastAsia="fr-FR"/>
              </w:rPr>
            </w:pPr>
            <w:r w:rsidRPr="00B668B7">
              <w:rPr>
                <w:rFonts w:ascii="Calibri" w:eastAsia="Times New Roman" w:hAnsi="Calibri" w:cs="Calibri"/>
                <w:b/>
                <w:bCs/>
                <w:color w:val="000000"/>
                <w:sz w:val="20"/>
                <w:szCs w:val="20"/>
                <w:lang w:eastAsia="fr-FR"/>
              </w:rPr>
              <w:t>9 963 315 829</w:t>
            </w:r>
          </w:p>
        </w:tc>
        <w:tc>
          <w:tcPr>
            <w:tcW w:w="1000" w:type="pct"/>
            <w:tcBorders>
              <w:top w:val="nil"/>
              <w:left w:val="nil"/>
              <w:bottom w:val="single" w:sz="8" w:space="0" w:color="auto"/>
              <w:right w:val="single" w:sz="8" w:space="0" w:color="auto"/>
            </w:tcBorders>
            <w:shd w:val="clear" w:color="auto" w:fill="auto"/>
            <w:vAlign w:val="center"/>
            <w:hideMark/>
          </w:tcPr>
          <w:p w14:paraId="376AE5DD" w14:textId="77777777" w:rsidR="003F37BE" w:rsidRPr="00B668B7" w:rsidRDefault="003F37BE" w:rsidP="00F12682">
            <w:pPr>
              <w:spacing w:after="0" w:line="240" w:lineRule="auto"/>
              <w:jc w:val="right"/>
              <w:rPr>
                <w:rFonts w:ascii="Calibri" w:eastAsia="Times New Roman" w:hAnsi="Calibri" w:cs="Calibri"/>
                <w:b/>
                <w:bCs/>
                <w:color w:val="000000"/>
                <w:sz w:val="20"/>
                <w:szCs w:val="20"/>
                <w:lang w:eastAsia="fr-FR"/>
              </w:rPr>
            </w:pPr>
            <w:r w:rsidRPr="00B668B7">
              <w:rPr>
                <w:rFonts w:ascii="Calibri" w:eastAsia="Times New Roman" w:hAnsi="Calibri" w:cs="Calibri"/>
                <w:b/>
                <w:bCs/>
                <w:color w:val="000000"/>
                <w:sz w:val="20"/>
                <w:szCs w:val="20"/>
                <w:lang w:eastAsia="fr-FR"/>
              </w:rPr>
              <w:t>1 275 040 868</w:t>
            </w:r>
          </w:p>
        </w:tc>
        <w:tc>
          <w:tcPr>
            <w:tcW w:w="1000" w:type="pct"/>
            <w:tcBorders>
              <w:top w:val="nil"/>
              <w:left w:val="nil"/>
              <w:bottom w:val="single" w:sz="8" w:space="0" w:color="auto"/>
              <w:right w:val="single" w:sz="8" w:space="0" w:color="auto"/>
            </w:tcBorders>
            <w:shd w:val="clear" w:color="auto" w:fill="auto"/>
            <w:vAlign w:val="center"/>
            <w:hideMark/>
          </w:tcPr>
          <w:p w14:paraId="1B012707" w14:textId="77777777" w:rsidR="003F37BE" w:rsidRPr="00B668B7" w:rsidRDefault="003F37BE" w:rsidP="00F12682">
            <w:pPr>
              <w:spacing w:after="0" w:line="240" w:lineRule="auto"/>
              <w:jc w:val="right"/>
              <w:rPr>
                <w:rFonts w:ascii="Calibri" w:eastAsia="Times New Roman" w:hAnsi="Calibri" w:cs="Calibri"/>
                <w:b/>
                <w:bCs/>
                <w:color w:val="000000"/>
                <w:sz w:val="20"/>
                <w:szCs w:val="20"/>
                <w:lang w:eastAsia="fr-FR"/>
              </w:rPr>
            </w:pPr>
            <w:r w:rsidRPr="00B668B7">
              <w:rPr>
                <w:rFonts w:ascii="Calibri" w:eastAsia="Times New Roman" w:hAnsi="Calibri" w:cs="Calibri"/>
                <w:b/>
                <w:bCs/>
                <w:color w:val="000000"/>
                <w:sz w:val="20"/>
                <w:szCs w:val="20"/>
                <w:lang w:eastAsia="fr-FR"/>
              </w:rPr>
              <w:t>12,80%</w:t>
            </w:r>
          </w:p>
        </w:tc>
        <w:tc>
          <w:tcPr>
            <w:tcW w:w="1000" w:type="pct"/>
            <w:tcBorders>
              <w:top w:val="nil"/>
              <w:left w:val="nil"/>
              <w:bottom w:val="single" w:sz="8" w:space="0" w:color="auto"/>
              <w:right w:val="single" w:sz="8" w:space="0" w:color="auto"/>
            </w:tcBorders>
            <w:shd w:val="clear" w:color="auto" w:fill="auto"/>
            <w:vAlign w:val="bottom"/>
          </w:tcPr>
          <w:p w14:paraId="164305EC" w14:textId="77777777" w:rsidR="003F37BE" w:rsidRPr="00B668B7" w:rsidRDefault="003F37BE" w:rsidP="00F12682">
            <w:pPr>
              <w:spacing w:after="0" w:line="240" w:lineRule="auto"/>
              <w:jc w:val="right"/>
              <w:rPr>
                <w:rFonts w:ascii="Calibri" w:eastAsia="Times New Roman" w:hAnsi="Calibri" w:cs="Calibri"/>
                <w:b/>
                <w:bCs/>
                <w:color w:val="000000"/>
                <w:sz w:val="20"/>
                <w:szCs w:val="20"/>
                <w:lang w:eastAsia="fr-FR"/>
              </w:rPr>
            </w:pPr>
            <w:r>
              <w:rPr>
                <w:rFonts w:ascii="Calibri" w:hAnsi="Calibri" w:cs="Calibri"/>
                <w:color w:val="000000"/>
              </w:rPr>
              <w:t>100%</w:t>
            </w:r>
          </w:p>
        </w:tc>
      </w:tr>
    </w:tbl>
    <w:p w14:paraId="26E58919" w14:textId="77777777" w:rsidR="00B970D7" w:rsidRDefault="00B970D7" w:rsidP="00F12682">
      <w:pPr>
        <w:spacing w:line="276" w:lineRule="auto"/>
        <w:jc w:val="both"/>
        <w:rPr>
          <w:rFonts w:ascii="Calibri" w:eastAsiaTheme="majorEastAsia" w:hAnsi="Calibri" w:cs="Calibri"/>
          <w:iCs/>
        </w:rPr>
      </w:pPr>
    </w:p>
    <w:p w14:paraId="32DFF478" w14:textId="55ECF8A1" w:rsidR="007A7284" w:rsidRPr="0023259E" w:rsidRDefault="007A7284" w:rsidP="00F12682">
      <w:pPr>
        <w:spacing w:line="276" w:lineRule="auto"/>
        <w:jc w:val="both"/>
        <w:rPr>
          <w:rFonts w:ascii="Calibri" w:eastAsiaTheme="majorEastAsia" w:hAnsi="Calibri" w:cs="Calibri"/>
          <w:iCs/>
          <w:sz w:val="24"/>
        </w:rPr>
      </w:pPr>
      <w:r w:rsidRPr="0023259E">
        <w:rPr>
          <w:rFonts w:ascii="Calibri" w:eastAsiaTheme="majorEastAsia" w:hAnsi="Calibri" w:cs="Calibri"/>
          <w:iCs/>
          <w:sz w:val="24"/>
        </w:rPr>
        <w:t xml:space="preserve">Le faible taux de consommation des crédits d’investissements du MEDD </w:t>
      </w:r>
      <w:r w:rsidR="009B6A39" w:rsidRPr="0023259E">
        <w:rPr>
          <w:rFonts w:ascii="Calibri" w:eastAsiaTheme="majorEastAsia" w:hAnsi="Calibri" w:cs="Calibri"/>
          <w:iCs/>
          <w:sz w:val="24"/>
        </w:rPr>
        <w:t>en 2016 est dans tous les projets, programmes et actions. En effet, aucun n’a atteint un taux de consommation de 50%.</w:t>
      </w:r>
    </w:p>
    <w:p w14:paraId="0B2D56D7" w14:textId="57B2C144" w:rsidR="00544DF7" w:rsidRPr="005300FA" w:rsidRDefault="00167E48" w:rsidP="00F12682">
      <w:pPr>
        <w:spacing w:after="0" w:line="240" w:lineRule="auto"/>
        <w:rPr>
          <w:rFonts w:ascii="Calibri" w:hAnsi="Calibri" w:cs="Calibri"/>
        </w:rPr>
      </w:pPr>
      <w:r w:rsidRPr="005300FA">
        <w:rPr>
          <w:rFonts w:ascii="Calibri" w:hAnsi="Calibri" w:cs="Calibri"/>
          <w:noProof/>
          <w:lang w:eastAsia="fr-FR"/>
        </w:rPr>
        <w:drawing>
          <wp:inline distT="0" distB="0" distL="0" distR="0" wp14:anchorId="7FAD3314" wp14:editId="70141B57">
            <wp:extent cx="6019800" cy="272415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A2C349" w14:textId="07170617" w:rsidR="008361F2" w:rsidRDefault="005970F0" w:rsidP="00F12682">
      <w:pPr>
        <w:pStyle w:val="Lgende"/>
        <w:rPr>
          <w:rFonts w:eastAsiaTheme="majorEastAsia" w:cs="Calibri"/>
          <w:iCs w:val="0"/>
        </w:rPr>
      </w:pPr>
      <w:bookmarkStart w:id="181" w:name="_Toc529305115"/>
      <w:r>
        <w:t xml:space="preserve">Graphique </w:t>
      </w:r>
      <w:r w:rsidR="00A773EB">
        <w:rPr>
          <w:noProof/>
        </w:rPr>
        <w:fldChar w:fldCharType="begin"/>
      </w:r>
      <w:r w:rsidR="00A773EB">
        <w:rPr>
          <w:noProof/>
        </w:rPr>
        <w:instrText xml:space="preserve"> SEQ Graphique \* ARABIC </w:instrText>
      </w:r>
      <w:r w:rsidR="00A773EB">
        <w:rPr>
          <w:noProof/>
        </w:rPr>
        <w:fldChar w:fldCharType="separate"/>
      </w:r>
      <w:r w:rsidR="001C37F0">
        <w:rPr>
          <w:noProof/>
        </w:rPr>
        <w:t>11</w:t>
      </w:r>
      <w:r w:rsidR="00A773EB">
        <w:rPr>
          <w:noProof/>
        </w:rPr>
        <w:fldChar w:fldCharType="end"/>
      </w:r>
      <w:r w:rsidR="005300FA">
        <w:rPr>
          <w:rFonts w:eastAsiaTheme="majorEastAsia" w:cs="Calibri"/>
          <w:iCs w:val="0"/>
        </w:rPr>
        <w:t xml:space="preserve"> : </w:t>
      </w:r>
      <w:r w:rsidR="00167E48" w:rsidRPr="005300FA">
        <w:rPr>
          <w:rFonts w:eastAsiaTheme="majorEastAsia" w:cs="Calibri"/>
          <w:iCs w:val="0"/>
        </w:rPr>
        <w:t>Niveau de performance des investissements du MEDD</w:t>
      </w:r>
      <w:bookmarkStart w:id="182" w:name="_Toc473193609"/>
      <w:r w:rsidR="00673E94">
        <w:rPr>
          <w:rFonts w:eastAsiaTheme="majorEastAsia" w:cs="Calibri"/>
          <w:iCs w:val="0"/>
        </w:rPr>
        <w:t xml:space="preserve"> en 2016</w:t>
      </w:r>
      <w:bookmarkEnd w:id="181"/>
    </w:p>
    <w:p w14:paraId="70FD723A" w14:textId="77777777" w:rsidR="0023259E" w:rsidRDefault="0023259E" w:rsidP="00F12682">
      <w:pPr>
        <w:spacing w:line="276" w:lineRule="auto"/>
        <w:jc w:val="both"/>
        <w:rPr>
          <w:rFonts w:ascii="Calibri" w:eastAsiaTheme="majorEastAsia" w:hAnsi="Calibri" w:cs="Calibri"/>
          <w:iCs/>
          <w:sz w:val="24"/>
          <w:szCs w:val="24"/>
        </w:rPr>
      </w:pPr>
    </w:p>
    <w:p w14:paraId="6EC4C7DD" w14:textId="29B7AA23" w:rsidR="001A3F4F" w:rsidRPr="0023259E" w:rsidRDefault="00153986" w:rsidP="00F12682">
      <w:pPr>
        <w:spacing w:line="276" w:lineRule="auto"/>
        <w:jc w:val="both"/>
        <w:rPr>
          <w:rFonts w:ascii="Calibri" w:eastAsiaTheme="majorEastAsia" w:hAnsi="Calibri" w:cs="Calibri"/>
          <w:iCs/>
          <w:sz w:val="24"/>
          <w:szCs w:val="24"/>
        </w:rPr>
      </w:pPr>
      <w:r w:rsidRPr="0023259E">
        <w:rPr>
          <w:rFonts w:ascii="Calibri" w:eastAsiaTheme="majorEastAsia" w:hAnsi="Calibri" w:cs="Calibri"/>
          <w:iCs/>
          <w:sz w:val="24"/>
          <w:szCs w:val="24"/>
        </w:rPr>
        <w:t xml:space="preserve">Au niveau des réalisations physiques sous forme d’indicateurs en lien avec le Plan d’actions </w:t>
      </w:r>
      <w:r w:rsidR="00352AAF" w:rsidRPr="0023259E">
        <w:rPr>
          <w:rFonts w:ascii="Calibri" w:eastAsiaTheme="majorEastAsia" w:hAnsi="Calibri" w:cs="Calibri"/>
          <w:iCs/>
          <w:sz w:val="24"/>
          <w:szCs w:val="24"/>
        </w:rPr>
        <w:t xml:space="preserve">SANDAD, </w:t>
      </w:r>
      <w:r w:rsidR="001A3F4F" w:rsidRPr="0023259E">
        <w:rPr>
          <w:rFonts w:ascii="Calibri" w:eastAsiaTheme="majorEastAsia" w:hAnsi="Calibri" w:cs="Calibri"/>
          <w:iCs/>
          <w:sz w:val="24"/>
          <w:szCs w:val="24"/>
        </w:rPr>
        <w:t>les taux de réalisa</w:t>
      </w:r>
      <w:r w:rsidR="008D300D">
        <w:rPr>
          <w:rFonts w:ascii="Calibri" w:eastAsiaTheme="majorEastAsia" w:hAnsi="Calibri" w:cs="Calibri"/>
          <w:iCs/>
          <w:sz w:val="24"/>
          <w:szCs w:val="24"/>
        </w:rPr>
        <w:t>tions varient de 15,21% à 96,85</w:t>
      </w:r>
      <w:r w:rsidR="001A3F4F" w:rsidRPr="0023259E">
        <w:rPr>
          <w:rFonts w:ascii="Calibri" w:eastAsiaTheme="majorEastAsia" w:hAnsi="Calibri" w:cs="Calibri"/>
          <w:iCs/>
          <w:sz w:val="24"/>
          <w:szCs w:val="24"/>
        </w:rPr>
        <w:t>%, seules les plantations et la lutte contre les plantes envahissantes ont dépassé 50%.</w:t>
      </w:r>
      <w:r w:rsidR="0045712E" w:rsidRPr="0023259E">
        <w:rPr>
          <w:rFonts w:ascii="Calibri" w:eastAsiaTheme="majorEastAsia" w:hAnsi="Calibri" w:cs="Calibri"/>
          <w:iCs/>
          <w:sz w:val="24"/>
          <w:szCs w:val="24"/>
        </w:rPr>
        <w:t xml:space="preserve"> </w:t>
      </w:r>
      <w:r w:rsidR="001A3F4F" w:rsidRPr="0023259E">
        <w:rPr>
          <w:rFonts w:ascii="Calibri" w:eastAsiaTheme="majorEastAsia" w:hAnsi="Calibri" w:cs="Calibri"/>
          <w:iCs/>
          <w:sz w:val="24"/>
          <w:szCs w:val="24"/>
        </w:rPr>
        <w:t>Pour la restauration des terres avec une prévision annuelle de 213 000 ha, seuls 32 396 ha soit 15,21 % ont été atteints. Ce faible taux de réalisation s'explique d'une part du fait des difficultés de mobilisation de ressources financières, et d'autre part de l'insuffisance de synergie entre la multitude d'acteurs, ne permettant pas de capitaliser le maximum de données. La production du poisson ne concerne que celle du 1</w:t>
      </w:r>
      <w:r w:rsidR="001A3F4F" w:rsidRPr="0023259E">
        <w:rPr>
          <w:rFonts w:ascii="Calibri" w:eastAsiaTheme="majorEastAsia" w:hAnsi="Calibri" w:cs="Calibri"/>
          <w:iCs/>
          <w:sz w:val="24"/>
          <w:szCs w:val="24"/>
          <w:vertAlign w:val="superscript"/>
        </w:rPr>
        <w:t>er</w:t>
      </w:r>
      <w:r w:rsidR="00870868" w:rsidRPr="0023259E">
        <w:rPr>
          <w:rFonts w:ascii="Calibri" w:eastAsiaTheme="majorEastAsia" w:hAnsi="Calibri" w:cs="Calibri"/>
          <w:iCs/>
          <w:sz w:val="24"/>
          <w:szCs w:val="24"/>
        </w:rPr>
        <w:t xml:space="preserve"> </w:t>
      </w:r>
      <w:r w:rsidR="001A3F4F" w:rsidRPr="0023259E">
        <w:rPr>
          <w:rFonts w:ascii="Calibri" w:eastAsiaTheme="majorEastAsia" w:hAnsi="Calibri" w:cs="Calibri"/>
          <w:iCs/>
          <w:sz w:val="24"/>
          <w:szCs w:val="24"/>
        </w:rPr>
        <w:t>et 2</w:t>
      </w:r>
      <w:r w:rsidR="001A3F4F" w:rsidRPr="0023259E">
        <w:rPr>
          <w:rFonts w:ascii="Calibri" w:eastAsiaTheme="majorEastAsia" w:hAnsi="Calibri" w:cs="Calibri"/>
          <w:iCs/>
          <w:sz w:val="24"/>
          <w:szCs w:val="24"/>
          <w:vertAlign w:val="superscript"/>
        </w:rPr>
        <w:t>ème</w:t>
      </w:r>
      <w:r w:rsidR="00870868" w:rsidRPr="0023259E">
        <w:rPr>
          <w:rFonts w:ascii="Calibri" w:eastAsiaTheme="majorEastAsia" w:hAnsi="Calibri" w:cs="Calibri"/>
          <w:iCs/>
          <w:sz w:val="24"/>
          <w:szCs w:val="24"/>
        </w:rPr>
        <w:t xml:space="preserve"> </w:t>
      </w:r>
      <w:r w:rsidR="001A3F4F" w:rsidRPr="0023259E">
        <w:rPr>
          <w:rFonts w:ascii="Calibri" w:eastAsiaTheme="majorEastAsia" w:hAnsi="Calibri" w:cs="Calibri"/>
          <w:iCs/>
          <w:sz w:val="24"/>
          <w:szCs w:val="24"/>
        </w:rPr>
        <w:t xml:space="preserve">trimestre, sans les données de la région de Diffa pour raison d'insécurité. Quant aux données liées à la production de la gomme et du </w:t>
      </w:r>
      <w:proofErr w:type="spellStart"/>
      <w:r w:rsidR="001A3F4F" w:rsidRPr="0023259E">
        <w:rPr>
          <w:rFonts w:ascii="Calibri" w:eastAsiaTheme="majorEastAsia" w:hAnsi="Calibri" w:cs="Calibri"/>
          <w:iCs/>
          <w:sz w:val="24"/>
          <w:szCs w:val="24"/>
        </w:rPr>
        <w:t>Moringa</w:t>
      </w:r>
      <w:proofErr w:type="spellEnd"/>
      <w:r w:rsidR="001A3F4F" w:rsidRPr="0023259E">
        <w:rPr>
          <w:rFonts w:ascii="Calibri" w:eastAsiaTheme="majorEastAsia" w:hAnsi="Calibri" w:cs="Calibri"/>
          <w:iCs/>
          <w:sz w:val="24"/>
          <w:szCs w:val="24"/>
        </w:rPr>
        <w:t>, elles ne seront obtenues qu</w:t>
      </w:r>
      <w:r w:rsidR="008D300D">
        <w:rPr>
          <w:rFonts w:ascii="Calibri" w:eastAsiaTheme="majorEastAsia" w:hAnsi="Calibri" w:cs="Calibri"/>
          <w:iCs/>
          <w:sz w:val="24"/>
          <w:szCs w:val="24"/>
        </w:rPr>
        <w:t>’</w:t>
      </w:r>
      <w:r w:rsidR="001A3F4F" w:rsidRPr="0023259E">
        <w:rPr>
          <w:rFonts w:ascii="Calibri" w:eastAsiaTheme="majorEastAsia" w:hAnsi="Calibri" w:cs="Calibri"/>
          <w:iCs/>
          <w:sz w:val="24"/>
          <w:szCs w:val="24"/>
        </w:rPr>
        <w:t>en 2017 à l'issue d</w:t>
      </w:r>
      <w:r w:rsidR="008D300D">
        <w:rPr>
          <w:rFonts w:ascii="Calibri" w:eastAsiaTheme="majorEastAsia" w:hAnsi="Calibri" w:cs="Calibri"/>
          <w:iCs/>
          <w:sz w:val="24"/>
          <w:szCs w:val="24"/>
        </w:rPr>
        <w:t>’</w:t>
      </w:r>
      <w:r w:rsidR="001A3F4F" w:rsidRPr="0023259E">
        <w:rPr>
          <w:rFonts w:ascii="Calibri" w:eastAsiaTheme="majorEastAsia" w:hAnsi="Calibri" w:cs="Calibri"/>
          <w:iCs/>
          <w:sz w:val="24"/>
          <w:szCs w:val="24"/>
        </w:rPr>
        <w:t>une enquête nationale.</w:t>
      </w:r>
    </w:p>
    <w:p w14:paraId="7B8C0321" w14:textId="77777777" w:rsidR="00942A9B" w:rsidRDefault="00942A9B" w:rsidP="00F12682">
      <w:pPr>
        <w:spacing w:line="276" w:lineRule="auto"/>
        <w:jc w:val="both"/>
        <w:rPr>
          <w:rFonts w:ascii="Calibri" w:eastAsiaTheme="majorEastAsia" w:hAnsi="Calibri" w:cs="Calibri"/>
          <w:iCs/>
          <w:sz w:val="24"/>
        </w:rPr>
      </w:pPr>
    </w:p>
    <w:p w14:paraId="0121BA22" w14:textId="77777777" w:rsidR="00860B25" w:rsidRDefault="00860B25" w:rsidP="00F12682">
      <w:pPr>
        <w:spacing w:line="276" w:lineRule="auto"/>
        <w:jc w:val="both"/>
        <w:rPr>
          <w:rFonts w:ascii="Calibri" w:eastAsiaTheme="majorEastAsia" w:hAnsi="Calibri" w:cs="Calibri"/>
          <w:iCs/>
          <w:sz w:val="24"/>
        </w:rPr>
      </w:pPr>
    </w:p>
    <w:p w14:paraId="36779BA9" w14:textId="77777777" w:rsidR="00860B25" w:rsidRDefault="00860B25" w:rsidP="00F12682">
      <w:pPr>
        <w:spacing w:line="276" w:lineRule="auto"/>
        <w:jc w:val="both"/>
        <w:rPr>
          <w:rFonts w:ascii="Calibri" w:eastAsiaTheme="majorEastAsia" w:hAnsi="Calibri" w:cs="Calibri"/>
          <w:iCs/>
          <w:sz w:val="24"/>
        </w:rPr>
      </w:pPr>
    </w:p>
    <w:p w14:paraId="259B72AF" w14:textId="77777777" w:rsidR="00860B25" w:rsidRDefault="00860B25" w:rsidP="00F12682">
      <w:pPr>
        <w:spacing w:line="276" w:lineRule="auto"/>
        <w:jc w:val="both"/>
        <w:rPr>
          <w:rFonts w:ascii="Calibri" w:eastAsiaTheme="majorEastAsia" w:hAnsi="Calibri" w:cs="Calibri"/>
          <w:iCs/>
          <w:sz w:val="24"/>
        </w:rPr>
      </w:pPr>
    </w:p>
    <w:p w14:paraId="578B5BEB" w14:textId="77777777" w:rsidR="00860B25" w:rsidRDefault="00860B25" w:rsidP="00F12682">
      <w:pPr>
        <w:spacing w:line="276" w:lineRule="auto"/>
        <w:jc w:val="both"/>
        <w:rPr>
          <w:rFonts w:ascii="Calibri" w:eastAsiaTheme="majorEastAsia" w:hAnsi="Calibri" w:cs="Calibri"/>
          <w:iCs/>
          <w:sz w:val="24"/>
        </w:rPr>
      </w:pPr>
    </w:p>
    <w:p w14:paraId="185236FE" w14:textId="77777777" w:rsidR="00860B25" w:rsidRDefault="00860B25" w:rsidP="00F12682">
      <w:pPr>
        <w:spacing w:line="276" w:lineRule="auto"/>
        <w:jc w:val="both"/>
        <w:rPr>
          <w:rFonts w:ascii="Calibri" w:eastAsiaTheme="majorEastAsia" w:hAnsi="Calibri" w:cs="Calibri"/>
          <w:iCs/>
          <w:sz w:val="24"/>
        </w:rPr>
      </w:pPr>
    </w:p>
    <w:p w14:paraId="7E011539" w14:textId="7CDD59B7" w:rsidR="0086322F" w:rsidRPr="005300FA" w:rsidRDefault="005970F0" w:rsidP="00F12682">
      <w:pPr>
        <w:pStyle w:val="Lgende"/>
        <w:rPr>
          <w:rFonts w:eastAsiaTheme="majorEastAsia" w:cs="Calibri"/>
          <w:iCs w:val="0"/>
        </w:rPr>
      </w:pPr>
      <w:bookmarkStart w:id="183" w:name="_Toc529305099"/>
      <w:r>
        <w:lastRenderedPageBreak/>
        <w:t xml:space="preserve">Tableau </w:t>
      </w:r>
      <w:r w:rsidR="00A773EB">
        <w:rPr>
          <w:noProof/>
        </w:rPr>
        <w:fldChar w:fldCharType="begin"/>
      </w:r>
      <w:r w:rsidR="00A773EB">
        <w:rPr>
          <w:noProof/>
        </w:rPr>
        <w:instrText xml:space="preserve"> SEQ Tableau \* ARABIC </w:instrText>
      </w:r>
      <w:r w:rsidR="00A773EB">
        <w:rPr>
          <w:noProof/>
        </w:rPr>
        <w:fldChar w:fldCharType="separate"/>
      </w:r>
      <w:r w:rsidR="001C37F0">
        <w:rPr>
          <w:noProof/>
        </w:rPr>
        <w:t>45</w:t>
      </w:r>
      <w:r w:rsidR="00A773EB">
        <w:rPr>
          <w:noProof/>
        </w:rPr>
        <w:fldChar w:fldCharType="end"/>
      </w:r>
      <w:r w:rsidR="005300FA">
        <w:rPr>
          <w:rFonts w:eastAsiaTheme="majorEastAsia" w:cs="Calibri"/>
          <w:iCs w:val="0"/>
        </w:rPr>
        <w:t xml:space="preserve"> : </w:t>
      </w:r>
      <w:r w:rsidR="0062614E" w:rsidRPr="005300FA">
        <w:rPr>
          <w:rFonts w:eastAsiaTheme="majorEastAsia" w:cs="Calibri"/>
          <w:iCs w:val="0"/>
        </w:rPr>
        <w:t xml:space="preserve">Principales </w:t>
      </w:r>
      <w:r w:rsidR="0086322F" w:rsidRPr="005300FA">
        <w:rPr>
          <w:rFonts w:eastAsiaTheme="majorEastAsia" w:cs="Calibri"/>
          <w:iCs w:val="0"/>
        </w:rPr>
        <w:t xml:space="preserve">des réalisations physiques </w:t>
      </w:r>
      <w:r w:rsidR="002A59AD" w:rsidRPr="005300FA">
        <w:rPr>
          <w:rFonts w:eastAsiaTheme="majorEastAsia" w:cs="Calibri"/>
          <w:iCs w:val="0"/>
        </w:rPr>
        <w:t>en</w:t>
      </w:r>
      <w:r w:rsidR="0086322F" w:rsidRPr="005300FA">
        <w:rPr>
          <w:rFonts w:eastAsiaTheme="majorEastAsia" w:cs="Calibri"/>
          <w:iCs w:val="0"/>
        </w:rPr>
        <w:t xml:space="preserve"> 2016</w:t>
      </w:r>
      <w:bookmarkEnd w:id="182"/>
      <w:bookmarkEnd w:id="183"/>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3"/>
        <w:gridCol w:w="804"/>
        <w:gridCol w:w="1293"/>
        <w:gridCol w:w="1458"/>
        <w:gridCol w:w="1446"/>
      </w:tblGrid>
      <w:tr w:rsidR="00FC3915" w:rsidRPr="008D300D" w14:paraId="3D1A0078" w14:textId="77777777" w:rsidTr="00F12682">
        <w:tc>
          <w:tcPr>
            <w:tcW w:w="2444" w:type="pct"/>
            <w:shd w:val="clear" w:color="auto" w:fill="auto"/>
            <w:vAlign w:val="center"/>
            <w:hideMark/>
          </w:tcPr>
          <w:p w14:paraId="0A981642" w14:textId="1D833058" w:rsidR="00FC3915" w:rsidRPr="008D300D" w:rsidRDefault="00FC3915" w:rsidP="00F12682">
            <w:pPr>
              <w:spacing w:after="0" w:line="240" w:lineRule="auto"/>
              <w:jc w:val="center"/>
              <w:rPr>
                <w:rFonts w:ascii="Calibri" w:eastAsia="Times New Roman" w:hAnsi="Calibri" w:cs="Calibri"/>
                <w:b/>
                <w:bCs/>
                <w:color w:val="000000"/>
                <w:sz w:val="20"/>
                <w:szCs w:val="20"/>
                <w:lang w:eastAsia="fr-FR"/>
              </w:rPr>
            </w:pPr>
            <w:r w:rsidRPr="008D300D">
              <w:rPr>
                <w:rFonts w:ascii="Calibri" w:eastAsia="Times New Roman" w:hAnsi="Calibri" w:cs="Calibri"/>
                <w:b/>
                <w:bCs/>
                <w:sz w:val="20"/>
                <w:szCs w:val="20"/>
                <w:lang w:eastAsia="fr-FR"/>
              </w:rPr>
              <w:t>Indicateurs</w:t>
            </w:r>
          </w:p>
        </w:tc>
        <w:tc>
          <w:tcPr>
            <w:tcW w:w="411" w:type="pct"/>
            <w:shd w:val="clear" w:color="auto" w:fill="auto"/>
            <w:vAlign w:val="center"/>
            <w:hideMark/>
          </w:tcPr>
          <w:p w14:paraId="079AA0D8" w14:textId="77777777" w:rsidR="00FC3915" w:rsidRPr="008D300D" w:rsidRDefault="00FC3915" w:rsidP="00F12682">
            <w:pPr>
              <w:spacing w:after="0" w:line="240" w:lineRule="auto"/>
              <w:jc w:val="center"/>
              <w:rPr>
                <w:rFonts w:ascii="Calibri" w:eastAsia="Times New Roman" w:hAnsi="Calibri" w:cs="Calibri"/>
                <w:b/>
                <w:bCs/>
                <w:color w:val="000000"/>
                <w:sz w:val="20"/>
                <w:szCs w:val="20"/>
                <w:lang w:eastAsia="fr-FR"/>
              </w:rPr>
            </w:pPr>
            <w:r w:rsidRPr="008D300D">
              <w:rPr>
                <w:rFonts w:ascii="Calibri" w:eastAsia="Times New Roman" w:hAnsi="Calibri" w:cs="Calibri"/>
                <w:b/>
                <w:bCs/>
                <w:color w:val="000000"/>
                <w:sz w:val="20"/>
                <w:szCs w:val="20"/>
                <w:lang w:eastAsia="fr-FR"/>
              </w:rPr>
              <w:t>Unité</w:t>
            </w:r>
          </w:p>
        </w:tc>
        <w:tc>
          <w:tcPr>
            <w:tcW w:w="661" w:type="pct"/>
            <w:shd w:val="clear" w:color="auto" w:fill="auto"/>
            <w:vAlign w:val="center"/>
            <w:hideMark/>
          </w:tcPr>
          <w:p w14:paraId="2DE56856" w14:textId="5D3ADDFA" w:rsidR="00FC3915" w:rsidRPr="008D300D" w:rsidRDefault="00FC3915" w:rsidP="00F12682">
            <w:pPr>
              <w:spacing w:after="0" w:line="240" w:lineRule="auto"/>
              <w:jc w:val="center"/>
              <w:rPr>
                <w:rFonts w:ascii="Calibri" w:eastAsia="Times New Roman" w:hAnsi="Calibri" w:cs="Calibri"/>
                <w:b/>
                <w:bCs/>
                <w:sz w:val="20"/>
                <w:szCs w:val="20"/>
                <w:lang w:eastAsia="fr-FR"/>
              </w:rPr>
            </w:pPr>
            <w:r w:rsidRPr="008D300D">
              <w:rPr>
                <w:rFonts w:ascii="Calibri" w:eastAsia="Times New Roman" w:hAnsi="Calibri" w:cs="Calibri"/>
                <w:b/>
                <w:bCs/>
                <w:sz w:val="20"/>
                <w:szCs w:val="20"/>
                <w:lang w:eastAsia="fr-FR"/>
              </w:rPr>
              <w:t>Prévu</w:t>
            </w:r>
          </w:p>
        </w:tc>
        <w:tc>
          <w:tcPr>
            <w:tcW w:w="745" w:type="pct"/>
            <w:shd w:val="clear" w:color="auto" w:fill="auto"/>
            <w:vAlign w:val="center"/>
            <w:hideMark/>
          </w:tcPr>
          <w:p w14:paraId="54E065AF" w14:textId="19DD1C4B" w:rsidR="00FC3915" w:rsidRPr="008D300D" w:rsidRDefault="00FC3915" w:rsidP="00F12682">
            <w:pPr>
              <w:spacing w:after="0" w:line="240" w:lineRule="auto"/>
              <w:jc w:val="center"/>
              <w:rPr>
                <w:rFonts w:ascii="Calibri" w:eastAsia="Times New Roman" w:hAnsi="Calibri" w:cs="Calibri"/>
                <w:b/>
                <w:bCs/>
                <w:sz w:val="20"/>
                <w:szCs w:val="20"/>
                <w:lang w:eastAsia="fr-FR"/>
              </w:rPr>
            </w:pPr>
            <w:r w:rsidRPr="008D300D">
              <w:rPr>
                <w:rFonts w:ascii="Calibri" w:eastAsia="Times New Roman" w:hAnsi="Calibri" w:cs="Calibri"/>
                <w:b/>
                <w:bCs/>
                <w:sz w:val="20"/>
                <w:szCs w:val="20"/>
                <w:lang w:eastAsia="fr-FR"/>
              </w:rPr>
              <w:t>Réalisé</w:t>
            </w:r>
          </w:p>
        </w:tc>
        <w:tc>
          <w:tcPr>
            <w:tcW w:w="739" w:type="pct"/>
            <w:shd w:val="clear" w:color="auto" w:fill="auto"/>
            <w:vAlign w:val="center"/>
            <w:hideMark/>
          </w:tcPr>
          <w:p w14:paraId="72C93B2C" w14:textId="513DC204" w:rsidR="00FC3915" w:rsidRPr="008D300D" w:rsidRDefault="00FC3915" w:rsidP="00F12682">
            <w:pPr>
              <w:spacing w:after="0" w:line="240" w:lineRule="auto"/>
              <w:jc w:val="center"/>
              <w:rPr>
                <w:rFonts w:ascii="Calibri" w:eastAsia="Times New Roman" w:hAnsi="Calibri" w:cs="Calibri"/>
                <w:b/>
                <w:bCs/>
                <w:sz w:val="20"/>
                <w:szCs w:val="20"/>
                <w:lang w:eastAsia="fr-FR"/>
              </w:rPr>
            </w:pPr>
            <w:r w:rsidRPr="008D300D">
              <w:rPr>
                <w:rFonts w:ascii="Calibri" w:eastAsia="Times New Roman" w:hAnsi="Calibri" w:cs="Calibri"/>
                <w:b/>
                <w:bCs/>
                <w:sz w:val="20"/>
                <w:szCs w:val="20"/>
                <w:lang w:eastAsia="fr-FR"/>
              </w:rPr>
              <w:t>Taux de réalisation (%)</w:t>
            </w:r>
          </w:p>
        </w:tc>
      </w:tr>
      <w:tr w:rsidR="00FC3915" w:rsidRPr="008D300D" w14:paraId="70DFA3FC" w14:textId="77777777" w:rsidTr="00F12682">
        <w:tc>
          <w:tcPr>
            <w:tcW w:w="2444" w:type="pct"/>
            <w:shd w:val="clear" w:color="auto" w:fill="auto"/>
            <w:noWrap/>
            <w:hideMark/>
          </w:tcPr>
          <w:p w14:paraId="2990DC8D" w14:textId="365B5BAD" w:rsidR="00FC3915" w:rsidRPr="008D300D" w:rsidRDefault="00FC3915" w:rsidP="00F12682">
            <w:pPr>
              <w:spacing w:after="0" w:line="240" w:lineRule="auto"/>
              <w:rPr>
                <w:rFonts w:ascii="Calibri" w:eastAsia="Times New Roman" w:hAnsi="Calibri" w:cs="Calibri"/>
                <w:bCs/>
                <w:iCs/>
                <w:color w:val="000000"/>
                <w:sz w:val="20"/>
                <w:szCs w:val="20"/>
                <w:lang w:eastAsia="fr-FR"/>
              </w:rPr>
            </w:pPr>
            <w:r w:rsidRPr="008D300D">
              <w:rPr>
                <w:rFonts w:ascii="Calibri" w:eastAsia="Times New Roman" w:hAnsi="Calibri" w:cs="Calibri"/>
                <w:bCs/>
                <w:iCs/>
                <w:color w:val="000000"/>
                <w:sz w:val="20"/>
                <w:szCs w:val="20"/>
                <w:lang w:eastAsia="fr-FR"/>
              </w:rPr>
              <w:t xml:space="preserve">Récupération des terres dégradées </w:t>
            </w:r>
          </w:p>
        </w:tc>
        <w:tc>
          <w:tcPr>
            <w:tcW w:w="411" w:type="pct"/>
            <w:shd w:val="clear" w:color="auto" w:fill="auto"/>
            <w:noWrap/>
            <w:hideMark/>
          </w:tcPr>
          <w:p w14:paraId="3569E8B6" w14:textId="77777777" w:rsidR="00FC3915" w:rsidRPr="008D300D" w:rsidRDefault="00FC3915" w:rsidP="00F12682">
            <w:pPr>
              <w:spacing w:after="0" w:line="240" w:lineRule="auto"/>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ha</w:t>
            </w:r>
          </w:p>
        </w:tc>
        <w:tc>
          <w:tcPr>
            <w:tcW w:w="661" w:type="pct"/>
            <w:shd w:val="clear" w:color="auto" w:fill="auto"/>
            <w:hideMark/>
          </w:tcPr>
          <w:p w14:paraId="248EE208" w14:textId="77777777" w:rsidR="00FC3915" w:rsidRPr="008D300D" w:rsidRDefault="00FC3915" w:rsidP="00F12682">
            <w:pPr>
              <w:spacing w:after="0" w:line="240" w:lineRule="auto"/>
              <w:jc w:val="right"/>
              <w:rPr>
                <w:rFonts w:ascii="Calibri" w:eastAsia="Times New Roman" w:hAnsi="Calibri" w:cs="Calibri"/>
                <w:bCs/>
                <w:color w:val="000000"/>
                <w:sz w:val="20"/>
                <w:szCs w:val="20"/>
                <w:lang w:eastAsia="fr-FR"/>
              </w:rPr>
            </w:pPr>
            <w:r w:rsidRPr="008D300D">
              <w:rPr>
                <w:rFonts w:ascii="Calibri" w:eastAsia="Times New Roman" w:hAnsi="Calibri" w:cs="Calibri"/>
                <w:bCs/>
                <w:color w:val="000000"/>
                <w:sz w:val="20"/>
                <w:szCs w:val="20"/>
                <w:lang w:eastAsia="fr-FR"/>
              </w:rPr>
              <w:t>213 000</w:t>
            </w:r>
          </w:p>
        </w:tc>
        <w:tc>
          <w:tcPr>
            <w:tcW w:w="745" w:type="pct"/>
            <w:shd w:val="clear" w:color="auto" w:fill="auto"/>
            <w:noWrap/>
            <w:hideMark/>
          </w:tcPr>
          <w:p w14:paraId="18822360" w14:textId="6FA96347"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32 396</w:t>
            </w:r>
          </w:p>
        </w:tc>
        <w:tc>
          <w:tcPr>
            <w:tcW w:w="739" w:type="pct"/>
            <w:shd w:val="clear" w:color="auto" w:fill="auto"/>
            <w:noWrap/>
            <w:hideMark/>
          </w:tcPr>
          <w:p w14:paraId="6BC05EC2" w14:textId="0BB7DE52"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15,21</w:t>
            </w:r>
          </w:p>
        </w:tc>
      </w:tr>
      <w:tr w:rsidR="00FC3915" w:rsidRPr="008D300D" w14:paraId="37280816" w14:textId="77777777" w:rsidTr="00F12682">
        <w:tc>
          <w:tcPr>
            <w:tcW w:w="2444" w:type="pct"/>
            <w:shd w:val="clear" w:color="auto" w:fill="auto"/>
            <w:noWrap/>
            <w:hideMark/>
          </w:tcPr>
          <w:p w14:paraId="4EA2F67A" w14:textId="69D8D815" w:rsidR="00FC3915" w:rsidRPr="008D300D" w:rsidRDefault="00FC3915" w:rsidP="00F12682">
            <w:pPr>
              <w:spacing w:after="0" w:line="240" w:lineRule="auto"/>
              <w:rPr>
                <w:rFonts w:ascii="Calibri" w:eastAsia="Times New Roman" w:hAnsi="Calibri" w:cs="Calibri"/>
                <w:bCs/>
                <w:iCs/>
                <w:color w:val="000000"/>
                <w:sz w:val="20"/>
                <w:szCs w:val="20"/>
                <w:lang w:eastAsia="fr-FR"/>
              </w:rPr>
            </w:pPr>
            <w:r w:rsidRPr="008D300D">
              <w:rPr>
                <w:rFonts w:ascii="Calibri" w:eastAsia="Times New Roman" w:hAnsi="Calibri" w:cs="Calibri"/>
                <w:bCs/>
                <w:iCs/>
                <w:color w:val="000000"/>
                <w:sz w:val="20"/>
                <w:szCs w:val="20"/>
                <w:lang w:eastAsia="fr-FR"/>
              </w:rPr>
              <w:t>Fixation des dunes</w:t>
            </w:r>
          </w:p>
        </w:tc>
        <w:tc>
          <w:tcPr>
            <w:tcW w:w="411" w:type="pct"/>
            <w:shd w:val="clear" w:color="auto" w:fill="auto"/>
            <w:hideMark/>
          </w:tcPr>
          <w:p w14:paraId="5CD690F1" w14:textId="77777777" w:rsidR="00FC3915" w:rsidRPr="008D300D" w:rsidRDefault="00FC3915" w:rsidP="00F12682">
            <w:pPr>
              <w:spacing w:after="0" w:line="240" w:lineRule="auto"/>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ha</w:t>
            </w:r>
          </w:p>
        </w:tc>
        <w:tc>
          <w:tcPr>
            <w:tcW w:w="661" w:type="pct"/>
            <w:shd w:val="clear" w:color="auto" w:fill="auto"/>
            <w:hideMark/>
          </w:tcPr>
          <w:p w14:paraId="00111994" w14:textId="77777777" w:rsidR="00FC3915" w:rsidRPr="008D300D" w:rsidRDefault="00FC3915" w:rsidP="00F12682">
            <w:pPr>
              <w:spacing w:after="0" w:line="240" w:lineRule="auto"/>
              <w:jc w:val="right"/>
              <w:rPr>
                <w:rFonts w:ascii="Calibri" w:eastAsia="Times New Roman" w:hAnsi="Calibri" w:cs="Calibri"/>
                <w:bCs/>
                <w:color w:val="000000"/>
                <w:sz w:val="20"/>
                <w:szCs w:val="20"/>
                <w:lang w:eastAsia="fr-FR"/>
              </w:rPr>
            </w:pPr>
            <w:r w:rsidRPr="008D300D">
              <w:rPr>
                <w:rFonts w:ascii="Calibri" w:eastAsia="Times New Roman" w:hAnsi="Calibri" w:cs="Calibri"/>
                <w:bCs/>
                <w:color w:val="000000"/>
                <w:sz w:val="20"/>
                <w:szCs w:val="20"/>
                <w:lang w:eastAsia="fr-FR"/>
              </w:rPr>
              <w:t>36 500</w:t>
            </w:r>
          </w:p>
        </w:tc>
        <w:tc>
          <w:tcPr>
            <w:tcW w:w="745" w:type="pct"/>
            <w:shd w:val="clear" w:color="auto" w:fill="auto"/>
            <w:noWrap/>
            <w:hideMark/>
          </w:tcPr>
          <w:p w14:paraId="2B0EF1D2" w14:textId="3ED0C44C"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6 616</w:t>
            </w:r>
          </w:p>
        </w:tc>
        <w:tc>
          <w:tcPr>
            <w:tcW w:w="739" w:type="pct"/>
            <w:shd w:val="clear" w:color="auto" w:fill="auto"/>
            <w:noWrap/>
            <w:hideMark/>
          </w:tcPr>
          <w:p w14:paraId="34674FA4" w14:textId="37989CFB"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18,13</w:t>
            </w:r>
          </w:p>
        </w:tc>
      </w:tr>
      <w:tr w:rsidR="00FC3915" w:rsidRPr="008D300D" w14:paraId="17EB7CA6" w14:textId="77777777" w:rsidTr="00F12682">
        <w:tc>
          <w:tcPr>
            <w:tcW w:w="2444" w:type="pct"/>
            <w:shd w:val="clear" w:color="auto" w:fill="auto"/>
            <w:noWrap/>
            <w:hideMark/>
          </w:tcPr>
          <w:p w14:paraId="15CB0CEF" w14:textId="3EE68E79" w:rsidR="00FC3915" w:rsidRPr="008D300D" w:rsidRDefault="00FC3915" w:rsidP="00F12682">
            <w:pPr>
              <w:spacing w:after="0" w:line="240" w:lineRule="auto"/>
              <w:rPr>
                <w:rFonts w:ascii="Calibri" w:eastAsia="Times New Roman" w:hAnsi="Calibri" w:cs="Calibri"/>
                <w:bCs/>
                <w:iCs/>
                <w:color w:val="000000"/>
                <w:sz w:val="20"/>
                <w:szCs w:val="20"/>
                <w:lang w:eastAsia="fr-FR"/>
              </w:rPr>
            </w:pPr>
            <w:r w:rsidRPr="008D300D">
              <w:rPr>
                <w:rFonts w:ascii="Calibri" w:eastAsia="Times New Roman" w:hAnsi="Calibri" w:cs="Calibri"/>
                <w:bCs/>
                <w:iCs/>
                <w:color w:val="000000"/>
                <w:sz w:val="20"/>
                <w:szCs w:val="20"/>
                <w:lang w:eastAsia="fr-FR"/>
              </w:rPr>
              <w:t>Production des plants</w:t>
            </w:r>
          </w:p>
        </w:tc>
        <w:tc>
          <w:tcPr>
            <w:tcW w:w="411" w:type="pct"/>
            <w:shd w:val="clear" w:color="auto" w:fill="auto"/>
            <w:hideMark/>
          </w:tcPr>
          <w:p w14:paraId="29BBF79B" w14:textId="77777777" w:rsidR="00FC3915" w:rsidRPr="008D300D" w:rsidRDefault="00FC3915" w:rsidP="00F12682">
            <w:pPr>
              <w:spacing w:after="0" w:line="240" w:lineRule="auto"/>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plants</w:t>
            </w:r>
          </w:p>
        </w:tc>
        <w:tc>
          <w:tcPr>
            <w:tcW w:w="661" w:type="pct"/>
            <w:shd w:val="clear" w:color="auto" w:fill="auto"/>
            <w:hideMark/>
          </w:tcPr>
          <w:p w14:paraId="20EE2654" w14:textId="77777777" w:rsidR="00FC3915" w:rsidRPr="008D300D" w:rsidRDefault="00FC3915" w:rsidP="00F12682">
            <w:pPr>
              <w:spacing w:after="0" w:line="240" w:lineRule="auto"/>
              <w:jc w:val="right"/>
              <w:rPr>
                <w:rFonts w:ascii="Calibri" w:eastAsia="Times New Roman" w:hAnsi="Calibri" w:cs="Calibri"/>
                <w:bCs/>
                <w:color w:val="000000"/>
                <w:sz w:val="20"/>
                <w:szCs w:val="20"/>
                <w:lang w:eastAsia="fr-FR"/>
              </w:rPr>
            </w:pPr>
            <w:r w:rsidRPr="008D300D">
              <w:rPr>
                <w:rFonts w:ascii="Calibri" w:eastAsia="Times New Roman" w:hAnsi="Calibri" w:cs="Calibri"/>
                <w:bCs/>
                <w:color w:val="000000"/>
                <w:sz w:val="20"/>
                <w:szCs w:val="20"/>
                <w:lang w:eastAsia="fr-FR"/>
              </w:rPr>
              <w:t>10 000 000</w:t>
            </w:r>
          </w:p>
        </w:tc>
        <w:tc>
          <w:tcPr>
            <w:tcW w:w="745" w:type="pct"/>
            <w:shd w:val="clear" w:color="auto" w:fill="auto"/>
            <w:noWrap/>
            <w:hideMark/>
          </w:tcPr>
          <w:p w14:paraId="6B413429" w14:textId="2E25A4B6"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9 684 980</w:t>
            </w:r>
          </w:p>
        </w:tc>
        <w:tc>
          <w:tcPr>
            <w:tcW w:w="739" w:type="pct"/>
            <w:shd w:val="clear" w:color="auto" w:fill="auto"/>
            <w:noWrap/>
            <w:hideMark/>
          </w:tcPr>
          <w:p w14:paraId="6E947057" w14:textId="4A158852"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96,85</w:t>
            </w:r>
          </w:p>
        </w:tc>
      </w:tr>
      <w:tr w:rsidR="00FC3915" w:rsidRPr="008D300D" w14:paraId="41A0F9FE" w14:textId="77777777" w:rsidTr="00F12682">
        <w:tc>
          <w:tcPr>
            <w:tcW w:w="2444" w:type="pct"/>
            <w:shd w:val="clear" w:color="auto" w:fill="auto"/>
            <w:noWrap/>
            <w:hideMark/>
          </w:tcPr>
          <w:p w14:paraId="4019A88C" w14:textId="2DF48090" w:rsidR="00FC3915" w:rsidRPr="008D300D" w:rsidRDefault="00FC3915" w:rsidP="00F12682">
            <w:pPr>
              <w:spacing w:after="0" w:line="240" w:lineRule="auto"/>
              <w:rPr>
                <w:rFonts w:ascii="Calibri" w:eastAsia="Times New Roman" w:hAnsi="Calibri" w:cs="Calibri"/>
                <w:bCs/>
                <w:color w:val="000000"/>
                <w:sz w:val="20"/>
                <w:szCs w:val="20"/>
                <w:lang w:eastAsia="fr-FR"/>
              </w:rPr>
            </w:pPr>
            <w:r w:rsidRPr="008D300D">
              <w:rPr>
                <w:rFonts w:ascii="Calibri" w:eastAsia="Times New Roman" w:hAnsi="Calibri" w:cs="Calibri"/>
                <w:bCs/>
                <w:color w:val="000000"/>
                <w:sz w:val="20"/>
                <w:szCs w:val="20"/>
                <w:lang w:eastAsia="fr-FR"/>
              </w:rPr>
              <w:t>Plantations</w:t>
            </w:r>
          </w:p>
        </w:tc>
        <w:tc>
          <w:tcPr>
            <w:tcW w:w="411" w:type="pct"/>
            <w:shd w:val="clear" w:color="auto" w:fill="auto"/>
            <w:hideMark/>
          </w:tcPr>
          <w:p w14:paraId="3363DE33" w14:textId="77777777" w:rsidR="00FC3915" w:rsidRPr="008D300D" w:rsidRDefault="00FC3915" w:rsidP="00F12682">
            <w:pPr>
              <w:spacing w:after="0" w:line="240" w:lineRule="auto"/>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ha</w:t>
            </w:r>
          </w:p>
        </w:tc>
        <w:tc>
          <w:tcPr>
            <w:tcW w:w="661" w:type="pct"/>
            <w:shd w:val="clear" w:color="auto" w:fill="auto"/>
            <w:hideMark/>
          </w:tcPr>
          <w:p w14:paraId="2F3A423B" w14:textId="77777777" w:rsidR="00FC3915" w:rsidRPr="008D300D" w:rsidRDefault="00FC3915" w:rsidP="00F12682">
            <w:pPr>
              <w:spacing w:after="0" w:line="240" w:lineRule="auto"/>
              <w:jc w:val="right"/>
              <w:rPr>
                <w:rFonts w:ascii="Calibri" w:eastAsia="Times New Roman" w:hAnsi="Calibri" w:cs="Calibri"/>
                <w:bCs/>
                <w:color w:val="000000"/>
                <w:sz w:val="20"/>
                <w:szCs w:val="20"/>
                <w:lang w:eastAsia="fr-FR"/>
              </w:rPr>
            </w:pPr>
            <w:r w:rsidRPr="008D300D">
              <w:rPr>
                <w:rFonts w:ascii="Calibri" w:eastAsia="Times New Roman" w:hAnsi="Calibri" w:cs="Calibri"/>
                <w:bCs/>
                <w:color w:val="000000"/>
                <w:sz w:val="20"/>
                <w:szCs w:val="20"/>
                <w:lang w:eastAsia="fr-FR"/>
              </w:rPr>
              <w:t>30 000</w:t>
            </w:r>
          </w:p>
        </w:tc>
        <w:tc>
          <w:tcPr>
            <w:tcW w:w="745" w:type="pct"/>
            <w:shd w:val="clear" w:color="auto" w:fill="auto"/>
            <w:noWrap/>
            <w:hideMark/>
          </w:tcPr>
          <w:p w14:paraId="690BA726" w14:textId="3701EE93"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19 642</w:t>
            </w:r>
          </w:p>
        </w:tc>
        <w:tc>
          <w:tcPr>
            <w:tcW w:w="739" w:type="pct"/>
            <w:shd w:val="clear" w:color="auto" w:fill="auto"/>
            <w:noWrap/>
            <w:hideMark/>
          </w:tcPr>
          <w:p w14:paraId="6389F4D9" w14:textId="527601CD"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65,47</w:t>
            </w:r>
          </w:p>
        </w:tc>
      </w:tr>
      <w:tr w:rsidR="00FC3915" w:rsidRPr="008D300D" w14:paraId="3E862F64" w14:textId="77777777" w:rsidTr="00F12682">
        <w:tc>
          <w:tcPr>
            <w:tcW w:w="2444" w:type="pct"/>
            <w:shd w:val="clear" w:color="auto" w:fill="auto"/>
            <w:hideMark/>
          </w:tcPr>
          <w:p w14:paraId="57A35C1D" w14:textId="7CA4D600" w:rsidR="00FC3915" w:rsidRPr="008D300D" w:rsidRDefault="00FC3915" w:rsidP="00F12682">
            <w:pPr>
              <w:spacing w:after="0" w:line="240" w:lineRule="auto"/>
              <w:rPr>
                <w:rFonts w:ascii="Calibri" w:eastAsia="Times New Roman" w:hAnsi="Calibri" w:cs="Calibri"/>
                <w:bCs/>
                <w:iCs/>
                <w:color w:val="000000"/>
                <w:sz w:val="20"/>
                <w:szCs w:val="20"/>
                <w:lang w:eastAsia="fr-FR"/>
              </w:rPr>
            </w:pPr>
            <w:r w:rsidRPr="008D300D">
              <w:rPr>
                <w:rFonts w:ascii="Calibri" w:eastAsia="Times New Roman" w:hAnsi="Calibri" w:cs="Calibri"/>
                <w:bCs/>
                <w:iCs/>
                <w:color w:val="000000"/>
                <w:sz w:val="20"/>
                <w:szCs w:val="20"/>
                <w:lang w:eastAsia="fr-FR"/>
              </w:rPr>
              <w:t>Lutte contre les plantes terrestres envahissantes</w:t>
            </w:r>
          </w:p>
        </w:tc>
        <w:tc>
          <w:tcPr>
            <w:tcW w:w="411" w:type="pct"/>
            <w:shd w:val="clear" w:color="auto" w:fill="auto"/>
            <w:hideMark/>
          </w:tcPr>
          <w:p w14:paraId="3111B262" w14:textId="77777777" w:rsidR="00FC3915" w:rsidRPr="008D300D" w:rsidRDefault="00FC3915" w:rsidP="00F12682">
            <w:pPr>
              <w:spacing w:after="0" w:line="240" w:lineRule="auto"/>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ha</w:t>
            </w:r>
          </w:p>
        </w:tc>
        <w:tc>
          <w:tcPr>
            <w:tcW w:w="661" w:type="pct"/>
            <w:shd w:val="clear" w:color="auto" w:fill="auto"/>
            <w:hideMark/>
          </w:tcPr>
          <w:p w14:paraId="6BA7370E" w14:textId="77777777" w:rsidR="00FC3915" w:rsidRPr="008D300D" w:rsidRDefault="00FC3915" w:rsidP="00F12682">
            <w:pPr>
              <w:spacing w:after="0" w:line="240" w:lineRule="auto"/>
              <w:jc w:val="right"/>
              <w:rPr>
                <w:rFonts w:ascii="Calibri" w:eastAsia="Times New Roman" w:hAnsi="Calibri" w:cs="Calibri"/>
                <w:bCs/>
                <w:color w:val="000000"/>
                <w:sz w:val="20"/>
                <w:szCs w:val="20"/>
                <w:lang w:eastAsia="fr-FR"/>
              </w:rPr>
            </w:pPr>
            <w:r w:rsidRPr="008D300D">
              <w:rPr>
                <w:rFonts w:ascii="Calibri" w:eastAsia="Times New Roman" w:hAnsi="Calibri" w:cs="Calibri"/>
                <w:bCs/>
                <w:color w:val="000000"/>
                <w:sz w:val="20"/>
                <w:szCs w:val="20"/>
                <w:lang w:eastAsia="fr-FR"/>
              </w:rPr>
              <w:t>14 000</w:t>
            </w:r>
          </w:p>
        </w:tc>
        <w:tc>
          <w:tcPr>
            <w:tcW w:w="745" w:type="pct"/>
            <w:shd w:val="clear" w:color="auto" w:fill="auto"/>
            <w:noWrap/>
            <w:hideMark/>
          </w:tcPr>
          <w:p w14:paraId="08F7F99E" w14:textId="0CD1AF30"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13 303</w:t>
            </w:r>
          </w:p>
        </w:tc>
        <w:tc>
          <w:tcPr>
            <w:tcW w:w="739" w:type="pct"/>
            <w:shd w:val="clear" w:color="auto" w:fill="auto"/>
            <w:noWrap/>
            <w:hideMark/>
          </w:tcPr>
          <w:p w14:paraId="42E4BBC5" w14:textId="5602D313"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95,02</w:t>
            </w:r>
          </w:p>
        </w:tc>
      </w:tr>
      <w:tr w:rsidR="00FC3915" w:rsidRPr="008D300D" w14:paraId="2610813A" w14:textId="77777777" w:rsidTr="00F12682">
        <w:tc>
          <w:tcPr>
            <w:tcW w:w="2444" w:type="pct"/>
            <w:shd w:val="clear" w:color="auto" w:fill="auto"/>
            <w:hideMark/>
          </w:tcPr>
          <w:p w14:paraId="3CD4F502" w14:textId="2A6F7F32" w:rsidR="00FC3915" w:rsidRPr="008D300D" w:rsidRDefault="00FC3915" w:rsidP="00F12682">
            <w:pPr>
              <w:spacing w:after="0" w:line="240" w:lineRule="auto"/>
              <w:rPr>
                <w:rFonts w:ascii="Calibri" w:eastAsia="Times New Roman" w:hAnsi="Calibri" w:cs="Calibri"/>
                <w:bCs/>
                <w:iCs/>
                <w:color w:val="000000"/>
                <w:sz w:val="20"/>
                <w:szCs w:val="20"/>
                <w:lang w:eastAsia="fr-FR"/>
              </w:rPr>
            </w:pPr>
            <w:r w:rsidRPr="008D300D">
              <w:rPr>
                <w:rFonts w:ascii="Calibri" w:eastAsia="Times New Roman" w:hAnsi="Calibri" w:cs="Calibri"/>
                <w:bCs/>
                <w:iCs/>
                <w:color w:val="000000"/>
                <w:sz w:val="20"/>
                <w:szCs w:val="20"/>
                <w:lang w:eastAsia="fr-FR"/>
              </w:rPr>
              <w:t>Empoissonnement des mares</w:t>
            </w:r>
          </w:p>
        </w:tc>
        <w:tc>
          <w:tcPr>
            <w:tcW w:w="411" w:type="pct"/>
            <w:shd w:val="clear" w:color="auto" w:fill="auto"/>
            <w:hideMark/>
          </w:tcPr>
          <w:p w14:paraId="50C813DC" w14:textId="77777777" w:rsidR="00FC3915" w:rsidRPr="008D300D" w:rsidRDefault="00FC3915" w:rsidP="00F12682">
            <w:pPr>
              <w:spacing w:after="0" w:line="240" w:lineRule="auto"/>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mare</w:t>
            </w:r>
          </w:p>
        </w:tc>
        <w:tc>
          <w:tcPr>
            <w:tcW w:w="661" w:type="pct"/>
            <w:shd w:val="clear" w:color="auto" w:fill="auto"/>
            <w:hideMark/>
          </w:tcPr>
          <w:p w14:paraId="1809E17B" w14:textId="77777777" w:rsidR="00FC3915" w:rsidRPr="008D300D" w:rsidRDefault="00FC3915" w:rsidP="00F12682">
            <w:pPr>
              <w:spacing w:after="0" w:line="240" w:lineRule="auto"/>
              <w:jc w:val="right"/>
              <w:rPr>
                <w:rFonts w:ascii="Calibri" w:eastAsia="Times New Roman" w:hAnsi="Calibri" w:cs="Calibri"/>
                <w:bCs/>
                <w:color w:val="000000"/>
                <w:sz w:val="20"/>
                <w:szCs w:val="20"/>
                <w:lang w:eastAsia="fr-FR"/>
              </w:rPr>
            </w:pPr>
            <w:r w:rsidRPr="008D300D">
              <w:rPr>
                <w:rFonts w:ascii="Calibri" w:eastAsia="Times New Roman" w:hAnsi="Calibri" w:cs="Calibri"/>
                <w:bCs/>
                <w:color w:val="000000"/>
                <w:sz w:val="20"/>
                <w:szCs w:val="20"/>
                <w:lang w:eastAsia="fr-FR"/>
              </w:rPr>
              <w:t>100</w:t>
            </w:r>
          </w:p>
        </w:tc>
        <w:tc>
          <w:tcPr>
            <w:tcW w:w="745" w:type="pct"/>
            <w:shd w:val="clear" w:color="auto" w:fill="auto"/>
            <w:noWrap/>
            <w:hideMark/>
          </w:tcPr>
          <w:p w14:paraId="4E1BE41B" w14:textId="505013CC"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36</w:t>
            </w:r>
          </w:p>
        </w:tc>
        <w:tc>
          <w:tcPr>
            <w:tcW w:w="739" w:type="pct"/>
            <w:shd w:val="clear" w:color="auto" w:fill="auto"/>
            <w:noWrap/>
            <w:hideMark/>
          </w:tcPr>
          <w:p w14:paraId="783655D9" w14:textId="465A3EF7"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36,00</w:t>
            </w:r>
          </w:p>
        </w:tc>
      </w:tr>
      <w:tr w:rsidR="00FC3915" w:rsidRPr="008D300D" w14:paraId="0DA57BD9" w14:textId="77777777" w:rsidTr="00F12682">
        <w:tc>
          <w:tcPr>
            <w:tcW w:w="2444" w:type="pct"/>
            <w:shd w:val="clear" w:color="auto" w:fill="auto"/>
            <w:hideMark/>
          </w:tcPr>
          <w:p w14:paraId="623A5819" w14:textId="126F65F4" w:rsidR="00FC3915" w:rsidRPr="008D300D" w:rsidRDefault="00FC3915" w:rsidP="00F12682">
            <w:pPr>
              <w:spacing w:after="0" w:line="240" w:lineRule="auto"/>
              <w:rPr>
                <w:rFonts w:ascii="Calibri" w:eastAsia="Times New Roman" w:hAnsi="Calibri" w:cs="Calibri"/>
                <w:bCs/>
                <w:iCs/>
                <w:color w:val="000000"/>
                <w:sz w:val="20"/>
                <w:szCs w:val="20"/>
                <w:lang w:eastAsia="fr-FR"/>
              </w:rPr>
            </w:pPr>
            <w:r w:rsidRPr="008D300D">
              <w:rPr>
                <w:rFonts w:ascii="Calibri" w:eastAsia="Times New Roman" w:hAnsi="Calibri" w:cs="Calibri"/>
                <w:bCs/>
                <w:iCs/>
                <w:color w:val="000000"/>
                <w:sz w:val="20"/>
                <w:szCs w:val="20"/>
                <w:lang w:eastAsia="fr-FR"/>
              </w:rPr>
              <w:t>Lutte contre les plantes aquatiques envahissantes</w:t>
            </w:r>
          </w:p>
        </w:tc>
        <w:tc>
          <w:tcPr>
            <w:tcW w:w="411" w:type="pct"/>
            <w:shd w:val="clear" w:color="auto" w:fill="auto"/>
            <w:hideMark/>
          </w:tcPr>
          <w:p w14:paraId="7352A29A" w14:textId="77777777" w:rsidR="00FC3915" w:rsidRPr="008D300D" w:rsidRDefault="00FC3915" w:rsidP="00F12682">
            <w:pPr>
              <w:spacing w:after="0" w:line="240" w:lineRule="auto"/>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ha</w:t>
            </w:r>
          </w:p>
        </w:tc>
        <w:tc>
          <w:tcPr>
            <w:tcW w:w="661" w:type="pct"/>
            <w:shd w:val="clear" w:color="auto" w:fill="auto"/>
            <w:hideMark/>
          </w:tcPr>
          <w:p w14:paraId="3BA43085" w14:textId="77777777" w:rsidR="00FC3915" w:rsidRPr="008D300D" w:rsidRDefault="00FC3915" w:rsidP="00F12682">
            <w:pPr>
              <w:spacing w:after="0" w:line="240" w:lineRule="auto"/>
              <w:jc w:val="right"/>
              <w:rPr>
                <w:rFonts w:ascii="Calibri" w:eastAsia="Times New Roman" w:hAnsi="Calibri" w:cs="Calibri"/>
                <w:bCs/>
                <w:color w:val="000000"/>
                <w:sz w:val="20"/>
                <w:szCs w:val="20"/>
                <w:lang w:eastAsia="fr-FR"/>
              </w:rPr>
            </w:pPr>
            <w:r w:rsidRPr="008D300D">
              <w:rPr>
                <w:rFonts w:ascii="Calibri" w:eastAsia="Times New Roman" w:hAnsi="Calibri" w:cs="Calibri"/>
                <w:bCs/>
                <w:color w:val="000000"/>
                <w:sz w:val="20"/>
                <w:szCs w:val="20"/>
                <w:lang w:eastAsia="fr-FR"/>
              </w:rPr>
              <w:t>2 000</w:t>
            </w:r>
          </w:p>
        </w:tc>
        <w:tc>
          <w:tcPr>
            <w:tcW w:w="745" w:type="pct"/>
            <w:shd w:val="clear" w:color="auto" w:fill="auto"/>
            <w:noWrap/>
            <w:hideMark/>
          </w:tcPr>
          <w:p w14:paraId="24E61FCE" w14:textId="02C29D4D"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471</w:t>
            </w:r>
          </w:p>
        </w:tc>
        <w:tc>
          <w:tcPr>
            <w:tcW w:w="739" w:type="pct"/>
            <w:shd w:val="clear" w:color="auto" w:fill="auto"/>
            <w:noWrap/>
            <w:hideMark/>
          </w:tcPr>
          <w:p w14:paraId="747FBDD0" w14:textId="05D350EC"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23,55</w:t>
            </w:r>
          </w:p>
        </w:tc>
      </w:tr>
      <w:tr w:rsidR="00FC3915" w:rsidRPr="008D300D" w14:paraId="5B2C0915" w14:textId="77777777" w:rsidTr="00F12682">
        <w:tc>
          <w:tcPr>
            <w:tcW w:w="2444" w:type="pct"/>
            <w:shd w:val="clear" w:color="auto" w:fill="auto"/>
            <w:hideMark/>
          </w:tcPr>
          <w:p w14:paraId="208CE8E2" w14:textId="56A6EB60" w:rsidR="00FC3915" w:rsidRPr="008D300D" w:rsidRDefault="00FC3915" w:rsidP="00F12682">
            <w:pPr>
              <w:spacing w:after="0" w:line="240" w:lineRule="auto"/>
              <w:rPr>
                <w:rFonts w:ascii="Calibri" w:eastAsia="Times New Roman" w:hAnsi="Calibri" w:cs="Calibri"/>
                <w:bCs/>
                <w:iCs/>
                <w:color w:val="000000"/>
                <w:sz w:val="20"/>
                <w:szCs w:val="20"/>
                <w:lang w:eastAsia="fr-FR"/>
              </w:rPr>
            </w:pPr>
            <w:r w:rsidRPr="008D300D">
              <w:rPr>
                <w:rFonts w:ascii="Calibri" w:eastAsia="Times New Roman" w:hAnsi="Calibri" w:cs="Calibri"/>
                <w:bCs/>
                <w:iCs/>
                <w:color w:val="000000"/>
                <w:sz w:val="20"/>
                <w:szCs w:val="20"/>
                <w:lang w:eastAsia="fr-FR"/>
              </w:rPr>
              <w:t>Ouverture des bandes pare feux</w:t>
            </w:r>
          </w:p>
        </w:tc>
        <w:tc>
          <w:tcPr>
            <w:tcW w:w="411" w:type="pct"/>
            <w:shd w:val="clear" w:color="auto" w:fill="auto"/>
            <w:hideMark/>
          </w:tcPr>
          <w:p w14:paraId="58CEFC28" w14:textId="77777777" w:rsidR="00FC3915" w:rsidRPr="008D300D" w:rsidRDefault="00FC3915" w:rsidP="00F12682">
            <w:pPr>
              <w:spacing w:after="0" w:line="240" w:lineRule="auto"/>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km</w:t>
            </w:r>
          </w:p>
        </w:tc>
        <w:tc>
          <w:tcPr>
            <w:tcW w:w="661" w:type="pct"/>
            <w:shd w:val="clear" w:color="auto" w:fill="auto"/>
            <w:hideMark/>
          </w:tcPr>
          <w:p w14:paraId="4C3B8A95" w14:textId="77777777" w:rsidR="00FC3915" w:rsidRPr="008D300D" w:rsidRDefault="00FC3915" w:rsidP="00F12682">
            <w:pPr>
              <w:spacing w:after="0" w:line="240" w:lineRule="auto"/>
              <w:jc w:val="right"/>
              <w:rPr>
                <w:rFonts w:ascii="Calibri" w:eastAsia="Times New Roman" w:hAnsi="Calibri" w:cs="Calibri"/>
                <w:bCs/>
                <w:color w:val="000000"/>
                <w:sz w:val="20"/>
                <w:szCs w:val="20"/>
                <w:lang w:eastAsia="fr-FR"/>
              </w:rPr>
            </w:pPr>
            <w:r w:rsidRPr="008D300D">
              <w:rPr>
                <w:rFonts w:ascii="Calibri" w:eastAsia="Times New Roman" w:hAnsi="Calibri" w:cs="Calibri"/>
                <w:bCs/>
                <w:color w:val="000000"/>
                <w:sz w:val="20"/>
                <w:szCs w:val="20"/>
                <w:lang w:eastAsia="fr-FR"/>
              </w:rPr>
              <w:t>40 000</w:t>
            </w:r>
          </w:p>
        </w:tc>
        <w:tc>
          <w:tcPr>
            <w:tcW w:w="745" w:type="pct"/>
            <w:shd w:val="clear" w:color="auto" w:fill="auto"/>
            <w:noWrap/>
            <w:hideMark/>
          </w:tcPr>
          <w:p w14:paraId="23404122" w14:textId="6577CA5A"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15 391</w:t>
            </w:r>
          </w:p>
        </w:tc>
        <w:tc>
          <w:tcPr>
            <w:tcW w:w="739" w:type="pct"/>
            <w:shd w:val="clear" w:color="auto" w:fill="auto"/>
            <w:noWrap/>
            <w:hideMark/>
          </w:tcPr>
          <w:p w14:paraId="35EF883E" w14:textId="3229BD74"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38,48</w:t>
            </w:r>
          </w:p>
        </w:tc>
      </w:tr>
      <w:tr w:rsidR="00FC3915" w:rsidRPr="008D300D" w14:paraId="670495F7" w14:textId="77777777" w:rsidTr="00F12682">
        <w:tc>
          <w:tcPr>
            <w:tcW w:w="2444" w:type="pct"/>
            <w:shd w:val="clear" w:color="auto" w:fill="auto"/>
            <w:hideMark/>
          </w:tcPr>
          <w:p w14:paraId="43655D58" w14:textId="77777777" w:rsidR="00FC3915" w:rsidRPr="008D300D" w:rsidRDefault="00FC3915" w:rsidP="00F12682">
            <w:pPr>
              <w:spacing w:after="0" w:line="240" w:lineRule="auto"/>
              <w:rPr>
                <w:rFonts w:ascii="Calibri" w:eastAsia="Times New Roman" w:hAnsi="Calibri" w:cs="Calibri"/>
                <w:bCs/>
                <w:iCs/>
                <w:sz w:val="20"/>
                <w:szCs w:val="20"/>
                <w:lang w:eastAsia="fr-FR"/>
              </w:rPr>
            </w:pPr>
            <w:r w:rsidRPr="008D300D">
              <w:rPr>
                <w:rFonts w:ascii="Calibri" w:eastAsia="Times New Roman" w:hAnsi="Calibri" w:cs="Calibri"/>
                <w:bCs/>
                <w:iCs/>
                <w:sz w:val="20"/>
                <w:szCs w:val="20"/>
                <w:lang w:eastAsia="fr-FR"/>
              </w:rPr>
              <w:t xml:space="preserve">Production de la gomme arabique </w:t>
            </w:r>
          </w:p>
        </w:tc>
        <w:tc>
          <w:tcPr>
            <w:tcW w:w="411" w:type="pct"/>
            <w:shd w:val="clear" w:color="auto" w:fill="auto"/>
            <w:hideMark/>
          </w:tcPr>
          <w:p w14:paraId="22BAD655" w14:textId="77777777" w:rsidR="00FC3915" w:rsidRPr="008D300D" w:rsidRDefault="00FC3915" w:rsidP="00F12682">
            <w:pPr>
              <w:spacing w:after="0" w:line="240" w:lineRule="auto"/>
              <w:rPr>
                <w:rFonts w:ascii="Calibri" w:eastAsia="Times New Roman" w:hAnsi="Calibri" w:cs="Calibri"/>
                <w:sz w:val="20"/>
                <w:szCs w:val="20"/>
                <w:lang w:eastAsia="fr-FR"/>
              </w:rPr>
            </w:pPr>
            <w:r w:rsidRPr="008D300D">
              <w:rPr>
                <w:rFonts w:ascii="Calibri" w:eastAsia="Times New Roman" w:hAnsi="Calibri" w:cs="Calibri"/>
                <w:sz w:val="20"/>
                <w:szCs w:val="20"/>
                <w:lang w:eastAsia="fr-FR"/>
              </w:rPr>
              <w:t>tonnes</w:t>
            </w:r>
          </w:p>
        </w:tc>
        <w:tc>
          <w:tcPr>
            <w:tcW w:w="661" w:type="pct"/>
            <w:shd w:val="clear" w:color="auto" w:fill="auto"/>
            <w:hideMark/>
          </w:tcPr>
          <w:p w14:paraId="1A855544" w14:textId="77777777" w:rsidR="00FC3915" w:rsidRPr="008D300D" w:rsidRDefault="00FC3915" w:rsidP="00F12682">
            <w:pPr>
              <w:spacing w:after="0" w:line="240" w:lineRule="auto"/>
              <w:jc w:val="right"/>
              <w:rPr>
                <w:rFonts w:ascii="Calibri" w:eastAsia="Times New Roman" w:hAnsi="Calibri" w:cs="Calibri"/>
                <w:bCs/>
                <w:sz w:val="20"/>
                <w:szCs w:val="20"/>
                <w:lang w:eastAsia="fr-FR"/>
              </w:rPr>
            </w:pPr>
            <w:r w:rsidRPr="008D300D">
              <w:rPr>
                <w:rFonts w:ascii="Calibri" w:eastAsia="Times New Roman" w:hAnsi="Calibri" w:cs="Calibri"/>
                <w:bCs/>
                <w:sz w:val="20"/>
                <w:szCs w:val="20"/>
                <w:lang w:eastAsia="fr-FR"/>
              </w:rPr>
              <w:t>40 000</w:t>
            </w:r>
          </w:p>
        </w:tc>
        <w:tc>
          <w:tcPr>
            <w:tcW w:w="745" w:type="pct"/>
            <w:shd w:val="clear" w:color="auto" w:fill="auto"/>
            <w:noWrap/>
            <w:hideMark/>
          </w:tcPr>
          <w:p w14:paraId="0824CB2D" w14:textId="77777777"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ND</w:t>
            </w:r>
          </w:p>
        </w:tc>
        <w:tc>
          <w:tcPr>
            <w:tcW w:w="739" w:type="pct"/>
            <w:shd w:val="clear" w:color="auto" w:fill="auto"/>
            <w:noWrap/>
            <w:hideMark/>
          </w:tcPr>
          <w:p w14:paraId="59996B3E" w14:textId="77777777" w:rsidR="00FC3915" w:rsidRPr="008D300D" w:rsidRDefault="00FC3915" w:rsidP="00F12682">
            <w:pPr>
              <w:spacing w:after="0" w:line="240" w:lineRule="auto"/>
              <w:jc w:val="right"/>
              <w:rPr>
                <w:rFonts w:ascii="Calibri" w:eastAsia="Times New Roman" w:hAnsi="Calibri" w:cs="Calibri"/>
                <w:color w:val="000000"/>
                <w:sz w:val="20"/>
                <w:szCs w:val="20"/>
                <w:lang w:eastAsia="fr-FR"/>
              </w:rPr>
            </w:pPr>
          </w:p>
        </w:tc>
      </w:tr>
      <w:tr w:rsidR="00FC3915" w:rsidRPr="008D300D" w14:paraId="131D8CD5" w14:textId="77777777" w:rsidTr="00F12682">
        <w:tc>
          <w:tcPr>
            <w:tcW w:w="2444" w:type="pct"/>
            <w:shd w:val="clear" w:color="auto" w:fill="auto"/>
            <w:hideMark/>
          </w:tcPr>
          <w:p w14:paraId="35F9FFEB" w14:textId="3297C050" w:rsidR="00FC3915" w:rsidRPr="008D300D" w:rsidRDefault="00FC3915" w:rsidP="00F12682">
            <w:pPr>
              <w:spacing w:after="0" w:line="240" w:lineRule="auto"/>
              <w:rPr>
                <w:rFonts w:ascii="Calibri" w:eastAsia="Times New Roman" w:hAnsi="Calibri" w:cs="Calibri"/>
                <w:bCs/>
                <w:iCs/>
                <w:sz w:val="20"/>
                <w:szCs w:val="20"/>
                <w:lang w:eastAsia="fr-FR"/>
              </w:rPr>
            </w:pPr>
            <w:r w:rsidRPr="008D300D">
              <w:rPr>
                <w:rFonts w:ascii="Calibri" w:eastAsia="Times New Roman" w:hAnsi="Calibri" w:cs="Calibri"/>
                <w:bCs/>
                <w:iCs/>
                <w:sz w:val="20"/>
                <w:szCs w:val="20"/>
                <w:lang w:eastAsia="fr-FR"/>
              </w:rPr>
              <w:t xml:space="preserve">Production de </w:t>
            </w:r>
            <w:proofErr w:type="spellStart"/>
            <w:r w:rsidRPr="008D300D">
              <w:rPr>
                <w:rFonts w:ascii="Calibri" w:eastAsia="Times New Roman" w:hAnsi="Calibri" w:cs="Calibri"/>
                <w:bCs/>
                <w:iCs/>
                <w:sz w:val="20"/>
                <w:szCs w:val="20"/>
                <w:lang w:eastAsia="fr-FR"/>
              </w:rPr>
              <w:t>moringa</w:t>
            </w:r>
            <w:proofErr w:type="spellEnd"/>
          </w:p>
        </w:tc>
        <w:tc>
          <w:tcPr>
            <w:tcW w:w="411" w:type="pct"/>
            <w:shd w:val="clear" w:color="auto" w:fill="auto"/>
            <w:hideMark/>
          </w:tcPr>
          <w:p w14:paraId="52DBB662" w14:textId="77777777" w:rsidR="00FC3915" w:rsidRPr="008D300D" w:rsidRDefault="00FC3915" w:rsidP="00F12682">
            <w:pPr>
              <w:spacing w:after="0" w:line="240" w:lineRule="auto"/>
              <w:rPr>
                <w:rFonts w:ascii="Calibri" w:eastAsia="Times New Roman" w:hAnsi="Calibri" w:cs="Calibri"/>
                <w:sz w:val="20"/>
                <w:szCs w:val="20"/>
                <w:lang w:eastAsia="fr-FR"/>
              </w:rPr>
            </w:pPr>
            <w:r w:rsidRPr="008D300D">
              <w:rPr>
                <w:rFonts w:ascii="Calibri" w:eastAsia="Times New Roman" w:hAnsi="Calibri" w:cs="Calibri"/>
                <w:sz w:val="20"/>
                <w:szCs w:val="20"/>
                <w:lang w:eastAsia="fr-FR"/>
              </w:rPr>
              <w:t>tonnes</w:t>
            </w:r>
          </w:p>
        </w:tc>
        <w:tc>
          <w:tcPr>
            <w:tcW w:w="661" w:type="pct"/>
            <w:shd w:val="clear" w:color="auto" w:fill="auto"/>
            <w:hideMark/>
          </w:tcPr>
          <w:p w14:paraId="18A4E81B" w14:textId="77777777" w:rsidR="00FC3915" w:rsidRPr="008D300D" w:rsidRDefault="00FC3915" w:rsidP="00F12682">
            <w:pPr>
              <w:spacing w:after="0" w:line="240" w:lineRule="auto"/>
              <w:jc w:val="right"/>
              <w:rPr>
                <w:rFonts w:ascii="Calibri" w:eastAsia="Times New Roman" w:hAnsi="Calibri" w:cs="Calibri"/>
                <w:bCs/>
                <w:sz w:val="20"/>
                <w:szCs w:val="20"/>
                <w:lang w:eastAsia="fr-FR"/>
              </w:rPr>
            </w:pPr>
            <w:r w:rsidRPr="008D300D">
              <w:rPr>
                <w:rFonts w:ascii="Calibri" w:eastAsia="Times New Roman" w:hAnsi="Calibri" w:cs="Calibri"/>
                <w:bCs/>
                <w:sz w:val="20"/>
                <w:szCs w:val="20"/>
                <w:lang w:eastAsia="fr-FR"/>
              </w:rPr>
              <w:t>3 000</w:t>
            </w:r>
          </w:p>
        </w:tc>
        <w:tc>
          <w:tcPr>
            <w:tcW w:w="745" w:type="pct"/>
            <w:shd w:val="clear" w:color="auto" w:fill="auto"/>
            <w:noWrap/>
            <w:hideMark/>
          </w:tcPr>
          <w:p w14:paraId="0969068A" w14:textId="77777777"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ND</w:t>
            </w:r>
          </w:p>
        </w:tc>
        <w:tc>
          <w:tcPr>
            <w:tcW w:w="739" w:type="pct"/>
            <w:shd w:val="clear" w:color="auto" w:fill="auto"/>
            <w:noWrap/>
            <w:hideMark/>
          </w:tcPr>
          <w:p w14:paraId="51630748" w14:textId="77777777" w:rsidR="00FC3915" w:rsidRPr="008D300D" w:rsidRDefault="00FC3915" w:rsidP="00F12682">
            <w:pPr>
              <w:spacing w:after="0" w:line="240" w:lineRule="auto"/>
              <w:jc w:val="right"/>
              <w:rPr>
                <w:rFonts w:ascii="Calibri" w:eastAsia="Times New Roman" w:hAnsi="Calibri" w:cs="Calibri"/>
                <w:color w:val="000000"/>
                <w:sz w:val="20"/>
                <w:szCs w:val="20"/>
                <w:lang w:eastAsia="fr-FR"/>
              </w:rPr>
            </w:pPr>
          </w:p>
        </w:tc>
      </w:tr>
      <w:tr w:rsidR="00FC3915" w:rsidRPr="008D300D" w14:paraId="2760A5C0" w14:textId="77777777" w:rsidTr="00F12682">
        <w:tc>
          <w:tcPr>
            <w:tcW w:w="2444" w:type="pct"/>
            <w:shd w:val="clear" w:color="auto" w:fill="auto"/>
            <w:hideMark/>
          </w:tcPr>
          <w:p w14:paraId="6FB08C29" w14:textId="02B97C75" w:rsidR="00FC3915" w:rsidRPr="008D300D" w:rsidRDefault="00673E94" w:rsidP="00F12682">
            <w:pPr>
              <w:spacing w:after="0" w:line="240" w:lineRule="auto"/>
              <w:rPr>
                <w:rFonts w:ascii="Calibri" w:eastAsia="Times New Roman" w:hAnsi="Calibri" w:cs="Calibri"/>
                <w:bCs/>
                <w:iCs/>
                <w:sz w:val="20"/>
                <w:szCs w:val="20"/>
                <w:lang w:eastAsia="fr-FR"/>
              </w:rPr>
            </w:pPr>
            <w:r w:rsidRPr="008D300D">
              <w:rPr>
                <w:rFonts w:ascii="Calibri" w:eastAsia="Times New Roman" w:hAnsi="Calibri" w:cs="Calibri"/>
                <w:bCs/>
                <w:iCs/>
                <w:sz w:val="20"/>
                <w:szCs w:val="20"/>
                <w:lang w:eastAsia="fr-FR"/>
              </w:rPr>
              <w:t>P</w:t>
            </w:r>
            <w:r w:rsidR="00FC3915" w:rsidRPr="008D300D">
              <w:rPr>
                <w:rFonts w:ascii="Calibri" w:eastAsia="Times New Roman" w:hAnsi="Calibri" w:cs="Calibri"/>
                <w:bCs/>
                <w:iCs/>
                <w:sz w:val="20"/>
                <w:szCs w:val="20"/>
                <w:lang w:eastAsia="fr-FR"/>
              </w:rPr>
              <w:t>roduction</w:t>
            </w:r>
            <w:r w:rsidRPr="008D300D">
              <w:rPr>
                <w:rFonts w:ascii="Calibri" w:eastAsia="Times New Roman" w:hAnsi="Calibri" w:cs="Calibri"/>
                <w:bCs/>
                <w:iCs/>
                <w:sz w:val="20"/>
                <w:szCs w:val="20"/>
                <w:lang w:eastAsia="fr-FR"/>
              </w:rPr>
              <w:t xml:space="preserve"> </w:t>
            </w:r>
            <w:r w:rsidR="00FC3915" w:rsidRPr="008D300D">
              <w:rPr>
                <w:rFonts w:ascii="Calibri" w:eastAsia="Times New Roman" w:hAnsi="Calibri" w:cs="Calibri"/>
                <w:bCs/>
                <w:iCs/>
                <w:sz w:val="20"/>
                <w:szCs w:val="20"/>
                <w:lang w:eastAsia="fr-FR"/>
              </w:rPr>
              <w:t>de poissons</w:t>
            </w:r>
          </w:p>
        </w:tc>
        <w:tc>
          <w:tcPr>
            <w:tcW w:w="411" w:type="pct"/>
            <w:shd w:val="clear" w:color="auto" w:fill="auto"/>
            <w:hideMark/>
          </w:tcPr>
          <w:p w14:paraId="62FDF75B" w14:textId="77777777" w:rsidR="00FC3915" w:rsidRPr="008D300D" w:rsidRDefault="00FC3915" w:rsidP="00F12682">
            <w:pPr>
              <w:spacing w:after="0" w:line="240" w:lineRule="auto"/>
              <w:rPr>
                <w:rFonts w:ascii="Calibri" w:eastAsia="Times New Roman" w:hAnsi="Calibri" w:cs="Calibri"/>
                <w:sz w:val="20"/>
                <w:szCs w:val="20"/>
                <w:lang w:eastAsia="fr-FR"/>
              </w:rPr>
            </w:pPr>
            <w:r w:rsidRPr="008D300D">
              <w:rPr>
                <w:rFonts w:ascii="Calibri" w:eastAsia="Times New Roman" w:hAnsi="Calibri" w:cs="Calibri"/>
                <w:sz w:val="20"/>
                <w:szCs w:val="20"/>
                <w:lang w:eastAsia="fr-FR"/>
              </w:rPr>
              <w:t>tonnes</w:t>
            </w:r>
          </w:p>
        </w:tc>
        <w:tc>
          <w:tcPr>
            <w:tcW w:w="661" w:type="pct"/>
            <w:shd w:val="clear" w:color="auto" w:fill="auto"/>
            <w:hideMark/>
          </w:tcPr>
          <w:p w14:paraId="64FAF896" w14:textId="77777777" w:rsidR="00FC3915" w:rsidRPr="008D300D" w:rsidRDefault="00FC3915" w:rsidP="00F12682">
            <w:pPr>
              <w:spacing w:after="0" w:line="240" w:lineRule="auto"/>
              <w:jc w:val="right"/>
              <w:rPr>
                <w:rFonts w:ascii="Calibri" w:eastAsia="Times New Roman" w:hAnsi="Calibri" w:cs="Calibri"/>
                <w:bCs/>
                <w:sz w:val="20"/>
                <w:szCs w:val="20"/>
                <w:lang w:eastAsia="fr-FR"/>
              </w:rPr>
            </w:pPr>
            <w:r w:rsidRPr="008D300D">
              <w:rPr>
                <w:rFonts w:ascii="Calibri" w:eastAsia="Times New Roman" w:hAnsi="Calibri" w:cs="Calibri"/>
                <w:bCs/>
                <w:sz w:val="20"/>
                <w:szCs w:val="20"/>
                <w:lang w:eastAsia="fr-FR"/>
              </w:rPr>
              <w:t>30 000</w:t>
            </w:r>
          </w:p>
        </w:tc>
        <w:tc>
          <w:tcPr>
            <w:tcW w:w="745" w:type="pct"/>
            <w:shd w:val="clear" w:color="auto" w:fill="auto"/>
            <w:noWrap/>
            <w:hideMark/>
          </w:tcPr>
          <w:p w14:paraId="0B1F789F" w14:textId="271ECFCA"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14 986,37</w:t>
            </w:r>
          </w:p>
        </w:tc>
        <w:tc>
          <w:tcPr>
            <w:tcW w:w="739" w:type="pct"/>
            <w:shd w:val="clear" w:color="auto" w:fill="auto"/>
            <w:noWrap/>
            <w:hideMark/>
          </w:tcPr>
          <w:p w14:paraId="660232AE" w14:textId="45D0783A"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49,95</w:t>
            </w:r>
          </w:p>
        </w:tc>
      </w:tr>
      <w:tr w:rsidR="00FC3915" w:rsidRPr="008D300D" w14:paraId="07667224" w14:textId="77777777" w:rsidTr="00F12682">
        <w:tc>
          <w:tcPr>
            <w:tcW w:w="2444" w:type="pct"/>
            <w:shd w:val="clear" w:color="auto" w:fill="auto"/>
            <w:hideMark/>
          </w:tcPr>
          <w:p w14:paraId="41C37CA9" w14:textId="77777777" w:rsidR="00FC3915" w:rsidRPr="008D300D" w:rsidRDefault="00FC3915" w:rsidP="00F12682">
            <w:pPr>
              <w:spacing w:after="0" w:line="240" w:lineRule="auto"/>
              <w:rPr>
                <w:rFonts w:ascii="Calibri" w:eastAsia="Times New Roman" w:hAnsi="Calibri" w:cs="Calibri"/>
                <w:bCs/>
                <w:iCs/>
                <w:sz w:val="20"/>
                <w:szCs w:val="20"/>
                <w:lang w:eastAsia="fr-FR"/>
              </w:rPr>
            </w:pPr>
            <w:r w:rsidRPr="008D300D">
              <w:rPr>
                <w:rFonts w:ascii="Calibri" w:eastAsia="Times New Roman" w:hAnsi="Calibri" w:cs="Calibri"/>
                <w:bCs/>
                <w:iCs/>
                <w:sz w:val="20"/>
                <w:szCs w:val="20"/>
                <w:lang w:eastAsia="fr-FR"/>
              </w:rPr>
              <w:t>Régénération naturelle assistée (RNA)</w:t>
            </w:r>
          </w:p>
        </w:tc>
        <w:tc>
          <w:tcPr>
            <w:tcW w:w="411" w:type="pct"/>
            <w:shd w:val="clear" w:color="auto" w:fill="auto"/>
            <w:hideMark/>
          </w:tcPr>
          <w:p w14:paraId="039224EF" w14:textId="77777777" w:rsidR="00FC3915" w:rsidRPr="008D300D" w:rsidRDefault="00FC3915" w:rsidP="00F12682">
            <w:pPr>
              <w:spacing w:after="0" w:line="240" w:lineRule="auto"/>
              <w:rPr>
                <w:rFonts w:ascii="Calibri" w:eastAsia="Times New Roman" w:hAnsi="Calibri" w:cs="Calibri"/>
                <w:sz w:val="20"/>
                <w:szCs w:val="20"/>
                <w:lang w:eastAsia="fr-FR"/>
              </w:rPr>
            </w:pPr>
            <w:r w:rsidRPr="008D300D">
              <w:rPr>
                <w:rFonts w:ascii="Calibri" w:eastAsia="Times New Roman" w:hAnsi="Calibri" w:cs="Calibri"/>
                <w:sz w:val="20"/>
                <w:szCs w:val="20"/>
                <w:lang w:eastAsia="fr-FR"/>
              </w:rPr>
              <w:t>ha</w:t>
            </w:r>
          </w:p>
        </w:tc>
        <w:tc>
          <w:tcPr>
            <w:tcW w:w="661" w:type="pct"/>
            <w:shd w:val="clear" w:color="auto" w:fill="auto"/>
            <w:hideMark/>
          </w:tcPr>
          <w:p w14:paraId="3B1EB09D" w14:textId="77777777" w:rsidR="00FC3915" w:rsidRPr="008D300D" w:rsidRDefault="00FC3915" w:rsidP="00F12682">
            <w:pPr>
              <w:spacing w:after="0" w:line="240" w:lineRule="auto"/>
              <w:jc w:val="right"/>
              <w:rPr>
                <w:rFonts w:ascii="Calibri" w:eastAsia="Times New Roman" w:hAnsi="Calibri" w:cs="Calibri"/>
                <w:bCs/>
                <w:sz w:val="20"/>
                <w:szCs w:val="20"/>
                <w:lang w:eastAsia="fr-FR"/>
              </w:rPr>
            </w:pPr>
            <w:r w:rsidRPr="008D300D">
              <w:rPr>
                <w:rFonts w:ascii="Calibri" w:eastAsia="Times New Roman" w:hAnsi="Calibri" w:cs="Calibri"/>
                <w:bCs/>
                <w:sz w:val="20"/>
                <w:szCs w:val="20"/>
                <w:lang w:eastAsia="fr-FR"/>
              </w:rPr>
              <w:t>70 000</w:t>
            </w:r>
          </w:p>
        </w:tc>
        <w:tc>
          <w:tcPr>
            <w:tcW w:w="745" w:type="pct"/>
            <w:shd w:val="clear" w:color="auto" w:fill="auto"/>
            <w:noWrap/>
            <w:hideMark/>
          </w:tcPr>
          <w:p w14:paraId="236A52D3" w14:textId="64B122BB"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24 808,89</w:t>
            </w:r>
          </w:p>
        </w:tc>
        <w:tc>
          <w:tcPr>
            <w:tcW w:w="739" w:type="pct"/>
            <w:shd w:val="clear" w:color="auto" w:fill="auto"/>
            <w:noWrap/>
            <w:hideMark/>
          </w:tcPr>
          <w:p w14:paraId="0C4A2DE9" w14:textId="3F05DEB0" w:rsidR="00FC3915" w:rsidRPr="008D300D" w:rsidRDefault="00FC3915" w:rsidP="00F12682">
            <w:pPr>
              <w:spacing w:after="0" w:line="240" w:lineRule="auto"/>
              <w:jc w:val="right"/>
              <w:rPr>
                <w:rFonts w:ascii="Calibri" w:eastAsia="Times New Roman" w:hAnsi="Calibri" w:cs="Calibri"/>
                <w:color w:val="000000"/>
                <w:sz w:val="20"/>
                <w:szCs w:val="20"/>
                <w:lang w:eastAsia="fr-FR"/>
              </w:rPr>
            </w:pPr>
            <w:r w:rsidRPr="008D300D">
              <w:rPr>
                <w:rFonts w:ascii="Calibri" w:eastAsia="Times New Roman" w:hAnsi="Calibri" w:cs="Calibri"/>
                <w:color w:val="000000"/>
                <w:sz w:val="20"/>
                <w:szCs w:val="20"/>
                <w:lang w:eastAsia="fr-FR"/>
              </w:rPr>
              <w:t>35,44</w:t>
            </w:r>
          </w:p>
        </w:tc>
      </w:tr>
    </w:tbl>
    <w:p w14:paraId="7B27479C" w14:textId="77777777" w:rsidR="009B2545" w:rsidRPr="00673E94" w:rsidRDefault="009B2545" w:rsidP="00F12682">
      <w:pPr>
        <w:spacing w:after="120" w:line="276" w:lineRule="auto"/>
        <w:jc w:val="both"/>
        <w:rPr>
          <w:rFonts w:ascii="Calibri" w:eastAsiaTheme="majorEastAsia" w:hAnsi="Calibri" w:cs="Calibri"/>
          <w:iCs/>
          <w:sz w:val="24"/>
        </w:rPr>
      </w:pPr>
    </w:p>
    <w:p w14:paraId="0C005335" w14:textId="77777777" w:rsidR="00895CB2" w:rsidRPr="004A5122" w:rsidRDefault="00895CB2" w:rsidP="00F12682">
      <w:pPr>
        <w:pStyle w:val="Titre4"/>
        <w:rPr>
          <w:rFonts w:asciiTheme="minorHAnsi" w:hAnsiTheme="minorHAnsi" w:cstheme="minorHAnsi"/>
        </w:rPr>
      </w:pPr>
      <w:r w:rsidRPr="004A5122">
        <w:rPr>
          <w:rFonts w:asciiTheme="minorHAnsi" w:hAnsiTheme="minorHAnsi" w:cstheme="minorHAnsi"/>
        </w:rPr>
        <w:t>Synthèse et perspective</w:t>
      </w:r>
    </w:p>
    <w:p w14:paraId="00A32629" w14:textId="47528ADC" w:rsidR="00C03E1E" w:rsidRPr="00673E94" w:rsidRDefault="00C03E1E" w:rsidP="00F12682">
      <w:pPr>
        <w:spacing w:after="120" w:line="276" w:lineRule="auto"/>
        <w:jc w:val="both"/>
        <w:rPr>
          <w:rFonts w:ascii="Calibri" w:eastAsiaTheme="majorEastAsia" w:hAnsi="Calibri" w:cs="Calibri"/>
          <w:iCs/>
          <w:sz w:val="24"/>
        </w:rPr>
      </w:pPr>
      <w:r w:rsidRPr="00673E94">
        <w:rPr>
          <w:rFonts w:ascii="Calibri" w:eastAsiaTheme="majorEastAsia" w:hAnsi="Calibri" w:cs="Calibri"/>
          <w:iCs/>
          <w:sz w:val="24"/>
        </w:rPr>
        <w:t>L'ensemble de ces réalisations a mobilisé 3</w:t>
      </w:r>
      <w:r w:rsidR="00673E94">
        <w:rPr>
          <w:rFonts w:ascii="Calibri" w:eastAsiaTheme="majorEastAsia" w:hAnsi="Calibri" w:cs="Calibri"/>
          <w:iCs/>
          <w:sz w:val="24"/>
        </w:rPr>
        <w:t> </w:t>
      </w:r>
      <w:r w:rsidRPr="00673E94">
        <w:rPr>
          <w:rFonts w:ascii="Calibri" w:eastAsiaTheme="majorEastAsia" w:hAnsi="Calibri" w:cs="Calibri"/>
          <w:iCs/>
          <w:sz w:val="24"/>
        </w:rPr>
        <w:t>143 148 hommes jours, soit la création de 23</w:t>
      </w:r>
      <w:r w:rsidR="00673E94">
        <w:rPr>
          <w:rFonts w:ascii="Calibri" w:eastAsiaTheme="majorEastAsia" w:hAnsi="Calibri" w:cs="Calibri"/>
          <w:iCs/>
          <w:sz w:val="24"/>
        </w:rPr>
        <w:t> </w:t>
      </w:r>
      <w:r w:rsidRPr="00673E94">
        <w:rPr>
          <w:rFonts w:ascii="Calibri" w:eastAsiaTheme="majorEastAsia" w:hAnsi="Calibri" w:cs="Calibri"/>
          <w:iCs/>
          <w:sz w:val="24"/>
        </w:rPr>
        <w:t>811</w:t>
      </w:r>
      <w:r w:rsidR="00673E94">
        <w:rPr>
          <w:rFonts w:ascii="Calibri" w:eastAsiaTheme="majorEastAsia" w:hAnsi="Calibri" w:cs="Calibri"/>
          <w:iCs/>
          <w:sz w:val="24"/>
        </w:rPr>
        <w:t xml:space="preserve"> </w:t>
      </w:r>
      <w:r w:rsidRPr="00673E94">
        <w:rPr>
          <w:rFonts w:ascii="Calibri" w:eastAsiaTheme="majorEastAsia" w:hAnsi="Calibri" w:cs="Calibri"/>
          <w:iCs/>
          <w:sz w:val="24"/>
        </w:rPr>
        <w:t>emplois temporaires de six mois, ayant bénéficié en cash de plus de</w:t>
      </w:r>
      <w:r w:rsidR="003D34E5">
        <w:rPr>
          <w:rFonts w:ascii="Calibri" w:eastAsiaTheme="majorEastAsia" w:hAnsi="Calibri" w:cs="Calibri"/>
          <w:iCs/>
          <w:sz w:val="24"/>
        </w:rPr>
        <w:t xml:space="preserve"> </w:t>
      </w:r>
      <w:r w:rsidRPr="00673E94">
        <w:rPr>
          <w:rFonts w:ascii="Calibri" w:eastAsiaTheme="majorEastAsia" w:hAnsi="Calibri" w:cs="Calibri"/>
          <w:iCs/>
          <w:sz w:val="24"/>
        </w:rPr>
        <w:t xml:space="preserve">sept (7) milliards de francs CFA. </w:t>
      </w:r>
    </w:p>
    <w:p w14:paraId="0DFBA8D9" w14:textId="2F46C0A2" w:rsidR="00C03E1E" w:rsidRPr="00673E94" w:rsidRDefault="00C03E1E" w:rsidP="00F12682">
      <w:pPr>
        <w:spacing w:after="120" w:line="276" w:lineRule="auto"/>
        <w:jc w:val="both"/>
        <w:rPr>
          <w:rFonts w:ascii="Calibri" w:eastAsiaTheme="majorEastAsia" w:hAnsi="Calibri" w:cs="Calibri"/>
          <w:iCs/>
          <w:sz w:val="24"/>
        </w:rPr>
      </w:pPr>
      <w:r w:rsidRPr="00673E94">
        <w:rPr>
          <w:rFonts w:ascii="Calibri" w:eastAsiaTheme="majorEastAsia" w:hAnsi="Calibri" w:cs="Calibri"/>
          <w:iCs/>
          <w:sz w:val="24"/>
        </w:rPr>
        <w:t>Aussi la production de 14</w:t>
      </w:r>
      <w:r w:rsidR="00673E94">
        <w:rPr>
          <w:rFonts w:ascii="Calibri" w:eastAsiaTheme="majorEastAsia" w:hAnsi="Calibri" w:cs="Calibri"/>
          <w:iCs/>
          <w:sz w:val="24"/>
        </w:rPr>
        <w:t> </w:t>
      </w:r>
      <w:r w:rsidRPr="00673E94">
        <w:rPr>
          <w:rFonts w:ascii="Calibri" w:eastAsiaTheme="majorEastAsia" w:hAnsi="Calibri" w:cs="Calibri"/>
          <w:iCs/>
          <w:sz w:val="24"/>
        </w:rPr>
        <w:t>404</w:t>
      </w:r>
      <w:r w:rsidR="00673E94">
        <w:rPr>
          <w:rFonts w:ascii="Calibri" w:eastAsiaTheme="majorEastAsia" w:hAnsi="Calibri" w:cs="Calibri"/>
          <w:iCs/>
          <w:sz w:val="24"/>
        </w:rPr>
        <w:t xml:space="preserve"> </w:t>
      </w:r>
      <w:r w:rsidRPr="00673E94">
        <w:rPr>
          <w:rFonts w:ascii="Calibri" w:eastAsiaTheme="majorEastAsia" w:hAnsi="Calibri" w:cs="Calibri"/>
          <w:iCs/>
          <w:sz w:val="24"/>
        </w:rPr>
        <w:t>tonnes de poisson</w:t>
      </w:r>
      <w:r w:rsidR="00673E94">
        <w:rPr>
          <w:rFonts w:ascii="Calibri" w:eastAsiaTheme="majorEastAsia" w:hAnsi="Calibri" w:cs="Calibri"/>
          <w:iCs/>
          <w:sz w:val="24"/>
        </w:rPr>
        <w:t xml:space="preserve"> </w:t>
      </w:r>
      <w:r w:rsidRPr="00673E94">
        <w:rPr>
          <w:rFonts w:ascii="Calibri" w:eastAsiaTheme="majorEastAsia" w:hAnsi="Calibri" w:cs="Calibri"/>
          <w:iCs/>
          <w:sz w:val="24"/>
        </w:rPr>
        <w:t>a généré un chiffre d'affaire de plus de 14,66 milliards de francs CFA.</w:t>
      </w:r>
    </w:p>
    <w:p w14:paraId="0A8937EC" w14:textId="4B1E5CE6" w:rsidR="00C03E1E" w:rsidRPr="00673E94" w:rsidRDefault="00C03E1E" w:rsidP="00F12682">
      <w:pPr>
        <w:spacing w:after="120" w:line="276" w:lineRule="auto"/>
        <w:jc w:val="both"/>
        <w:rPr>
          <w:rFonts w:ascii="Calibri" w:eastAsiaTheme="majorEastAsia" w:hAnsi="Calibri" w:cs="Calibri"/>
          <w:iCs/>
          <w:sz w:val="24"/>
        </w:rPr>
      </w:pPr>
      <w:r w:rsidRPr="00673E94">
        <w:rPr>
          <w:rFonts w:ascii="Calibri" w:eastAsiaTheme="majorEastAsia" w:hAnsi="Calibri" w:cs="Calibri"/>
          <w:iCs/>
          <w:sz w:val="24"/>
        </w:rPr>
        <w:t>Les faibles taux de réalisation observés au niveau de toutes les activités s'expliquent par les difficultés de mobilisation de ressources financières d’une part, et l'insuffisance de synergie</w:t>
      </w:r>
      <w:r w:rsidR="003D34E5">
        <w:rPr>
          <w:rFonts w:ascii="Calibri" w:eastAsiaTheme="majorEastAsia" w:hAnsi="Calibri" w:cs="Calibri"/>
          <w:iCs/>
          <w:sz w:val="24"/>
        </w:rPr>
        <w:t xml:space="preserve"> </w:t>
      </w:r>
      <w:r w:rsidRPr="00673E94">
        <w:rPr>
          <w:rFonts w:ascii="Calibri" w:eastAsiaTheme="majorEastAsia" w:hAnsi="Calibri" w:cs="Calibri"/>
          <w:iCs/>
          <w:sz w:val="24"/>
        </w:rPr>
        <w:t>entre la multitude d'acteurs d'autre part, qui ne permettent pas</w:t>
      </w:r>
      <w:r w:rsidR="003D34E5">
        <w:rPr>
          <w:rFonts w:ascii="Calibri" w:eastAsiaTheme="majorEastAsia" w:hAnsi="Calibri" w:cs="Calibri"/>
          <w:iCs/>
          <w:sz w:val="24"/>
        </w:rPr>
        <w:t xml:space="preserve"> </w:t>
      </w:r>
      <w:r w:rsidRPr="00673E94">
        <w:rPr>
          <w:rFonts w:ascii="Calibri" w:eastAsiaTheme="majorEastAsia" w:hAnsi="Calibri" w:cs="Calibri"/>
          <w:iCs/>
          <w:sz w:val="24"/>
        </w:rPr>
        <w:t>de capitaliser le maximum de données.</w:t>
      </w:r>
    </w:p>
    <w:p w14:paraId="3947E404" w14:textId="620E34B2" w:rsidR="005445F6" w:rsidRDefault="00BA46E2"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A</w:t>
      </w:r>
      <w:r w:rsidR="00C03E1E" w:rsidRPr="00673E94">
        <w:rPr>
          <w:rFonts w:ascii="Calibri" w:eastAsiaTheme="majorEastAsia" w:hAnsi="Calibri" w:cs="Calibri"/>
          <w:iCs/>
          <w:sz w:val="24"/>
        </w:rPr>
        <w:t>fin de pallier les difficultés, le Ministère développe des initiatives</w:t>
      </w:r>
      <w:r w:rsidR="003D34E5">
        <w:rPr>
          <w:rFonts w:ascii="Calibri" w:eastAsiaTheme="majorEastAsia" w:hAnsi="Calibri" w:cs="Calibri"/>
          <w:iCs/>
          <w:sz w:val="24"/>
        </w:rPr>
        <w:t xml:space="preserve"> </w:t>
      </w:r>
      <w:r w:rsidR="00C03E1E" w:rsidRPr="00673E94">
        <w:rPr>
          <w:rFonts w:ascii="Calibri" w:eastAsiaTheme="majorEastAsia" w:hAnsi="Calibri" w:cs="Calibri"/>
          <w:iCs/>
          <w:sz w:val="24"/>
        </w:rPr>
        <w:t>notamment l’élaboration des dossiers de projets et le développement de partenariat</w:t>
      </w:r>
      <w:r w:rsidR="003D34E5">
        <w:rPr>
          <w:rFonts w:ascii="Calibri" w:eastAsiaTheme="majorEastAsia" w:hAnsi="Calibri" w:cs="Calibri"/>
          <w:iCs/>
          <w:sz w:val="24"/>
        </w:rPr>
        <w:t xml:space="preserve"> </w:t>
      </w:r>
      <w:r w:rsidR="00C03E1E" w:rsidRPr="00673E94">
        <w:rPr>
          <w:rFonts w:ascii="Calibri" w:eastAsiaTheme="majorEastAsia" w:hAnsi="Calibri" w:cs="Calibri"/>
          <w:iCs/>
          <w:sz w:val="24"/>
        </w:rPr>
        <w:t>avec les Parten</w:t>
      </w:r>
      <w:r w:rsidR="00673E94">
        <w:rPr>
          <w:rFonts w:ascii="Calibri" w:eastAsiaTheme="majorEastAsia" w:hAnsi="Calibri" w:cs="Calibri"/>
          <w:iCs/>
          <w:sz w:val="24"/>
        </w:rPr>
        <w:t>aires Techniques et Financiers</w:t>
      </w:r>
      <w:r w:rsidR="00C03E1E" w:rsidRPr="00673E94">
        <w:rPr>
          <w:rFonts w:ascii="Calibri" w:eastAsiaTheme="majorEastAsia" w:hAnsi="Calibri" w:cs="Calibri"/>
          <w:iCs/>
          <w:sz w:val="24"/>
        </w:rPr>
        <w:t xml:space="preserve">(PTF) et les </w:t>
      </w:r>
      <w:proofErr w:type="spellStart"/>
      <w:r w:rsidR="00C03E1E" w:rsidRPr="00673E94">
        <w:rPr>
          <w:rFonts w:ascii="Calibri" w:eastAsiaTheme="majorEastAsia" w:hAnsi="Calibri" w:cs="Calibri"/>
          <w:iCs/>
          <w:sz w:val="24"/>
        </w:rPr>
        <w:t>ONGs</w:t>
      </w:r>
      <w:proofErr w:type="spellEnd"/>
      <w:r w:rsidR="00C03E1E" w:rsidRPr="00673E94">
        <w:rPr>
          <w:rFonts w:ascii="Calibri" w:eastAsiaTheme="majorEastAsia" w:hAnsi="Calibri" w:cs="Calibri"/>
          <w:iCs/>
          <w:sz w:val="24"/>
        </w:rPr>
        <w:t>.</w:t>
      </w:r>
    </w:p>
    <w:p w14:paraId="765E55D0" w14:textId="77777777" w:rsidR="005B4047" w:rsidRDefault="005B4047" w:rsidP="00F12682">
      <w:pPr>
        <w:spacing w:after="120" w:line="276" w:lineRule="auto"/>
        <w:jc w:val="both"/>
        <w:rPr>
          <w:rFonts w:ascii="Calibri" w:eastAsiaTheme="majorEastAsia" w:hAnsi="Calibri" w:cs="Calibri"/>
          <w:iCs/>
          <w:sz w:val="24"/>
        </w:rPr>
      </w:pPr>
    </w:p>
    <w:p w14:paraId="6EEBEB1B" w14:textId="77777777" w:rsidR="00942A9B" w:rsidRDefault="00942A9B" w:rsidP="00F12682">
      <w:pPr>
        <w:spacing w:after="120" w:line="276" w:lineRule="auto"/>
        <w:jc w:val="both"/>
        <w:rPr>
          <w:rFonts w:ascii="Calibri" w:eastAsiaTheme="majorEastAsia" w:hAnsi="Calibri" w:cs="Calibri"/>
          <w:iCs/>
          <w:sz w:val="24"/>
        </w:rPr>
      </w:pPr>
    </w:p>
    <w:p w14:paraId="1D40601E" w14:textId="05A11227" w:rsidR="005B4047" w:rsidRDefault="005B4047" w:rsidP="00F12682">
      <w:pPr>
        <w:pStyle w:val="Titre2"/>
        <w:numPr>
          <w:ilvl w:val="1"/>
          <w:numId w:val="22"/>
        </w:numPr>
        <w:rPr>
          <w:rFonts w:asciiTheme="minorHAnsi" w:hAnsiTheme="minorHAnsi" w:cstheme="minorHAnsi"/>
        </w:rPr>
      </w:pPr>
      <w:bookmarkStart w:id="184" w:name="_Toc529305044"/>
      <w:r>
        <w:rPr>
          <w:rFonts w:asciiTheme="minorHAnsi" w:hAnsiTheme="minorHAnsi" w:cstheme="minorHAnsi"/>
        </w:rPr>
        <w:t>Ministère de l’Hydraulique et de l’Assainissement (</w:t>
      </w:r>
      <w:r w:rsidRPr="004A5122">
        <w:rPr>
          <w:rFonts w:asciiTheme="minorHAnsi" w:hAnsiTheme="minorHAnsi" w:cstheme="minorHAnsi"/>
        </w:rPr>
        <w:t>M</w:t>
      </w:r>
      <w:r w:rsidR="0023259E">
        <w:rPr>
          <w:rFonts w:asciiTheme="minorHAnsi" w:hAnsiTheme="minorHAnsi" w:cstheme="minorHAnsi"/>
        </w:rPr>
        <w:t>H</w:t>
      </w:r>
      <w:r>
        <w:rPr>
          <w:rFonts w:asciiTheme="minorHAnsi" w:hAnsiTheme="minorHAnsi" w:cstheme="minorHAnsi"/>
        </w:rPr>
        <w:t>A)</w:t>
      </w:r>
      <w:bookmarkEnd w:id="184"/>
    </w:p>
    <w:p w14:paraId="516BE451" w14:textId="6204D204" w:rsidR="005B4047" w:rsidRDefault="005B4047" w:rsidP="00F12682">
      <w:pPr>
        <w:spacing w:after="120" w:line="276" w:lineRule="auto"/>
        <w:jc w:val="both"/>
        <w:rPr>
          <w:rFonts w:ascii="Calibri" w:eastAsiaTheme="majorEastAsia" w:hAnsi="Calibri" w:cs="Calibri"/>
          <w:iCs/>
          <w:sz w:val="24"/>
        </w:rPr>
      </w:pPr>
      <w:r w:rsidRPr="005B4047">
        <w:rPr>
          <w:rFonts w:ascii="Calibri" w:eastAsiaTheme="majorEastAsia" w:hAnsi="Calibri" w:cs="Calibri"/>
          <w:iCs/>
          <w:sz w:val="24"/>
        </w:rPr>
        <w:t xml:space="preserve">Au cours de l’année 2016, sur la base des ressources mobilisées et consommées, le </w:t>
      </w:r>
      <w:r w:rsidR="00757CF6">
        <w:rPr>
          <w:rFonts w:ascii="Calibri" w:eastAsiaTheme="majorEastAsia" w:hAnsi="Calibri" w:cs="Calibri"/>
          <w:iCs/>
          <w:sz w:val="24"/>
        </w:rPr>
        <w:t xml:space="preserve">MHA </w:t>
      </w:r>
      <w:r w:rsidRPr="005B4047">
        <w:rPr>
          <w:rFonts w:ascii="Calibri" w:eastAsiaTheme="majorEastAsia" w:hAnsi="Calibri" w:cs="Calibri"/>
          <w:iCs/>
          <w:sz w:val="24"/>
        </w:rPr>
        <w:t>a pu booster le niveau des indicateurs sociaux du secteur dont il a la charge.</w:t>
      </w:r>
    </w:p>
    <w:p w14:paraId="775A2D11" w14:textId="77777777" w:rsidR="00870868" w:rsidRPr="005B4047" w:rsidRDefault="00870868" w:rsidP="00F12682">
      <w:pPr>
        <w:spacing w:after="120" w:line="276" w:lineRule="auto"/>
        <w:jc w:val="both"/>
        <w:rPr>
          <w:rFonts w:ascii="Calibri" w:eastAsiaTheme="majorEastAsia" w:hAnsi="Calibri" w:cs="Calibri"/>
          <w:iCs/>
          <w:sz w:val="24"/>
        </w:rPr>
      </w:pPr>
    </w:p>
    <w:p w14:paraId="77B5DFBB" w14:textId="77777777" w:rsidR="005B4047" w:rsidRPr="001B6F2D" w:rsidRDefault="005B4047" w:rsidP="00F12682">
      <w:pPr>
        <w:pStyle w:val="Titre4"/>
        <w:rPr>
          <w:rFonts w:asciiTheme="minorHAnsi" w:hAnsiTheme="minorHAnsi" w:cstheme="minorHAnsi"/>
        </w:rPr>
      </w:pPr>
      <w:r w:rsidRPr="001B6F2D">
        <w:rPr>
          <w:rFonts w:asciiTheme="minorHAnsi" w:hAnsiTheme="minorHAnsi" w:cstheme="minorHAnsi"/>
        </w:rPr>
        <w:t xml:space="preserve">Analyse de l’efficacité des dépenses de fonctionnement </w:t>
      </w:r>
    </w:p>
    <w:p w14:paraId="0B744E50" w14:textId="32EE528D" w:rsidR="004E6BC6" w:rsidRDefault="00E76B9D" w:rsidP="00F12682">
      <w:pPr>
        <w:spacing w:after="120" w:line="276" w:lineRule="auto"/>
        <w:jc w:val="both"/>
        <w:rPr>
          <w:rFonts w:ascii="Calibri" w:eastAsiaTheme="majorEastAsia" w:hAnsi="Calibri" w:cs="Calibri"/>
          <w:iCs/>
          <w:sz w:val="24"/>
        </w:rPr>
      </w:pPr>
      <w:r w:rsidRPr="008D300D">
        <w:rPr>
          <w:rFonts w:ascii="Calibri" w:eastAsiaTheme="majorEastAsia" w:hAnsi="Calibri" w:cs="Calibri"/>
          <w:iCs/>
          <w:sz w:val="24"/>
        </w:rPr>
        <w:t>Un peu moins de la moitié (47%) des</w:t>
      </w:r>
      <w:r w:rsidR="002A25CD" w:rsidRPr="008D300D">
        <w:rPr>
          <w:rFonts w:ascii="Calibri" w:eastAsiaTheme="majorEastAsia" w:hAnsi="Calibri" w:cs="Calibri"/>
          <w:iCs/>
          <w:sz w:val="24"/>
        </w:rPr>
        <w:t xml:space="preserve"> crédits de fonctionnement sont </w:t>
      </w:r>
      <w:r w:rsidRPr="008D300D">
        <w:rPr>
          <w:rFonts w:ascii="Calibri" w:eastAsiaTheme="majorEastAsia" w:hAnsi="Calibri" w:cs="Calibri"/>
          <w:iCs/>
          <w:sz w:val="24"/>
        </w:rPr>
        <w:t>consommés en 2016 au MHA, soit</w:t>
      </w:r>
      <w:r w:rsidR="00A81522" w:rsidRPr="008D300D">
        <w:rPr>
          <w:rFonts w:ascii="Calibri" w:eastAsiaTheme="majorEastAsia" w:hAnsi="Calibri" w:cs="Calibri"/>
          <w:iCs/>
          <w:sz w:val="24"/>
        </w:rPr>
        <w:t xml:space="preserve"> 299,66 </w:t>
      </w:r>
      <w:r w:rsidR="008D300D" w:rsidRPr="008D300D">
        <w:rPr>
          <w:rFonts w:ascii="Calibri" w:eastAsiaTheme="majorEastAsia" w:hAnsi="Calibri" w:cs="Calibri"/>
          <w:iCs/>
          <w:sz w:val="24"/>
        </w:rPr>
        <w:t>m</w:t>
      </w:r>
      <w:r w:rsidR="00A81522" w:rsidRPr="008D300D">
        <w:rPr>
          <w:rFonts w:ascii="Calibri" w:eastAsiaTheme="majorEastAsia" w:hAnsi="Calibri" w:cs="Calibri"/>
          <w:iCs/>
          <w:sz w:val="24"/>
        </w:rPr>
        <w:t>illions</w:t>
      </w:r>
      <w:r w:rsidR="008D300D" w:rsidRPr="008D300D">
        <w:rPr>
          <w:rFonts w:ascii="Calibri" w:eastAsiaTheme="majorEastAsia" w:hAnsi="Calibri" w:cs="Calibri"/>
          <w:iCs/>
          <w:sz w:val="24"/>
        </w:rPr>
        <w:t xml:space="preserve"> de francs CFA</w:t>
      </w:r>
      <w:r w:rsidR="00A81522" w:rsidRPr="008D300D">
        <w:rPr>
          <w:rFonts w:ascii="Calibri" w:eastAsiaTheme="majorEastAsia" w:hAnsi="Calibri" w:cs="Calibri"/>
          <w:iCs/>
          <w:sz w:val="24"/>
        </w:rPr>
        <w:t>.</w:t>
      </w:r>
      <w:r w:rsidRPr="008D300D">
        <w:rPr>
          <w:rFonts w:ascii="Calibri" w:eastAsiaTheme="majorEastAsia" w:hAnsi="Calibri" w:cs="Calibri"/>
          <w:iCs/>
          <w:sz w:val="24"/>
        </w:rPr>
        <w:t xml:space="preserve"> </w:t>
      </w:r>
      <w:r w:rsidR="008064A7" w:rsidRPr="008D300D">
        <w:rPr>
          <w:rFonts w:ascii="Calibri" w:eastAsiaTheme="majorEastAsia" w:hAnsi="Calibri" w:cs="Calibri"/>
          <w:iCs/>
          <w:sz w:val="24"/>
        </w:rPr>
        <w:t xml:space="preserve">Près de </w:t>
      </w:r>
      <w:r w:rsidR="00EE2584" w:rsidRPr="008D300D">
        <w:rPr>
          <w:rFonts w:ascii="Calibri" w:eastAsiaTheme="majorEastAsia" w:hAnsi="Calibri" w:cs="Calibri"/>
          <w:iCs/>
          <w:sz w:val="24"/>
        </w:rPr>
        <w:t xml:space="preserve">75% de ce montant a été </w:t>
      </w:r>
      <w:r w:rsidR="006D0DF5" w:rsidRPr="008D300D">
        <w:rPr>
          <w:rFonts w:ascii="Calibri" w:eastAsiaTheme="majorEastAsia" w:hAnsi="Calibri" w:cs="Calibri"/>
          <w:iCs/>
          <w:sz w:val="24"/>
        </w:rPr>
        <w:t>géré par la DRFM et le cabinet. Toutes les autres directions centrales et toutes les stru</w:t>
      </w:r>
      <w:r w:rsidR="004E6BC6" w:rsidRPr="008D300D">
        <w:rPr>
          <w:rFonts w:ascii="Calibri" w:eastAsiaTheme="majorEastAsia" w:hAnsi="Calibri" w:cs="Calibri"/>
          <w:iCs/>
          <w:sz w:val="24"/>
        </w:rPr>
        <w:t>c</w:t>
      </w:r>
      <w:r w:rsidR="006D0DF5" w:rsidRPr="008D300D">
        <w:rPr>
          <w:rFonts w:ascii="Calibri" w:eastAsiaTheme="majorEastAsia" w:hAnsi="Calibri" w:cs="Calibri"/>
          <w:iCs/>
          <w:sz w:val="24"/>
        </w:rPr>
        <w:t>tu</w:t>
      </w:r>
      <w:r w:rsidR="004E6BC6" w:rsidRPr="008D300D">
        <w:rPr>
          <w:rFonts w:ascii="Calibri" w:eastAsiaTheme="majorEastAsia" w:hAnsi="Calibri" w:cs="Calibri"/>
          <w:iCs/>
          <w:sz w:val="24"/>
        </w:rPr>
        <w:t>res</w:t>
      </w:r>
      <w:r w:rsidR="006D0DF5" w:rsidRPr="008D300D">
        <w:rPr>
          <w:rFonts w:ascii="Calibri" w:eastAsiaTheme="majorEastAsia" w:hAnsi="Calibri" w:cs="Calibri"/>
          <w:iCs/>
          <w:sz w:val="24"/>
        </w:rPr>
        <w:t xml:space="preserve"> déconcentré</w:t>
      </w:r>
      <w:r w:rsidR="004E6BC6" w:rsidRPr="008D300D">
        <w:rPr>
          <w:rFonts w:ascii="Calibri" w:eastAsiaTheme="majorEastAsia" w:hAnsi="Calibri" w:cs="Calibri"/>
          <w:iCs/>
          <w:sz w:val="24"/>
        </w:rPr>
        <w:t>e</w:t>
      </w:r>
      <w:r w:rsidR="006D0DF5" w:rsidRPr="008D300D">
        <w:rPr>
          <w:rFonts w:ascii="Calibri" w:eastAsiaTheme="majorEastAsia" w:hAnsi="Calibri" w:cs="Calibri"/>
          <w:iCs/>
          <w:sz w:val="24"/>
        </w:rPr>
        <w:t>s n’ont reçu que respectivement 7% des</w:t>
      </w:r>
      <w:r w:rsidR="004E6BC6" w:rsidRPr="008D300D">
        <w:rPr>
          <w:rFonts w:ascii="Calibri" w:eastAsiaTheme="majorEastAsia" w:hAnsi="Calibri" w:cs="Calibri"/>
          <w:iCs/>
          <w:sz w:val="24"/>
        </w:rPr>
        <w:t xml:space="preserve"> tous les crédits consommés au MHA.</w:t>
      </w:r>
    </w:p>
    <w:p w14:paraId="251461FA" w14:textId="77777777" w:rsidR="00860B25" w:rsidRDefault="00860B25" w:rsidP="00F12682">
      <w:pPr>
        <w:spacing w:after="120" w:line="276" w:lineRule="auto"/>
        <w:jc w:val="both"/>
        <w:rPr>
          <w:rFonts w:ascii="Calibri" w:eastAsiaTheme="majorEastAsia" w:hAnsi="Calibri" w:cs="Calibri"/>
          <w:iCs/>
          <w:sz w:val="24"/>
        </w:rPr>
      </w:pPr>
    </w:p>
    <w:p w14:paraId="19FF7409" w14:textId="77777777" w:rsidR="00860B25" w:rsidRPr="008D300D" w:rsidRDefault="00860B25" w:rsidP="00F12682">
      <w:pPr>
        <w:spacing w:after="120" w:line="276" w:lineRule="auto"/>
        <w:jc w:val="both"/>
        <w:rPr>
          <w:rFonts w:ascii="Calibri" w:eastAsiaTheme="majorEastAsia" w:hAnsi="Calibri" w:cs="Calibri"/>
          <w:iCs/>
          <w:sz w:val="24"/>
        </w:rPr>
      </w:pPr>
    </w:p>
    <w:p w14:paraId="118B1CDD" w14:textId="7F663D52" w:rsidR="00DA6039" w:rsidRPr="008D300D" w:rsidRDefault="00DA6039" w:rsidP="00F12682">
      <w:pPr>
        <w:pStyle w:val="Lgende"/>
        <w:rPr>
          <w:rFonts w:eastAsiaTheme="majorEastAsia" w:cs="Calibri"/>
          <w:iCs w:val="0"/>
          <w:color w:val="auto"/>
        </w:rPr>
      </w:pPr>
      <w:bookmarkStart w:id="185" w:name="_Toc529305100"/>
      <w:r w:rsidRPr="008D300D">
        <w:rPr>
          <w:color w:val="auto"/>
        </w:rPr>
        <w:lastRenderedPageBreak/>
        <w:t xml:space="preserve">Tableau </w:t>
      </w:r>
      <w:r w:rsidRPr="008D300D">
        <w:rPr>
          <w:noProof/>
          <w:color w:val="auto"/>
        </w:rPr>
        <w:fldChar w:fldCharType="begin"/>
      </w:r>
      <w:r w:rsidRPr="008D300D">
        <w:rPr>
          <w:noProof/>
          <w:color w:val="auto"/>
        </w:rPr>
        <w:instrText xml:space="preserve"> SEQ Tableau \* ARABIC </w:instrText>
      </w:r>
      <w:r w:rsidRPr="008D300D">
        <w:rPr>
          <w:noProof/>
          <w:color w:val="auto"/>
        </w:rPr>
        <w:fldChar w:fldCharType="separate"/>
      </w:r>
      <w:r w:rsidR="001C37F0">
        <w:rPr>
          <w:noProof/>
          <w:color w:val="auto"/>
        </w:rPr>
        <w:t>46</w:t>
      </w:r>
      <w:r w:rsidRPr="008D300D">
        <w:rPr>
          <w:noProof/>
          <w:color w:val="auto"/>
        </w:rPr>
        <w:fldChar w:fldCharType="end"/>
      </w:r>
      <w:r w:rsidRPr="008D300D">
        <w:rPr>
          <w:rFonts w:eastAsiaTheme="majorEastAsia" w:cs="Calibri"/>
          <w:iCs w:val="0"/>
          <w:color w:val="auto"/>
        </w:rPr>
        <w:t> : Répartition des crédits de fonctionnement au MHA en 2016</w:t>
      </w:r>
      <w:bookmarkEnd w:id="185"/>
    </w:p>
    <w:tbl>
      <w:tblPr>
        <w:tblW w:w="5000" w:type="pct"/>
        <w:jc w:val="center"/>
        <w:tblLayout w:type="fixed"/>
        <w:tblCellMar>
          <w:left w:w="70" w:type="dxa"/>
          <w:right w:w="70" w:type="dxa"/>
        </w:tblCellMar>
        <w:tblLook w:val="04A0" w:firstRow="1" w:lastRow="0" w:firstColumn="1" w:lastColumn="0" w:noHBand="0" w:noVBand="1"/>
      </w:tblPr>
      <w:tblGrid>
        <w:gridCol w:w="2706"/>
        <w:gridCol w:w="1543"/>
        <w:gridCol w:w="1984"/>
        <w:gridCol w:w="2195"/>
        <w:gridCol w:w="1200"/>
      </w:tblGrid>
      <w:tr w:rsidR="008D300D" w:rsidRPr="008D300D" w14:paraId="452C677C" w14:textId="77777777" w:rsidTr="008D300D">
        <w:trPr>
          <w:trHeight w:val="170"/>
          <w:jc w:val="center"/>
        </w:trPr>
        <w:tc>
          <w:tcPr>
            <w:tcW w:w="1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11EE2" w14:textId="3AC56F56" w:rsidR="0073063E" w:rsidRPr="008D300D" w:rsidRDefault="008D300D" w:rsidP="00F12682">
            <w:pPr>
              <w:spacing w:after="0" w:line="240" w:lineRule="auto"/>
              <w:jc w:val="center"/>
              <w:rPr>
                <w:rFonts w:eastAsia="Times New Roman" w:cstheme="minorHAnsi"/>
                <w:b/>
                <w:sz w:val="20"/>
                <w:szCs w:val="20"/>
                <w:lang w:eastAsia="fr-FR"/>
              </w:rPr>
            </w:pPr>
            <w:r w:rsidRPr="008D300D">
              <w:rPr>
                <w:rFonts w:eastAsia="Times New Roman" w:cstheme="minorHAnsi"/>
                <w:b/>
                <w:sz w:val="20"/>
                <w:szCs w:val="20"/>
                <w:lang w:eastAsia="fr-FR"/>
              </w:rPr>
              <w:t>Administration</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20DAB253" w14:textId="5A2EE1C1" w:rsidR="0073063E" w:rsidRPr="008D300D" w:rsidRDefault="008D300D" w:rsidP="00F12682">
            <w:pPr>
              <w:spacing w:after="0" w:line="240" w:lineRule="auto"/>
              <w:jc w:val="center"/>
              <w:rPr>
                <w:rFonts w:eastAsia="Times New Roman" w:cstheme="minorHAnsi"/>
                <w:b/>
                <w:sz w:val="20"/>
                <w:szCs w:val="20"/>
                <w:lang w:eastAsia="fr-FR"/>
              </w:rPr>
            </w:pPr>
            <w:r w:rsidRPr="008D300D">
              <w:rPr>
                <w:rFonts w:eastAsia="Times New Roman" w:cstheme="minorHAnsi"/>
                <w:b/>
                <w:sz w:val="20"/>
                <w:szCs w:val="20"/>
                <w:lang w:eastAsia="fr-FR"/>
              </w:rPr>
              <w:t>Crédits vot</w:t>
            </w:r>
            <w:r>
              <w:rPr>
                <w:rFonts w:eastAsia="Times New Roman" w:cstheme="minorHAnsi"/>
                <w:b/>
                <w:sz w:val="20"/>
                <w:szCs w:val="20"/>
                <w:lang w:eastAsia="fr-FR"/>
              </w:rPr>
              <w:t>é</w:t>
            </w:r>
            <w:r w:rsidRPr="008D300D">
              <w:rPr>
                <w:rFonts w:eastAsia="Times New Roman" w:cstheme="minorHAnsi"/>
                <w:b/>
                <w:sz w:val="20"/>
                <w:szCs w:val="20"/>
                <w:lang w:eastAsia="fr-FR"/>
              </w:rPr>
              <w:t>s</w:t>
            </w:r>
          </w:p>
        </w:tc>
        <w:tc>
          <w:tcPr>
            <w:tcW w:w="1030" w:type="pct"/>
            <w:tcBorders>
              <w:top w:val="single" w:sz="4" w:space="0" w:color="auto"/>
              <w:left w:val="nil"/>
              <w:bottom w:val="single" w:sz="4" w:space="0" w:color="auto"/>
              <w:right w:val="single" w:sz="4" w:space="0" w:color="auto"/>
            </w:tcBorders>
            <w:shd w:val="clear" w:color="auto" w:fill="auto"/>
            <w:noWrap/>
            <w:vAlign w:val="center"/>
            <w:hideMark/>
          </w:tcPr>
          <w:p w14:paraId="00F7D520" w14:textId="52D89D0D" w:rsidR="0073063E" w:rsidRPr="008D300D" w:rsidRDefault="008D300D" w:rsidP="00F12682">
            <w:pPr>
              <w:spacing w:after="0" w:line="240" w:lineRule="auto"/>
              <w:jc w:val="center"/>
              <w:rPr>
                <w:rFonts w:eastAsia="Times New Roman" w:cstheme="minorHAnsi"/>
                <w:b/>
                <w:sz w:val="20"/>
                <w:szCs w:val="20"/>
                <w:lang w:eastAsia="fr-FR"/>
              </w:rPr>
            </w:pPr>
            <w:r w:rsidRPr="008D300D">
              <w:rPr>
                <w:rFonts w:eastAsia="Times New Roman" w:cstheme="minorHAnsi"/>
                <w:b/>
                <w:sz w:val="20"/>
                <w:szCs w:val="20"/>
                <w:lang w:eastAsia="fr-FR"/>
              </w:rPr>
              <w:t>Crédits consomm</w:t>
            </w:r>
            <w:r>
              <w:rPr>
                <w:rFonts w:eastAsia="Times New Roman" w:cstheme="minorHAnsi"/>
                <w:b/>
                <w:sz w:val="20"/>
                <w:szCs w:val="20"/>
                <w:lang w:eastAsia="fr-FR"/>
              </w:rPr>
              <w:t>és</w:t>
            </w:r>
          </w:p>
        </w:tc>
        <w:tc>
          <w:tcPr>
            <w:tcW w:w="1140" w:type="pct"/>
            <w:tcBorders>
              <w:top w:val="single" w:sz="4" w:space="0" w:color="auto"/>
              <w:left w:val="nil"/>
              <w:bottom w:val="single" w:sz="4" w:space="0" w:color="auto"/>
              <w:right w:val="single" w:sz="4" w:space="0" w:color="auto"/>
            </w:tcBorders>
            <w:shd w:val="clear" w:color="auto" w:fill="auto"/>
            <w:noWrap/>
            <w:vAlign w:val="center"/>
            <w:hideMark/>
          </w:tcPr>
          <w:p w14:paraId="3EB7DE3A" w14:textId="77777777" w:rsidR="0073063E" w:rsidRPr="008D300D" w:rsidRDefault="0073063E" w:rsidP="00F12682">
            <w:pPr>
              <w:spacing w:after="0" w:line="240" w:lineRule="auto"/>
              <w:jc w:val="center"/>
              <w:rPr>
                <w:rFonts w:eastAsia="Times New Roman" w:cstheme="minorHAnsi"/>
                <w:b/>
                <w:sz w:val="20"/>
                <w:szCs w:val="20"/>
                <w:lang w:eastAsia="fr-FR"/>
              </w:rPr>
            </w:pPr>
            <w:r w:rsidRPr="008D300D">
              <w:rPr>
                <w:rFonts w:eastAsia="Times New Roman" w:cstheme="minorHAnsi"/>
                <w:b/>
                <w:sz w:val="20"/>
                <w:szCs w:val="20"/>
                <w:lang w:eastAsia="fr-FR"/>
              </w:rPr>
              <w:t>Taux de consommation</w:t>
            </w:r>
          </w:p>
        </w:tc>
        <w:tc>
          <w:tcPr>
            <w:tcW w:w="623" w:type="pct"/>
            <w:tcBorders>
              <w:top w:val="single" w:sz="4" w:space="0" w:color="auto"/>
              <w:left w:val="nil"/>
              <w:bottom w:val="single" w:sz="4" w:space="0" w:color="auto"/>
              <w:right w:val="single" w:sz="4" w:space="0" w:color="auto"/>
            </w:tcBorders>
            <w:shd w:val="clear" w:color="auto" w:fill="auto"/>
            <w:noWrap/>
            <w:vAlign w:val="center"/>
            <w:hideMark/>
          </w:tcPr>
          <w:p w14:paraId="2ED53A5A" w14:textId="77777777" w:rsidR="0073063E" w:rsidRPr="008D300D" w:rsidRDefault="0073063E" w:rsidP="00F12682">
            <w:pPr>
              <w:spacing w:after="0" w:line="240" w:lineRule="auto"/>
              <w:jc w:val="center"/>
              <w:rPr>
                <w:rFonts w:eastAsia="Times New Roman" w:cstheme="minorHAnsi"/>
                <w:b/>
                <w:sz w:val="20"/>
                <w:szCs w:val="20"/>
                <w:lang w:eastAsia="fr-FR"/>
              </w:rPr>
            </w:pPr>
            <w:r w:rsidRPr="008D300D">
              <w:rPr>
                <w:rFonts w:eastAsia="Times New Roman" w:cstheme="minorHAnsi"/>
                <w:b/>
                <w:sz w:val="20"/>
                <w:szCs w:val="20"/>
                <w:lang w:eastAsia="fr-FR"/>
              </w:rPr>
              <w:t>Part relative</w:t>
            </w:r>
          </w:p>
        </w:tc>
      </w:tr>
      <w:tr w:rsidR="008D300D" w:rsidRPr="008D300D" w14:paraId="42230B76" w14:textId="77777777" w:rsidTr="008D300D">
        <w:trPr>
          <w:trHeight w:val="170"/>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538AE340" w14:textId="1B13395F" w:rsidR="0073063E" w:rsidRPr="008D300D" w:rsidRDefault="008D300D" w:rsidP="00F12682">
            <w:pPr>
              <w:spacing w:after="0" w:line="240" w:lineRule="auto"/>
              <w:rPr>
                <w:rFonts w:eastAsia="Times New Roman" w:cstheme="minorHAnsi"/>
                <w:sz w:val="20"/>
                <w:szCs w:val="20"/>
                <w:lang w:eastAsia="fr-FR"/>
              </w:rPr>
            </w:pPr>
            <w:r w:rsidRPr="008D300D">
              <w:rPr>
                <w:rFonts w:eastAsia="Times New Roman" w:cstheme="minorHAnsi"/>
                <w:sz w:val="20"/>
                <w:szCs w:val="20"/>
                <w:lang w:eastAsia="fr-FR"/>
              </w:rPr>
              <w:t>Cabinet</w:t>
            </w:r>
          </w:p>
        </w:tc>
        <w:tc>
          <w:tcPr>
            <w:tcW w:w="801" w:type="pct"/>
            <w:tcBorders>
              <w:top w:val="nil"/>
              <w:left w:val="nil"/>
              <w:bottom w:val="single" w:sz="4" w:space="0" w:color="auto"/>
              <w:right w:val="single" w:sz="4" w:space="0" w:color="auto"/>
            </w:tcBorders>
            <w:shd w:val="clear" w:color="auto" w:fill="auto"/>
            <w:noWrap/>
            <w:vAlign w:val="center"/>
            <w:hideMark/>
          </w:tcPr>
          <w:p w14:paraId="123CFAF9"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199 748 416</w:t>
            </w:r>
          </w:p>
        </w:tc>
        <w:tc>
          <w:tcPr>
            <w:tcW w:w="1030" w:type="pct"/>
            <w:tcBorders>
              <w:top w:val="nil"/>
              <w:left w:val="nil"/>
              <w:bottom w:val="single" w:sz="4" w:space="0" w:color="auto"/>
              <w:right w:val="single" w:sz="4" w:space="0" w:color="auto"/>
            </w:tcBorders>
            <w:shd w:val="clear" w:color="auto" w:fill="auto"/>
            <w:noWrap/>
            <w:vAlign w:val="center"/>
            <w:hideMark/>
          </w:tcPr>
          <w:p w14:paraId="4874EB70"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82 484 645</w:t>
            </w:r>
          </w:p>
        </w:tc>
        <w:tc>
          <w:tcPr>
            <w:tcW w:w="1140" w:type="pct"/>
            <w:tcBorders>
              <w:top w:val="nil"/>
              <w:left w:val="nil"/>
              <w:bottom w:val="single" w:sz="4" w:space="0" w:color="auto"/>
              <w:right w:val="single" w:sz="4" w:space="0" w:color="auto"/>
            </w:tcBorders>
            <w:shd w:val="clear" w:color="auto" w:fill="auto"/>
            <w:noWrap/>
            <w:vAlign w:val="center"/>
            <w:hideMark/>
          </w:tcPr>
          <w:p w14:paraId="4878FE61"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41%</w:t>
            </w:r>
          </w:p>
        </w:tc>
        <w:tc>
          <w:tcPr>
            <w:tcW w:w="623" w:type="pct"/>
            <w:tcBorders>
              <w:top w:val="nil"/>
              <w:left w:val="nil"/>
              <w:bottom w:val="single" w:sz="4" w:space="0" w:color="auto"/>
              <w:right w:val="single" w:sz="4" w:space="0" w:color="auto"/>
            </w:tcBorders>
            <w:shd w:val="clear" w:color="auto" w:fill="auto"/>
            <w:noWrap/>
            <w:vAlign w:val="center"/>
            <w:hideMark/>
          </w:tcPr>
          <w:p w14:paraId="64C3AF25"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28%</w:t>
            </w:r>
          </w:p>
        </w:tc>
      </w:tr>
      <w:tr w:rsidR="008D300D" w:rsidRPr="008D300D" w14:paraId="7ED7BB07" w14:textId="77777777" w:rsidTr="008D300D">
        <w:trPr>
          <w:trHeight w:val="170"/>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557B92B8" w14:textId="361C53CC" w:rsidR="0073063E" w:rsidRPr="008D300D" w:rsidRDefault="008D300D" w:rsidP="00F12682">
            <w:pPr>
              <w:spacing w:after="0" w:line="240" w:lineRule="auto"/>
              <w:rPr>
                <w:rFonts w:eastAsia="Times New Roman" w:cstheme="minorHAnsi"/>
                <w:sz w:val="20"/>
                <w:szCs w:val="20"/>
                <w:lang w:eastAsia="fr-FR"/>
              </w:rPr>
            </w:pPr>
            <w:r w:rsidRPr="008D300D">
              <w:rPr>
                <w:rFonts w:eastAsia="Times New Roman" w:cstheme="minorHAnsi"/>
                <w:sz w:val="20"/>
                <w:szCs w:val="20"/>
                <w:lang w:eastAsia="fr-FR"/>
              </w:rPr>
              <w:t>Inspection Générale des Services</w:t>
            </w:r>
          </w:p>
        </w:tc>
        <w:tc>
          <w:tcPr>
            <w:tcW w:w="801" w:type="pct"/>
            <w:tcBorders>
              <w:top w:val="nil"/>
              <w:left w:val="nil"/>
              <w:bottom w:val="single" w:sz="4" w:space="0" w:color="auto"/>
              <w:right w:val="single" w:sz="4" w:space="0" w:color="auto"/>
            </w:tcBorders>
            <w:shd w:val="clear" w:color="auto" w:fill="auto"/>
            <w:noWrap/>
            <w:vAlign w:val="center"/>
            <w:hideMark/>
          </w:tcPr>
          <w:p w14:paraId="00B8896B"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10 779 680</w:t>
            </w:r>
          </w:p>
        </w:tc>
        <w:tc>
          <w:tcPr>
            <w:tcW w:w="1030" w:type="pct"/>
            <w:tcBorders>
              <w:top w:val="nil"/>
              <w:left w:val="nil"/>
              <w:bottom w:val="single" w:sz="4" w:space="0" w:color="auto"/>
              <w:right w:val="single" w:sz="4" w:space="0" w:color="auto"/>
            </w:tcBorders>
            <w:shd w:val="clear" w:color="auto" w:fill="auto"/>
            <w:noWrap/>
            <w:vAlign w:val="center"/>
            <w:hideMark/>
          </w:tcPr>
          <w:p w14:paraId="427C88EA"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1 663 125</w:t>
            </w:r>
          </w:p>
        </w:tc>
        <w:tc>
          <w:tcPr>
            <w:tcW w:w="1140" w:type="pct"/>
            <w:tcBorders>
              <w:top w:val="nil"/>
              <w:left w:val="nil"/>
              <w:bottom w:val="single" w:sz="4" w:space="0" w:color="auto"/>
              <w:right w:val="single" w:sz="4" w:space="0" w:color="auto"/>
            </w:tcBorders>
            <w:shd w:val="clear" w:color="auto" w:fill="auto"/>
            <w:noWrap/>
            <w:vAlign w:val="center"/>
            <w:hideMark/>
          </w:tcPr>
          <w:p w14:paraId="3E9D57F2"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15%</w:t>
            </w:r>
          </w:p>
        </w:tc>
        <w:tc>
          <w:tcPr>
            <w:tcW w:w="623" w:type="pct"/>
            <w:tcBorders>
              <w:top w:val="nil"/>
              <w:left w:val="nil"/>
              <w:bottom w:val="single" w:sz="4" w:space="0" w:color="auto"/>
              <w:right w:val="single" w:sz="4" w:space="0" w:color="auto"/>
            </w:tcBorders>
            <w:shd w:val="clear" w:color="auto" w:fill="auto"/>
            <w:noWrap/>
            <w:vAlign w:val="center"/>
            <w:hideMark/>
          </w:tcPr>
          <w:p w14:paraId="3543A32D"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1%</w:t>
            </w:r>
          </w:p>
        </w:tc>
      </w:tr>
      <w:tr w:rsidR="008D300D" w:rsidRPr="008D300D" w14:paraId="7D0311B2" w14:textId="77777777" w:rsidTr="008D300D">
        <w:trPr>
          <w:trHeight w:val="170"/>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352EF8E6" w14:textId="6C296BE4" w:rsidR="0073063E" w:rsidRPr="008D300D" w:rsidRDefault="008D300D" w:rsidP="00F12682">
            <w:pPr>
              <w:spacing w:after="0" w:line="240" w:lineRule="auto"/>
              <w:rPr>
                <w:rFonts w:eastAsia="Times New Roman" w:cstheme="minorHAnsi"/>
                <w:sz w:val="20"/>
                <w:szCs w:val="20"/>
                <w:lang w:eastAsia="fr-FR"/>
              </w:rPr>
            </w:pPr>
            <w:r w:rsidRPr="008D300D">
              <w:rPr>
                <w:rFonts w:eastAsia="Times New Roman" w:cstheme="minorHAnsi"/>
                <w:sz w:val="20"/>
                <w:szCs w:val="20"/>
                <w:lang w:eastAsia="fr-FR"/>
              </w:rPr>
              <w:t>Secrétariat Général</w:t>
            </w:r>
          </w:p>
        </w:tc>
        <w:tc>
          <w:tcPr>
            <w:tcW w:w="801" w:type="pct"/>
            <w:tcBorders>
              <w:top w:val="nil"/>
              <w:left w:val="nil"/>
              <w:bottom w:val="single" w:sz="4" w:space="0" w:color="auto"/>
              <w:right w:val="single" w:sz="4" w:space="0" w:color="auto"/>
            </w:tcBorders>
            <w:shd w:val="clear" w:color="auto" w:fill="auto"/>
            <w:noWrap/>
            <w:vAlign w:val="center"/>
            <w:hideMark/>
          </w:tcPr>
          <w:p w14:paraId="660F650C"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54 781 822</w:t>
            </w:r>
          </w:p>
        </w:tc>
        <w:tc>
          <w:tcPr>
            <w:tcW w:w="1030" w:type="pct"/>
            <w:tcBorders>
              <w:top w:val="nil"/>
              <w:left w:val="nil"/>
              <w:bottom w:val="single" w:sz="4" w:space="0" w:color="auto"/>
              <w:right w:val="single" w:sz="4" w:space="0" w:color="auto"/>
            </w:tcBorders>
            <w:shd w:val="clear" w:color="auto" w:fill="auto"/>
            <w:noWrap/>
            <w:vAlign w:val="center"/>
            <w:hideMark/>
          </w:tcPr>
          <w:p w14:paraId="77A460DC"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30 121 294</w:t>
            </w:r>
          </w:p>
        </w:tc>
        <w:tc>
          <w:tcPr>
            <w:tcW w:w="1140" w:type="pct"/>
            <w:tcBorders>
              <w:top w:val="nil"/>
              <w:left w:val="nil"/>
              <w:bottom w:val="single" w:sz="4" w:space="0" w:color="auto"/>
              <w:right w:val="single" w:sz="4" w:space="0" w:color="auto"/>
            </w:tcBorders>
            <w:shd w:val="clear" w:color="auto" w:fill="auto"/>
            <w:noWrap/>
            <w:vAlign w:val="center"/>
            <w:hideMark/>
          </w:tcPr>
          <w:p w14:paraId="7824E083"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55%</w:t>
            </w:r>
          </w:p>
        </w:tc>
        <w:tc>
          <w:tcPr>
            <w:tcW w:w="623" w:type="pct"/>
            <w:tcBorders>
              <w:top w:val="nil"/>
              <w:left w:val="nil"/>
              <w:bottom w:val="single" w:sz="4" w:space="0" w:color="auto"/>
              <w:right w:val="single" w:sz="4" w:space="0" w:color="auto"/>
            </w:tcBorders>
            <w:shd w:val="clear" w:color="auto" w:fill="auto"/>
            <w:noWrap/>
            <w:vAlign w:val="center"/>
            <w:hideMark/>
          </w:tcPr>
          <w:p w14:paraId="39C606E3"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10%</w:t>
            </w:r>
          </w:p>
        </w:tc>
      </w:tr>
      <w:tr w:rsidR="008D300D" w:rsidRPr="008D300D" w14:paraId="044F0FD2" w14:textId="77777777" w:rsidTr="008D300D">
        <w:trPr>
          <w:trHeight w:val="170"/>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79CAD4B1" w14:textId="351C3038" w:rsidR="0073063E" w:rsidRPr="008D300D" w:rsidRDefault="008D300D" w:rsidP="00F12682">
            <w:pPr>
              <w:spacing w:after="0" w:line="240" w:lineRule="auto"/>
              <w:rPr>
                <w:rFonts w:eastAsia="Times New Roman" w:cstheme="minorHAnsi"/>
                <w:sz w:val="20"/>
                <w:szCs w:val="20"/>
                <w:lang w:eastAsia="fr-FR"/>
              </w:rPr>
            </w:pPr>
            <w:r w:rsidRPr="008D300D">
              <w:rPr>
                <w:rFonts w:eastAsia="Times New Roman" w:cstheme="minorHAnsi"/>
                <w:sz w:val="20"/>
                <w:szCs w:val="20"/>
                <w:lang w:eastAsia="fr-FR"/>
              </w:rPr>
              <w:t>Direction des Ressources Financières et du Matériel</w:t>
            </w:r>
          </w:p>
        </w:tc>
        <w:tc>
          <w:tcPr>
            <w:tcW w:w="801" w:type="pct"/>
            <w:tcBorders>
              <w:top w:val="nil"/>
              <w:left w:val="nil"/>
              <w:bottom w:val="single" w:sz="4" w:space="0" w:color="auto"/>
              <w:right w:val="single" w:sz="4" w:space="0" w:color="auto"/>
            </w:tcBorders>
            <w:shd w:val="clear" w:color="auto" w:fill="auto"/>
            <w:noWrap/>
            <w:vAlign w:val="center"/>
            <w:hideMark/>
          </w:tcPr>
          <w:p w14:paraId="754E9464"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203 688 693</w:t>
            </w:r>
          </w:p>
        </w:tc>
        <w:tc>
          <w:tcPr>
            <w:tcW w:w="1030" w:type="pct"/>
            <w:tcBorders>
              <w:top w:val="nil"/>
              <w:left w:val="nil"/>
              <w:bottom w:val="single" w:sz="4" w:space="0" w:color="auto"/>
              <w:right w:val="single" w:sz="4" w:space="0" w:color="auto"/>
            </w:tcBorders>
            <w:shd w:val="clear" w:color="auto" w:fill="auto"/>
            <w:noWrap/>
            <w:vAlign w:val="center"/>
            <w:hideMark/>
          </w:tcPr>
          <w:p w14:paraId="629FB78A"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140 830 040</w:t>
            </w:r>
          </w:p>
        </w:tc>
        <w:tc>
          <w:tcPr>
            <w:tcW w:w="1140" w:type="pct"/>
            <w:tcBorders>
              <w:top w:val="nil"/>
              <w:left w:val="nil"/>
              <w:bottom w:val="single" w:sz="4" w:space="0" w:color="auto"/>
              <w:right w:val="single" w:sz="4" w:space="0" w:color="auto"/>
            </w:tcBorders>
            <w:shd w:val="clear" w:color="auto" w:fill="auto"/>
            <w:noWrap/>
            <w:vAlign w:val="center"/>
            <w:hideMark/>
          </w:tcPr>
          <w:p w14:paraId="245102AD"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69%</w:t>
            </w:r>
          </w:p>
        </w:tc>
        <w:tc>
          <w:tcPr>
            <w:tcW w:w="623" w:type="pct"/>
            <w:tcBorders>
              <w:top w:val="nil"/>
              <w:left w:val="nil"/>
              <w:bottom w:val="single" w:sz="4" w:space="0" w:color="auto"/>
              <w:right w:val="single" w:sz="4" w:space="0" w:color="auto"/>
            </w:tcBorders>
            <w:shd w:val="clear" w:color="auto" w:fill="auto"/>
            <w:noWrap/>
            <w:vAlign w:val="center"/>
            <w:hideMark/>
          </w:tcPr>
          <w:p w14:paraId="52E05CA5"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47%</w:t>
            </w:r>
          </w:p>
        </w:tc>
      </w:tr>
      <w:tr w:rsidR="008D300D" w:rsidRPr="008D300D" w14:paraId="4A29F79D" w14:textId="77777777" w:rsidTr="008D300D">
        <w:trPr>
          <w:trHeight w:val="170"/>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681E91A6" w14:textId="2EE7E47A" w:rsidR="0073063E" w:rsidRPr="008D300D" w:rsidRDefault="008D300D" w:rsidP="00F12682">
            <w:pPr>
              <w:spacing w:after="0" w:line="240" w:lineRule="auto"/>
              <w:rPr>
                <w:rFonts w:eastAsia="Times New Roman" w:cstheme="minorHAnsi"/>
                <w:sz w:val="20"/>
                <w:szCs w:val="20"/>
                <w:lang w:eastAsia="fr-FR"/>
              </w:rPr>
            </w:pPr>
            <w:r w:rsidRPr="008D300D">
              <w:rPr>
                <w:rFonts w:eastAsia="Times New Roman" w:cstheme="minorHAnsi"/>
                <w:sz w:val="20"/>
                <w:szCs w:val="20"/>
                <w:lang w:eastAsia="fr-FR"/>
              </w:rPr>
              <w:t>Direction des Etudes et de la Programmation</w:t>
            </w:r>
          </w:p>
        </w:tc>
        <w:tc>
          <w:tcPr>
            <w:tcW w:w="801" w:type="pct"/>
            <w:tcBorders>
              <w:top w:val="nil"/>
              <w:left w:val="nil"/>
              <w:bottom w:val="single" w:sz="4" w:space="0" w:color="auto"/>
              <w:right w:val="single" w:sz="4" w:space="0" w:color="auto"/>
            </w:tcBorders>
            <w:shd w:val="clear" w:color="auto" w:fill="auto"/>
            <w:noWrap/>
            <w:vAlign w:val="center"/>
            <w:hideMark/>
          </w:tcPr>
          <w:p w14:paraId="77C68D81"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9 522 747</w:t>
            </w:r>
          </w:p>
        </w:tc>
        <w:tc>
          <w:tcPr>
            <w:tcW w:w="1030" w:type="pct"/>
            <w:tcBorders>
              <w:top w:val="nil"/>
              <w:left w:val="nil"/>
              <w:bottom w:val="single" w:sz="4" w:space="0" w:color="auto"/>
              <w:right w:val="single" w:sz="4" w:space="0" w:color="auto"/>
            </w:tcBorders>
            <w:shd w:val="clear" w:color="auto" w:fill="auto"/>
            <w:noWrap/>
            <w:vAlign w:val="center"/>
            <w:hideMark/>
          </w:tcPr>
          <w:p w14:paraId="172F85E7"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1 347 451</w:t>
            </w:r>
          </w:p>
        </w:tc>
        <w:tc>
          <w:tcPr>
            <w:tcW w:w="1140" w:type="pct"/>
            <w:tcBorders>
              <w:top w:val="nil"/>
              <w:left w:val="nil"/>
              <w:bottom w:val="single" w:sz="4" w:space="0" w:color="auto"/>
              <w:right w:val="single" w:sz="4" w:space="0" w:color="auto"/>
            </w:tcBorders>
            <w:shd w:val="clear" w:color="auto" w:fill="auto"/>
            <w:noWrap/>
            <w:vAlign w:val="center"/>
            <w:hideMark/>
          </w:tcPr>
          <w:p w14:paraId="1530A219"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14%</w:t>
            </w:r>
          </w:p>
        </w:tc>
        <w:tc>
          <w:tcPr>
            <w:tcW w:w="623" w:type="pct"/>
            <w:tcBorders>
              <w:top w:val="nil"/>
              <w:left w:val="nil"/>
              <w:bottom w:val="single" w:sz="4" w:space="0" w:color="auto"/>
              <w:right w:val="single" w:sz="4" w:space="0" w:color="auto"/>
            </w:tcBorders>
            <w:shd w:val="clear" w:color="auto" w:fill="auto"/>
            <w:noWrap/>
            <w:vAlign w:val="center"/>
            <w:hideMark/>
          </w:tcPr>
          <w:p w14:paraId="05C74EE2"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0%</w:t>
            </w:r>
          </w:p>
        </w:tc>
      </w:tr>
      <w:tr w:rsidR="008D300D" w:rsidRPr="008D300D" w14:paraId="194F86C1" w14:textId="77777777" w:rsidTr="008D300D">
        <w:trPr>
          <w:trHeight w:val="170"/>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470D0EC3" w14:textId="52020DCD" w:rsidR="0073063E" w:rsidRPr="008D300D" w:rsidRDefault="008D300D" w:rsidP="00F12682">
            <w:pPr>
              <w:spacing w:after="0" w:line="240" w:lineRule="auto"/>
              <w:rPr>
                <w:rFonts w:eastAsia="Times New Roman" w:cstheme="minorHAnsi"/>
                <w:sz w:val="20"/>
                <w:szCs w:val="20"/>
                <w:lang w:eastAsia="fr-FR"/>
              </w:rPr>
            </w:pPr>
            <w:r w:rsidRPr="008D300D">
              <w:rPr>
                <w:rFonts w:eastAsia="Times New Roman" w:cstheme="minorHAnsi"/>
                <w:sz w:val="20"/>
                <w:szCs w:val="20"/>
                <w:lang w:eastAsia="fr-FR"/>
              </w:rPr>
              <w:t xml:space="preserve">Toutes </w:t>
            </w:r>
            <w:r>
              <w:rPr>
                <w:rFonts w:eastAsia="Times New Roman" w:cstheme="minorHAnsi"/>
                <w:sz w:val="20"/>
                <w:szCs w:val="20"/>
                <w:lang w:eastAsia="fr-FR"/>
              </w:rPr>
              <w:t>A</w:t>
            </w:r>
            <w:r w:rsidRPr="008D300D">
              <w:rPr>
                <w:rFonts w:eastAsia="Times New Roman" w:cstheme="minorHAnsi"/>
                <w:sz w:val="20"/>
                <w:szCs w:val="20"/>
                <w:lang w:eastAsia="fr-FR"/>
              </w:rPr>
              <w:t>utres Directions Centrales</w:t>
            </w:r>
          </w:p>
        </w:tc>
        <w:tc>
          <w:tcPr>
            <w:tcW w:w="801" w:type="pct"/>
            <w:tcBorders>
              <w:top w:val="nil"/>
              <w:left w:val="nil"/>
              <w:bottom w:val="single" w:sz="4" w:space="0" w:color="auto"/>
              <w:right w:val="single" w:sz="4" w:space="0" w:color="auto"/>
            </w:tcBorders>
            <w:shd w:val="clear" w:color="auto" w:fill="auto"/>
            <w:noWrap/>
            <w:vAlign w:val="center"/>
            <w:hideMark/>
          </w:tcPr>
          <w:p w14:paraId="5AFC28AD"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89 992 923</w:t>
            </w:r>
          </w:p>
        </w:tc>
        <w:tc>
          <w:tcPr>
            <w:tcW w:w="1030" w:type="pct"/>
            <w:tcBorders>
              <w:top w:val="nil"/>
              <w:left w:val="nil"/>
              <w:bottom w:val="single" w:sz="4" w:space="0" w:color="auto"/>
              <w:right w:val="single" w:sz="4" w:space="0" w:color="auto"/>
            </w:tcBorders>
            <w:shd w:val="clear" w:color="auto" w:fill="auto"/>
            <w:noWrap/>
            <w:vAlign w:val="center"/>
            <w:hideMark/>
          </w:tcPr>
          <w:p w14:paraId="16B16CE3"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21 390 592</w:t>
            </w:r>
          </w:p>
        </w:tc>
        <w:tc>
          <w:tcPr>
            <w:tcW w:w="1140" w:type="pct"/>
            <w:tcBorders>
              <w:top w:val="nil"/>
              <w:left w:val="nil"/>
              <w:bottom w:val="single" w:sz="4" w:space="0" w:color="auto"/>
              <w:right w:val="single" w:sz="4" w:space="0" w:color="auto"/>
            </w:tcBorders>
            <w:shd w:val="clear" w:color="auto" w:fill="auto"/>
            <w:noWrap/>
            <w:vAlign w:val="center"/>
            <w:hideMark/>
          </w:tcPr>
          <w:p w14:paraId="2FAAF37E"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24%</w:t>
            </w:r>
          </w:p>
        </w:tc>
        <w:tc>
          <w:tcPr>
            <w:tcW w:w="623" w:type="pct"/>
            <w:tcBorders>
              <w:top w:val="nil"/>
              <w:left w:val="nil"/>
              <w:bottom w:val="single" w:sz="4" w:space="0" w:color="auto"/>
              <w:right w:val="single" w:sz="4" w:space="0" w:color="auto"/>
            </w:tcBorders>
            <w:shd w:val="clear" w:color="auto" w:fill="auto"/>
            <w:noWrap/>
            <w:vAlign w:val="center"/>
            <w:hideMark/>
          </w:tcPr>
          <w:p w14:paraId="4C4BF700"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7%</w:t>
            </w:r>
          </w:p>
        </w:tc>
      </w:tr>
      <w:tr w:rsidR="008D300D" w:rsidRPr="008D300D" w14:paraId="11FD2435" w14:textId="77777777" w:rsidTr="008D300D">
        <w:trPr>
          <w:trHeight w:val="170"/>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1AF16618" w14:textId="7186C3C2" w:rsidR="0073063E" w:rsidRPr="008D300D" w:rsidRDefault="0073063E" w:rsidP="00F12682">
            <w:pPr>
              <w:spacing w:after="0" w:line="240" w:lineRule="auto"/>
              <w:rPr>
                <w:rFonts w:eastAsia="Times New Roman" w:cstheme="minorHAnsi"/>
                <w:sz w:val="20"/>
                <w:szCs w:val="20"/>
                <w:lang w:eastAsia="fr-FR"/>
              </w:rPr>
            </w:pPr>
            <w:r w:rsidRPr="008D300D">
              <w:rPr>
                <w:rFonts w:eastAsia="Times New Roman" w:cstheme="minorHAnsi"/>
                <w:sz w:val="20"/>
                <w:szCs w:val="20"/>
                <w:lang w:eastAsia="fr-FR"/>
              </w:rPr>
              <w:t>N</w:t>
            </w:r>
            <w:r w:rsidR="008D300D" w:rsidRPr="008D300D">
              <w:rPr>
                <w:rFonts w:eastAsia="Times New Roman" w:cstheme="minorHAnsi"/>
                <w:sz w:val="20"/>
                <w:szCs w:val="20"/>
                <w:lang w:eastAsia="fr-FR"/>
              </w:rPr>
              <w:t>iveau déconcentre</w:t>
            </w:r>
          </w:p>
        </w:tc>
        <w:tc>
          <w:tcPr>
            <w:tcW w:w="801" w:type="pct"/>
            <w:tcBorders>
              <w:top w:val="nil"/>
              <w:left w:val="nil"/>
              <w:bottom w:val="single" w:sz="4" w:space="0" w:color="auto"/>
              <w:right w:val="single" w:sz="4" w:space="0" w:color="auto"/>
            </w:tcBorders>
            <w:shd w:val="clear" w:color="auto" w:fill="auto"/>
            <w:noWrap/>
            <w:vAlign w:val="center"/>
            <w:hideMark/>
          </w:tcPr>
          <w:p w14:paraId="39E6613D"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70 692 148</w:t>
            </w:r>
          </w:p>
        </w:tc>
        <w:tc>
          <w:tcPr>
            <w:tcW w:w="1030" w:type="pct"/>
            <w:tcBorders>
              <w:top w:val="nil"/>
              <w:left w:val="nil"/>
              <w:bottom w:val="single" w:sz="4" w:space="0" w:color="auto"/>
              <w:right w:val="single" w:sz="4" w:space="0" w:color="auto"/>
            </w:tcBorders>
            <w:shd w:val="clear" w:color="auto" w:fill="auto"/>
            <w:noWrap/>
            <w:vAlign w:val="center"/>
            <w:hideMark/>
          </w:tcPr>
          <w:p w14:paraId="562D35AE"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21 826 969</w:t>
            </w:r>
          </w:p>
        </w:tc>
        <w:tc>
          <w:tcPr>
            <w:tcW w:w="1140" w:type="pct"/>
            <w:tcBorders>
              <w:top w:val="nil"/>
              <w:left w:val="nil"/>
              <w:bottom w:val="single" w:sz="4" w:space="0" w:color="auto"/>
              <w:right w:val="single" w:sz="4" w:space="0" w:color="auto"/>
            </w:tcBorders>
            <w:shd w:val="clear" w:color="auto" w:fill="auto"/>
            <w:noWrap/>
            <w:vAlign w:val="center"/>
            <w:hideMark/>
          </w:tcPr>
          <w:p w14:paraId="1F7129DB"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31%</w:t>
            </w:r>
          </w:p>
        </w:tc>
        <w:tc>
          <w:tcPr>
            <w:tcW w:w="623" w:type="pct"/>
            <w:tcBorders>
              <w:top w:val="nil"/>
              <w:left w:val="nil"/>
              <w:bottom w:val="single" w:sz="4" w:space="0" w:color="auto"/>
              <w:right w:val="single" w:sz="4" w:space="0" w:color="auto"/>
            </w:tcBorders>
            <w:shd w:val="clear" w:color="auto" w:fill="auto"/>
            <w:noWrap/>
            <w:vAlign w:val="center"/>
            <w:hideMark/>
          </w:tcPr>
          <w:p w14:paraId="535F81A3" w14:textId="77777777" w:rsidR="0073063E" w:rsidRPr="008D300D" w:rsidRDefault="0073063E" w:rsidP="00F12682">
            <w:pPr>
              <w:spacing w:after="0" w:line="240" w:lineRule="auto"/>
              <w:jc w:val="right"/>
              <w:rPr>
                <w:rFonts w:eastAsia="Times New Roman" w:cstheme="minorHAnsi"/>
                <w:sz w:val="20"/>
                <w:szCs w:val="20"/>
                <w:lang w:eastAsia="fr-FR"/>
              </w:rPr>
            </w:pPr>
            <w:r w:rsidRPr="008D300D">
              <w:rPr>
                <w:rFonts w:eastAsia="Times New Roman" w:cstheme="minorHAnsi"/>
                <w:sz w:val="20"/>
                <w:szCs w:val="20"/>
                <w:lang w:eastAsia="fr-FR"/>
              </w:rPr>
              <w:t>7%</w:t>
            </w:r>
          </w:p>
        </w:tc>
      </w:tr>
      <w:tr w:rsidR="008D300D" w:rsidRPr="008D300D" w14:paraId="74466DEB" w14:textId="77777777" w:rsidTr="008D300D">
        <w:trPr>
          <w:trHeight w:val="170"/>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14:paraId="3762BE80" w14:textId="21AFC616" w:rsidR="0073063E" w:rsidRPr="008D300D" w:rsidRDefault="008D300D" w:rsidP="00F12682">
            <w:pPr>
              <w:spacing w:after="0" w:line="240" w:lineRule="auto"/>
              <w:rPr>
                <w:rFonts w:eastAsia="Times New Roman" w:cstheme="minorHAnsi"/>
                <w:b/>
                <w:sz w:val="20"/>
                <w:szCs w:val="20"/>
                <w:lang w:eastAsia="fr-FR"/>
              </w:rPr>
            </w:pPr>
            <w:r w:rsidRPr="008D300D">
              <w:rPr>
                <w:rFonts w:eastAsia="Times New Roman" w:cstheme="minorHAnsi"/>
                <w:b/>
                <w:sz w:val="20"/>
                <w:szCs w:val="20"/>
                <w:lang w:eastAsia="fr-FR"/>
              </w:rPr>
              <w:t>Total général</w:t>
            </w:r>
          </w:p>
        </w:tc>
        <w:tc>
          <w:tcPr>
            <w:tcW w:w="801" w:type="pct"/>
            <w:tcBorders>
              <w:top w:val="nil"/>
              <w:left w:val="nil"/>
              <w:bottom w:val="single" w:sz="4" w:space="0" w:color="auto"/>
              <w:right w:val="single" w:sz="4" w:space="0" w:color="auto"/>
            </w:tcBorders>
            <w:shd w:val="clear" w:color="auto" w:fill="auto"/>
            <w:noWrap/>
            <w:vAlign w:val="center"/>
            <w:hideMark/>
          </w:tcPr>
          <w:p w14:paraId="623305A5" w14:textId="77777777" w:rsidR="0073063E" w:rsidRPr="008D300D" w:rsidRDefault="0073063E" w:rsidP="00F12682">
            <w:pPr>
              <w:spacing w:after="0" w:line="240" w:lineRule="auto"/>
              <w:jc w:val="right"/>
              <w:rPr>
                <w:rFonts w:eastAsia="Times New Roman" w:cstheme="minorHAnsi"/>
                <w:b/>
                <w:sz w:val="20"/>
                <w:szCs w:val="20"/>
                <w:lang w:eastAsia="fr-FR"/>
              </w:rPr>
            </w:pPr>
            <w:r w:rsidRPr="008D300D">
              <w:rPr>
                <w:rFonts w:eastAsia="Times New Roman" w:cstheme="minorHAnsi"/>
                <w:b/>
                <w:sz w:val="20"/>
                <w:szCs w:val="20"/>
                <w:lang w:eastAsia="fr-FR"/>
              </w:rPr>
              <w:t>639 206 429</w:t>
            </w:r>
          </w:p>
        </w:tc>
        <w:tc>
          <w:tcPr>
            <w:tcW w:w="1030" w:type="pct"/>
            <w:tcBorders>
              <w:top w:val="nil"/>
              <w:left w:val="nil"/>
              <w:bottom w:val="single" w:sz="4" w:space="0" w:color="auto"/>
              <w:right w:val="single" w:sz="4" w:space="0" w:color="auto"/>
            </w:tcBorders>
            <w:shd w:val="clear" w:color="auto" w:fill="auto"/>
            <w:noWrap/>
            <w:vAlign w:val="center"/>
            <w:hideMark/>
          </w:tcPr>
          <w:p w14:paraId="5A6C8047" w14:textId="77777777" w:rsidR="0073063E" w:rsidRPr="008D300D" w:rsidRDefault="0073063E" w:rsidP="00F12682">
            <w:pPr>
              <w:spacing w:after="0" w:line="240" w:lineRule="auto"/>
              <w:jc w:val="right"/>
              <w:rPr>
                <w:rFonts w:eastAsia="Times New Roman" w:cstheme="minorHAnsi"/>
                <w:b/>
                <w:sz w:val="20"/>
                <w:szCs w:val="20"/>
                <w:lang w:eastAsia="fr-FR"/>
              </w:rPr>
            </w:pPr>
            <w:r w:rsidRPr="008D300D">
              <w:rPr>
                <w:rFonts w:eastAsia="Times New Roman" w:cstheme="minorHAnsi"/>
                <w:b/>
                <w:sz w:val="20"/>
                <w:szCs w:val="20"/>
                <w:lang w:eastAsia="fr-FR"/>
              </w:rPr>
              <w:t>299 664 116</w:t>
            </w:r>
          </w:p>
        </w:tc>
        <w:tc>
          <w:tcPr>
            <w:tcW w:w="1140" w:type="pct"/>
            <w:tcBorders>
              <w:top w:val="nil"/>
              <w:left w:val="nil"/>
              <w:bottom w:val="single" w:sz="4" w:space="0" w:color="auto"/>
              <w:right w:val="single" w:sz="4" w:space="0" w:color="auto"/>
            </w:tcBorders>
            <w:shd w:val="clear" w:color="auto" w:fill="auto"/>
            <w:noWrap/>
            <w:vAlign w:val="center"/>
            <w:hideMark/>
          </w:tcPr>
          <w:p w14:paraId="0F820EDE" w14:textId="77777777" w:rsidR="0073063E" w:rsidRPr="008D300D" w:rsidRDefault="0073063E" w:rsidP="00F12682">
            <w:pPr>
              <w:spacing w:after="0" w:line="240" w:lineRule="auto"/>
              <w:jc w:val="right"/>
              <w:rPr>
                <w:rFonts w:eastAsia="Times New Roman" w:cstheme="minorHAnsi"/>
                <w:b/>
                <w:sz w:val="20"/>
                <w:szCs w:val="20"/>
                <w:lang w:eastAsia="fr-FR"/>
              </w:rPr>
            </w:pPr>
            <w:r w:rsidRPr="008D300D">
              <w:rPr>
                <w:rFonts w:eastAsia="Times New Roman" w:cstheme="minorHAnsi"/>
                <w:b/>
                <w:sz w:val="20"/>
                <w:szCs w:val="20"/>
                <w:lang w:eastAsia="fr-FR"/>
              </w:rPr>
              <w:t>47%</w:t>
            </w:r>
          </w:p>
        </w:tc>
        <w:tc>
          <w:tcPr>
            <w:tcW w:w="623" w:type="pct"/>
            <w:tcBorders>
              <w:top w:val="nil"/>
              <w:left w:val="nil"/>
              <w:bottom w:val="single" w:sz="4" w:space="0" w:color="auto"/>
              <w:right w:val="single" w:sz="4" w:space="0" w:color="auto"/>
            </w:tcBorders>
            <w:shd w:val="clear" w:color="auto" w:fill="auto"/>
            <w:noWrap/>
            <w:vAlign w:val="center"/>
            <w:hideMark/>
          </w:tcPr>
          <w:p w14:paraId="0B8123C8" w14:textId="77777777" w:rsidR="0073063E" w:rsidRPr="008D300D" w:rsidRDefault="0073063E" w:rsidP="00F12682">
            <w:pPr>
              <w:spacing w:after="0" w:line="240" w:lineRule="auto"/>
              <w:jc w:val="right"/>
              <w:rPr>
                <w:rFonts w:eastAsia="Times New Roman" w:cstheme="minorHAnsi"/>
                <w:b/>
                <w:sz w:val="20"/>
                <w:szCs w:val="20"/>
                <w:lang w:eastAsia="fr-FR"/>
              </w:rPr>
            </w:pPr>
            <w:r w:rsidRPr="008D300D">
              <w:rPr>
                <w:rFonts w:eastAsia="Times New Roman" w:cstheme="minorHAnsi"/>
                <w:b/>
                <w:sz w:val="20"/>
                <w:szCs w:val="20"/>
                <w:lang w:eastAsia="fr-FR"/>
              </w:rPr>
              <w:t>100%</w:t>
            </w:r>
          </w:p>
        </w:tc>
      </w:tr>
    </w:tbl>
    <w:p w14:paraId="6A98683A" w14:textId="77777777" w:rsidR="0073063E" w:rsidRPr="008D300D" w:rsidRDefault="0073063E" w:rsidP="00F12682">
      <w:pPr>
        <w:spacing w:after="120" w:line="276" w:lineRule="auto"/>
        <w:jc w:val="both"/>
        <w:rPr>
          <w:rFonts w:ascii="Calibri" w:eastAsiaTheme="majorEastAsia" w:hAnsi="Calibri" w:cs="Calibri"/>
          <w:iCs/>
          <w:sz w:val="24"/>
        </w:rPr>
      </w:pPr>
    </w:p>
    <w:p w14:paraId="231AA18B" w14:textId="77777777" w:rsidR="00D021DB" w:rsidRDefault="00D021DB" w:rsidP="00F12682">
      <w:pPr>
        <w:spacing w:after="120" w:line="276" w:lineRule="auto"/>
        <w:jc w:val="both"/>
        <w:rPr>
          <w:rFonts w:ascii="Calibri" w:eastAsiaTheme="majorEastAsia" w:hAnsi="Calibri" w:cs="Calibri"/>
          <w:iCs/>
          <w:sz w:val="24"/>
        </w:rPr>
      </w:pPr>
      <w:r w:rsidRPr="0064246A">
        <w:rPr>
          <w:rFonts w:ascii="Calibri" w:eastAsiaTheme="majorEastAsia" w:hAnsi="Calibri" w:cs="Calibri"/>
          <w:iCs/>
          <w:sz w:val="24"/>
        </w:rPr>
        <w:t xml:space="preserve">Du point de vu de l’hydraulique pastorale, en 2016, le </w:t>
      </w:r>
      <w:r>
        <w:rPr>
          <w:rFonts w:ascii="Calibri" w:eastAsiaTheme="majorEastAsia" w:hAnsi="Calibri" w:cs="Calibri"/>
          <w:iCs/>
          <w:sz w:val="24"/>
        </w:rPr>
        <w:t xml:space="preserve">MHA </w:t>
      </w:r>
      <w:r w:rsidRPr="0064246A">
        <w:rPr>
          <w:rFonts w:ascii="Calibri" w:eastAsiaTheme="majorEastAsia" w:hAnsi="Calibri" w:cs="Calibri"/>
          <w:iCs/>
          <w:sz w:val="24"/>
        </w:rPr>
        <w:t>a su mener les activités pertinentes ci-après :</w:t>
      </w:r>
    </w:p>
    <w:p w14:paraId="32246E4B" w14:textId="77777777"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état des lieux de la base de données hydraulique n’a pas eu lieu, néanmoins le référentiel 2016 des ouvrages hydrauliques est actualisé et prend en compte les infrastructures en milieu pastoral ;</w:t>
      </w:r>
    </w:p>
    <w:p w14:paraId="3AA80538" w14:textId="77777777"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signature de neuf (9) accords sociaux dans les régions d’Agadez, Dosso, Tillabéri et de Tahoua ;</w:t>
      </w:r>
    </w:p>
    <w:p w14:paraId="5ADD043E" w14:textId="77777777"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signature d’un arrêté N°0068/MHA/MEL fixant les normes d’implantation des points d’eau en milieu pastoral du 5 octobre 2015 ;</w:t>
      </w:r>
    </w:p>
    <w:p w14:paraId="6BF8A2A0" w14:textId="77777777"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formalisation de la responsabilisation des conseils régionaux de développement sur la gestion de l’hydraulique pastorale, conformément au décret N°2016-076/PRN du 26 janvier 2016 ;</w:t>
      </w:r>
    </w:p>
    <w:p w14:paraId="3C83C7BD" w14:textId="687EA638"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préparation d’un cahier de charges sur le transfert de compétences et de ressources aux conseils régionaux</w:t>
      </w:r>
      <w:r w:rsidR="008D300D">
        <w:rPr>
          <w:rFonts w:ascii="Calibri" w:eastAsiaTheme="majorEastAsia" w:hAnsi="Calibri" w:cs="Calibri"/>
          <w:iCs/>
          <w:sz w:val="24"/>
        </w:rPr>
        <w:t> ;</w:t>
      </w:r>
    </w:p>
    <w:p w14:paraId="269281FE" w14:textId="77777777"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analyse physico-chimique systématique de l’eau sur tous les ouvrages pastoraux est réalisée ;</w:t>
      </w:r>
    </w:p>
    <w:p w14:paraId="5D91A911" w14:textId="6561C7EA"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élaboration d’un rapport mensuel sur les réalisations qui est partagé à travers les réunions du Comité Interministériel d’Orientation (CIO) de l’Initiative</w:t>
      </w:r>
      <w:r w:rsidR="008D300D">
        <w:rPr>
          <w:rFonts w:ascii="Calibri" w:eastAsiaTheme="majorEastAsia" w:hAnsi="Calibri" w:cs="Calibri"/>
          <w:iCs/>
          <w:sz w:val="24"/>
        </w:rPr>
        <w:t> ;</w:t>
      </w:r>
    </w:p>
    <w:p w14:paraId="380FC911" w14:textId="77777777"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mise en place d’un comité de pilotage national de la SNHP par arrête du MHA. Ce comité depuis la signature de son arrêté ne s’est pas réuni ;</w:t>
      </w:r>
    </w:p>
    <w:p w14:paraId="50A16D7D" w14:textId="09CD29AF"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mise en place des comités de pilotage régionaux</w:t>
      </w:r>
      <w:r w:rsidR="00D021DB">
        <w:rPr>
          <w:rFonts w:ascii="Calibri" w:eastAsiaTheme="majorEastAsia" w:hAnsi="Calibri" w:cs="Calibri"/>
          <w:iCs/>
          <w:sz w:val="24"/>
        </w:rPr>
        <w:t>.</w:t>
      </w:r>
    </w:p>
    <w:p w14:paraId="5BF225DB" w14:textId="480496EA" w:rsidR="005B4047" w:rsidRPr="0064246A" w:rsidRDefault="005B4047" w:rsidP="00F12682">
      <w:pPr>
        <w:spacing w:after="120" w:line="276" w:lineRule="auto"/>
        <w:jc w:val="both"/>
        <w:rPr>
          <w:rFonts w:ascii="Calibri" w:eastAsiaTheme="majorEastAsia" w:hAnsi="Calibri" w:cs="Calibri"/>
          <w:iCs/>
          <w:sz w:val="24"/>
        </w:rPr>
      </w:pPr>
      <w:r w:rsidRPr="0064246A">
        <w:rPr>
          <w:rFonts w:ascii="Calibri" w:eastAsiaTheme="majorEastAsia" w:hAnsi="Calibri" w:cs="Calibri"/>
          <w:iCs/>
          <w:sz w:val="24"/>
        </w:rPr>
        <w:t xml:space="preserve">Fort de ce qui précède, on peut déduire que les dépenses de fonctionnement du </w:t>
      </w:r>
      <w:r w:rsidR="00757CF6">
        <w:rPr>
          <w:rFonts w:ascii="Calibri" w:eastAsiaTheme="majorEastAsia" w:hAnsi="Calibri" w:cs="Calibri"/>
          <w:iCs/>
          <w:sz w:val="24"/>
        </w:rPr>
        <w:t xml:space="preserve">MHA </w:t>
      </w:r>
      <w:r w:rsidRPr="0064246A">
        <w:rPr>
          <w:rFonts w:ascii="Calibri" w:eastAsiaTheme="majorEastAsia" w:hAnsi="Calibri" w:cs="Calibri"/>
          <w:iCs/>
          <w:sz w:val="24"/>
        </w:rPr>
        <w:t xml:space="preserve">ont été d’une efficacité remarquable.  </w:t>
      </w:r>
    </w:p>
    <w:p w14:paraId="73A32D67" w14:textId="77777777" w:rsidR="005B4047" w:rsidRPr="0064246A" w:rsidRDefault="005B4047" w:rsidP="00F12682">
      <w:pPr>
        <w:spacing w:after="120" w:line="276" w:lineRule="auto"/>
        <w:jc w:val="both"/>
        <w:rPr>
          <w:rFonts w:ascii="Calibri" w:eastAsiaTheme="majorEastAsia" w:hAnsi="Calibri" w:cs="Calibri"/>
          <w:iCs/>
          <w:sz w:val="24"/>
        </w:rPr>
      </w:pPr>
    </w:p>
    <w:p w14:paraId="5611C95E" w14:textId="77777777" w:rsidR="005B4047" w:rsidRPr="001B6F2D" w:rsidRDefault="005B4047" w:rsidP="00F12682">
      <w:pPr>
        <w:pStyle w:val="Titre4"/>
        <w:rPr>
          <w:rFonts w:asciiTheme="minorHAnsi" w:hAnsiTheme="minorHAnsi" w:cstheme="minorHAnsi"/>
        </w:rPr>
      </w:pPr>
      <w:r w:rsidRPr="001B6F2D">
        <w:rPr>
          <w:rFonts w:asciiTheme="minorHAnsi" w:hAnsiTheme="minorHAnsi" w:cstheme="minorHAnsi"/>
        </w:rPr>
        <w:t>Analyse de l’efficacité des dépenses d’investissement</w:t>
      </w:r>
    </w:p>
    <w:p w14:paraId="33B265EF" w14:textId="2721AF3D" w:rsidR="00AC5D19" w:rsidRPr="008D300D" w:rsidRDefault="00404698" w:rsidP="00F12682">
      <w:pPr>
        <w:spacing w:after="120" w:line="276" w:lineRule="auto"/>
        <w:jc w:val="both"/>
        <w:rPr>
          <w:rFonts w:ascii="Calibri" w:eastAsiaTheme="majorEastAsia" w:hAnsi="Calibri" w:cs="Calibri"/>
          <w:iCs/>
          <w:sz w:val="24"/>
        </w:rPr>
      </w:pPr>
      <w:r w:rsidRPr="008D300D">
        <w:rPr>
          <w:rFonts w:ascii="Calibri" w:eastAsiaTheme="majorEastAsia" w:hAnsi="Calibri" w:cs="Calibri"/>
          <w:iCs/>
          <w:sz w:val="24"/>
        </w:rPr>
        <w:t xml:space="preserve">Les crédits votés en 2016 pour le compte du MHA ont été faiblement exécuté à hauteur seulement de 28%. </w:t>
      </w:r>
      <w:r w:rsidR="006B7DE5" w:rsidRPr="008D300D">
        <w:rPr>
          <w:rFonts w:ascii="Calibri" w:eastAsiaTheme="majorEastAsia" w:hAnsi="Calibri" w:cs="Calibri"/>
          <w:iCs/>
          <w:sz w:val="24"/>
        </w:rPr>
        <w:t>Cette situation est liée au</w:t>
      </w:r>
      <w:r w:rsidR="0078383A" w:rsidRPr="008D300D">
        <w:rPr>
          <w:rFonts w:ascii="Calibri" w:eastAsiaTheme="majorEastAsia" w:hAnsi="Calibri" w:cs="Calibri"/>
          <w:iCs/>
          <w:sz w:val="24"/>
        </w:rPr>
        <w:t xml:space="preserve"> très</w:t>
      </w:r>
      <w:r w:rsidR="006B7DE5" w:rsidRPr="008D300D">
        <w:rPr>
          <w:rFonts w:ascii="Calibri" w:eastAsiaTheme="majorEastAsia" w:hAnsi="Calibri" w:cs="Calibri"/>
          <w:iCs/>
          <w:sz w:val="24"/>
        </w:rPr>
        <w:t xml:space="preserve"> faible tau</w:t>
      </w:r>
      <w:r w:rsidR="0078383A" w:rsidRPr="008D300D">
        <w:rPr>
          <w:rFonts w:ascii="Calibri" w:eastAsiaTheme="majorEastAsia" w:hAnsi="Calibri" w:cs="Calibri"/>
          <w:iCs/>
          <w:sz w:val="24"/>
        </w:rPr>
        <w:t xml:space="preserve">x de consommation des </w:t>
      </w:r>
      <w:r w:rsidR="006B7DE5" w:rsidRPr="008D300D">
        <w:rPr>
          <w:rFonts w:ascii="Calibri" w:eastAsiaTheme="majorEastAsia" w:hAnsi="Calibri" w:cs="Calibri"/>
          <w:iCs/>
          <w:sz w:val="24"/>
        </w:rPr>
        <w:t xml:space="preserve">emprunts </w:t>
      </w:r>
      <w:r w:rsidR="0078383A" w:rsidRPr="008D300D">
        <w:rPr>
          <w:rFonts w:ascii="Calibri" w:eastAsiaTheme="majorEastAsia" w:hAnsi="Calibri" w:cs="Calibri"/>
          <w:iCs/>
          <w:sz w:val="24"/>
        </w:rPr>
        <w:t xml:space="preserve">(15%), car à eux seuls ils représentent 66% des crédits votés et seulement 26% des crédits consommés. </w:t>
      </w:r>
    </w:p>
    <w:p w14:paraId="55F1AE23" w14:textId="352B3215" w:rsidR="00AC5D19" w:rsidRPr="008D300D" w:rsidRDefault="00AC5D19" w:rsidP="00F12682">
      <w:pPr>
        <w:pStyle w:val="Lgende"/>
        <w:rPr>
          <w:rFonts w:eastAsiaTheme="majorEastAsia" w:cs="Calibri"/>
          <w:iCs w:val="0"/>
          <w:color w:val="auto"/>
        </w:rPr>
      </w:pPr>
      <w:bookmarkStart w:id="186" w:name="_Toc529305101"/>
      <w:r w:rsidRPr="008D300D">
        <w:rPr>
          <w:color w:val="auto"/>
        </w:rPr>
        <w:lastRenderedPageBreak/>
        <w:t xml:space="preserve">Tableau </w:t>
      </w:r>
      <w:r w:rsidRPr="008D300D">
        <w:rPr>
          <w:noProof/>
          <w:color w:val="auto"/>
        </w:rPr>
        <w:fldChar w:fldCharType="begin"/>
      </w:r>
      <w:r w:rsidRPr="008D300D">
        <w:rPr>
          <w:noProof/>
          <w:color w:val="auto"/>
        </w:rPr>
        <w:instrText xml:space="preserve"> SEQ Tableau \* ARABIC </w:instrText>
      </w:r>
      <w:r w:rsidRPr="008D300D">
        <w:rPr>
          <w:noProof/>
          <w:color w:val="auto"/>
        </w:rPr>
        <w:fldChar w:fldCharType="separate"/>
      </w:r>
      <w:r w:rsidR="001C37F0">
        <w:rPr>
          <w:noProof/>
          <w:color w:val="auto"/>
        </w:rPr>
        <w:t>47</w:t>
      </w:r>
      <w:r w:rsidRPr="008D300D">
        <w:rPr>
          <w:noProof/>
          <w:color w:val="auto"/>
        </w:rPr>
        <w:fldChar w:fldCharType="end"/>
      </w:r>
      <w:r w:rsidRPr="008D300D">
        <w:rPr>
          <w:rFonts w:eastAsiaTheme="majorEastAsia" w:cs="Calibri"/>
          <w:iCs w:val="0"/>
          <w:color w:val="auto"/>
        </w:rPr>
        <w:t xml:space="preserve"> : </w:t>
      </w:r>
      <w:r w:rsidR="00BD6552" w:rsidRPr="008D300D">
        <w:rPr>
          <w:rFonts w:eastAsiaTheme="majorEastAsia" w:cs="Calibri"/>
          <w:iCs w:val="0"/>
          <w:color w:val="auto"/>
        </w:rPr>
        <w:t xml:space="preserve">Type de financement du </w:t>
      </w:r>
      <w:r w:rsidRPr="008D300D">
        <w:rPr>
          <w:rFonts w:eastAsiaTheme="majorEastAsia" w:cs="Calibri"/>
          <w:iCs w:val="0"/>
          <w:color w:val="auto"/>
        </w:rPr>
        <w:t>MHA en 2016</w:t>
      </w:r>
      <w:bookmarkEnd w:id="186"/>
    </w:p>
    <w:tbl>
      <w:tblPr>
        <w:tblW w:w="0" w:type="auto"/>
        <w:tblLayout w:type="fixed"/>
        <w:tblCellMar>
          <w:left w:w="70" w:type="dxa"/>
          <w:right w:w="70" w:type="dxa"/>
        </w:tblCellMar>
        <w:tblLook w:val="04A0" w:firstRow="1" w:lastRow="0" w:firstColumn="1" w:lastColumn="0" w:noHBand="0" w:noVBand="1"/>
      </w:tblPr>
      <w:tblGrid>
        <w:gridCol w:w="2053"/>
        <w:gridCol w:w="1911"/>
        <w:gridCol w:w="1843"/>
        <w:gridCol w:w="2268"/>
        <w:gridCol w:w="1418"/>
      </w:tblGrid>
      <w:tr w:rsidR="008D300D" w:rsidRPr="008D300D" w14:paraId="691C7697" w14:textId="77777777" w:rsidTr="008D300D">
        <w:trPr>
          <w:trHeight w:val="170"/>
        </w:trPr>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03DF" w14:textId="190E9EEA" w:rsidR="008D300D" w:rsidRPr="008D300D" w:rsidRDefault="008D300D" w:rsidP="00F12682">
            <w:pPr>
              <w:spacing w:after="0" w:line="240" w:lineRule="auto"/>
              <w:jc w:val="center"/>
              <w:rPr>
                <w:rFonts w:ascii="Calibri" w:eastAsia="Times New Roman" w:hAnsi="Calibri" w:cs="Calibri"/>
                <w:b/>
                <w:color w:val="000000"/>
                <w:sz w:val="20"/>
                <w:lang w:eastAsia="fr-FR"/>
              </w:rPr>
            </w:pPr>
            <w:r w:rsidRPr="008D300D">
              <w:rPr>
                <w:rFonts w:ascii="Calibri" w:eastAsia="Times New Roman" w:hAnsi="Calibri" w:cs="Calibri"/>
                <w:b/>
                <w:color w:val="000000"/>
                <w:sz w:val="20"/>
                <w:lang w:eastAsia="fr-FR"/>
              </w:rPr>
              <w:t>Type de financement</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115F4A2C" w14:textId="7ADF99AA" w:rsidR="008D300D" w:rsidRPr="008D300D" w:rsidRDefault="008D300D" w:rsidP="00F12682">
            <w:pPr>
              <w:spacing w:after="0" w:line="240" w:lineRule="auto"/>
              <w:jc w:val="center"/>
              <w:rPr>
                <w:rFonts w:ascii="Calibri" w:eastAsia="Times New Roman" w:hAnsi="Calibri" w:cs="Calibri"/>
                <w:b/>
                <w:color w:val="000000"/>
                <w:sz w:val="20"/>
                <w:lang w:eastAsia="fr-FR"/>
              </w:rPr>
            </w:pPr>
            <w:r w:rsidRPr="008D300D">
              <w:rPr>
                <w:rFonts w:eastAsia="Times New Roman" w:cstheme="minorHAnsi"/>
                <w:b/>
                <w:sz w:val="20"/>
                <w:szCs w:val="20"/>
                <w:lang w:eastAsia="fr-FR"/>
              </w:rPr>
              <w:t>Crédits votés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FAD2A64" w14:textId="60D41A10" w:rsidR="008D300D" w:rsidRPr="008D300D" w:rsidRDefault="008D300D" w:rsidP="00F12682">
            <w:pPr>
              <w:spacing w:after="0" w:line="240" w:lineRule="auto"/>
              <w:jc w:val="center"/>
              <w:rPr>
                <w:rFonts w:ascii="Calibri" w:eastAsia="Times New Roman" w:hAnsi="Calibri" w:cs="Calibri"/>
                <w:b/>
                <w:color w:val="000000"/>
                <w:sz w:val="20"/>
                <w:lang w:eastAsia="fr-FR"/>
              </w:rPr>
            </w:pPr>
            <w:r w:rsidRPr="008D300D">
              <w:rPr>
                <w:rFonts w:eastAsia="Times New Roman" w:cstheme="minorHAnsi"/>
                <w:b/>
                <w:sz w:val="20"/>
                <w:szCs w:val="20"/>
                <w:lang w:eastAsia="fr-FR"/>
              </w:rPr>
              <w:t>Crédits consommés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13FFED8" w14:textId="3A113F52" w:rsidR="008D300D" w:rsidRPr="008D300D" w:rsidRDefault="008D300D" w:rsidP="00F12682">
            <w:pPr>
              <w:spacing w:after="0" w:line="240" w:lineRule="auto"/>
              <w:jc w:val="center"/>
              <w:rPr>
                <w:rFonts w:ascii="Calibri" w:eastAsia="Times New Roman" w:hAnsi="Calibri" w:cs="Calibri"/>
                <w:b/>
                <w:color w:val="000000"/>
                <w:sz w:val="20"/>
                <w:lang w:eastAsia="fr-FR"/>
              </w:rPr>
            </w:pPr>
            <w:r w:rsidRPr="008D300D">
              <w:rPr>
                <w:rFonts w:eastAsia="Times New Roman" w:cstheme="minorHAnsi"/>
                <w:b/>
                <w:sz w:val="20"/>
                <w:szCs w:val="20"/>
                <w:lang w:eastAsia="fr-FR"/>
              </w:rPr>
              <w:t>Taux de consommation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F206702" w14:textId="7F1C4779" w:rsidR="008D300D" w:rsidRPr="008D300D" w:rsidRDefault="008D300D" w:rsidP="00F12682">
            <w:pPr>
              <w:spacing w:after="0" w:line="240" w:lineRule="auto"/>
              <w:jc w:val="center"/>
              <w:rPr>
                <w:rFonts w:ascii="Calibri" w:eastAsia="Times New Roman" w:hAnsi="Calibri" w:cs="Calibri"/>
                <w:b/>
                <w:color w:val="000000"/>
                <w:sz w:val="20"/>
                <w:lang w:eastAsia="fr-FR"/>
              </w:rPr>
            </w:pPr>
            <w:r w:rsidRPr="008D300D">
              <w:rPr>
                <w:rFonts w:eastAsia="Times New Roman" w:cstheme="minorHAnsi"/>
                <w:b/>
                <w:sz w:val="20"/>
                <w:szCs w:val="20"/>
                <w:lang w:eastAsia="fr-FR"/>
              </w:rPr>
              <w:t>Part relative</w:t>
            </w:r>
          </w:p>
        </w:tc>
      </w:tr>
      <w:tr w:rsidR="008269D4" w:rsidRPr="008269D4" w14:paraId="23104A00" w14:textId="77777777" w:rsidTr="008D300D">
        <w:trPr>
          <w:trHeight w:val="17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03FE7369" w14:textId="77777777" w:rsidR="008269D4" w:rsidRPr="008269D4" w:rsidRDefault="008269D4" w:rsidP="00F12682">
            <w:pPr>
              <w:spacing w:after="0" w:line="240" w:lineRule="auto"/>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ANR</w:t>
            </w:r>
          </w:p>
        </w:tc>
        <w:tc>
          <w:tcPr>
            <w:tcW w:w="1911" w:type="dxa"/>
            <w:tcBorders>
              <w:top w:val="nil"/>
              <w:left w:val="nil"/>
              <w:bottom w:val="single" w:sz="4" w:space="0" w:color="auto"/>
              <w:right w:val="single" w:sz="4" w:space="0" w:color="auto"/>
            </w:tcBorders>
            <w:shd w:val="clear" w:color="auto" w:fill="auto"/>
            <w:noWrap/>
            <w:vAlign w:val="center"/>
            <w:hideMark/>
          </w:tcPr>
          <w:p w14:paraId="539E3831"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13 322 448 573</w:t>
            </w:r>
          </w:p>
        </w:tc>
        <w:tc>
          <w:tcPr>
            <w:tcW w:w="1843" w:type="dxa"/>
            <w:tcBorders>
              <w:top w:val="nil"/>
              <w:left w:val="nil"/>
              <w:bottom w:val="single" w:sz="4" w:space="0" w:color="auto"/>
              <w:right w:val="single" w:sz="4" w:space="0" w:color="auto"/>
            </w:tcBorders>
            <w:shd w:val="clear" w:color="auto" w:fill="auto"/>
            <w:noWrap/>
            <w:vAlign w:val="center"/>
            <w:hideMark/>
          </w:tcPr>
          <w:p w14:paraId="77DEA0B7"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7 361 294 028</w:t>
            </w:r>
          </w:p>
        </w:tc>
        <w:tc>
          <w:tcPr>
            <w:tcW w:w="2268" w:type="dxa"/>
            <w:tcBorders>
              <w:top w:val="nil"/>
              <w:left w:val="nil"/>
              <w:bottom w:val="single" w:sz="4" w:space="0" w:color="auto"/>
              <w:right w:val="single" w:sz="4" w:space="0" w:color="auto"/>
            </w:tcBorders>
            <w:shd w:val="clear" w:color="auto" w:fill="auto"/>
            <w:noWrap/>
            <w:vAlign w:val="center"/>
            <w:hideMark/>
          </w:tcPr>
          <w:p w14:paraId="32C8826B"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55%</w:t>
            </w:r>
          </w:p>
        </w:tc>
        <w:tc>
          <w:tcPr>
            <w:tcW w:w="1418" w:type="dxa"/>
            <w:tcBorders>
              <w:top w:val="nil"/>
              <w:left w:val="nil"/>
              <w:bottom w:val="single" w:sz="4" w:space="0" w:color="auto"/>
              <w:right w:val="single" w:sz="4" w:space="0" w:color="auto"/>
            </w:tcBorders>
            <w:shd w:val="clear" w:color="auto" w:fill="auto"/>
            <w:noWrap/>
            <w:vAlign w:val="center"/>
            <w:hideMark/>
          </w:tcPr>
          <w:p w14:paraId="5140191D"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43%</w:t>
            </w:r>
          </w:p>
        </w:tc>
      </w:tr>
      <w:tr w:rsidR="008269D4" w:rsidRPr="008269D4" w14:paraId="3B1E4607" w14:textId="77777777" w:rsidTr="008D300D">
        <w:trPr>
          <w:trHeight w:val="17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42F39B05" w14:textId="77777777" w:rsidR="008269D4" w:rsidRPr="008269D4" w:rsidRDefault="008269D4" w:rsidP="00F12682">
            <w:pPr>
              <w:spacing w:after="0" w:line="240" w:lineRule="auto"/>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EMPRUNT</w:t>
            </w:r>
          </w:p>
        </w:tc>
        <w:tc>
          <w:tcPr>
            <w:tcW w:w="1911" w:type="dxa"/>
            <w:tcBorders>
              <w:top w:val="nil"/>
              <w:left w:val="nil"/>
              <w:bottom w:val="single" w:sz="4" w:space="0" w:color="auto"/>
              <w:right w:val="single" w:sz="4" w:space="0" w:color="auto"/>
            </w:tcBorders>
            <w:shd w:val="clear" w:color="auto" w:fill="auto"/>
            <w:noWrap/>
            <w:vAlign w:val="center"/>
            <w:hideMark/>
          </w:tcPr>
          <w:p w14:paraId="168EF16D"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41 207 830 682</w:t>
            </w:r>
          </w:p>
        </w:tc>
        <w:tc>
          <w:tcPr>
            <w:tcW w:w="1843" w:type="dxa"/>
            <w:tcBorders>
              <w:top w:val="nil"/>
              <w:left w:val="nil"/>
              <w:bottom w:val="single" w:sz="4" w:space="0" w:color="auto"/>
              <w:right w:val="single" w:sz="4" w:space="0" w:color="auto"/>
            </w:tcBorders>
            <w:shd w:val="clear" w:color="auto" w:fill="auto"/>
            <w:noWrap/>
            <w:vAlign w:val="center"/>
            <w:hideMark/>
          </w:tcPr>
          <w:p w14:paraId="04D09793"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6 117 524 622</w:t>
            </w:r>
          </w:p>
        </w:tc>
        <w:tc>
          <w:tcPr>
            <w:tcW w:w="2268" w:type="dxa"/>
            <w:tcBorders>
              <w:top w:val="nil"/>
              <w:left w:val="nil"/>
              <w:bottom w:val="single" w:sz="4" w:space="0" w:color="auto"/>
              <w:right w:val="single" w:sz="4" w:space="0" w:color="auto"/>
            </w:tcBorders>
            <w:shd w:val="clear" w:color="auto" w:fill="auto"/>
            <w:noWrap/>
            <w:vAlign w:val="center"/>
            <w:hideMark/>
          </w:tcPr>
          <w:p w14:paraId="5153A5FD"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15%</w:t>
            </w:r>
          </w:p>
        </w:tc>
        <w:tc>
          <w:tcPr>
            <w:tcW w:w="1418" w:type="dxa"/>
            <w:tcBorders>
              <w:top w:val="nil"/>
              <w:left w:val="nil"/>
              <w:bottom w:val="single" w:sz="4" w:space="0" w:color="auto"/>
              <w:right w:val="single" w:sz="4" w:space="0" w:color="auto"/>
            </w:tcBorders>
            <w:shd w:val="clear" w:color="auto" w:fill="auto"/>
            <w:noWrap/>
            <w:vAlign w:val="center"/>
            <w:hideMark/>
          </w:tcPr>
          <w:p w14:paraId="1113AE9C"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36%</w:t>
            </w:r>
          </w:p>
        </w:tc>
      </w:tr>
      <w:tr w:rsidR="008269D4" w:rsidRPr="008269D4" w14:paraId="5896475A" w14:textId="77777777" w:rsidTr="008D300D">
        <w:trPr>
          <w:trHeight w:val="17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13714C98" w14:textId="77777777" w:rsidR="008269D4" w:rsidRPr="008269D4" w:rsidRDefault="008269D4" w:rsidP="00F12682">
            <w:pPr>
              <w:spacing w:after="0" w:line="240" w:lineRule="auto"/>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TRESOR</w:t>
            </w:r>
          </w:p>
        </w:tc>
        <w:tc>
          <w:tcPr>
            <w:tcW w:w="1911" w:type="dxa"/>
            <w:tcBorders>
              <w:top w:val="nil"/>
              <w:left w:val="nil"/>
              <w:bottom w:val="single" w:sz="4" w:space="0" w:color="auto"/>
              <w:right w:val="single" w:sz="4" w:space="0" w:color="auto"/>
            </w:tcBorders>
            <w:shd w:val="clear" w:color="auto" w:fill="auto"/>
            <w:noWrap/>
            <w:vAlign w:val="center"/>
            <w:hideMark/>
          </w:tcPr>
          <w:p w14:paraId="7C9412B8"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7 425 449 639</w:t>
            </w:r>
          </w:p>
        </w:tc>
        <w:tc>
          <w:tcPr>
            <w:tcW w:w="1843" w:type="dxa"/>
            <w:tcBorders>
              <w:top w:val="nil"/>
              <w:left w:val="nil"/>
              <w:bottom w:val="single" w:sz="4" w:space="0" w:color="auto"/>
              <w:right w:val="single" w:sz="4" w:space="0" w:color="auto"/>
            </w:tcBorders>
            <w:shd w:val="clear" w:color="auto" w:fill="auto"/>
            <w:noWrap/>
            <w:vAlign w:val="center"/>
            <w:hideMark/>
          </w:tcPr>
          <w:p w14:paraId="579F2330"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3 691 957 150</w:t>
            </w:r>
          </w:p>
        </w:tc>
        <w:tc>
          <w:tcPr>
            <w:tcW w:w="2268" w:type="dxa"/>
            <w:tcBorders>
              <w:top w:val="nil"/>
              <w:left w:val="nil"/>
              <w:bottom w:val="single" w:sz="4" w:space="0" w:color="auto"/>
              <w:right w:val="single" w:sz="4" w:space="0" w:color="auto"/>
            </w:tcBorders>
            <w:shd w:val="clear" w:color="auto" w:fill="auto"/>
            <w:noWrap/>
            <w:vAlign w:val="center"/>
            <w:hideMark/>
          </w:tcPr>
          <w:p w14:paraId="0F15DC81"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50%</w:t>
            </w:r>
          </w:p>
        </w:tc>
        <w:tc>
          <w:tcPr>
            <w:tcW w:w="1418" w:type="dxa"/>
            <w:tcBorders>
              <w:top w:val="nil"/>
              <w:left w:val="nil"/>
              <w:bottom w:val="single" w:sz="4" w:space="0" w:color="auto"/>
              <w:right w:val="single" w:sz="4" w:space="0" w:color="auto"/>
            </w:tcBorders>
            <w:shd w:val="clear" w:color="auto" w:fill="auto"/>
            <w:noWrap/>
            <w:vAlign w:val="center"/>
            <w:hideMark/>
          </w:tcPr>
          <w:p w14:paraId="54B90233"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22%</w:t>
            </w:r>
          </w:p>
        </w:tc>
      </w:tr>
      <w:tr w:rsidR="008269D4" w:rsidRPr="008269D4" w14:paraId="39570851" w14:textId="77777777" w:rsidTr="008D300D">
        <w:trPr>
          <w:trHeight w:val="170"/>
        </w:trPr>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183C25F5" w14:textId="77777777" w:rsidR="008269D4" w:rsidRPr="008269D4" w:rsidRDefault="008269D4" w:rsidP="00F12682">
            <w:pPr>
              <w:spacing w:after="0" w:line="240" w:lineRule="auto"/>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Total général</w:t>
            </w:r>
          </w:p>
        </w:tc>
        <w:tc>
          <w:tcPr>
            <w:tcW w:w="1911" w:type="dxa"/>
            <w:tcBorders>
              <w:top w:val="nil"/>
              <w:left w:val="nil"/>
              <w:bottom w:val="single" w:sz="4" w:space="0" w:color="auto"/>
              <w:right w:val="single" w:sz="4" w:space="0" w:color="auto"/>
            </w:tcBorders>
            <w:shd w:val="clear" w:color="auto" w:fill="auto"/>
            <w:noWrap/>
            <w:vAlign w:val="center"/>
            <w:hideMark/>
          </w:tcPr>
          <w:p w14:paraId="5688EECF"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61 955 728 894</w:t>
            </w:r>
          </w:p>
        </w:tc>
        <w:tc>
          <w:tcPr>
            <w:tcW w:w="1843" w:type="dxa"/>
            <w:tcBorders>
              <w:top w:val="nil"/>
              <w:left w:val="nil"/>
              <w:bottom w:val="single" w:sz="4" w:space="0" w:color="auto"/>
              <w:right w:val="single" w:sz="4" w:space="0" w:color="auto"/>
            </w:tcBorders>
            <w:shd w:val="clear" w:color="auto" w:fill="auto"/>
            <w:noWrap/>
            <w:vAlign w:val="center"/>
            <w:hideMark/>
          </w:tcPr>
          <w:p w14:paraId="5E3E6DFD"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17 170 775 800</w:t>
            </w:r>
          </w:p>
        </w:tc>
        <w:tc>
          <w:tcPr>
            <w:tcW w:w="2268" w:type="dxa"/>
            <w:tcBorders>
              <w:top w:val="nil"/>
              <w:left w:val="nil"/>
              <w:bottom w:val="single" w:sz="4" w:space="0" w:color="auto"/>
              <w:right w:val="single" w:sz="4" w:space="0" w:color="auto"/>
            </w:tcBorders>
            <w:shd w:val="clear" w:color="auto" w:fill="auto"/>
            <w:noWrap/>
            <w:vAlign w:val="center"/>
            <w:hideMark/>
          </w:tcPr>
          <w:p w14:paraId="1C0E673E"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28%</w:t>
            </w:r>
          </w:p>
        </w:tc>
        <w:tc>
          <w:tcPr>
            <w:tcW w:w="1418" w:type="dxa"/>
            <w:tcBorders>
              <w:top w:val="nil"/>
              <w:left w:val="nil"/>
              <w:bottom w:val="single" w:sz="4" w:space="0" w:color="auto"/>
              <w:right w:val="single" w:sz="4" w:space="0" w:color="auto"/>
            </w:tcBorders>
            <w:shd w:val="clear" w:color="auto" w:fill="auto"/>
            <w:noWrap/>
            <w:vAlign w:val="center"/>
            <w:hideMark/>
          </w:tcPr>
          <w:p w14:paraId="6F9B7150" w14:textId="77777777" w:rsidR="008269D4" w:rsidRPr="008269D4" w:rsidRDefault="008269D4" w:rsidP="00F12682">
            <w:pPr>
              <w:spacing w:after="0" w:line="240" w:lineRule="auto"/>
              <w:jc w:val="right"/>
              <w:rPr>
                <w:rFonts w:ascii="Calibri" w:eastAsia="Times New Roman" w:hAnsi="Calibri" w:cs="Calibri"/>
                <w:color w:val="000000"/>
                <w:sz w:val="20"/>
                <w:lang w:eastAsia="fr-FR"/>
              </w:rPr>
            </w:pPr>
            <w:r w:rsidRPr="008269D4">
              <w:rPr>
                <w:rFonts w:ascii="Calibri" w:eastAsia="Times New Roman" w:hAnsi="Calibri" w:cs="Calibri"/>
                <w:color w:val="000000"/>
                <w:sz w:val="20"/>
                <w:lang w:eastAsia="fr-FR"/>
              </w:rPr>
              <w:t>100%</w:t>
            </w:r>
          </w:p>
        </w:tc>
      </w:tr>
    </w:tbl>
    <w:p w14:paraId="5AADDD76" w14:textId="77777777" w:rsidR="008269D4" w:rsidRDefault="008269D4" w:rsidP="00F12682">
      <w:pPr>
        <w:spacing w:after="120" w:line="276" w:lineRule="auto"/>
        <w:jc w:val="both"/>
        <w:rPr>
          <w:rFonts w:ascii="Calibri" w:eastAsiaTheme="majorEastAsia" w:hAnsi="Calibri" w:cs="Calibri"/>
          <w:iCs/>
          <w:sz w:val="24"/>
        </w:rPr>
      </w:pPr>
    </w:p>
    <w:p w14:paraId="234C777E" w14:textId="618811D9" w:rsidR="005B4047" w:rsidRPr="0064246A" w:rsidRDefault="005B4047" w:rsidP="00F12682">
      <w:pPr>
        <w:spacing w:after="120" w:line="276" w:lineRule="auto"/>
        <w:jc w:val="both"/>
        <w:rPr>
          <w:rFonts w:ascii="Calibri" w:eastAsiaTheme="majorEastAsia" w:hAnsi="Calibri" w:cs="Calibri"/>
          <w:iCs/>
          <w:sz w:val="24"/>
        </w:rPr>
      </w:pPr>
      <w:r w:rsidRPr="0064246A">
        <w:rPr>
          <w:rFonts w:ascii="Calibri" w:eastAsiaTheme="majorEastAsia" w:hAnsi="Calibri" w:cs="Calibri"/>
          <w:iCs/>
          <w:sz w:val="24"/>
        </w:rPr>
        <w:t>Les dépenses d’investissement ont permis de rehausser le</w:t>
      </w:r>
      <w:r w:rsidR="0023259E">
        <w:rPr>
          <w:rFonts w:ascii="Calibri" w:eastAsiaTheme="majorEastAsia" w:hAnsi="Calibri" w:cs="Calibri"/>
          <w:iCs/>
          <w:sz w:val="24"/>
        </w:rPr>
        <w:t>s niveaux des indicateurs du MH</w:t>
      </w:r>
      <w:r w:rsidRPr="0064246A">
        <w:rPr>
          <w:rFonts w:ascii="Calibri" w:eastAsiaTheme="majorEastAsia" w:hAnsi="Calibri" w:cs="Calibri"/>
          <w:iCs/>
          <w:sz w:val="24"/>
        </w:rPr>
        <w:t xml:space="preserve">A. Au titre des investissements administratifs, les principales réalisations sont : </w:t>
      </w:r>
    </w:p>
    <w:p w14:paraId="4790EAA0" w14:textId="77777777"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 xml:space="preserve">du mobilier de bureau : structures du niveau central et services déconcentrés,  </w:t>
      </w:r>
    </w:p>
    <w:p w14:paraId="1D85CB67" w14:textId="77777777"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 xml:space="preserve">du matériel informatique : 7 ordinateurs portables et 7 ordinateurs de bureau, </w:t>
      </w:r>
    </w:p>
    <w:p w14:paraId="30D8E8A3" w14:textId="382BFCEE"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des véhicules : 2 Toyota 4</w:t>
      </w:r>
      <w:r w:rsidR="0023259E">
        <w:rPr>
          <w:rFonts w:ascii="Calibri" w:eastAsiaTheme="majorEastAsia" w:hAnsi="Calibri" w:cs="Calibri"/>
          <w:iCs/>
          <w:sz w:val="24"/>
        </w:rPr>
        <w:t>x</w:t>
      </w:r>
      <w:r w:rsidRPr="0064246A">
        <w:rPr>
          <w:rFonts w:ascii="Calibri" w:eastAsiaTheme="majorEastAsia" w:hAnsi="Calibri" w:cs="Calibri"/>
          <w:iCs/>
          <w:sz w:val="24"/>
        </w:rPr>
        <w:t>4 Hard To</w:t>
      </w:r>
      <w:r w:rsidR="0023259E">
        <w:rPr>
          <w:rFonts w:ascii="Calibri" w:eastAsiaTheme="majorEastAsia" w:hAnsi="Calibri" w:cs="Calibri"/>
          <w:iCs/>
          <w:sz w:val="24"/>
        </w:rPr>
        <w:t>p acquis à travers le PASEHA II</w:t>
      </w:r>
      <w:r w:rsidRPr="0064246A">
        <w:rPr>
          <w:rFonts w:ascii="Calibri" w:eastAsiaTheme="majorEastAsia" w:hAnsi="Calibri" w:cs="Calibri"/>
          <w:iCs/>
          <w:sz w:val="24"/>
        </w:rPr>
        <w:t xml:space="preserve"> et 1 véhicule Station Wagon TOYOTA 4</w:t>
      </w:r>
      <w:r w:rsidR="0023259E">
        <w:rPr>
          <w:rFonts w:ascii="Calibri" w:eastAsiaTheme="majorEastAsia" w:hAnsi="Calibri" w:cs="Calibri"/>
          <w:iCs/>
          <w:sz w:val="24"/>
        </w:rPr>
        <w:t>x</w:t>
      </w:r>
      <w:r w:rsidRPr="0064246A">
        <w:rPr>
          <w:rFonts w:ascii="Calibri" w:eastAsiaTheme="majorEastAsia" w:hAnsi="Calibri" w:cs="Calibri"/>
          <w:iCs/>
          <w:sz w:val="24"/>
        </w:rPr>
        <w:t xml:space="preserve">4 V8 sur fonds propres de l’Etat, et </w:t>
      </w:r>
    </w:p>
    <w:p w14:paraId="0C61943A" w14:textId="773B6ABD" w:rsidR="005B4047" w:rsidRPr="0064246A" w:rsidRDefault="005B4047" w:rsidP="00F12682">
      <w:pPr>
        <w:pStyle w:val="Paragraphedeliste"/>
        <w:numPr>
          <w:ilvl w:val="0"/>
          <w:numId w:val="31"/>
        </w:numPr>
        <w:spacing w:after="120" w:line="276" w:lineRule="auto"/>
        <w:ind w:left="567" w:hanging="210"/>
        <w:contextualSpacing w:val="0"/>
        <w:jc w:val="both"/>
        <w:rPr>
          <w:rFonts w:ascii="Calibri" w:eastAsiaTheme="majorEastAsia" w:hAnsi="Calibri" w:cs="Calibri"/>
          <w:iCs/>
          <w:sz w:val="24"/>
        </w:rPr>
      </w:pPr>
      <w:r w:rsidRPr="0064246A">
        <w:rPr>
          <w:rFonts w:ascii="Calibri" w:eastAsiaTheme="majorEastAsia" w:hAnsi="Calibri" w:cs="Calibri"/>
          <w:iCs/>
          <w:sz w:val="24"/>
        </w:rPr>
        <w:t>du matériel technique : 1 serveur Rack financé par la coopération suisse.</w:t>
      </w:r>
    </w:p>
    <w:p w14:paraId="168034D6" w14:textId="77777777" w:rsidR="005B4047" w:rsidRPr="00373051" w:rsidRDefault="005B4047" w:rsidP="00F12682">
      <w:pPr>
        <w:autoSpaceDE w:val="0"/>
        <w:autoSpaceDN w:val="0"/>
        <w:adjustRightInd w:val="0"/>
        <w:spacing w:before="240" w:line="240" w:lineRule="auto"/>
        <w:rPr>
          <w:rFonts w:asciiTheme="majorHAnsi" w:eastAsiaTheme="majorEastAsia" w:hAnsiTheme="majorHAnsi" w:cstheme="majorBidi"/>
          <w:iCs/>
        </w:rPr>
      </w:pPr>
    </w:p>
    <w:p w14:paraId="4F77BF52" w14:textId="77777777" w:rsidR="005B4047" w:rsidRPr="001B6F2D" w:rsidRDefault="005B4047" w:rsidP="00F12682">
      <w:pPr>
        <w:pStyle w:val="Titre4"/>
        <w:rPr>
          <w:rFonts w:asciiTheme="minorHAnsi" w:hAnsiTheme="minorHAnsi" w:cstheme="minorHAnsi"/>
        </w:rPr>
      </w:pPr>
      <w:r w:rsidRPr="001B6F2D">
        <w:rPr>
          <w:rFonts w:asciiTheme="minorHAnsi" w:hAnsiTheme="minorHAnsi" w:cstheme="minorHAnsi"/>
        </w:rPr>
        <w:t>Analyse des dépenses hors budget (projets/programmes)</w:t>
      </w:r>
    </w:p>
    <w:p w14:paraId="3FF394DD" w14:textId="6EEE726B" w:rsidR="005B4047" w:rsidRDefault="005B4047" w:rsidP="00F12682">
      <w:pPr>
        <w:spacing w:after="120" w:line="276" w:lineRule="auto"/>
        <w:jc w:val="both"/>
        <w:rPr>
          <w:rFonts w:ascii="Calibri" w:eastAsiaTheme="majorEastAsia" w:hAnsi="Calibri" w:cs="Calibri"/>
          <w:iCs/>
          <w:sz w:val="24"/>
        </w:rPr>
      </w:pPr>
      <w:r w:rsidRPr="0064246A">
        <w:rPr>
          <w:rFonts w:ascii="Calibri" w:eastAsiaTheme="majorEastAsia" w:hAnsi="Calibri" w:cs="Calibri"/>
          <w:iCs/>
          <w:sz w:val="24"/>
        </w:rPr>
        <w:t xml:space="preserve">Plusieurs Projets et programmes ont été financés dans le cadre de la mise en œuvre de la politique du </w:t>
      </w:r>
      <w:r w:rsidR="00757CF6">
        <w:rPr>
          <w:rFonts w:ascii="Calibri" w:eastAsiaTheme="majorEastAsia" w:hAnsi="Calibri" w:cs="Calibri"/>
          <w:iCs/>
          <w:sz w:val="24"/>
        </w:rPr>
        <w:t xml:space="preserve">MHA </w:t>
      </w:r>
      <w:r w:rsidRPr="0064246A">
        <w:rPr>
          <w:rFonts w:ascii="Calibri" w:eastAsiaTheme="majorEastAsia" w:hAnsi="Calibri" w:cs="Calibri"/>
          <w:iCs/>
          <w:sz w:val="24"/>
        </w:rPr>
        <w:t>en 2016. Concernant principalement le volet ‘</w:t>
      </w:r>
      <w:r w:rsidRPr="0064246A">
        <w:rPr>
          <w:rFonts w:ascii="Calibri" w:eastAsiaTheme="majorEastAsia" w:hAnsi="Calibri" w:cs="Calibri"/>
          <w:i/>
          <w:iCs/>
          <w:sz w:val="24"/>
        </w:rPr>
        <w:t>hydraulique pastorale’</w:t>
      </w:r>
      <w:r w:rsidRPr="0064246A">
        <w:rPr>
          <w:rFonts w:ascii="Calibri" w:eastAsiaTheme="majorEastAsia" w:hAnsi="Calibri" w:cs="Calibri"/>
          <w:iCs/>
          <w:sz w:val="24"/>
        </w:rPr>
        <w:t>, selon le rapport d’activités 2016, les réalisations physiques sont confinées dans le tableau qui suit.</w:t>
      </w:r>
    </w:p>
    <w:p w14:paraId="78134A4B" w14:textId="77777777" w:rsidR="00860B25" w:rsidRPr="0064246A" w:rsidRDefault="00860B25" w:rsidP="00F12682">
      <w:pPr>
        <w:spacing w:after="120" w:line="276" w:lineRule="auto"/>
        <w:jc w:val="both"/>
        <w:rPr>
          <w:rFonts w:ascii="Calibri" w:eastAsiaTheme="majorEastAsia" w:hAnsi="Calibri" w:cs="Calibri"/>
          <w:iCs/>
          <w:sz w:val="24"/>
        </w:rPr>
      </w:pPr>
    </w:p>
    <w:p w14:paraId="7EA2C796" w14:textId="09EE0167" w:rsidR="005B4047" w:rsidRDefault="003F6F26" w:rsidP="00F12682">
      <w:pPr>
        <w:pStyle w:val="Lgende"/>
        <w:rPr>
          <w:rFonts w:eastAsiaTheme="majorEastAsia" w:cs="Calibri"/>
          <w:iCs w:val="0"/>
          <w:sz w:val="24"/>
        </w:rPr>
      </w:pPr>
      <w:bookmarkStart w:id="187" w:name="_Toc529305102"/>
      <w:r>
        <w:t xml:space="preserve">Tableau </w:t>
      </w:r>
      <w:r w:rsidR="0092517C">
        <w:rPr>
          <w:noProof/>
        </w:rPr>
        <w:fldChar w:fldCharType="begin"/>
      </w:r>
      <w:r w:rsidR="0092517C">
        <w:rPr>
          <w:noProof/>
        </w:rPr>
        <w:instrText xml:space="preserve"> SEQ Tableau \* ARABIC </w:instrText>
      </w:r>
      <w:r w:rsidR="0092517C">
        <w:rPr>
          <w:noProof/>
        </w:rPr>
        <w:fldChar w:fldCharType="separate"/>
      </w:r>
      <w:r w:rsidR="001C37F0">
        <w:rPr>
          <w:noProof/>
        </w:rPr>
        <w:t>48</w:t>
      </w:r>
      <w:r w:rsidR="0092517C">
        <w:rPr>
          <w:noProof/>
        </w:rPr>
        <w:fldChar w:fldCharType="end"/>
      </w:r>
      <w:r w:rsidR="0064246A">
        <w:rPr>
          <w:rFonts w:eastAsiaTheme="majorEastAsia" w:cs="Calibri"/>
          <w:iCs w:val="0"/>
          <w:sz w:val="24"/>
        </w:rPr>
        <w:t> :</w:t>
      </w:r>
      <w:r w:rsidR="005B4047" w:rsidRPr="0064246A">
        <w:rPr>
          <w:rFonts w:eastAsiaTheme="majorEastAsia" w:cs="Calibri"/>
          <w:iCs w:val="0"/>
          <w:sz w:val="24"/>
        </w:rPr>
        <w:t xml:space="preserve"> Réalisation des points d’eau d’hydraulique pastorale</w:t>
      </w:r>
      <w:r w:rsidR="0064246A">
        <w:rPr>
          <w:rFonts w:eastAsiaTheme="majorEastAsia" w:cs="Calibri"/>
          <w:iCs w:val="0"/>
          <w:sz w:val="24"/>
        </w:rPr>
        <w:t xml:space="preserve"> en 2016</w:t>
      </w:r>
      <w:bookmarkEnd w:id="187"/>
    </w:p>
    <w:tbl>
      <w:tblPr>
        <w:tblStyle w:val="Grilledutableau"/>
        <w:tblW w:w="0" w:type="auto"/>
        <w:tblLook w:val="04A0" w:firstRow="1" w:lastRow="0" w:firstColumn="1" w:lastColumn="0" w:noHBand="0" w:noVBand="1"/>
      </w:tblPr>
      <w:tblGrid>
        <w:gridCol w:w="3681"/>
        <w:gridCol w:w="2126"/>
        <w:gridCol w:w="1559"/>
        <w:gridCol w:w="1843"/>
      </w:tblGrid>
      <w:tr w:rsidR="001B2FD3" w:rsidRPr="001B2FD3" w14:paraId="73B8381E" w14:textId="77777777" w:rsidTr="001B2FD3">
        <w:tc>
          <w:tcPr>
            <w:tcW w:w="3681" w:type="dxa"/>
            <w:vAlign w:val="center"/>
          </w:tcPr>
          <w:p w14:paraId="5B2EA0EB" w14:textId="75A06A80" w:rsidR="001B2FD3" w:rsidRPr="001B2FD3" w:rsidRDefault="001B2FD3" w:rsidP="00F12682">
            <w:pPr>
              <w:jc w:val="center"/>
              <w:rPr>
                <w:rFonts w:ascii="Calibri" w:hAnsi="Calibri" w:cs="Calibri"/>
                <w:b/>
                <w:sz w:val="20"/>
                <w:szCs w:val="20"/>
              </w:rPr>
            </w:pPr>
            <w:r w:rsidRPr="001B2FD3">
              <w:rPr>
                <w:rFonts w:ascii="Calibri" w:hAnsi="Calibri" w:cs="Calibri"/>
                <w:b/>
                <w:sz w:val="20"/>
                <w:szCs w:val="20"/>
              </w:rPr>
              <w:t>Activités</w:t>
            </w:r>
          </w:p>
        </w:tc>
        <w:tc>
          <w:tcPr>
            <w:tcW w:w="2126" w:type="dxa"/>
            <w:vAlign w:val="center"/>
          </w:tcPr>
          <w:p w14:paraId="26E0364F" w14:textId="2622B99F" w:rsidR="001B2FD3" w:rsidRPr="001B2FD3" w:rsidRDefault="001B2FD3" w:rsidP="00F12682">
            <w:pPr>
              <w:jc w:val="center"/>
              <w:rPr>
                <w:rFonts w:ascii="Calibri" w:hAnsi="Calibri" w:cs="Calibri"/>
                <w:b/>
                <w:sz w:val="20"/>
                <w:szCs w:val="20"/>
              </w:rPr>
            </w:pPr>
            <w:r w:rsidRPr="001B2FD3">
              <w:rPr>
                <w:rFonts w:ascii="Calibri" w:hAnsi="Calibri" w:cs="Calibri"/>
                <w:b/>
                <w:sz w:val="20"/>
                <w:szCs w:val="20"/>
              </w:rPr>
              <w:t>Programmation 2016</w:t>
            </w:r>
          </w:p>
        </w:tc>
        <w:tc>
          <w:tcPr>
            <w:tcW w:w="1559" w:type="dxa"/>
            <w:vAlign w:val="center"/>
          </w:tcPr>
          <w:p w14:paraId="02902D80" w14:textId="1D37CBD3" w:rsidR="001B2FD3" w:rsidRPr="001B2FD3" w:rsidRDefault="001B2FD3" w:rsidP="00F12682">
            <w:pPr>
              <w:jc w:val="center"/>
              <w:rPr>
                <w:rFonts w:ascii="Calibri" w:hAnsi="Calibri" w:cs="Calibri"/>
                <w:b/>
                <w:sz w:val="20"/>
                <w:szCs w:val="20"/>
              </w:rPr>
            </w:pPr>
            <w:r w:rsidRPr="001B2FD3">
              <w:rPr>
                <w:rFonts w:ascii="Calibri" w:hAnsi="Calibri" w:cs="Calibri"/>
                <w:b/>
                <w:sz w:val="20"/>
                <w:szCs w:val="20"/>
              </w:rPr>
              <w:t>Réalisations 2016</w:t>
            </w:r>
          </w:p>
        </w:tc>
        <w:tc>
          <w:tcPr>
            <w:tcW w:w="1843" w:type="dxa"/>
            <w:vAlign w:val="center"/>
          </w:tcPr>
          <w:p w14:paraId="702E2ED6" w14:textId="009326F0" w:rsidR="001B2FD3" w:rsidRPr="001B2FD3" w:rsidRDefault="001B2FD3" w:rsidP="00F12682">
            <w:pPr>
              <w:jc w:val="center"/>
              <w:rPr>
                <w:rFonts w:ascii="Calibri" w:hAnsi="Calibri" w:cs="Calibri"/>
                <w:b/>
                <w:sz w:val="20"/>
                <w:szCs w:val="20"/>
              </w:rPr>
            </w:pPr>
            <w:r w:rsidRPr="001B2FD3">
              <w:rPr>
                <w:rFonts w:ascii="Calibri" w:hAnsi="Calibri" w:cs="Calibri"/>
                <w:b/>
                <w:sz w:val="20"/>
                <w:szCs w:val="20"/>
              </w:rPr>
              <w:t>Taux de réalisations 2016</w:t>
            </w:r>
          </w:p>
        </w:tc>
      </w:tr>
      <w:tr w:rsidR="001B2FD3" w:rsidRPr="001B2FD3" w14:paraId="0538A1BC" w14:textId="77777777" w:rsidTr="001B2FD3">
        <w:tc>
          <w:tcPr>
            <w:tcW w:w="3681" w:type="dxa"/>
          </w:tcPr>
          <w:p w14:paraId="7D4DD00E" w14:textId="21D019E2" w:rsidR="001B2FD3" w:rsidRPr="00FA0B78" w:rsidRDefault="00456367" w:rsidP="00F12682">
            <w:pPr>
              <w:rPr>
                <w:rFonts w:ascii="Calibri" w:hAnsi="Calibri" w:cs="Calibri"/>
                <w:b/>
                <w:sz w:val="20"/>
                <w:szCs w:val="20"/>
              </w:rPr>
            </w:pPr>
            <w:r w:rsidRPr="00FA0B78">
              <w:rPr>
                <w:rFonts w:ascii="Calibri" w:hAnsi="Calibri" w:cs="Calibri"/>
                <w:b/>
                <w:sz w:val="20"/>
                <w:szCs w:val="20"/>
              </w:rPr>
              <w:t>Réalisation d’infrastructures</w:t>
            </w:r>
          </w:p>
        </w:tc>
        <w:tc>
          <w:tcPr>
            <w:tcW w:w="2126" w:type="dxa"/>
          </w:tcPr>
          <w:p w14:paraId="2D339E5A" w14:textId="77777777" w:rsidR="001B2FD3" w:rsidRPr="00FA0B78" w:rsidRDefault="001B2FD3" w:rsidP="00F12682">
            <w:pPr>
              <w:jc w:val="center"/>
              <w:rPr>
                <w:rFonts w:ascii="Calibri" w:hAnsi="Calibri" w:cs="Calibri"/>
                <w:b/>
                <w:sz w:val="20"/>
                <w:szCs w:val="20"/>
              </w:rPr>
            </w:pPr>
          </w:p>
        </w:tc>
        <w:tc>
          <w:tcPr>
            <w:tcW w:w="1559" w:type="dxa"/>
          </w:tcPr>
          <w:p w14:paraId="304EA083" w14:textId="5AFF14DA" w:rsidR="001B2FD3" w:rsidRPr="00FA0B78" w:rsidRDefault="001B2FD3" w:rsidP="00F12682">
            <w:pPr>
              <w:jc w:val="center"/>
              <w:rPr>
                <w:rFonts w:ascii="Calibri" w:hAnsi="Calibri" w:cs="Calibri"/>
                <w:b/>
                <w:sz w:val="20"/>
                <w:szCs w:val="20"/>
              </w:rPr>
            </w:pPr>
          </w:p>
        </w:tc>
        <w:tc>
          <w:tcPr>
            <w:tcW w:w="1843" w:type="dxa"/>
          </w:tcPr>
          <w:p w14:paraId="537095CF" w14:textId="77777777" w:rsidR="001B2FD3" w:rsidRPr="00FA0B78" w:rsidRDefault="001B2FD3" w:rsidP="00F12682">
            <w:pPr>
              <w:jc w:val="center"/>
              <w:rPr>
                <w:rFonts w:ascii="Calibri" w:hAnsi="Calibri" w:cs="Calibri"/>
                <w:b/>
                <w:sz w:val="20"/>
                <w:szCs w:val="20"/>
              </w:rPr>
            </w:pPr>
          </w:p>
        </w:tc>
      </w:tr>
      <w:tr w:rsidR="001B2FD3" w:rsidRPr="001B2FD3" w14:paraId="72EAAAE2" w14:textId="77777777" w:rsidTr="001B2FD3">
        <w:tc>
          <w:tcPr>
            <w:tcW w:w="3681" w:type="dxa"/>
          </w:tcPr>
          <w:p w14:paraId="68A1617E" w14:textId="7A0844E6" w:rsidR="001B2FD3" w:rsidRPr="001B2FD3" w:rsidRDefault="00BF74C5" w:rsidP="00F12682">
            <w:pPr>
              <w:rPr>
                <w:rFonts w:ascii="Calibri" w:hAnsi="Calibri" w:cs="Calibri"/>
                <w:sz w:val="20"/>
                <w:szCs w:val="20"/>
              </w:rPr>
            </w:pPr>
            <w:r>
              <w:rPr>
                <w:rFonts w:ascii="Calibri" w:hAnsi="Calibri" w:cs="Calibri"/>
                <w:sz w:val="20"/>
                <w:szCs w:val="20"/>
              </w:rPr>
              <w:t>Puits cimentées (pastoraux)</w:t>
            </w:r>
          </w:p>
        </w:tc>
        <w:tc>
          <w:tcPr>
            <w:tcW w:w="2126" w:type="dxa"/>
          </w:tcPr>
          <w:p w14:paraId="12260175" w14:textId="193D2EA1" w:rsidR="001B2FD3" w:rsidRPr="001B2FD3" w:rsidRDefault="00FA0B78" w:rsidP="00F12682">
            <w:pPr>
              <w:jc w:val="center"/>
              <w:rPr>
                <w:rFonts w:ascii="Calibri" w:hAnsi="Calibri" w:cs="Calibri"/>
                <w:sz w:val="20"/>
                <w:szCs w:val="20"/>
              </w:rPr>
            </w:pPr>
            <w:r>
              <w:rPr>
                <w:rFonts w:ascii="Calibri" w:hAnsi="Calibri" w:cs="Calibri"/>
                <w:sz w:val="20"/>
                <w:szCs w:val="20"/>
              </w:rPr>
              <w:t>135</w:t>
            </w:r>
          </w:p>
        </w:tc>
        <w:tc>
          <w:tcPr>
            <w:tcW w:w="1559" w:type="dxa"/>
          </w:tcPr>
          <w:p w14:paraId="5712A172" w14:textId="43CBFD17" w:rsidR="001B2FD3" w:rsidRPr="001B2FD3" w:rsidRDefault="00FA0B78" w:rsidP="00F12682">
            <w:pPr>
              <w:jc w:val="center"/>
              <w:rPr>
                <w:rFonts w:ascii="Calibri" w:hAnsi="Calibri" w:cs="Calibri"/>
                <w:sz w:val="20"/>
                <w:szCs w:val="20"/>
              </w:rPr>
            </w:pPr>
            <w:r>
              <w:rPr>
                <w:rFonts w:ascii="Calibri" w:hAnsi="Calibri" w:cs="Calibri"/>
                <w:sz w:val="20"/>
                <w:szCs w:val="20"/>
              </w:rPr>
              <w:t>86</w:t>
            </w:r>
          </w:p>
        </w:tc>
        <w:tc>
          <w:tcPr>
            <w:tcW w:w="1843" w:type="dxa"/>
          </w:tcPr>
          <w:p w14:paraId="00C8783F" w14:textId="151B522B" w:rsidR="001B2FD3" w:rsidRPr="001B2FD3" w:rsidRDefault="00FA0B78" w:rsidP="00F12682">
            <w:pPr>
              <w:jc w:val="center"/>
              <w:rPr>
                <w:rFonts w:ascii="Calibri" w:hAnsi="Calibri" w:cs="Calibri"/>
                <w:sz w:val="20"/>
                <w:szCs w:val="20"/>
              </w:rPr>
            </w:pPr>
            <w:r>
              <w:rPr>
                <w:rFonts w:ascii="Calibri" w:hAnsi="Calibri" w:cs="Calibri"/>
                <w:sz w:val="20"/>
                <w:szCs w:val="20"/>
              </w:rPr>
              <w:t>63,70</w:t>
            </w:r>
          </w:p>
        </w:tc>
      </w:tr>
      <w:tr w:rsidR="001B2FD3" w:rsidRPr="001B2FD3" w14:paraId="16C87B21" w14:textId="77777777" w:rsidTr="001B2FD3">
        <w:tc>
          <w:tcPr>
            <w:tcW w:w="3681" w:type="dxa"/>
          </w:tcPr>
          <w:p w14:paraId="2FAA94D7" w14:textId="2A482384" w:rsidR="001B2FD3" w:rsidRPr="001B2FD3" w:rsidRDefault="00BF74C5" w:rsidP="00F12682">
            <w:pPr>
              <w:rPr>
                <w:rFonts w:ascii="Calibri" w:hAnsi="Calibri" w:cs="Calibri"/>
                <w:sz w:val="20"/>
                <w:szCs w:val="20"/>
              </w:rPr>
            </w:pPr>
            <w:r>
              <w:rPr>
                <w:rFonts w:ascii="Calibri" w:hAnsi="Calibri" w:cs="Calibri"/>
                <w:sz w:val="20"/>
                <w:szCs w:val="20"/>
              </w:rPr>
              <w:t>SPP</w:t>
            </w:r>
          </w:p>
        </w:tc>
        <w:tc>
          <w:tcPr>
            <w:tcW w:w="2126" w:type="dxa"/>
          </w:tcPr>
          <w:p w14:paraId="3E1CD5F2" w14:textId="5B328605" w:rsidR="001B2FD3" w:rsidRPr="001B2FD3" w:rsidRDefault="00FA0B78" w:rsidP="00F12682">
            <w:pPr>
              <w:jc w:val="center"/>
              <w:rPr>
                <w:rFonts w:ascii="Calibri" w:hAnsi="Calibri" w:cs="Calibri"/>
                <w:sz w:val="20"/>
                <w:szCs w:val="20"/>
              </w:rPr>
            </w:pPr>
            <w:r>
              <w:rPr>
                <w:rFonts w:ascii="Calibri" w:hAnsi="Calibri" w:cs="Calibri"/>
                <w:sz w:val="20"/>
                <w:szCs w:val="20"/>
              </w:rPr>
              <w:t>29</w:t>
            </w:r>
          </w:p>
        </w:tc>
        <w:tc>
          <w:tcPr>
            <w:tcW w:w="1559" w:type="dxa"/>
          </w:tcPr>
          <w:p w14:paraId="73487695" w14:textId="03B940AA" w:rsidR="001B2FD3" w:rsidRPr="001B2FD3" w:rsidRDefault="00FA0B78" w:rsidP="00F12682">
            <w:pPr>
              <w:jc w:val="center"/>
              <w:rPr>
                <w:rFonts w:ascii="Calibri" w:hAnsi="Calibri" w:cs="Calibri"/>
                <w:sz w:val="20"/>
                <w:szCs w:val="20"/>
              </w:rPr>
            </w:pPr>
            <w:r>
              <w:rPr>
                <w:rFonts w:ascii="Calibri" w:hAnsi="Calibri" w:cs="Calibri"/>
                <w:sz w:val="20"/>
                <w:szCs w:val="20"/>
              </w:rPr>
              <w:t>14</w:t>
            </w:r>
          </w:p>
        </w:tc>
        <w:tc>
          <w:tcPr>
            <w:tcW w:w="1843" w:type="dxa"/>
          </w:tcPr>
          <w:p w14:paraId="3DFA31E2" w14:textId="542C007B" w:rsidR="001B2FD3" w:rsidRPr="001B2FD3" w:rsidRDefault="00FA0B78" w:rsidP="00F12682">
            <w:pPr>
              <w:jc w:val="center"/>
              <w:rPr>
                <w:rFonts w:ascii="Calibri" w:hAnsi="Calibri" w:cs="Calibri"/>
                <w:sz w:val="20"/>
                <w:szCs w:val="20"/>
              </w:rPr>
            </w:pPr>
            <w:r>
              <w:rPr>
                <w:rFonts w:ascii="Calibri" w:hAnsi="Calibri" w:cs="Calibri"/>
                <w:sz w:val="20"/>
                <w:szCs w:val="20"/>
              </w:rPr>
              <w:t>48,28</w:t>
            </w:r>
          </w:p>
        </w:tc>
      </w:tr>
      <w:tr w:rsidR="001B2FD3" w:rsidRPr="001B2FD3" w14:paraId="5B2C59A7" w14:textId="77777777" w:rsidTr="001B2FD3">
        <w:tc>
          <w:tcPr>
            <w:tcW w:w="3681" w:type="dxa"/>
          </w:tcPr>
          <w:p w14:paraId="24285524" w14:textId="2532F296" w:rsidR="001B2FD3" w:rsidRPr="001B2FD3" w:rsidRDefault="00BF74C5" w:rsidP="00F12682">
            <w:pPr>
              <w:rPr>
                <w:rFonts w:ascii="Calibri" w:hAnsi="Calibri" w:cs="Calibri"/>
                <w:sz w:val="20"/>
                <w:szCs w:val="20"/>
              </w:rPr>
            </w:pPr>
            <w:r>
              <w:rPr>
                <w:rFonts w:ascii="Calibri" w:hAnsi="Calibri" w:cs="Calibri"/>
                <w:sz w:val="20"/>
                <w:szCs w:val="20"/>
              </w:rPr>
              <w:t>Extensions SPP (nouvelles BF)</w:t>
            </w:r>
          </w:p>
        </w:tc>
        <w:tc>
          <w:tcPr>
            <w:tcW w:w="2126" w:type="dxa"/>
          </w:tcPr>
          <w:p w14:paraId="3A5709BD" w14:textId="77777777" w:rsidR="001B2FD3" w:rsidRPr="001B2FD3" w:rsidRDefault="001B2FD3" w:rsidP="00F12682">
            <w:pPr>
              <w:jc w:val="center"/>
              <w:rPr>
                <w:rFonts w:ascii="Calibri" w:hAnsi="Calibri" w:cs="Calibri"/>
                <w:sz w:val="20"/>
                <w:szCs w:val="20"/>
              </w:rPr>
            </w:pPr>
          </w:p>
        </w:tc>
        <w:tc>
          <w:tcPr>
            <w:tcW w:w="1559" w:type="dxa"/>
          </w:tcPr>
          <w:p w14:paraId="381D7253" w14:textId="74F25D0C" w:rsidR="001B2FD3" w:rsidRPr="001B2FD3" w:rsidRDefault="00FA0B78" w:rsidP="00F12682">
            <w:pPr>
              <w:jc w:val="center"/>
              <w:rPr>
                <w:rFonts w:ascii="Calibri" w:hAnsi="Calibri" w:cs="Calibri"/>
                <w:sz w:val="20"/>
                <w:szCs w:val="20"/>
              </w:rPr>
            </w:pPr>
            <w:r>
              <w:rPr>
                <w:rFonts w:ascii="Calibri" w:hAnsi="Calibri" w:cs="Calibri"/>
                <w:sz w:val="20"/>
                <w:szCs w:val="20"/>
              </w:rPr>
              <w:t>1</w:t>
            </w:r>
          </w:p>
        </w:tc>
        <w:tc>
          <w:tcPr>
            <w:tcW w:w="1843" w:type="dxa"/>
          </w:tcPr>
          <w:p w14:paraId="5CB7ABBF" w14:textId="77777777" w:rsidR="001B2FD3" w:rsidRPr="001B2FD3" w:rsidRDefault="001B2FD3" w:rsidP="00F12682">
            <w:pPr>
              <w:jc w:val="center"/>
              <w:rPr>
                <w:rFonts w:ascii="Calibri" w:hAnsi="Calibri" w:cs="Calibri"/>
                <w:sz w:val="20"/>
                <w:szCs w:val="20"/>
              </w:rPr>
            </w:pPr>
          </w:p>
        </w:tc>
      </w:tr>
      <w:tr w:rsidR="00BF74C5" w:rsidRPr="001B2FD3" w14:paraId="226D22AC" w14:textId="77777777" w:rsidTr="001B2FD3">
        <w:tc>
          <w:tcPr>
            <w:tcW w:w="3681" w:type="dxa"/>
          </w:tcPr>
          <w:p w14:paraId="32655EB0" w14:textId="4FD7F261" w:rsidR="00BF74C5" w:rsidRPr="00FA0B78" w:rsidRDefault="00BF74C5" w:rsidP="00F12682">
            <w:pPr>
              <w:jc w:val="right"/>
              <w:rPr>
                <w:rFonts w:ascii="Calibri" w:hAnsi="Calibri" w:cs="Calibri"/>
                <w:b/>
                <w:sz w:val="20"/>
                <w:szCs w:val="20"/>
              </w:rPr>
            </w:pPr>
            <w:r w:rsidRPr="00FA0B78">
              <w:rPr>
                <w:rFonts w:ascii="Calibri" w:hAnsi="Calibri" w:cs="Calibri"/>
                <w:b/>
                <w:sz w:val="20"/>
                <w:szCs w:val="20"/>
              </w:rPr>
              <w:t xml:space="preserve">Nouveaux </w:t>
            </w:r>
            <w:proofErr w:type="spellStart"/>
            <w:r w:rsidRPr="00FA0B78">
              <w:rPr>
                <w:rFonts w:ascii="Calibri" w:hAnsi="Calibri" w:cs="Calibri"/>
                <w:b/>
                <w:sz w:val="20"/>
                <w:szCs w:val="20"/>
              </w:rPr>
              <w:t>ePEM</w:t>
            </w:r>
            <w:proofErr w:type="spellEnd"/>
          </w:p>
        </w:tc>
        <w:tc>
          <w:tcPr>
            <w:tcW w:w="2126" w:type="dxa"/>
          </w:tcPr>
          <w:p w14:paraId="75EE59EE" w14:textId="3C4C5538" w:rsidR="00BF74C5" w:rsidRPr="00FA0B78" w:rsidRDefault="00FA0B78" w:rsidP="00F12682">
            <w:pPr>
              <w:jc w:val="center"/>
              <w:rPr>
                <w:rFonts w:ascii="Calibri" w:hAnsi="Calibri" w:cs="Calibri"/>
                <w:b/>
                <w:sz w:val="20"/>
                <w:szCs w:val="20"/>
              </w:rPr>
            </w:pPr>
            <w:r>
              <w:rPr>
                <w:rFonts w:ascii="Calibri" w:hAnsi="Calibri" w:cs="Calibri"/>
                <w:b/>
                <w:sz w:val="20"/>
                <w:szCs w:val="20"/>
              </w:rPr>
              <w:t>164</w:t>
            </w:r>
          </w:p>
        </w:tc>
        <w:tc>
          <w:tcPr>
            <w:tcW w:w="1559" w:type="dxa"/>
          </w:tcPr>
          <w:p w14:paraId="53FCF10D" w14:textId="10E88468" w:rsidR="00BF74C5" w:rsidRPr="00FA0B78" w:rsidRDefault="00FA0B78" w:rsidP="00F12682">
            <w:pPr>
              <w:jc w:val="center"/>
              <w:rPr>
                <w:rFonts w:ascii="Calibri" w:hAnsi="Calibri" w:cs="Calibri"/>
                <w:b/>
                <w:sz w:val="20"/>
                <w:szCs w:val="20"/>
              </w:rPr>
            </w:pPr>
            <w:r>
              <w:rPr>
                <w:rFonts w:ascii="Calibri" w:hAnsi="Calibri" w:cs="Calibri"/>
                <w:b/>
                <w:sz w:val="20"/>
                <w:szCs w:val="20"/>
              </w:rPr>
              <w:t>156</w:t>
            </w:r>
          </w:p>
        </w:tc>
        <w:tc>
          <w:tcPr>
            <w:tcW w:w="1843" w:type="dxa"/>
          </w:tcPr>
          <w:p w14:paraId="29B867A6" w14:textId="371B45C0" w:rsidR="00BF74C5" w:rsidRPr="00FA0B78" w:rsidRDefault="00FA0B78" w:rsidP="00F12682">
            <w:pPr>
              <w:jc w:val="center"/>
              <w:rPr>
                <w:rFonts w:ascii="Calibri" w:hAnsi="Calibri" w:cs="Calibri"/>
                <w:b/>
                <w:sz w:val="20"/>
                <w:szCs w:val="20"/>
              </w:rPr>
            </w:pPr>
            <w:r>
              <w:rPr>
                <w:rFonts w:ascii="Calibri" w:hAnsi="Calibri" w:cs="Calibri"/>
                <w:b/>
                <w:sz w:val="20"/>
                <w:szCs w:val="20"/>
              </w:rPr>
              <w:t>95,12</w:t>
            </w:r>
          </w:p>
        </w:tc>
      </w:tr>
      <w:tr w:rsidR="00BF74C5" w:rsidRPr="001B2FD3" w14:paraId="2AC1F149" w14:textId="77777777" w:rsidTr="001B2FD3">
        <w:tc>
          <w:tcPr>
            <w:tcW w:w="3681" w:type="dxa"/>
          </w:tcPr>
          <w:p w14:paraId="29B2A01C" w14:textId="1F5E786B" w:rsidR="00BF74C5" w:rsidRPr="00FA0B78" w:rsidRDefault="00BF74C5" w:rsidP="00F12682">
            <w:pPr>
              <w:rPr>
                <w:rFonts w:ascii="Calibri" w:hAnsi="Calibri" w:cs="Calibri"/>
                <w:b/>
                <w:sz w:val="20"/>
                <w:szCs w:val="20"/>
              </w:rPr>
            </w:pPr>
            <w:r w:rsidRPr="00FA0B78">
              <w:rPr>
                <w:rFonts w:ascii="Calibri" w:hAnsi="Calibri" w:cs="Calibri"/>
                <w:b/>
                <w:sz w:val="20"/>
                <w:szCs w:val="20"/>
              </w:rPr>
              <w:t>Réalisation d’infrastructures</w:t>
            </w:r>
          </w:p>
        </w:tc>
        <w:tc>
          <w:tcPr>
            <w:tcW w:w="2126" w:type="dxa"/>
          </w:tcPr>
          <w:p w14:paraId="44B514EF" w14:textId="77777777" w:rsidR="00BF74C5" w:rsidRPr="00FA0B78" w:rsidRDefault="00BF74C5" w:rsidP="00F12682">
            <w:pPr>
              <w:jc w:val="center"/>
              <w:rPr>
                <w:rFonts w:ascii="Calibri" w:hAnsi="Calibri" w:cs="Calibri"/>
                <w:b/>
                <w:sz w:val="20"/>
                <w:szCs w:val="20"/>
              </w:rPr>
            </w:pPr>
          </w:p>
        </w:tc>
        <w:tc>
          <w:tcPr>
            <w:tcW w:w="1559" w:type="dxa"/>
          </w:tcPr>
          <w:p w14:paraId="71F0E897" w14:textId="7E88A3C1" w:rsidR="00BF74C5" w:rsidRPr="00FA0B78" w:rsidRDefault="00BF74C5" w:rsidP="00F12682">
            <w:pPr>
              <w:jc w:val="center"/>
              <w:rPr>
                <w:rFonts w:ascii="Calibri" w:hAnsi="Calibri" w:cs="Calibri"/>
                <w:b/>
                <w:sz w:val="20"/>
                <w:szCs w:val="20"/>
              </w:rPr>
            </w:pPr>
          </w:p>
        </w:tc>
        <w:tc>
          <w:tcPr>
            <w:tcW w:w="1843" w:type="dxa"/>
          </w:tcPr>
          <w:p w14:paraId="4217EBE8" w14:textId="77777777" w:rsidR="00BF74C5" w:rsidRPr="00FA0B78" w:rsidRDefault="00BF74C5" w:rsidP="00F12682">
            <w:pPr>
              <w:jc w:val="center"/>
              <w:rPr>
                <w:rFonts w:ascii="Calibri" w:hAnsi="Calibri" w:cs="Calibri"/>
                <w:b/>
                <w:sz w:val="20"/>
                <w:szCs w:val="20"/>
              </w:rPr>
            </w:pPr>
          </w:p>
        </w:tc>
      </w:tr>
      <w:tr w:rsidR="00BF74C5" w:rsidRPr="001B2FD3" w14:paraId="472ABD11" w14:textId="77777777" w:rsidTr="001B2FD3">
        <w:tc>
          <w:tcPr>
            <w:tcW w:w="3681" w:type="dxa"/>
          </w:tcPr>
          <w:p w14:paraId="22ABD985" w14:textId="2FF97801" w:rsidR="00BF74C5" w:rsidRDefault="00BF74C5" w:rsidP="00F12682">
            <w:pPr>
              <w:rPr>
                <w:rFonts w:ascii="Calibri" w:hAnsi="Calibri" w:cs="Calibri"/>
                <w:sz w:val="20"/>
                <w:szCs w:val="20"/>
              </w:rPr>
            </w:pPr>
            <w:r>
              <w:rPr>
                <w:rFonts w:ascii="Calibri" w:hAnsi="Calibri" w:cs="Calibri"/>
                <w:sz w:val="20"/>
                <w:szCs w:val="20"/>
              </w:rPr>
              <w:t>Puits cimentées (pastoraux)</w:t>
            </w:r>
          </w:p>
        </w:tc>
        <w:tc>
          <w:tcPr>
            <w:tcW w:w="2126" w:type="dxa"/>
          </w:tcPr>
          <w:p w14:paraId="35C47991" w14:textId="576E124B" w:rsidR="00BF74C5" w:rsidRPr="001B2FD3" w:rsidRDefault="00FA0B78" w:rsidP="00F12682">
            <w:pPr>
              <w:jc w:val="center"/>
              <w:rPr>
                <w:rFonts w:ascii="Calibri" w:hAnsi="Calibri" w:cs="Calibri"/>
                <w:sz w:val="20"/>
                <w:szCs w:val="20"/>
              </w:rPr>
            </w:pPr>
            <w:r>
              <w:rPr>
                <w:rFonts w:ascii="Calibri" w:hAnsi="Calibri" w:cs="Calibri"/>
                <w:sz w:val="20"/>
                <w:szCs w:val="20"/>
              </w:rPr>
              <w:t>43</w:t>
            </w:r>
          </w:p>
        </w:tc>
        <w:tc>
          <w:tcPr>
            <w:tcW w:w="1559" w:type="dxa"/>
          </w:tcPr>
          <w:p w14:paraId="4D7876A2" w14:textId="432C44C0" w:rsidR="00BF74C5" w:rsidRPr="001B2FD3" w:rsidRDefault="00FA0B78" w:rsidP="00F12682">
            <w:pPr>
              <w:jc w:val="center"/>
              <w:rPr>
                <w:rFonts w:ascii="Calibri" w:hAnsi="Calibri" w:cs="Calibri"/>
                <w:sz w:val="20"/>
                <w:szCs w:val="20"/>
              </w:rPr>
            </w:pPr>
            <w:r>
              <w:rPr>
                <w:rFonts w:ascii="Calibri" w:hAnsi="Calibri" w:cs="Calibri"/>
                <w:sz w:val="20"/>
                <w:szCs w:val="20"/>
              </w:rPr>
              <w:t>44</w:t>
            </w:r>
          </w:p>
        </w:tc>
        <w:tc>
          <w:tcPr>
            <w:tcW w:w="1843" w:type="dxa"/>
          </w:tcPr>
          <w:p w14:paraId="216BFF38" w14:textId="2C4FB323" w:rsidR="00BF74C5" w:rsidRPr="001B2FD3" w:rsidRDefault="00FA0B78" w:rsidP="00F12682">
            <w:pPr>
              <w:jc w:val="center"/>
              <w:rPr>
                <w:rFonts w:ascii="Calibri" w:hAnsi="Calibri" w:cs="Calibri"/>
                <w:sz w:val="20"/>
                <w:szCs w:val="20"/>
              </w:rPr>
            </w:pPr>
            <w:r>
              <w:rPr>
                <w:rFonts w:ascii="Calibri" w:hAnsi="Calibri" w:cs="Calibri"/>
                <w:sz w:val="20"/>
                <w:szCs w:val="20"/>
              </w:rPr>
              <w:t>102,33</w:t>
            </w:r>
          </w:p>
        </w:tc>
      </w:tr>
      <w:tr w:rsidR="00BF74C5" w:rsidRPr="001B2FD3" w14:paraId="6730337A" w14:textId="77777777" w:rsidTr="001B2FD3">
        <w:tc>
          <w:tcPr>
            <w:tcW w:w="3681" w:type="dxa"/>
          </w:tcPr>
          <w:p w14:paraId="69D4F89C" w14:textId="47F0FAB1" w:rsidR="00BF74C5" w:rsidRDefault="00BF74C5" w:rsidP="00F12682">
            <w:pPr>
              <w:rPr>
                <w:rFonts w:ascii="Calibri" w:hAnsi="Calibri" w:cs="Calibri"/>
                <w:sz w:val="20"/>
                <w:szCs w:val="20"/>
              </w:rPr>
            </w:pPr>
            <w:r>
              <w:rPr>
                <w:rFonts w:ascii="Calibri" w:hAnsi="Calibri" w:cs="Calibri"/>
                <w:sz w:val="20"/>
                <w:szCs w:val="20"/>
              </w:rPr>
              <w:t>SPP</w:t>
            </w:r>
          </w:p>
        </w:tc>
        <w:tc>
          <w:tcPr>
            <w:tcW w:w="2126" w:type="dxa"/>
          </w:tcPr>
          <w:p w14:paraId="2A526B64" w14:textId="34C0B5FE" w:rsidR="00BF74C5" w:rsidRPr="001B2FD3" w:rsidRDefault="00FA0B78" w:rsidP="00F12682">
            <w:pPr>
              <w:jc w:val="center"/>
              <w:rPr>
                <w:rFonts w:ascii="Calibri" w:hAnsi="Calibri" w:cs="Calibri"/>
                <w:sz w:val="20"/>
                <w:szCs w:val="20"/>
              </w:rPr>
            </w:pPr>
            <w:r>
              <w:rPr>
                <w:rFonts w:ascii="Calibri" w:hAnsi="Calibri" w:cs="Calibri"/>
                <w:sz w:val="20"/>
                <w:szCs w:val="20"/>
              </w:rPr>
              <w:t>8</w:t>
            </w:r>
          </w:p>
        </w:tc>
        <w:tc>
          <w:tcPr>
            <w:tcW w:w="1559" w:type="dxa"/>
          </w:tcPr>
          <w:p w14:paraId="36EE9254" w14:textId="145651B8" w:rsidR="00BF74C5" w:rsidRPr="001B2FD3" w:rsidRDefault="00FA0B78" w:rsidP="00F12682">
            <w:pPr>
              <w:jc w:val="center"/>
              <w:rPr>
                <w:rFonts w:ascii="Calibri" w:hAnsi="Calibri" w:cs="Calibri"/>
                <w:sz w:val="20"/>
                <w:szCs w:val="20"/>
              </w:rPr>
            </w:pPr>
            <w:r>
              <w:rPr>
                <w:rFonts w:ascii="Calibri" w:hAnsi="Calibri" w:cs="Calibri"/>
                <w:sz w:val="20"/>
                <w:szCs w:val="20"/>
              </w:rPr>
              <w:t>1</w:t>
            </w:r>
          </w:p>
        </w:tc>
        <w:tc>
          <w:tcPr>
            <w:tcW w:w="1843" w:type="dxa"/>
          </w:tcPr>
          <w:p w14:paraId="7970606D" w14:textId="08981E22" w:rsidR="00BF74C5" w:rsidRPr="001B2FD3" w:rsidRDefault="00FA0B78" w:rsidP="00F12682">
            <w:pPr>
              <w:jc w:val="center"/>
              <w:rPr>
                <w:rFonts w:ascii="Calibri" w:hAnsi="Calibri" w:cs="Calibri"/>
                <w:sz w:val="20"/>
                <w:szCs w:val="20"/>
              </w:rPr>
            </w:pPr>
            <w:r>
              <w:rPr>
                <w:rFonts w:ascii="Calibri" w:hAnsi="Calibri" w:cs="Calibri"/>
                <w:sz w:val="20"/>
                <w:szCs w:val="20"/>
              </w:rPr>
              <w:t>12,50</w:t>
            </w:r>
          </w:p>
        </w:tc>
      </w:tr>
      <w:tr w:rsidR="00BF74C5" w:rsidRPr="001B2FD3" w14:paraId="0FA4042F" w14:textId="77777777" w:rsidTr="001B2FD3">
        <w:tc>
          <w:tcPr>
            <w:tcW w:w="3681" w:type="dxa"/>
          </w:tcPr>
          <w:p w14:paraId="2135F3D7" w14:textId="4E29B4E7" w:rsidR="00BF74C5" w:rsidRPr="005355BD" w:rsidRDefault="005355BD" w:rsidP="00F12682">
            <w:pPr>
              <w:jc w:val="right"/>
              <w:rPr>
                <w:rFonts w:ascii="Calibri" w:hAnsi="Calibri" w:cs="Calibri"/>
                <w:b/>
                <w:sz w:val="20"/>
                <w:szCs w:val="20"/>
              </w:rPr>
            </w:pPr>
            <w:proofErr w:type="spellStart"/>
            <w:r w:rsidRPr="005355BD">
              <w:rPr>
                <w:rFonts w:ascii="Calibri" w:hAnsi="Calibri" w:cs="Calibri"/>
                <w:b/>
                <w:sz w:val="20"/>
                <w:szCs w:val="20"/>
              </w:rPr>
              <w:t>ePEM</w:t>
            </w:r>
            <w:proofErr w:type="spellEnd"/>
            <w:r w:rsidRPr="005355BD">
              <w:rPr>
                <w:rFonts w:ascii="Calibri" w:hAnsi="Calibri" w:cs="Calibri"/>
                <w:b/>
                <w:sz w:val="20"/>
                <w:szCs w:val="20"/>
              </w:rPr>
              <w:t xml:space="preserve"> réhabilités</w:t>
            </w:r>
          </w:p>
        </w:tc>
        <w:tc>
          <w:tcPr>
            <w:tcW w:w="2126" w:type="dxa"/>
          </w:tcPr>
          <w:p w14:paraId="2DD839DA" w14:textId="60129695" w:rsidR="00BF74C5" w:rsidRPr="005355BD" w:rsidRDefault="00FA0B78" w:rsidP="00F12682">
            <w:pPr>
              <w:jc w:val="center"/>
              <w:rPr>
                <w:rFonts w:ascii="Calibri" w:hAnsi="Calibri" w:cs="Calibri"/>
                <w:b/>
                <w:sz w:val="20"/>
                <w:szCs w:val="20"/>
              </w:rPr>
            </w:pPr>
            <w:r>
              <w:rPr>
                <w:rFonts w:ascii="Calibri" w:hAnsi="Calibri" w:cs="Calibri"/>
                <w:b/>
                <w:sz w:val="20"/>
                <w:szCs w:val="20"/>
              </w:rPr>
              <w:t>51</w:t>
            </w:r>
          </w:p>
        </w:tc>
        <w:tc>
          <w:tcPr>
            <w:tcW w:w="1559" w:type="dxa"/>
          </w:tcPr>
          <w:p w14:paraId="5B302341" w14:textId="4E89BCC3" w:rsidR="00BF74C5" w:rsidRPr="005355BD" w:rsidRDefault="00FA0B78" w:rsidP="00F12682">
            <w:pPr>
              <w:jc w:val="center"/>
              <w:rPr>
                <w:rFonts w:ascii="Calibri" w:hAnsi="Calibri" w:cs="Calibri"/>
                <w:b/>
                <w:sz w:val="20"/>
                <w:szCs w:val="20"/>
              </w:rPr>
            </w:pPr>
            <w:r>
              <w:rPr>
                <w:rFonts w:ascii="Calibri" w:hAnsi="Calibri" w:cs="Calibri"/>
                <w:b/>
                <w:sz w:val="20"/>
                <w:szCs w:val="20"/>
              </w:rPr>
              <w:t>52</w:t>
            </w:r>
          </w:p>
        </w:tc>
        <w:tc>
          <w:tcPr>
            <w:tcW w:w="1843" w:type="dxa"/>
          </w:tcPr>
          <w:p w14:paraId="60C56441" w14:textId="4EC8BEB7" w:rsidR="00BF74C5" w:rsidRPr="005355BD" w:rsidRDefault="00FA0B78" w:rsidP="00F12682">
            <w:pPr>
              <w:jc w:val="center"/>
              <w:rPr>
                <w:rFonts w:ascii="Calibri" w:hAnsi="Calibri" w:cs="Calibri"/>
                <w:b/>
                <w:sz w:val="20"/>
                <w:szCs w:val="20"/>
              </w:rPr>
            </w:pPr>
            <w:r>
              <w:rPr>
                <w:rFonts w:ascii="Calibri" w:hAnsi="Calibri" w:cs="Calibri"/>
                <w:b/>
                <w:sz w:val="20"/>
                <w:szCs w:val="20"/>
              </w:rPr>
              <w:t>101,96</w:t>
            </w:r>
          </w:p>
        </w:tc>
      </w:tr>
    </w:tbl>
    <w:p w14:paraId="21F5136C" w14:textId="0E509EBB" w:rsidR="008D300D" w:rsidRPr="00860B25" w:rsidRDefault="008D300D" w:rsidP="00F12682">
      <w:pPr>
        <w:rPr>
          <w:sz w:val="20"/>
        </w:rPr>
      </w:pPr>
      <w:r w:rsidRPr="00860B25">
        <w:rPr>
          <w:sz w:val="20"/>
          <w:u w:val="single"/>
        </w:rPr>
        <w:t>Source</w:t>
      </w:r>
      <w:r w:rsidRPr="00860B25">
        <w:rPr>
          <w:sz w:val="20"/>
        </w:rPr>
        <w:t> : Bilan 2016 et Programmation 2017, MHA</w:t>
      </w:r>
    </w:p>
    <w:p w14:paraId="4C732B58" w14:textId="2544EFE8" w:rsidR="005B4047" w:rsidRDefault="00FE52F8"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 xml:space="preserve">NB : </w:t>
      </w:r>
      <w:r w:rsidR="005B4047" w:rsidRPr="0064246A">
        <w:rPr>
          <w:rFonts w:ascii="Calibri" w:eastAsiaTheme="majorEastAsia" w:hAnsi="Calibri" w:cs="Calibri"/>
          <w:iCs/>
          <w:sz w:val="24"/>
        </w:rPr>
        <w:t>En dehors de Niamey, toutes les régions ont enregistré des réalisations en matière d’hydraulique pastorale, ce qui signifie que les crédits ont été injectés aux bons endroits, car Niamey n’a pas de vocation pastorale.</w:t>
      </w:r>
    </w:p>
    <w:p w14:paraId="22694FEA" w14:textId="77777777" w:rsidR="0064246A" w:rsidRPr="0064246A" w:rsidRDefault="0064246A" w:rsidP="00F12682">
      <w:pPr>
        <w:spacing w:after="120" w:line="276" w:lineRule="auto"/>
        <w:jc w:val="both"/>
        <w:rPr>
          <w:rFonts w:ascii="Calibri" w:eastAsiaTheme="majorEastAsia" w:hAnsi="Calibri" w:cs="Calibri"/>
          <w:iCs/>
          <w:sz w:val="24"/>
        </w:rPr>
      </w:pPr>
    </w:p>
    <w:p w14:paraId="7952B71E" w14:textId="77777777" w:rsidR="005B4047" w:rsidRPr="001B6F2D" w:rsidRDefault="005B4047" w:rsidP="00F12682">
      <w:pPr>
        <w:pStyle w:val="Titre4"/>
        <w:rPr>
          <w:rFonts w:asciiTheme="minorHAnsi" w:hAnsiTheme="minorHAnsi" w:cstheme="minorHAnsi"/>
        </w:rPr>
      </w:pPr>
      <w:r w:rsidRPr="001B6F2D">
        <w:rPr>
          <w:rFonts w:asciiTheme="minorHAnsi" w:hAnsiTheme="minorHAnsi" w:cstheme="minorHAnsi"/>
        </w:rPr>
        <w:t>Synthèse et perspective</w:t>
      </w:r>
    </w:p>
    <w:p w14:paraId="7547E62B" w14:textId="7415AF67" w:rsidR="005B4047" w:rsidRPr="0064246A" w:rsidRDefault="005B4047" w:rsidP="00F12682">
      <w:pPr>
        <w:spacing w:after="120" w:line="276" w:lineRule="auto"/>
        <w:jc w:val="both"/>
        <w:rPr>
          <w:rFonts w:ascii="Calibri" w:eastAsiaTheme="majorEastAsia" w:hAnsi="Calibri" w:cs="Calibri"/>
          <w:iCs/>
          <w:sz w:val="24"/>
        </w:rPr>
      </w:pPr>
      <w:r w:rsidRPr="0064246A">
        <w:rPr>
          <w:rFonts w:ascii="Calibri" w:eastAsiaTheme="majorEastAsia" w:hAnsi="Calibri" w:cs="Calibri"/>
          <w:iCs/>
          <w:sz w:val="24"/>
        </w:rPr>
        <w:t>Les réalisations physiques effectuées dans le cadre de l’hydraulique pastorale prouvent à bon escient que le défi</w:t>
      </w:r>
      <w:r w:rsidR="001B6F2D">
        <w:rPr>
          <w:rFonts w:ascii="Calibri" w:eastAsiaTheme="majorEastAsia" w:hAnsi="Calibri" w:cs="Calibri"/>
          <w:iCs/>
          <w:sz w:val="24"/>
        </w:rPr>
        <w:t xml:space="preserve"> est attaqué à sa juste valeur.</w:t>
      </w:r>
    </w:p>
    <w:p w14:paraId="1603353D" w14:textId="3538FF63" w:rsidR="005445F6" w:rsidRDefault="005970F0" w:rsidP="00F12682">
      <w:pPr>
        <w:pStyle w:val="Titre2"/>
        <w:numPr>
          <w:ilvl w:val="1"/>
          <w:numId w:val="22"/>
        </w:numPr>
        <w:rPr>
          <w:rFonts w:asciiTheme="minorHAnsi" w:hAnsiTheme="minorHAnsi" w:cstheme="minorHAnsi"/>
        </w:rPr>
      </w:pPr>
      <w:bookmarkStart w:id="188" w:name="_Toc529305045"/>
      <w:r>
        <w:rPr>
          <w:rFonts w:asciiTheme="minorHAnsi" w:hAnsiTheme="minorHAnsi" w:cstheme="minorHAnsi"/>
        </w:rPr>
        <w:lastRenderedPageBreak/>
        <w:t xml:space="preserve">Ministère du </w:t>
      </w:r>
      <w:r w:rsidR="005445F6" w:rsidRPr="004A5122">
        <w:rPr>
          <w:rFonts w:asciiTheme="minorHAnsi" w:hAnsiTheme="minorHAnsi" w:cstheme="minorHAnsi"/>
        </w:rPr>
        <w:t>Commerce</w:t>
      </w:r>
      <w:r>
        <w:rPr>
          <w:rFonts w:asciiTheme="minorHAnsi" w:hAnsiTheme="minorHAnsi" w:cstheme="minorHAnsi"/>
        </w:rPr>
        <w:t xml:space="preserve"> et de la Promotion du Secteur Privé (MC/PSP)</w:t>
      </w:r>
      <w:bookmarkEnd w:id="188"/>
    </w:p>
    <w:p w14:paraId="48289A3E" w14:textId="3529868F" w:rsidR="00895CB2" w:rsidRDefault="00895CB2" w:rsidP="00F12682">
      <w:pPr>
        <w:pStyle w:val="Titre4"/>
        <w:rPr>
          <w:rFonts w:asciiTheme="minorHAnsi" w:hAnsiTheme="minorHAnsi" w:cstheme="minorHAnsi"/>
        </w:rPr>
      </w:pPr>
      <w:r w:rsidRPr="004A5122">
        <w:rPr>
          <w:rFonts w:asciiTheme="minorHAnsi" w:hAnsiTheme="minorHAnsi" w:cstheme="minorHAnsi"/>
        </w:rPr>
        <w:t>Analyse de l’efficacité</w:t>
      </w:r>
      <w:r w:rsidR="00673E94">
        <w:rPr>
          <w:rFonts w:asciiTheme="minorHAnsi" w:hAnsiTheme="minorHAnsi" w:cstheme="minorHAnsi"/>
        </w:rPr>
        <w:t xml:space="preserve"> des dépenses de fonctionnement</w:t>
      </w:r>
    </w:p>
    <w:p w14:paraId="151E2A2D" w14:textId="77777777" w:rsidR="00180A0E" w:rsidRPr="00256BD9" w:rsidRDefault="00180A0E" w:rsidP="00F12682">
      <w:pPr>
        <w:spacing w:after="120" w:line="276" w:lineRule="auto"/>
        <w:jc w:val="both"/>
        <w:rPr>
          <w:rFonts w:ascii="Calibri" w:eastAsiaTheme="majorEastAsia" w:hAnsi="Calibri" w:cs="Calibri"/>
          <w:iCs/>
          <w:sz w:val="24"/>
        </w:rPr>
      </w:pPr>
      <w:r w:rsidRPr="00256BD9">
        <w:rPr>
          <w:rFonts w:ascii="Calibri" w:eastAsiaTheme="majorEastAsia" w:hAnsi="Calibri" w:cs="Calibri"/>
          <w:iCs/>
          <w:sz w:val="24"/>
        </w:rPr>
        <w:t>Les crédits de fonctionnement ont servi à conduire les activités suivantes :</w:t>
      </w:r>
    </w:p>
    <w:p w14:paraId="4144BA44" w14:textId="1884C692" w:rsidR="00180A0E" w:rsidRPr="00256BD9" w:rsidRDefault="00180A0E"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56BD9">
        <w:rPr>
          <w:rFonts w:ascii="Calibri" w:eastAsiaTheme="majorEastAsia" w:hAnsi="Calibri" w:cs="Calibri"/>
          <w:iCs/>
          <w:sz w:val="24"/>
        </w:rPr>
        <w:t>assurer le paiement régulier des traitements et salaires des agents du MC/PSP</w:t>
      </w:r>
      <w:r w:rsidR="00256BD9">
        <w:rPr>
          <w:rFonts w:ascii="Calibri" w:eastAsiaTheme="majorEastAsia" w:hAnsi="Calibri" w:cs="Calibri"/>
          <w:iCs/>
          <w:sz w:val="24"/>
        </w:rPr>
        <w:t> ;</w:t>
      </w:r>
    </w:p>
    <w:p w14:paraId="04AAAC35" w14:textId="0C564864" w:rsidR="00180A0E" w:rsidRPr="00256BD9" w:rsidRDefault="00180A0E"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56BD9">
        <w:rPr>
          <w:rFonts w:ascii="Calibri" w:eastAsiaTheme="majorEastAsia" w:hAnsi="Calibri" w:cs="Calibri"/>
          <w:iCs/>
          <w:sz w:val="24"/>
        </w:rPr>
        <w:t>doter les cadres des moyens essentiels de fonctionnement</w:t>
      </w:r>
      <w:r w:rsidR="00256BD9">
        <w:rPr>
          <w:rFonts w:ascii="Calibri" w:eastAsiaTheme="majorEastAsia" w:hAnsi="Calibri" w:cs="Calibri"/>
          <w:iCs/>
          <w:sz w:val="24"/>
        </w:rPr>
        <w:t> ;</w:t>
      </w:r>
    </w:p>
    <w:p w14:paraId="229D1724" w14:textId="4599A3DF" w:rsidR="00180A0E" w:rsidRPr="00256BD9" w:rsidRDefault="00180A0E"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56BD9">
        <w:rPr>
          <w:rFonts w:ascii="Calibri" w:eastAsiaTheme="majorEastAsia" w:hAnsi="Calibri" w:cs="Calibri"/>
          <w:iCs/>
          <w:sz w:val="24"/>
        </w:rPr>
        <w:t>Assurer les missions de plaidoyer et de sensibilisation sur le climat des affaires au Niger</w:t>
      </w:r>
      <w:r w:rsidR="00256BD9">
        <w:rPr>
          <w:rFonts w:ascii="Calibri" w:eastAsiaTheme="majorEastAsia" w:hAnsi="Calibri" w:cs="Calibri"/>
          <w:iCs/>
          <w:sz w:val="24"/>
        </w:rPr>
        <w:t> ;</w:t>
      </w:r>
    </w:p>
    <w:p w14:paraId="7F8D8828" w14:textId="078FA93F" w:rsidR="00180A0E" w:rsidRPr="00256BD9" w:rsidRDefault="00180A0E"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56BD9">
        <w:rPr>
          <w:rFonts w:ascii="Calibri" w:eastAsiaTheme="majorEastAsia" w:hAnsi="Calibri" w:cs="Calibri"/>
          <w:iCs/>
          <w:sz w:val="24"/>
        </w:rPr>
        <w:t>Organiser quelques missions de supervision</w:t>
      </w:r>
      <w:r w:rsidR="00256BD9">
        <w:rPr>
          <w:rFonts w:ascii="Calibri" w:eastAsiaTheme="majorEastAsia" w:hAnsi="Calibri" w:cs="Calibri"/>
          <w:iCs/>
          <w:sz w:val="24"/>
        </w:rPr>
        <w:t> ;</w:t>
      </w:r>
    </w:p>
    <w:p w14:paraId="73AD5CB1" w14:textId="534AB83B" w:rsidR="00180A0E" w:rsidRPr="00256BD9" w:rsidRDefault="00180A0E"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56BD9">
        <w:rPr>
          <w:rFonts w:ascii="Calibri" w:eastAsiaTheme="majorEastAsia" w:hAnsi="Calibri" w:cs="Calibri"/>
          <w:iCs/>
          <w:sz w:val="24"/>
        </w:rPr>
        <w:t>Assurer le fonctionnement des services déconcentrés</w:t>
      </w:r>
      <w:r w:rsidR="00256BD9">
        <w:rPr>
          <w:rFonts w:ascii="Calibri" w:eastAsiaTheme="majorEastAsia" w:hAnsi="Calibri" w:cs="Calibri"/>
          <w:iCs/>
          <w:sz w:val="24"/>
        </w:rPr>
        <w:t>.</w:t>
      </w:r>
    </w:p>
    <w:p w14:paraId="5CC9DD5F" w14:textId="306BF6F9" w:rsidR="00180A0E" w:rsidRPr="00256BD9" w:rsidRDefault="00180A0E" w:rsidP="00F12682">
      <w:pPr>
        <w:spacing w:after="120" w:line="276" w:lineRule="auto"/>
        <w:jc w:val="both"/>
        <w:rPr>
          <w:rFonts w:ascii="Calibri" w:eastAsiaTheme="majorEastAsia" w:hAnsi="Calibri" w:cs="Calibri"/>
          <w:iCs/>
          <w:sz w:val="24"/>
        </w:rPr>
      </w:pPr>
      <w:r w:rsidRPr="00256BD9">
        <w:rPr>
          <w:rFonts w:ascii="Calibri" w:eastAsiaTheme="majorEastAsia" w:hAnsi="Calibri" w:cs="Calibri"/>
          <w:iCs/>
          <w:sz w:val="24"/>
        </w:rPr>
        <w:t xml:space="preserve">La principale efficacité des dépenses est relative à l’amélioration de la position du Niger dans le classement mondial du </w:t>
      </w:r>
      <w:proofErr w:type="spellStart"/>
      <w:r w:rsidRPr="00256BD9">
        <w:rPr>
          <w:rFonts w:ascii="Calibri" w:eastAsiaTheme="majorEastAsia" w:hAnsi="Calibri" w:cs="Calibri"/>
          <w:iCs/>
          <w:sz w:val="24"/>
        </w:rPr>
        <w:t>Doing</w:t>
      </w:r>
      <w:proofErr w:type="spellEnd"/>
      <w:r w:rsidRPr="00256BD9">
        <w:rPr>
          <w:rFonts w:ascii="Calibri" w:eastAsiaTheme="majorEastAsia" w:hAnsi="Calibri" w:cs="Calibri"/>
          <w:iCs/>
          <w:sz w:val="24"/>
        </w:rPr>
        <w:t xml:space="preserve"> Business, permettant ainsi au pays de quitter la 160</w:t>
      </w:r>
      <w:r w:rsidRPr="00256BD9">
        <w:rPr>
          <w:rFonts w:ascii="Calibri" w:eastAsiaTheme="majorEastAsia" w:hAnsi="Calibri" w:cs="Calibri"/>
          <w:iCs/>
          <w:sz w:val="24"/>
          <w:vertAlign w:val="superscript"/>
        </w:rPr>
        <w:t>ème</w:t>
      </w:r>
      <w:r w:rsidR="00256BD9">
        <w:rPr>
          <w:rFonts w:ascii="Calibri" w:eastAsiaTheme="majorEastAsia" w:hAnsi="Calibri" w:cs="Calibri"/>
          <w:iCs/>
          <w:sz w:val="24"/>
        </w:rPr>
        <w:t xml:space="preserve"> </w:t>
      </w:r>
      <w:r w:rsidRPr="00256BD9">
        <w:rPr>
          <w:rFonts w:ascii="Calibri" w:eastAsiaTheme="majorEastAsia" w:hAnsi="Calibri" w:cs="Calibri"/>
          <w:iCs/>
          <w:sz w:val="24"/>
        </w:rPr>
        <w:t>place pour être 150</w:t>
      </w:r>
      <w:r w:rsidRPr="00256BD9">
        <w:rPr>
          <w:rFonts w:ascii="Calibri" w:eastAsiaTheme="majorEastAsia" w:hAnsi="Calibri" w:cs="Calibri"/>
          <w:iCs/>
          <w:sz w:val="24"/>
          <w:vertAlign w:val="superscript"/>
        </w:rPr>
        <w:t>ème</w:t>
      </w:r>
      <w:r w:rsidR="00256BD9">
        <w:rPr>
          <w:rFonts w:ascii="Calibri" w:eastAsiaTheme="majorEastAsia" w:hAnsi="Calibri" w:cs="Calibri"/>
          <w:iCs/>
          <w:sz w:val="24"/>
        </w:rPr>
        <w:t xml:space="preserve"> </w:t>
      </w:r>
      <w:r w:rsidRPr="00256BD9">
        <w:rPr>
          <w:rFonts w:ascii="Calibri" w:eastAsiaTheme="majorEastAsia" w:hAnsi="Calibri" w:cs="Calibri"/>
          <w:iCs/>
          <w:sz w:val="24"/>
        </w:rPr>
        <w:t>soit un bond de 10 places.</w:t>
      </w:r>
    </w:p>
    <w:p w14:paraId="6927A0CA" w14:textId="77777777" w:rsidR="00673E94" w:rsidRPr="00673E94" w:rsidRDefault="00673E94" w:rsidP="00F12682">
      <w:pPr>
        <w:spacing w:after="120" w:line="276" w:lineRule="auto"/>
        <w:jc w:val="both"/>
        <w:rPr>
          <w:rFonts w:ascii="Calibri" w:eastAsiaTheme="majorEastAsia" w:hAnsi="Calibri" w:cs="Calibri"/>
          <w:iCs/>
          <w:sz w:val="24"/>
        </w:rPr>
      </w:pPr>
    </w:p>
    <w:p w14:paraId="58B20B59" w14:textId="77777777" w:rsidR="00895CB2" w:rsidRDefault="00895CB2" w:rsidP="00F12682">
      <w:pPr>
        <w:pStyle w:val="Titre4"/>
        <w:rPr>
          <w:rFonts w:asciiTheme="minorHAnsi" w:hAnsiTheme="minorHAnsi" w:cstheme="minorHAnsi"/>
        </w:rPr>
      </w:pPr>
      <w:r w:rsidRPr="004A5122">
        <w:rPr>
          <w:rFonts w:asciiTheme="minorHAnsi" w:hAnsiTheme="minorHAnsi" w:cstheme="minorHAnsi"/>
        </w:rPr>
        <w:t>Analyse de l’efficacité des dépenses d’investissement</w:t>
      </w:r>
    </w:p>
    <w:p w14:paraId="02633D62" w14:textId="5F782396" w:rsidR="00673E94" w:rsidRPr="00673E94" w:rsidRDefault="00256BD9" w:rsidP="00F12682">
      <w:pPr>
        <w:spacing w:after="120" w:line="276" w:lineRule="auto"/>
        <w:jc w:val="both"/>
        <w:rPr>
          <w:rFonts w:ascii="Calibri" w:eastAsiaTheme="majorEastAsia" w:hAnsi="Calibri" w:cs="Calibri"/>
          <w:iCs/>
          <w:sz w:val="24"/>
        </w:rPr>
      </w:pPr>
      <w:r w:rsidRPr="00256BD9">
        <w:rPr>
          <w:rFonts w:ascii="Calibri" w:eastAsiaTheme="majorEastAsia" w:hAnsi="Calibri" w:cs="Calibri"/>
          <w:iCs/>
          <w:sz w:val="24"/>
        </w:rPr>
        <w:t>L’essentiel des dépenses d’investissement était consacré à la ‘reconstitutio</w:t>
      </w:r>
      <w:r>
        <w:rPr>
          <w:rFonts w:ascii="Calibri" w:eastAsiaTheme="majorEastAsia" w:hAnsi="Calibri" w:cs="Calibri"/>
          <w:iCs/>
          <w:sz w:val="24"/>
        </w:rPr>
        <w:t xml:space="preserve">n des stocks de réserves OPVN’ </w:t>
      </w:r>
      <w:r w:rsidRPr="00256BD9">
        <w:rPr>
          <w:rFonts w:ascii="Calibri" w:eastAsiaTheme="majorEastAsia" w:hAnsi="Calibri" w:cs="Calibri"/>
          <w:iCs/>
          <w:sz w:val="24"/>
        </w:rPr>
        <w:t>afin de permettre à la structure de disposer des céréales pour procéder à la vente des denrées à des prix modérés aux populations pendant les périodes de soudures.</w:t>
      </w:r>
    </w:p>
    <w:p w14:paraId="3436857C" w14:textId="77777777" w:rsidR="00673E94" w:rsidRPr="00673E94" w:rsidRDefault="00673E94" w:rsidP="00F12682">
      <w:pPr>
        <w:spacing w:after="120" w:line="276" w:lineRule="auto"/>
        <w:jc w:val="both"/>
        <w:rPr>
          <w:rFonts w:ascii="Calibri" w:eastAsiaTheme="majorEastAsia" w:hAnsi="Calibri" w:cs="Calibri"/>
          <w:iCs/>
          <w:sz w:val="24"/>
        </w:rPr>
      </w:pPr>
    </w:p>
    <w:p w14:paraId="416A3278" w14:textId="77777777" w:rsidR="00895CB2" w:rsidRPr="0023259E" w:rsidRDefault="00895CB2" w:rsidP="00F12682">
      <w:pPr>
        <w:pStyle w:val="Titre4"/>
        <w:rPr>
          <w:rFonts w:asciiTheme="minorHAnsi" w:hAnsiTheme="minorHAnsi" w:cstheme="minorHAnsi"/>
        </w:rPr>
      </w:pPr>
      <w:r w:rsidRPr="0023259E">
        <w:rPr>
          <w:rFonts w:asciiTheme="minorHAnsi" w:hAnsiTheme="minorHAnsi" w:cstheme="minorHAnsi"/>
        </w:rPr>
        <w:t>Analyse des dépenses hors budget (projets/programmes)</w:t>
      </w:r>
    </w:p>
    <w:p w14:paraId="18CAFD34" w14:textId="7DA9091F" w:rsidR="00673E94" w:rsidRPr="0023259E" w:rsidRDefault="00256BD9" w:rsidP="00F12682">
      <w:pPr>
        <w:spacing w:after="120" w:line="276" w:lineRule="auto"/>
        <w:jc w:val="both"/>
        <w:rPr>
          <w:rFonts w:ascii="Calibri" w:eastAsiaTheme="majorEastAsia" w:hAnsi="Calibri" w:cs="Calibri"/>
          <w:iCs/>
          <w:sz w:val="24"/>
        </w:rPr>
      </w:pPr>
      <w:r w:rsidRPr="0023259E">
        <w:rPr>
          <w:rFonts w:ascii="Calibri" w:eastAsiaTheme="majorEastAsia" w:hAnsi="Calibri" w:cs="Calibri"/>
          <w:iCs/>
          <w:sz w:val="24"/>
        </w:rPr>
        <w:t>Au cours de la période sous revue, le MC/PSP n’a pas enregistré des dépenses hors budget (projets programmes).</w:t>
      </w:r>
    </w:p>
    <w:p w14:paraId="16DFAAFE" w14:textId="77777777" w:rsidR="00673E94" w:rsidRPr="00673E94" w:rsidRDefault="00673E94" w:rsidP="00F12682">
      <w:pPr>
        <w:spacing w:after="120" w:line="276" w:lineRule="auto"/>
        <w:jc w:val="both"/>
        <w:rPr>
          <w:rFonts w:ascii="Calibri" w:eastAsiaTheme="majorEastAsia" w:hAnsi="Calibri" w:cs="Calibri"/>
          <w:iCs/>
          <w:sz w:val="24"/>
        </w:rPr>
      </w:pPr>
    </w:p>
    <w:p w14:paraId="4425F000" w14:textId="328FB26E" w:rsidR="005445F6" w:rsidRPr="00685320" w:rsidRDefault="00895CB2" w:rsidP="00F12682">
      <w:pPr>
        <w:pStyle w:val="Titre4"/>
        <w:rPr>
          <w:rFonts w:cstheme="minorHAnsi"/>
        </w:rPr>
      </w:pPr>
      <w:r w:rsidRPr="004A5122">
        <w:rPr>
          <w:rFonts w:asciiTheme="minorHAnsi" w:hAnsiTheme="minorHAnsi" w:cstheme="minorHAnsi"/>
          <w:i w:val="0"/>
        </w:rPr>
        <w:t>Synthèse et perspective</w:t>
      </w:r>
    </w:p>
    <w:p w14:paraId="2EA5C033" w14:textId="77777777" w:rsidR="00256BD9" w:rsidRPr="00256BD9" w:rsidRDefault="00256BD9" w:rsidP="00F12682">
      <w:pPr>
        <w:spacing w:after="120" w:line="276" w:lineRule="auto"/>
        <w:jc w:val="both"/>
        <w:rPr>
          <w:rFonts w:ascii="Calibri" w:eastAsiaTheme="majorEastAsia" w:hAnsi="Calibri" w:cs="Calibri"/>
          <w:iCs/>
          <w:sz w:val="24"/>
        </w:rPr>
      </w:pPr>
      <w:r w:rsidRPr="00256BD9">
        <w:rPr>
          <w:rFonts w:ascii="Calibri" w:eastAsiaTheme="majorEastAsia" w:hAnsi="Calibri" w:cs="Calibri"/>
          <w:iCs/>
          <w:sz w:val="24"/>
        </w:rPr>
        <w:t xml:space="preserve">Les dépenses effectuées par le MC/PSP en 2016, malgré leur faiblesse, ont permis de créer les conditions minima de travail aux agents, d’améliorer la position du Niger dans le </w:t>
      </w:r>
      <w:proofErr w:type="spellStart"/>
      <w:r w:rsidRPr="00256BD9">
        <w:rPr>
          <w:rFonts w:ascii="Calibri" w:eastAsiaTheme="majorEastAsia" w:hAnsi="Calibri" w:cs="Calibri"/>
          <w:iCs/>
          <w:sz w:val="24"/>
        </w:rPr>
        <w:t>Doing</w:t>
      </w:r>
      <w:proofErr w:type="spellEnd"/>
      <w:r w:rsidRPr="00256BD9">
        <w:rPr>
          <w:rFonts w:ascii="Calibri" w:eastAsiaTheme="majorEastAsia" w:hAnsi="Calibri" w:cs="Calibri"/>
          <w:iCs/>
          <w:sz w:val="24"/>
        </w:rPr>
        <w:t xml:space="preserve"> Business, et de pouvoir reconstituer les stock de réserve de l’OPVN.</w:t>
      </w:r>
    </w:p>
    <w:p w14:paraId="27CB2365" w14:textId="77777777" w:rsidR="00256BD9" w:rsidRPr="00256BD9" w:rsidRDefault="00256BD9" w:rsidP="00F12682">
      <w:pPr>
        <w:spacing w:after="120" w:line="276" w:lineRule="auto"/>
        <w:jc w:val="both"/>
        <w:rPr>
          <w:rFonts w:ascii="Calibri" w:eastAsiaTheme="majorEastAsia" w:hAnsi="Calibri" w:cs="Calibri"/>
          <w:iCs/>
          <w:sz w:val="24"/>
        </w:rPr>
      </w:pPr>
      <w:r w:rsidRPr="00256BD9">
        <w:rPr>
          <w:rFonts w:ascii="Calibri" w:eastAsiaTheme="majorEastAsia" w:hAnsi="Calibri" w:cs="Calibri"/>
          <w:iCs/>
          <w:sz w:val="24"/>
        </w:rPr>
        <w:t xml:space="preserve">Toutefois, certains points méritent d’être suivis afin de permettre au MC/PSP de conduire à bien sa mission.  Il s’agit de : </w:t>
      </w:r>
    </w:p>
    <w:p w14:paraId="37199C61" w14:textId="511608D9" w:rsidR="00256BD9" w:rsidRPr="00256BD9" w:rsidRDefault="00256BD9"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56BD9">
        <w:rPr>
          <w:rFonts w:ascii="Calibri" w:eastAsiaTheme="majorEastAsia" w:hAnsi="Calibri" w:cs="Calibri"/>
          <w:iCs/>
          <w:sz w:val="24"/>
        </w:rPr>
        <w:t>la libération tardive des crédits des périodes pour lesquelles ils se rapportent</w:t>
      </w:r>
      <w:r>
        <w:rPr>
          <w:rFonts w:ascii="Calibri" w:eastAsiaTheme="majorEastAsia" w:hAnsi="Calibri" w:cs="Calibri"/>
          <w:iCs/>
          <w:sz w:val="24"/>
        </w:rPr>
        <w:t> ;</w:t>
      </w:r>
    </w:p>
    <w:p w14:paraId="6C91020A" w14:textId="77777777" w:rsidR="00256BD9" w:rsidRPr="00256BD9" w:rsidRDefault="00256BD9"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56BD9">
        <w:rPr>
          <w:rFonts w:ascii="Calibri" w:eastAsiaTheme="majorEastAsia" w:hAnsi="Calibri" w:cs="Calibri"/>
          <w:iCs/>
          <w:sz w:val="24"/>
        </w:rPr>
        <w:t xml:space="preserve">la coupe des crédits lors de la loi de finances rectificative le gel des crédits du quatrième trimestre.  </w:t>
      </w:r>
    </w:p>
    <w:p w14:paraId="12081A71" w14:textId="77777777" w:rsidR="00256BD9" w:rsidRDefault="00256BD9" w:rsidP="00F12682">
      <w:pPr>
        <w:spacing w:after="120" w:line="276" w:lineRule="auto"/>
        <w:jc w:val="both"/>
        <w:rPr>
          <w:rFonts w:ascii="Calibri" w:eastAsiaTheme="majorEastAsia" w:hAnsi="Calibri" w:cs="Calibri"/>
          <w:iCs/>
          <w:sz w:val="24"/>
        </w:rPr>
      </w:pPr>
      <w:r w:rsidRPr="00256BD9">
        <w:rPr>
          <w:rFonts w:ascii="Calibri" w:eastAsiaTheme="majorEastAsia" w:hAnsi="Calibri" w:cs="Calibri"/>
          <w:iCs/>
          <w:sz w:val="24"/>
        </w:rPr>
        <w:t>Comme noter ci-dessus, le MC/PSP fonde l’espoir que l’avènement du budget programme pourrait éviter les difficultés</w:t>
      </w:r>
      <w:r>
        <w:rPr>
          <w:rFonts w:ascii="Calibri" w:eastAsiaTheme="majorEastAsia" w:hAnsi="Calibri" w:cs="Calibri"/>
          <w:iCs/>
          <w:sz w:val="24"/>
        </w:rPr>
        <w:t>.</w:t>
      </w:r>
    </w:p>
    <w:p w14:paraId="4455C921" w14:textId="77777777" w:rsidR="0023259E" w:rsidRPr="00256BD9" w:rsidRDefault="0023259E" w:rsidP="00F12682">
      <w:pPr>
        <w:spacing w:after="120" w:line="276" w:lineRule="auto"/>
        <w:jc w:val="both"/>
        <w:rPr>
          <w:rFonts w:ascii="Calibri" w:eastAsiaTheme="majorEastAsia" w:hAnsi="Calibri" w:cs="Calibri"/>
          <w:iCs/>
          <w:sz w:val="24"/>
        </w:rPr>
      </w:pPr>
    </w:p>
    <w:p w14:paraId="00767E4E" w14:textId="0063A86F" w:rsidR="002C277C" w:rsidRPr="004A5122" w:rsidRDefault="002C277C" w:rsidP="00F12682">
      <w:pPr>
        <w:pStyle w:val="Titre2"/>
        <w:numPr>
          <w:ilvl w:val="1"/>
          <w:numId w:val="22"/>
        </w:numPr>
        <w:rPr>
          <w:rFonts w:asciiTheme="minorHAnsi" w:hAnsiTheme="minorHAnsi" w:cstheme="minorHAnsi"/>
        </w:rPr>
      </w:pPr>
      <w:bookmarkStart w:id="189" w:name="_Toc529305046"/>
      <w:r w:rsidRPr="002C277C">
        <w:rPr>
          <w:rFonts w:asciiTheme="minorHAnsi" w:hAnsiTheme="minorHAnsi" w:cstheme="minorHAnsi"/>
        </w:rPr>
        <w:lastRenderedPageBreak/>
        <w:t>Dispositif National de Prévention et de Gestion des Crises Alimentaires (DNPGCA)</w:t>
      </w:r>
      <w:bookmarkEnd w:id="189"/>
    </w:p>
    <w:p w14:paraId="00397972" w14:textId="77777777" w:rsidR="002C277C" w:rsidRPr="002C277C" w:rsidRDefault="002C277C" w:rsidP="00F12682">
      <w:pPr>
        <w:pStyle w:val="Titre4"/>
        <w:rPr>
          <w:rFonts w:asciiTheme="minorHAnsi" w:hAnsiTheme="minorHAnsi" w:cstheme="minorHAnsi"/>
          <w:i w:val="0"/>
        </w:rPr>
      </w:pPr>
      <w:r w:rsidRPr="002C277C">
        <w:rPr>
          <w:rFonts w:asciiTheme="minorHAnsi" w:hAnsiTheme="minorHAnsi" w:cstheme="minorHAnsi"/>
          <w:i w:val="0"/>
        </w:rPr>
        <w:t xml:space="preserve">Analyse de l’efficacité des dépenses de fonctionnement </w:t>
      </w:r>
    </w:p>
    <w:p w14:paraId="37F4C575" w14:textId="77777777" w:rsidR="002C277C" w:rsidRPr="002C277C" w:rsidRDefault="002C277C" w:rsidP="00F12682">
      <w:pPr>
        <w:spacing w:after="120" w:line="276" w:lineRule="auto"/>
        <w:jc w:val="both"/>
        <w:rPr>
          <w:rFonts w:ascii="Calibri" w:eastAsiaTheme="majorEastAsia" w:hAnsi="Calibri" w:cs="Calibri"/>
          <w:iCs/>
          <w:sz w:val="24"/>
        </w:rPr>
      </w:pPr>
      <w:r w:rsidRPr="002C277C">
        <w:rPr>
          <w:rFonts w:ascii="Calibri" w:eastAsiaTheme="majorEastAsia" w:hAnsi="Calibri" w:cs="Calibri"/>
          <w:iCs/>
          <w:sz w:val="24"/>
        </w:rPr>
        <w:t>Grâce aux crédits de fonctionnement accordés par l’Etat, le DNPGCA a pu payer :</w:t>
      </w:r>
    </w:p>
    <w:p w14:paraId="4447F871" w14:textId="0B4846E0"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des fournitures de Bureau</w:t>
      </w:r>
      <w:r w:rsidR="0023259E">
        <w:rPr>
          <w:rFonts w:ascii="Calibri" w:eastAsiaTheme="majorEastAsia" w:hAnsi="Calibri" w:cs="Calibri"/>
          <w:iCs/>
          <w:sz w:val="24"/>
        </w:rPr>
        <w:t> ;</w:t>
      </w:r>
    </w:p>
    <w:p w14:paraId="1812CE3C" w14:textId="4DBD019F"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des Produits d’entretien</w:t>
      </w:r>
      <w:r w:rsidR="0023259E">
        <w:rPr>
          <w:rFonts w:ascii="Calibri" w:eastAsiaTheme="majorEastAsia" w:hAnsi="Calibri" w:cs="Calibri"/>
          <w:iCs/>
          <w:sz w:val="24"/>
        </w:rPr>
        <w:t> ;</w:t>
      </w:r>
    </w:p>
    <w:p w14:paraId="247E9CB4" w14:textId="3B9803FF"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des fournitures et Consommables Informatiques</w:t>
      </w:r>
      <w:r w:rsidR="0023259E">
        <w:rPr>
          <w:rFonts w:ascii="Calibri" w:eastAsiaTheme="majorEastAsia" w:hAnsi="Calibri" w:cs="Calibri"/>
          <w:iCs/>
          <w:sz w:val="24"/>
        </w:rPr>
        <w:t> ;</w:t>
      </w:r>
    </w:p>
    <w:p w14:paraId="284E751E" w14:textId="52808649"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de l’alimentation</w:t>
      </w:r>
      <w:r w:rsidR="0023259E">
        <w:rPr>
          <w:rFonts w:ascii="Calibri" w:eastAsiaTheme="majorEastAsia" w:hAnsi="Calibri" w:cs="Calibri"/>
          <w:iCs/>
          <w:sz w:val="24"/>
        </w:rPr>
        <w:t> ;</w:t>
      </w:r>
    </w:p>
    <w:p w14:paraId="64EFBD90" w14:textId="1EEE2EF5"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les frais d’abonnement</w:t>
      </w:r>
      <w:r w:rsidR="0023259E">
        <w:rPr>
          <w:rFonts w:ascii="Calibri" w:eastAsiaTheme="majorEastAsia" w:hAnsi="Calibri" w:cs="Calibri"/>
          <w:iCs/>
          <w:sz w:val="24"/>
        </w:rPr>
        <w:t> ;</w:t>
      </w:r>
    </w:p>
    <w:p w14:paraId="5C4829F5" w14:textId="47F17BE3"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du carburant</w:t>
      </w:r>
      <w:r w:rsidR="0023259E">
        <w:rPr>
          <w:rFonts w:ascii="Calibri" w:eastAsiaTheme="majorEastAsia" w:hAnsi="Calibri" w:cs="Calibri"/>
          <w:iCs/>
          <w:sz w:val="24"/>
        </w:rPr>
        <w:t> ;</w:t>
      </w:r>
    </w:p>
    <w:p w14:paraId="577E8461" w14:textId="77BB4F2E"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les frais d’entretien matériel technique</w:t>
      </w:r>
      <w:r w:rsidR="0023259E">
        <w:rPr>
          <w:rFonts w:ascii="Calibri" w:eastAsiaTheme="majorEastAsia" w:hAnsi="Calibri" w:cs="Calibri"/>
          <w:iCs/>
          <w:sz w:val="24"/>
        </w:rPr>
        <w:t> ;</w:t>
      </w:r>
    </w:p>
    <w:p w14:paraId="2BA9580E" w14:textId="20300E92"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les frais d’entretien bâtiment</w:t>
      </w:r>
      <w:r w:rsidR="0023259E">
        <w:rPr>
          <w:rFonts w:ascii="Calibri" w:eastAsiaTheme="majorEastAsia" w:hAnsi="Calibri" w:cs="Calibri"/>
          <w:iCs/>
          <w:sz w:val="24"/>
        </w:rPr>
        <w:t> ;</w:t>
      </w:r>
    </w:p>
    <w:p w14:paraId="1AA3CA42" w14:textId="4B7FB2B3"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les frais de communication</w:t>
      </w:r>
      <w:r w:rsidR="0023259E">
        <w:rPr>
          <w:rFonts w:ascii="Calibri" w:eastAsiaTheme="majorEastAsia" w:hAnsi="Calibri" w:cs="Calibri"/>
          <w:iCs/>
          <w:sz w:val="24"/>
        </w:rPr>
        <w:t> ;</w:t>
      </w:r>
    </w:p>
    <w:p w14:paraId="18931029" w14:textId="3B1F2E0A"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les frais de transport des agents à l’intérieur</w:t>
      </w:r>
      <w:r w:rsidR="0023259E">
        <w:rPr>
          <w:rFonts w:ascii="Calibri" w:eastAsiaTheme="majorEastAsia" w:hAnsi="Calibri" w:cs="Calibri"/>
          <w:iCs/>
          <w:sz w:val="24"/>
        </w:rPr>
        <w:t> ;</w:t>
      </w:r>
    </w:p>
    <w:p w14:paraId="5CDFA1A0" w14:textId="541BD9B2"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les frais de mission des agents à l’extérieur</w:t>
      </w:r>
      <w:r w:rsidR="0023259E">
        <w:rPr>
          <w:rFonts w:ascii="Calibri" w:eastAsiaTheme="majorEastAsia" w:hAnsi="Calibri" w:cs="Calibri"/>
          <w:iCs/>
          <w:sz w:val="24"/>
        </w:rPr>
        <w:t> ;</w:t>
      </w:r>
    </w:p>
    <w:p w14:paraId="0A4861D4" w14:textId="57DC653D"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les frais de participation aux séminaires, conférences, congrès</w:t>
      </w:r>
      <w:r w:rsidR="0023259E">
        <w:rPr>
          <w:rFonts w:ascii="Calibri" w:eastAsiaTheme="majorEastAsia" w:hAnsi="Calibri" w:cs="Calibri"/>
          <w:iCs/>
          <w:sz w:val="24"/>
        </w:rPr>
        <w:t> ;</w:t>
      </w:r>
    </w:p>
    <w:p w14:paraId="15DDA84F" w14:textId="3D24C062"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les autres dépenses (salaires contractuels)</w:t>
      </w:r>
      <w:r w:rsidR="0023259E">
        <w:rPr>
          <w:rFonts w:ascii="Calibri" w:eastAsiaTheme="majorEastAsia" w:hAnsi="Calibri" w:cs="Calibri"/>
          <w:iCs/>
          <w:sz w:val="24"/>
        </w:rPr>
        <w:t>.</w:t>
      </w:r>
    </w:p>
    <w:p w14:paraId="3E7F460C" w14:textId="77777777" w:rsidR="002C277C" w:rsidRDefault="002C277C" w:rsidP="00F12682">
      <w:pPr>
        <w:spacing w:after="120" w:line="276" w:lineRule="auto"/>
        <w:jc w:val="both"/>
        <w:rPr>
          <w:rFonts w:ascii="Calibri" w:eastAsiaTheme="majorEastAsia" w:hAnsi="Calibri" w:cs="Calibri"/>
          <w:iCs/>
          <w:sz w:val="24"/>
        </w:rPr>
      </w:pPr>
      <w:r w:rsidRPr="002C277C">
        <w:rPr>
          <w:rFonts w:ascii="Calibri" w:eastAsiaTheme="majorEastAsia" w:hAnsi="Calibri" w:cs="Calibri"/>
          <w:iCs/>
          <w:sz w:val="24"/>
        </w:rPr>
        <w:t>Toutes ces dépenses ont permis de mettre les agents dans des conditions acceptables pour effectuer leurs activités. Elles ont permis de pouvoir apporter aux populations vulnérables une assistance.</w:t>
      </w:r>
    </w:p>
    <w:p w14:paraId="3BF65752" w14:textId="77777777" w:rsidR="002C277C" w:rsidRPr="002C277C" w:rsidRDefault="002C277C" w:rsidP="00F12682">
      <w:pPr>
        <w:spacing w:after="120" w:line="276" w:lineRule="auto"/>
        <w:jc w:val="both"/>
        <w:rPr>
          <w:rFonts w:ascii="Calibri" w:eastAsiaTheme="majorEastAsia" w:hAnsi="Calibri" w:cs="Calibri"/>
          <w:iCs/>
          <w:sz w:val="24"/>
        </w:rPr>
      </w:pPr>
    </w:p>
    <w:p w14:paraId="33AF1373" w14:textId="77777777" w:rsidR="002C277C" w:rsidRDefault="002C277C" w:rsidP="00F12682">
      <w:pPr>
        <w:pStyle w:val="Titre4"/>
        <w:rPr>
          <w:rFonts w:asciiTheme="minorHAnsi" w:hAnsiTheme="minorHAnsi" w:cstheme="minorHAnsi"/>
          <w:i w:val="0"/>
        </w:rPr>
      </w:pPr>
      <w:r w:rsidRPr="002C277C">
        <w:rPr>
          <w:rFonts w:asciiTheme="minorHAnsi" w:hAnsiTheme="minorHAnsi" w:cstheme="minorHAnsi"/>
          <w:i w:val="0"/>
        </w:rPr>
        <w:t>Analyse de l’efficacité des dépenses d’investissement</w:t>
      </w:r>
    </w:p>
    <w:p w14:paraId="733A8A57" w14:textId="77777777" w:rsidR="00FE52F8" w:rsidRPr="002C277C" w:rsidRDefault="00FE52F8" w:rsidP="00F12682">
      <w:pPr>
        <w:spacing w:after="120" w:line="276" w:lineRule="auto"/>
        <w:jc w:val="both"/>
        <w:rPr>
          <w:rFonts w:ascii="Calibri" w:eastAsiaTheme="majorEastAsia" w:hAnsi="Calibri" w:cs="Calibri"/>
          <w:iCs/>
          <w:sz w:val="24"/>
        </w:rPr>
      </w:pPr>
      <w:r w:rsidRPr="002C277C">
        <w:rPr>
          <w:rFonts w:ascii="Calibri" w:eastAsiaTheme="majorEastAsia" w:hAnsi="Calibri" w:cs="Calibri"/>
          <w:iCs/>
          <w:sz w:val="24"/>
        </w:rPr>
        <w:t xml:space="preserve">Au titre des investissements administratifs, le DNPGCA s’est doté du matériel suivant :  </w:t>
      </w:r>
    </w:p>
    <w:p w14:paraId="27DA2A16" w14:textId="77777777" w:rsidR="00FE52F8" w:rsidRPr="002C277C" w:rsidRDefault="00FE52F8"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du matériel informatique</w:t>
      </w:r>
      <w:r>
        <w:rPr>
          <w:rFonts w:ascii="Calibri" w:eastAsiaTheme="majorEastAsia" w:hAnsi="Calibri" w:cs="Calibri"/>
          <w:iCs/>
          <w:sz w:val="24"/>
        </w:rPr>
        <w:t> ;</w:t>
      </w:r>
    </w:p>
    <w:p w14:paraId="778D58D8" w14:textId="77777777" w:rsidR="00FE52F8" w:rsidRPr="002C277C" w:rsidRDefault="00FE52F8"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du mobilier de bureau</w:t>
      </w:r>
      <w:r>
        <w:rPr>
          <w:rFonts w:ascii="Calibri" w:eastAsiaTheme="majorEastAsia" w:hAnsi="Calibri" w:cs="Calibri"/>
          <w:iCs/>
          <w:sz w:val="24"/>
        </w:rPr>
        <w:t> ;</w:t>
      </w:r>
    </w:p>
    <w:p w14:paraId="049641EB" w14:textId="77777777" w:rsidR="00FE52F8" w:rsidRPr="002C277C" w:rsidRDefault="00FE52F8"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du matériel de bureau.</w:t>
      </w:r>
    </w:p>
    <w:p w14:paraId="136B9A22" w14:textId="77777777" w:rsidR="00FE52F8" w:rsidRPr="002C277C" w:rsidRDefault="00FE52F8" w:rsidP="00F12682">
      <w:pPr>
        <w:spacing w:after="120" w:line="276" w:lineRule="auto"/>
        <w:jc w:val="both"/>
        <w:rPr>
          <w:rFonts w:ascii="Calibri" w:eastAsiaTheme="majorEastAsia" w:hAnsi="Calibri" w:cs="Calibri"/>
          <w:iCs/>
          <w:sz w:val="24"/>
        </w:rPr>
      </w:pPr>
    </w:p>
    <w:p w14:paraId="2891C377" w14:textId="77777777" w:rsidR="002C277C" w:rsidRPr="002C277C" w:rsidRDefault="002C277C" w:rsidP="00F12682">
      <w:pPr>
        <w:pStyle w:val="Titre4"/>
        <w:rPr>
          <w:rFonts w:asciiTheme="minorHAnsi" w:hAnsiTheme="minorHAnsi" w:cstheme="minorHAnsi"/>
          <w:i w:val="0"/>
        </w:rPr>
      </w:pPr>
      <w:r w:rsidRPr="002C277C">
        <w:rPr>
          <w:rFonts w:asciiTheme="minorHAnsi" w:hAnsiTheme="minorHAnsi" w:cstheme="minorHAnsi"/>
          <w:i w:val="0"/>
        </w:rPr>
        <w:t>Analyse des dépenses hors budget (projets/programmes)</w:t>
      </w:r>
    </w:p>
    <w:p w14:paraId="7B0471C3" w14:textId="77777777" w:rsidR="002C277C" w:rsidRPr="002C277C" w:rsidRDefault="002C277C" w:rsidP="00F12682">
      <w:pPr>
        <w:spacing w:after="120" w:line="276" w:lineRule="auto"/>
        <w:jc w:val="both"/>
        <w:rPr>
          <w:rFonts w:ascii="Calibri" w:eastAsiaTheme="majorEastAsia" w:hAnsi="Calibri" w:cs="Calibri"/>
          <w:iCs/>
          <w:sz w:val="24"/>
        </w:rPr>
      </w:pPr>
      <w:r w:rsidRPr="002C277C">
        <w:rPr>
          <w:rFonts w:ascii="Calibri" w:eastAsiaTheme="majorEastAsia" w:hAnsi="Calibri" w:cs="Calibri"/>
          <w:iCs/>
          <w:sz w:val="24"/>
        </w:rPr>
        <w:t xml:space="preserve">L’essentiel des fonds reçus de l’extérieur en 2016 par le DNPGCA, ont été gérés hors budget et ont permis de pouvoir effectuer les activités suivantes : </w:t>
      </w:r>
    </w:p>
    <w:p w14:paraId="748D3541" w14:textId="784EC11E"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 salaire, charges salariales et assurances maladie des chauffeurs recrutés pour accompagner les SPR</w:t>
      </w:r>
      <w:r w:rsidR="0023259E">
        <w:rPr>
          <w:rFonts w:ascii="Calibri" w:eastAsiaTheme="majorEastAsia" w:hAnsi="Calibri" w:cs="Calibri"/>
          <w:iCs/>
          <w:sz w:val="24"/>
        </w:rPr>
        <w:t> ;</w:t>
      </w:r>
    </w:p>
    <w:p w14:paraId="684102B6" w14:textId="0232F5AF"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L’organisation à Niamey des rencontres régulières des SPR et Assistants Suivi-évaluation</w:t>
      </w:r>
      <w:r w:rsidR="0023259E">
        <w:rPr>
          <w:rFonts w:ascii="Calibri" w:eastAsiaTheme="majorEastAsia" w:hAnsi="Calibri" w:cs="Calibri"/>
          <w:iCs/>
          <w:sz w:val="24"/>
        </w:rPr>
        <w:t> ;</w:t>
      </w:r>
    </w:p>
    <w:p w14:paraId="2111E2F3" w14:textId="4F10B312"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lastRenderedPageBreak/>
        <w:t>L’entretien des véhicules, don de la Coopération Allemande/GIZ</w:t>
      </w:r>
      <w:r w:rsidR="0023259E">
        <w:rPr>
          <w:rFonts w:ascii="Calibri" w:eastAsiaTheme="majorEastAsia" w:hAnsi="Calibri" w:cs="Calibri"/>
          <w:iCs/>
          <w:sz w:val="24"/>
        </w:rPr>
        <w:t> ;</w:t>
      </w:r>
    </w:p>
    <w:p w14:paraId="463C4E28" w14:textId="01DC2C99"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 fonctionnement des bureaux SPR</w:t>
      </w:r>
      <w:r w:rsidR="0023259E">
        <w:rPr>
          <w:rFonts w:ascii="Calibri" w:eastAsiaTheme="majorEastAsia" w:hAnsi="Calibri" w:cs="Calibri"/>
          <w:iCs/>
          <w:sz w:val="24"/>
        </w:rPr>
        <w:t> ;</w:t>
      </w:r>
    </w:p>
    <w:p w14:paraId="128F321F" w14:textId="3FAC0C6A"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L'appui au fonctionnement du Secrétariat Permanent du DNPGCA</w:t>
      </w:r>
      <w:r w:rsidR="0023259E">
        <w:rPr>
          <w:rFonts w:ascii="Calibri" w:eastAsiaTheme="majorEastAsia" w:hAnsi="Calibri" w:cs="Calibri"/>
          <w:iCs/>
          <w:sz w:val="24"/>
        </w:rPr>
        <w:t> ;</w:t>
      </w:r>
    </w:p>
    <w:p w14:paraId="1A827DB8" w14:textId="068B8D33"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Le paiement d'arriérés CNSS et Impôt</w:t>
      </w:r>
      <w:r w:rsidR="0023259E">
        <w:rPr>
          <w:rFonts w:ascii="Calibri" w:eastAsiaTheme="majorEastAsia" w:hAnsi="Calibri" w:cs="Calibri"/>
          <w:iCs/>
          <w:sz w:val="24"/>
        </w:rPr>
        <w:t> ;</w:t>
      </w:r>
    </w:p>
    <w:p w14:paraId="1B1DC700" w14:textId="700F41E1"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1 000 bâches et 1 000 couvertures pour les réfugiés du Mali vivant dans des camps dans la région de Tahoua</w:t>
      </w:r>
      <w:r w:rsidR="0023259E">
        <w:rPr>
          <w:rFonts w:ascii="Calibri" w:eastAsiaTheme="majorEastAsia" w:hAnsi="Calibri" w:cs="Calibri"/>
          <w:iCs/>
          <w:sz w:val="24"/>
        </w:rPr>
        <w:t> ;</w:t>
      </w:r>
    </w:p>
    <w:p w14:paraId="60680598" w14:textId="5B0B9CE2"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95 t de riz pour les ménages vulnérables dans la région de Diffa</w:t>
      </w:r>
      <w:r w:rsidR="0023259E">
        <w:rPr>
          <w:rFonts w:ascii="Calibri" w:eastAsiaTheme="majorEastAsia" w:hAnsi="Calibri" w:cs="Calibri"/>
          <w:iCs/>
          <w:sz w:val="24"/>
        </w:rPr>
        <w:t> ;</w:t>
      </w:r>
    </w:p>
    <w:p w14:paraId="11AB73B6" w14:textId="3F469751"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La formation d’une technicienne en matière de Système d’Information Géographique</w:t>
      </w:r>
      <w:r w:rsidR="0023259E">
        <w:rPr>
          <w:rFonts w:ascii="Calibri" w:eastAsiaTheme="majorEastAsia" w:hAnsi="Calibri" w:cs="Calibri"/>
          <w:iCs/>
          <w:sz w:val="24"/>
        </w:rPr>
        <w:t> ;</w:t>
      </w:r>
    </w:p>
    <w:p w14:paraId="7982B846" w14:textId="7525AB50"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Un véhicule pour le SPR de Niamey</w:t>
      </w:r>
      <w:r w:rsidR="0023259E">
        <w:rPr>
          <w:rFonts w:ascii="Calibri" w:eastAsiaTheme="majorEastAsia" w:hAnsi="Calibri" w:cs="Calibri"/>
          <w:iCs/>
          <w:sz w:val="24"/>
        </w:rPr>
        <w:t> ;</w:t>
      </w:r>
    </w:p>
    <w:p w14:paraId="26E4473F" w14:textId="07367E55"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28 pneus et chambres à air et du matériel bureautique divers</w:t>
      </w:r>
      <w:r w:rsidR="0023259E">
        <w:rPr>
          <w:rFonts w:ascii="Calibri" w:eastAsiaTheme="majorEastAsia" w:hAnsi="Calibri" w:cs="Calibri"/>
          <w:iCs/>
          <w:sz w:val="24"/>
        </w:rPr>
        <w:t> ;</w:t>
      </w:r>
    </w:p>
    <w:p w14:paraId="1E8E126E" w14:textId="2A172139"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Une prestation de quatre mois pour assurer la fonction de point focal DNPGCA « assistant du SPR » à Diffa</w:t>
      </w:r>
      <w:r w:rsidR="0023259E">
        <w:rPr>
          <w:rFonts w:ascii="Calibri" w:eastAsiaTheme="majorEastAsia" w:hAnsi="Calibri" w:cs="Calibri"/>
          <w:iCs/>
          <w:sz w:val="24"/>
        </w:rPr>
        <w:t> ;</w:t>
      </w:r>
    </w:p>
    <w:p w14:paraId="4B65D7EF" w14:textId="13448A48"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La rénovation des bâtiments servant de lieu de travail aux SPR de Tillabéri et Niamey ainsi que des travaux de rénovation au bâtiment hébergeant le SP</w:t>
      </w:r>
      <w:r w:rsidR="0023259E">
        <w:rPr>
          <w:rFonts w:ascii="Calibri" w:eastAsiaTheme="majorEastAsia" w:hAnsi="Calibri" w:cs="Calibri"/>
          <w:iCs/>
          <w:sz w:val="24"/>
        </w:rPr>
        <w:t> ;</w:t>
      </w:r>
    </w:p>
    <w:p w14:paraId="1D19BABA" w14:textId="7CDA5C72"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Appui à l’organisation de l’atelier du Cadre Harmonisé</w:t>
      </w:r>
      <w:r w:rsidR="0023259E">
        <w:rPr>
          <w:rFonts w:ascii="Calibri" w:eastAsiaTheme="majorEastAsia" w:hAnsi="Calibri" w:cs="Calibri"/>
          <w:iCs/>
          <w:sz w:val="24"/>
        </w:rPr>
        <w:t> ;</w:t>
      </w:r>
    </w:p>
    <w:p w14:paraId="7F1D2F4F" w14:textId="79036FC2"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Appui à l’organisation de la rencontre technique annuelle</w:t>
      </w:r>
      <w:r w:rsidR="0023259E">
        <w:rPr>
          <w:rFonts w:ascii="Calibri" w:eastAsiaTheme="majorEastAsia" w:hAnsi="Calibri" w:cs="Calibri"/>
          <w:iCs/>
          <w:sz w:val="24"/>
        </w:rPr>
        <w:t> ;</w:t>
      </w:r>
    </w:p>
    <w:p w14:paraId="1DACDD51" w14:textId="2B8748EF"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Mise à disposition d’expertise pour la RRC (1 international et 8 VNU nationaux)</w:t>
      </w:r>
      <w:r w:rsidR="0023259E">
        <w:rPr>
          <w:rFonts w:ascii="Calibri" w:eastAsiaTheme="majorEastAsia" w:hAnsi="Calibri" w:cs="Calibri"/>
          <w:iCs/>
          <w:sz w:val="24"/>
        </w:rPr>
        <w:t> ;</w:t>
      </w:r>
      <w:r w:rsidRPr="002C277C">
        <w:rPr>
          <w:rFonts w:ascii="Calibri" w:eastAsiaTheme="majorEastAsia" w:hAnsi="Calibri" w:cs="Calibri"/>
          <w:iCs/>
          <w:sz w:val="24"/>
        </w:rPr>
        <w:t xml:space="preserve"> </w:t>
      </w:r>
    </w:p>
    <w:p w14:paraId="0BB32A65" w14:textId="0511F9F3"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Mise en place et renforcement technique et matériel des OSV (11 OSV, 25 SCAP/RU)</w:t>
      </w:r>
      <w:r w:rsidR="0023259E">
        <w:rPr>
          <w:rFonts w:ascii="Calibri" w:eastAsiaTheme="majorEastAsia" w:hAnsi="Calibri" w:cs="Calibri"/>
          <w:iCs/>
          <w:sz w:val="24"/>
        </w:rPr>
        <w:t> ;</w:t>
      </w:r>
    </w:p>
    <w:p w14:paraId="736E207B" w14:textId="3A860027"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Renforcement des capacités nationales en matière d’évaluation des besoins post catastrophes et de la planification du relèvement et exercice (PDNA)</w:t>
      </w:r>
      <w:r w:rsidR="0023259E">
        <w:rPr>
          <w:rFonts w:ascii="Calibri" w:eastAsiaTheme="majorEastAsia" w:hAnsi="Calibri" w:cs="Calibri"/>
          <w:iCs/>
          <w:sz w:val="24"/>
        </w:rPr>
        <w:t> ;</w:t>
      </w:r>
    </w:p>
    <w:p w14:paraId="62E10CF0" w14:textId="2FADB8B3"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Analyse diagnostique de la situation du relèvement post catastrophe au Niger, développement d’un Cadre stratégique national de relèvement post catastrophe et mécanisme de financement</w:t>
      </w:r>
      <w:r w:rsidR="0023259E">
        <w:rPr>
          <w:rFonts w:ascii="Calibri" w:eastAsiaTheme="majorEastAsia" w:hAnsi="Calibri" w:cs="Calibri"/>
          <w:iCs/>
          <w:sz w:val="24"/>
        </w:rPr>
        <w:t> ;</w:t>
      </w:r>
    </w:p>
    <w:p w14:paraId="6EBA2F92" w14:textId="186EE458"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Développement de stratégie de RRC pour 4 régions (Agadez ; Tahoua, Tillabéry et Zinder)</w:t>
      </w:r>
      <w:r w:rsidR="0023259E">
        <w:rPr>
          <w:rFonts w:ascii="Calibri" w:eastAsiaTheme="majorEastAsia" w:hAnsi="Calibri" w:cs="Calibri"/>
          <w:iCs/>
          <w:sz w:val="24"/>
        </w:rPr>
        <w:t> ;</w:t>
      </w:r>
    </w:p>
    <w:p w14:paraId="77BFF2D1" w14:textId="77777777"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 Mise en œuvre de 4 projets de renforcement de la résilience (</w:t>
      </w:r>
      <w:proofErr w:type="spellStart"/>
      <w:r w:rsidRPr="002C277C">
        <w:rPr>
          <w:rFonts w:ascii="Calibri" w:eastAsiaTheme="majorEastAsia" w:hAnsi="Calibri" w:cs="Calibri"/>
          <w:iCs/>
          <w:sz w:val="24"/>
        </w:rPr>
        <w:t>Simiri</w:t>
      </w:r>
      <w:proofErr w:type="spellEnd"/>
      <w:r w:rsidRPr="002C277C">
        <w:rPr>
          <w:rFonts w:ascii="Calibri" w:eastAsiaTheme="majorEastAsia" w:hAnsi="Calibri" w:cs="Calibri"/>
          <w:iCs/>
          <w:sz w:val="24"/>
        </w:rPr>
        <w:t xml:space="preserve"> ; </w:t>
      </w:r>
      <w:proofErr w:type="spellStart"/>
      <w:r w:rsidRPr="002C277C">
        <w:rPr>
          <w:rFonts w:ascii="Calibri" w:eastAsiaTheme="majorEastAsia" w:hAnsi="Calibri" w:cs="Calibri"/>
          <w:iCs/>
          <w:sz w:val="24"/>
        </w:rPr>
        <w:t>Tondikiwindi</w:t>
      </w:r>
      <w:proofErr w:type="spellEnd"/>
      <w:r w:rsidRPr="002C277C">
        <w:rPr>
          <w:rFonts w:ascii="Calibri" w:eastAsiaTheme="majorEastAsia" w:hAnsi="Calibri" w:cs="Calibri"/>
          <w:iCs/>
          <w:sz w:val="24"/>
        </w:rPr>
        <w:t xml:space="preserve">, </w:t>
      </w:r>
      <w:proofErr w:type="spellStart"/>
      <w:r w:rsidRPr="002C277C">
        <w:rPr>
          <w:rFonts w:ascii="Calibri" w:eastAsiaTheme="majorEastAsia" w:hAnsi="Calibri" w:cs="Calibri"/>
          <w:iCs/>
          <w:sz w:val="24"/>
        </w:rPr>
        <w:t>Namaro</w:t>
      </w:r>
      <w:proofErr w:type="spellEnd"/>
      <w:r w:rsidRPr="002C277C">
        <w:rPr>
          <w:rFonts w:ascii="Calibri" w:eastAsiaTheme="majorEastAsia" w:hAnsi="Calibri" w:cs="Calibri"/>
          <w:iCs/>
          <w:sz w:val="24"/>
        </w:rPr>
        <w:t xml:space="preserve">, </w:t>
      </w:r>
      <w:proofErr w:type="spellStart"/>
      <w:r w:rsidRPr="002C277C">
        <w:rPr>
          <w:rFonts w:ascii="Calibri" w:eastAsiaTheme="majorEastAsia" w:hAnsi="Calibri" w:cs="Calibri"/>
          <w:iCs/>
          <w:sz w:val="24"/>
        </w:rPr>
        <w:t>Torodi</w:t>
      </w:r>
      <w:proofErr w:type="spellEnd"/>
      <w:r w:rsidRPr="002C277C">
        <w:rPr>
          <w:rFonts w:ascii="Calibri" w:eastAsiaTheme="majorEastAsia" w:hAnsi="Calibri" w:cs="Calibri"/>
          <w:iCs/>
          <w:sz w:val="24"/>
        </w:rPr>
        <w:t xml:space="preserve">, </w:t>
      </w:r>
      <w:proofErr w:type="spellStart"/>
      <w:r w:rsidRPr="002C277C">
        <w:rPr>
          <w:rFonts w:ascii="Calibri" w:eastAsiaTheme="majorEastAsia" w:hAnsi="Calibri" w:cs="Calibri"/>
          <w:iCs/>
          <w:sz w:val="24"/>
        </w:rPr>
        <w:t>Ingall</w:t>
      </w:r>
      <w:proofErr w:type="spellEnd"/>
      <w:r w:rsidRPr="002C277C">
        <w:rPr>
          <w:rFonts w:ascii="Calibri" w:eastAsiaTheme="majorEastAsia" w:hAnsi="Calibri" w:cs="Calibri"/>
          <w:iCs/>
          <w:sz w:val="24"/>
        </w:rPr>
        <w:t xml:space="preserve">, </w:t>
      </w:r>
      <w:proofErr w:type="spellStart"/>
      <w:r w:rsidRPr="002C277C">
        <w:rPr>
          <w:rFonts w:ascii="Calibri" w:eastAsiaTheme="majorEastAsia" w:hAnsi="Calibri" w:cs="Calibri"/>
          <w:iCs/>
          <w:sz w:val="24"/>
        </w:rPr>
        <w:t>Goudoumaria</w:t>
      </w:r>
      <w:proofErr w:type="spellEnd"/>
      <w:r w:rsidRPr="002C277C">
        <w:rPr>
          <w:rFonts w:ascii="Calibri" w:eastAsiaTheme="majorEastAsia" w:hAnsi="Calibri" w:cs="Calibri"/>
          <w:iCs/>
          <w:sz w:val="24"/>
        </w:rPr>
        <w:t>) ;</w:t>
      </w:r>
    </w:p>
    <w:p w14:paraId="19D322A8" w14:textId="1E3BB62B"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 xml:space="preserve">Un atelier de validation et de finalisation de la personnalisation de </w:t>
      </w:r>
      <w:proofErr w:type="spellStart"/>
      <w:r w:rsidRPr="002C277C">
        <w:rPr>
          <w:rFonts w:ascii="Calibri" w:eastAsiaTheme="majorEastAsia" w:hAnsi="Calibri" w:cs="Calibri"/>
          <w:iCs/>
          <w:sz w:val="24"/>
        </w:rPr>
        <w:t>African</w:t>
      </w:r>
      <w:proofErr w:type="spellEnd"/>
      <w:r w:rsidRPr="002C277C">
        <w:rPr>
          <w:rFonts w:ascii="Calibri" w:eastAsiaTheme="majorEastAsia" w:hAnsi="Calibri" w:cs="Calibri"/>
          <w:iCs/>
          <w:sz w:val="24"/>
        </w:rPr>
        <w:t xml:space="preserve"> </w:t>
      </w:r>
      <w:proofErr w:type="spellStart"/>
      <w:r w:rsidRPr="002C277C">
        <w:rPr>
          <w:rFonts w:ascii="Calibri" w:eastAsiaTheme="majorEastAsia" w:hAnsi="Calibri" w:cs="Calibri"/>
          <w:iCs/>
          <w:sz w:val="24"/>
        </w:rPr>
        <w:t>Risk</w:t>
      </w:r>
      <w:proofErr w:type="spellEnd"/>
      <w:r w:rsidRPr="002C277C">
        <w:rPr>
          <w:rFonts w:ascii="Calibri" w:eastAsiaTheme="majorEastAsia" w:hAnsi="Calibri" w:cs="Calibri"/>
          <w:iCs/>
          <w:sz w:val="24"/>
        </w:rPr>
        <w:t xml:space="preserve"> </w:t>
      </w:r>
      <w:proofErr w:type="spellStart"/>
      <w:r w:rsidRPr="002C277C">
        <w:rPr>
          <w:rFonts w:ascii="Calibri" w:eastAsiaTheme="majorEastAsia" w:hAnsi="Calibri" w:cs="Calibri"/>
          <w:iCs/>
          <w:sz w:val="24"/>
        </w:rPr>
        <w:t>View</w:t>
      </w:r>
      <w:proofErr w:type="spellEnd"/>
      <w:r w:rsidRPr="002C277C">
        <w:rPr>
          <w:rFonts w:ascii="Calibri" w:eastAsiaTheme="majorEastAsia" w:hAnsi="Calibri" w:cs="Calibri"/>
          <w:iCs/>
          <w:sz w:val="24"/>
        </w:rPr>
        <w:t xml:space="preserve"> (ARV) en Janvier 2016 – avril 2016</w:t>
      </w:r>
      <w:r w:rsidR="0023259E">
        <w:rPr>
          <w:rFonts w:ascii="Calibri" w:eastAsiaTheme="majorEastAsia" w:hAnsi="Calibri" w:cs="Calibri"/>
          <w:iCs/>
          <w:sz w:val="24"/>
        </w:rPr>
        <w:t> ;</w:t>
      </w:r>
    </w:p>
    <w:p w14:paraId="53E53BB4" w14:textId="378C4EE2"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L’organisation d’une formation sur la nouvelle version ARV (Version 4.4.1) en Mai 2016</w:t>
      </w:r>
      <w:r w:rsidR="00C766A5">
        <w:rPr>
          <w:rFonts w:ascii="Calibri" w:eastAsiaTheme="majorEastAsia" w:hAnsi="Calibri" w:cs="Calibri"/>
          <w:iCs/>
          <w:sz w:val="24"/>
        </w:rPr>
        <w:t> ;</w:t>
      </w:r>
    </w:p>
    <w:p w14:paraId="1C305CD5" w14:textId="77777777"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Un atelier de revue du paramétrage ARV. Il s’agissait pour les participants de faire une analyse comparative de la situation de la saison agricole entre les données collectées sur le terrain et les résultats du logiciel et de faire au besoin un réajustement des paramètres utilisés pour la saison suivante en Novembre 2016 ;</w:t>
      </w:r>
    </w:p>
    <w:p w14:paraId="06661533" w14:textId="55B9728D"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réalisation de Bandes pare feux  (3 200 Km)</w:t>
      </w:r>
      <w:r w:rsidR="003847D1">
        <w:rPr>
          <w:rFonts w:ascii="Calibri" w:eastAsiaTheme="majorEastAsia" w:hAnsi="Calibri" w:cs="Calibri"/>
          <w:iCs/>
          <w:sz w:val="24"/>
        </w:rPr>
        <w:t> ;</w:t>
      </w:r>
    </w:p>
    <w:p w14:paraId="1547F363" w14:textId="49005661"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 xml:space="preserve">réalisation de DGC Diffa (6 000 </w:t>
      </w:r>
      <w:r w:rsidR="00FB7BFC">
        <w:rPr>
          <w:rFonts w:ascii="Calibri" w:eastAsiaTheme="majorEastAsia" w:hAnsi="Calibri" w:cs="Calibri"/>
          <w:iCs/>
          <w:sz w:val="24"/>
        </w:rPr>
        <w:t>tonnes</w:t>
      </w:r>
      <w:r w:rsidRPr="002C277C">
        <w:rPr>
          <w:rFonts w:ascii="Calibri" w:eastAsiaTheme="majorEastAsia" w:hAnsi="Calibri" w:cs="Calibri"/>
          <w:iCs/>
          <w:sz w:val="24"/>
        </w:rPr>
        <w:t>)</w:t>
      </w:r>
      <w:r w:rsidR="003847D1">
        <w:rPr>
          <w:rFonts w:ascii="Calibri" w:eastAsiaTheme="majorEastAsia" w:hAnsi="Calibri" w:cs="Calibri"/>
          <w:iCs/>
          <w:sz w:val="24"/>
        </w:rPr>
        <w:t> ;</w:t>
      </w:r>
    </w:p>
    <w:p w14:paraId="0450D6BD" w14:textId="3F2B914D"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lastRenderedPageBreak/>
        <w:t xml:space="preserve">réalisation de DGC globale (21 370 </w:t>
      </w:r>
      <w:r w:rsidR="00FB7BFC">
        <w:rPr>
          <w:rFonts w:ascii="Calibri" w:eastAsiaTheme="majorEastAsia" w:hAnsi="Calibri" w:cs="Calibri"/>
          <w:iCs/>
          <w:sz w:val="24"/>
        </w:rPr>
        <w:t>tonnes</w:t>
      </w:r>
      <w:r w:rsidRPr="002C277C">
        <w:rPr>
          <w:rFonts w:ascii="Calibri" w:eastAsiaTheme="majorEastAsia" w:hAnsi="Calibri" w:cs="Calibri"/>
          <w:iCs/>
          <w:sz w:val="24"/>
        </w:rPr>
        <w:t>)</w:t>
      </w:r>
      <w:r w:rsidR="003847D1">
        <w:rPr>
          <w:rFonts w:ascii="Calibri" w:eastAsiaTheme="majorEastAsia" w:hAnsi="Calibri" w:cs="Calibri"/>
          <w:iCs/>
          <w:sz w:val="24"/>
        </w:rPr>
        <w:t> ;</w:t>
      </w:r>
    </w:p>
    <w:p w14:paraId="2C4AC5DC" w14:textId="02B9DBB9"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 xml:space="preserve">réalisation de DGC Riz GIZ (90 </w:t>
      </w:r>
      <w:r w:rsidR="00FB7BFC">
        <w:rPr>
          <w:rFonts w:ascii="Calibri" w:eastAsiaTheme="majorEastAsia" w:hAnsi="Calibri" w:cs="Calibri"/>
          <w:iCs/>
          <w:sz w:val="24"/>
        </w:rPr>
        <w:t>tonnes</w:t>
      </w:r>
      <w:r w:rsidRPr="002C277C">
        <w:rPr>
          <w:rFonts w:ascii="Calibri" w:eastAsiaTheme="majorEastAsia" w:hAnsi="Calibri" w:cs="Calibri"/>
          <w:iCs/>
          <w:sz w:val="24"/>
        </w:rPr>
        <w:t>)</w:t>
      </w:r>
      <w:r w:rsidR="003847D1">
        <w:rPr>
          <w:rFonts w:ascii="Calibri" w:eastAsiaTheme="majorEastAsia" w:hAnsi="Calibri" w:cs="Calibri"/>
          <w:iCs/>
          <w:sz w:val="24"/>
        </w:rPr>
        <w:t> ;</w:t>
      </w:r>
    </w:p>
    <w:p w14:paraId="4B956169" w14:textId="3896F8F5"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 xml:space="preserve">distribution d’aliments bétail (5 000 </w:t>
      </w:r>
      <w:r w:rsidR="00FB7BFC">
        <w:rPr>
          <w:rFonts w:ascii="Calibri" w:eastAsiaTheme="majorEastAsia" w:hAnsi="Calibri" w:cs="Calibri"/>
          <w:iCs/>
          <w:sz w:val="24"/>
        </w:rPr>
        <w:t>tonnes</w:t>
      </w:r>
      <w:r w:rsidRPr="002C277C">
        <w:rPr>
          <w:rFonts w:ascii="Calibri" w:eastAsiaTheme="majorEastAsia" w:hAnsi="Calibri" w:cs="Calibri"/>
          <w:iCs/>
          <w:sz w:val="24"/>
        </w:rPr>
        <w:t>)</w:t>
      </w:r>
      <w:r w:rsidR="003847D1">
        <w:rPr>
          <w:rFonts w:ascii="Calibri" w:eastAsiaTheme="majorEastAsia" w:hAnsi="Calibri" w:cs="Calibri"/>
          <w:iCs/>
          <w:sz w:val="24"/>
        </w:rPr>
        <w:t> ;</w:t>
      </w:r>
    </w:p>
    <w:p w14:paraId="3CC6E6D7" w14:textId="40637858"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proofErr w:type="spellStart"/>
      <w:r w:rsidRPr="002C277C">
        <w:rPr>
          <w:rFonts w:ascii="Calibri" w:eastAsiaTheme="majorEastAsia" w:hAnsi="Calibri" w:cs="Calibri"/>
          <w:iCs/>
          <w:sz w:val="24"/>
        </w:rPr>
        <w:t>Blanket</w:t>
      </w:r>
      <w:proofErr w:type="spellEnd"/>
      <w:r w:rsidRPr="002C277C">
        <w:rPr>
          <w:rFonts w:ascii="Calibri" w:eastAsiaTheme="majorEastAsia" w:hAnsi="Calibri" w:cs="Calibri"/>
          <w:iCs/>
          <w:sz w:val="24"/>
        </w:rPr>
        <w:t xml:space="preserve"> </w:t>
      </w:r>
      <w:proofErr w:type="spellStart"/>
      <w:r w:rsidRPr="002C277C">
        <w:rPr>
          <w:rFonts w:ascii="Calibri" w:eastAsiaTheme="majorEastAsia" w:hAnsi="Calibri" w:cs="Calibri"/>
          <w:iCs/>
          <w:sz w:val="24"/>
        </w:rPr>
        <w:t>Feeding</w:t>
      </w:r>
      <w:proofErr w:type="spellEnd"/>
      <w:r w:rsidRPr="002C277C">
        <w:rPr>
          <w:rFonts w:ascii="Calibri" w:eastAsiaTheme="majorEastAsia" w:hAnsi="Calibri" w:cs="Calibri"/>
          <w:iCs/>
          <w:sz w:val="24"/>
        </w:rPr>
        <w:t xml:space="preserve"> (22,5 </w:t>
      </w:r>
      <w:r w:rsidR="00FB7BFC">
        <w:rPr>
          <w:rFonts w:ascii="Calibri" w:eastAsiaTheme="majorEastAsia" w:hAnsi="Calibri" w:cs="Calibri"/>
          <w:iCs/>
          <w:sz w:val="24"/>
        </w:rPr>
        <w:t>tonnes</w:t>
      </w:r>
      <w:r w:rsidRPr="002C277C">
        <w:rPr>
          <w:rFonts w:ascii="Calibri" w:eastAsiaTheme="majorEastAsia" w:hAnsi="Calibri" w:cs="Calibri"/>
          <w:iCs/>
          <w:sz w:val="24"/>
        </w:rPr>
        <w:t>)</w:t>
      </w:r>
      <w:r w:rsidR="003847D1">
        <w:rPr>
          <w:rFonts w:ascii="Calibri" w:eastAsiaTheme="majorEastAsia" w:hAnsi="Calibri" w:cs="Calibri"/>
          <w:iCs/>
          <w:sz w:val="24"/>
        </w:rPr>
        <w:t> ;</w:t>
      </w:r>
    </w:p>
    <w:p w14:paraId="35929CF3" w14:textId="55244554"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 xml:space="preserve">Achats locaux (375 </w:t>
      </w:r>
      <w:r w:rsidR="00FB7BFC">
        <w:rPr>
          <w:rFonts w:ascii="Calibri" w:eastAsiaTheme="majorEastAsia" w:hAnsi="Calibri" w:cs="Calibri"/>
          <w:iCs/>
          <w:sz w:val="24"/>
        </w:rPr>
        <w:t>tonnes</w:t>
      </w:r>
      <w:r w:rsidRPr="002C277C">
        <w:rPr>
          <w:rFonts w:ascii="Calibri" w:eastAsiaTheme="majorEastAsia" w:hAnsi="Calibri" w:cs="Calibri"/>
          <w:iCs/>
          <w:sz w:val="24"/>
        </w:rPr>
        <w:t>)</w:t>
      </w:r>
      <w:r w:rsidR="003847D1">
        <w:rPr>
          <w:rFonts w:ascii="Calibri" w:eastAsiaTheme="majorEastAsia" w:hAnsi="Calibri" w:cs="Calibri"/>
          <w:iCs/>
          <w:sz w:val="24"/>
        </w:rPr>
        <w:t> ;</w:t>
      </w:r>
    </w:p>
    <w:p w14:paraId="549BDDC2" w14:textId="5834D145"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 xml:space="preserve">SNS DAO (27 000 </w:t>
      </w:r>
      <w:r w:rsidR="00FB7BFC">
        <w:rPr>
          <w:rFonts w:ascii="Calibri" w:eastAsiaTheme="majorEastAsia" w:hAnsi="Calibri" w:cs="Calibri"/>
          <w:iCs/>
          <w:sz w:val="24"/>
        </w:rPr>
        <w:t>tonnes</w:t>
      </w:r>
      <w:r w:rsidRPr="002C277C">
        <w:rPr>
          <w:rFonts w:ascii="Calibri" w:eastAsiaTheme="majorEastAsia" w:hAnsi="Calibri" w:cs="Calibri"/>
          <w:iCs/>
          <w:sz w:val="24"/>
        </w:rPr>
        <w:t>)</w:t>
      </w:r>
      <w:r w:rsidR="003847D1">
        <w:rPr>
          <w:rFonts w:ascii="Calibri" w:eastAsiaTheme="majorEastAsia" w:hAnsi="Calibri" w:cs="Calibri"/>
          <w:iCs/>
          <w:sz w:val="24"/>
        </w:rPr>
        <w:t> ;</w:t>
      </w:r>
    </w:p>
    <w:p w14:paraId="7A974040" w14:textId="0F4FD1ED" w:rsid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 xml:space="preserve">Appui aux cantines scolaires (21,6 </w:t>
      </w:r>
      <w:r w:rsidR="00FB7BFC">
        <w:rPr>
          <w:rFonts w:ascii="Calibri" w:eastAsiaTheme="majorEastAsia" w:hAnsi="Calibri" w:cs="Calibri"/>
          <w:iCs/>
          <w:sz w:val="24"/>
        </w:rPr>
        <w:t>tonnes</w:t>
      </w:r>
      <w:r w:rsidRPr="002C277C">
        <w:rPr>
          <w:rFonts w:ascii="Calibri" w:eastAsiaTheme="majorEastAsia" w:hAnsi="Calibri" w:cs="Calibri"/>
          <w:iCs/>
          <w:sz w:val="24"/>
        </w:rPr>
        <w:t>).</w:t>
      </w:r>
    </w:p>
    <w:p w14:paraId="4DC9AA14" w14:textId="77777777" w:rsidR="002C277C" w:rsidRPr="002C277C" w:rsidRDefault="002C277C" w:rsidP="00F12682">
      <w:pPr>
        <w:spacing w:after="120" w:line="276" w:lineRule="auto"/>
        <w:jc w:val="both"/>
        <w:rPr>
          <w:rFonts w:ascii="Calibri" w:eastAsiaTheme="majorEastAsia" w:hAnsi="Calibri" w:cs="Calibri"/>
          <w:iCs/>
          <w:sz w:val="24"/>
        </w:rPr>
      </w:pPr>
    </w:p>
    <w:p w14:paraId="1788E338" w14:textId="77777777" w:rsidR="002C277C" w:rsidRPr="002C277C" w:rsidRDefault="002C277C" w:rsidP="00F12682">
      <w:pPr>
        <w:pStyle w:val="Titre4"/>
        <w:rPr>
          <w:rFonts w:asciiTheme="minorHAnsi" w:hAnsiTheme="minorHAnsi" w:cstheme="minorHAnsi"/>
          <w:i w:val="0"/>
        </w:rPr>
      </w:pPr>
      <w:r w:rsidRPr="002C277C">
        <w:rPr>
          <w:rFonts w:asciiTheme="minorHAnsi" w:hAnsiTheme="minorHAnsi" w:cstheme="minorHAnsi"/>
          <w:i w:val="0"/>
        </w:rPr>
        <w:t>Synthèse et perspective</w:t>
      </w:r>
    </w:p>
    <w:p w14:paraId="79819A81" w14:textId="77777777" w:rsidR="002C277C" w:rsidRPr="002C277C" w:rsidRDefault="002C277C" w:rsidP="00F12682">
      <w:pPr>
        <w:spacing w:after="120" w:line="276" w:lineRule="auto"/>
        <w:jc w:val="both"/>
        <w:rPr>
          <w:rFonts w:ascii="Calibri" w:eastAsiaTheme="majorEastAsia" w:hAnsi="Calibri" w:cs="Calibri"/>
          <w:iCs/>
          <w:sz w:val="24"/>
        </w:rPr>
      </w:pPr>
      <w:r w:rsidRPr="002C277C">
        <w:rPr>
          <w:rFonts w:ascii="Calibri" w:eastAsiaTheme="majorEastAsia" w:hAnsi="Calibri" w:cs="Calibri"/>
          <w:iCs/>
          <w:sz w:val="24"/>
        </w:rPr>
        <w:t>En dépit de certaines contraintes, les dépenses effectuées par le DNPGCA en 2016 (grâce surtout au financement extérieur), ont permis de créer les conditions minima de travail aux agents et d’apporter une assistance aux populations en besoin.</w:t>
      </w:r>
    </w:p>
    <w:p w14:paraId="7C114BC8" w14:textId="04A97A03" w:rsidR="002C277C" w:rsidRPr="002C277C" w:rsidRDefault="002C277C" w:rsidP="00F12682">
      <w:pPr>
        <w:spacing w:after="120" w:line="276" w:lineRule="auto"/>
        <w:jc w:val="both"/>
        <w:rPr>
          <w:rFonts w:ascii="Calibri" w:eastAsiaTheme="majorEastAsia" w:hAnsi="Calibri" w:cs="Calibri"/>
          <w:iCs/>
          <w:sz w:val="24"/>
        </w:rPr>
      </w:pPr>
      <w:r w:rsidRPr="002C277C">
        <w:rPr>
          <w:rFonts w:ascii="Calibri" w:eastAsiaTheme="majorEastAsia" w:hAnsi="Calibri" w:cs="Calibri"/>
          <w:iCs/>
          <w:sz w:val="24"/>
        </w:rPr>
        <w:t xml:space="preserve">Toutefois, certains points méritent d’être suivis afin de permettre au </w:t>
      </w:r>
      <w:r w:rsidR="00FB7BFC">
        <w:rPr>
          <w:rFonts w:ascii="Calibri" w:eastAsiaTheme="majorEastAsia" w:hAnsi="Calibri" w:cs="Calibri"/>
          <w:iCs/>
          <w:sz w:val="24"/>
        </w:rPr>
        <w:t>DNPGCA</w:t>
      </w:r>
      <w:r w:rsidRPr="002C277C">
        <w:rPr>
          <w:rFonts w:ascii="Calibri" w:eastAsiaTheme="majorEastAsia" w:hAnsi="Calibri" w:cs="Calibri"/>
          <w:iCs/>
          <w:sz w:val="24"/>
        </w:rPr>
        <w:t xml:space="preserve"> de conduire à bien sa mission.  Il s’agit de : </w:t>
      </w:r>
    </w:p>
    <w:p w14:paraId="3E9540DA" w14:textId="24D62809"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la multitude de procédures presque chaque PTF a ses modalités d’exécution des dépenses ;</w:t>
      </w:r>
    </w:p>
    <w:p w14:paraId="7EE5B525" w14:textId="27FE380D"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la libération tardive des crédits des périodes pour lesquelles ils se rapportent ;</w:t>
      </w:r>
    </w:p>
    <w:p w14:paraId="4D63575C" w14:textId="77777777" w:rsidR="002C277C" w:rsidRPr="002C277C" w:rsidRDefault="002C277C" w:rsidP="00F12682">
      <w:pPr>
        <w:pStyle w:val="Paragraphedeliste"/>
        <w:numPr>
          <w:ilvl w:val="0"/>
          <w:numId w:val="27"/>
        </w:numPr>
        <w:spacing w:after="120" w:line="276" w:lineRule="auto"/>
        <w:ind w:left="567" w:hanging="210"/>
        <w:contextualSpacing w:val="0"/>
        <w:jc w:val="both"/>
        <w:rPr>
          <w:rFonts w:ascii="Calibri" w:eastAsiaTheme="majorEastAsia" w:hAnsi="Calibri" w:cs="Calibri"/>
          <w:iCs/>
          <w:sz w:val="24"/>
        </w:rPr>
      </w:pPr>
      <w:r w:rsidRPr="002C277C">
        <w:rPr>
          <w:rFonts w:ascii="Calibri" w:eastAsiaTheme="majorEastAsia" w:hAnsi="Calibri" w:cs="Calibri"/>
          <w:iCs/>
          <w:sz w:val="24"/>
        </w:rPr>
        <w:t>la coupe des crédits lors de la loi de finances rectificative le gel des crédits du quatrième trimestre.</w:t>
      </w:r>
    </w:p>
    <w:p w14:paraId="61A9A742" w14:textId="77777777" w:rsidR="002C277C" w:rsidRDefault="002C277C" w:rsidP="00F12682">
      <w:pPr>
        <w:spacing w:after="120" w:line="276" w:lineRule="auto"/>
        <w:jc w:val="both"/>
        <w:rPr>
          <w:rFonts w:ascii="Calibri" w:eastAsiaTheme="majorEastAsia" w:hAnsi="Calibri" w:cs="Calibri"/>
          <w:iCs/>
          <w:sz w:val="24"/>
        </w:rPr>
      </w:pPr>
    </w:p>
    <w:p w14:paraId="4482897C" w14:textId="77777777" w:rsidR="002C277C" w:rsidRPr="007F358B" w:rsidRDefault="002C277C" w:rsidP="00F12682">
      <w:pPr>
        <w:spacing w:after="120" w:line="276" w:lineRule="auto"/>
        <w:jc w:val="both"/>
        <w:rPr>
          <w:rFonts w:ascii="Calibri" w:eastAsiaTheme="majorEastAsia" w:hAnsi="Calibri" w:cs="Calibri"/>
          <w:iCs/>
          <w:sz w:val="24"/>
        </w:rPr>
      </w:pPr>
    </w:p>
    <w:p w14:paraId="25E79599" w14:textId="552B87E7" w:rsidR="007F358B" w:rsidRPr="004A5122" w:rsidRDefault="007F358B" w:rsidP="00F12682">
      <w:pPr>
        <w:pStyle w:val="Titre2"/>
        <w:numPr>
          <w:ilvl w:val="1"/>
          <w:numId w:val="22"/>
        </w:numPr>
        <w:rPr>
          <w:rFonts w:asciiTheme="minorHAnsi" w:hAnsiTheme="minorHAnsi" w:cstheme="minorHAnsi"/>
        </w:rPr>
      </w:pPr>
      <w:bookmarkStart w:id="190" w:name="_Toc529305047"/>
      <w:r w:rsidRPr="007F358B">
        <w:rPr>
          <w:rFonts w:asciiTheme="minorHAnsi" w:hAnsiTheme="minorHAnsi" w:cstheme="minorHAnsi"/>
        </w:rPr>
        <w:t>Ministère des Actions humanitaires et de la Gestion des Catastrophes (MAH/GC)</w:t>
      </w:r>
      <w:bookmarkEnd w:id="190"/>
    </w:p>
    <w:p w14:paraId="4062C5A8"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l’efficacité des dépe</w:t>
      </w:r>
      <w:r>
        <w:rPr>
          <w:rFonts w:asciiTheme="minorHAnsi" w:hAnsiTheme="minorHAnsi" w:cstheme="minorHAnsi"/>
        </w:rPr>
        <w:t>nses de fonctionnement</w:t>
      </w:r>
    </w:p>
    <w:p w14:paraId="4B6EAD92" w14:textId="77777777" w:rsidR="006513D6" w:rsidRPr="006513D6" w:rsidRDefault="006513D6" w:rsidP="00F12682">
      <w:pPr>
        <w:spacing w:after="120" w:line="276" w:lineRule="auto"/>
        <w:jc w:val="both"/>
        <w:rPr>
          <w:rFonts w:ascii="Calibri" w:eastAsiaTheme="majorEastAsia" w:hAnsi="Calibri" w:cs="Calibri"/>
          <w:iCs/>
          <w:sz w:val="24"/>
        </w:rPr>
      </w:pPr>
      <w:r w:rsidRPr="006513D6">
        <w:rPr>
          <w:rFonts w:ascii="Calibri" w:eastAsiaTheme="majorEastAsia" w:hAnsi="Calibri" w:cs="Calibri"/>
          <w:iCs/>
          <w:sz w:val="24"/>
        </w:rPr>
        <w:t>Pendant la période concernée par la revue, le MAH/GC venait d’être créé, et n’a bénéficié que d’une ligne budgétaire inscrite au budget. Grâce au montant ainsi mis à sa disposition, le MAH/GC a pu :</w:t>
      </w:r>
    </w:p>
    <w:p w14:paraId="7005A14A" w14:textId="77777777"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assurer le fonctionnement des services à travers des achats de diverses fournitures et accessoires ;</w:t>
      </w:r>
    </w:p>
    <w:p w14:paraId="23097943" w14:textId="77777777"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effectuer des missions d’intervention d’urgence pour réconforter et apporter assistance aux populations qui s’étaient retrouvées en situation de catastrophes ;</w:t>
      </w:r>
    </w:p>
    <w:p w14:paraId="3D7DD00A" w14:textId="77777777"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doter le MAH/GC en consommables informatiques ;</w:t>
      </w:r>
    </w:p>
    <w:p w14:paraId="1EA2DB2A" w14:textId="3C7073F8"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effectuer des mission</w:t>
      </w:r>
      <w:r w:rsidR="003847D1">
        <w:rPr>
          <w:rFonts w:ascii="Calibri" w:eastAsiaTheme="majorEastAsia" w:hAnsi="Calibri" w:cs="Calibri"/>
          <w:iCs/>
          <w:sz w:val="24"/>
        </w:rPr>
        <w:t>s à l’étranger dans le cadre de ses attributions.</w:t>
      </w:r>
    </w:p>
    <w:p w14:paraId="5C9127A7" w14:textId="77777777" w:rsidR="007F358B" w:rsidRPr="00673E94" w:rsidRDefault="007F358B" w:rsidP="00F12682">
      <w:pPr>
        <w:spacing w:after="120" w:line="276" w:lineRule="auto"/>
        <w:jc w:val="both"/>
        <w:rPr>
          <w:rFonts w:ascii="Calibri" w:eastAsiaTheme="majorEastAsia" w:hAnsi="Calibri" w:cs="Calibri"/>
          <w:iCs/>
          <w:sz w:val="24"/>
        </w:rPr>
      </w:pPr>
    </w:p>
    <w:p w14:paraId="47AB2C66"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lastRenderedPageBreak/>
        <w:t>Analyse de l’efficacité des dépenses d’investissement</w:t>
      </w:r>
    </w:p>
    <w:p w14:paraId="00E3EA15" w14:textId="77777777" w:rsidR="006513D6" w:rsidRPr="006513D6" w:rsidRDefault="006513D6" w:rsidP="00F12682">
      <w:pPr>
        <w:spacing w:after="120" w:line="276" w:lineRule="auto"/>
        <w:jc w:val="both"/>
        <w:rPr>
          <w:rFonts w:ascii="Calibri" w:eastAsiaTheme="majorEastAsia" w:hAnsi="Calibri" w:cs="Calibri"/>
          <w:iCs/>
          <w:sz w:val="24"/>
        </w:rPr>
      </w:pPr>
      <w:r w:rsidRPr="006513D6">
        <w:rPr>
          <w:rFonts w:ascii="Calibri" w:eastAsiaTheme="majorEastAsia" w:hAnsi="Calibri" w:cs="Calibri"/>
          <w:iCs/>
          <w:sz w:val="24"/>
        </w:rPr>
        <w:t>A l’instar du point précédent, pour les investissements, en 2016, le MAH/GC n’a disposait que d’une seule rubrique. Ce qui a permis de réaliser principalement les dépenses :</w:t>
      </w:r>
    </w:p>
    <w:p w14:paraId="4297EAC4" w14:textId="3551F611"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d’achat de mobilier de bureau</w:t>
      </w:r>
      <w:r w:rsidR="003847D1">
        <w:rPr>
          <w:rFonts w:ascii="Calibri" w:eastAsiaTheme="majorEastAsia" w:hAnsi="Calibri" w:cs="Calibri"/>
          <w:iCs/>
          <w:sz w:val="24"/>
        </w:rPr>
        <w:t> ;</w:t>
      </w:r>
    </w:p>
    <w:p w14:paraId="59163174" w14:textId="1F82E481"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d</w:t>
      </w:r>
      <w:r w:rsidR="003847D1">
        <w:rPr>
          <w:rFonts w:ascii="Calibri" w:eastAsiaTheme="majorEastAsia" w:hAnsi="Calibri" w:cs="Calibri"/>
          <w:iCs/>
          <w:sz w:val="24"/>
        </w:rPr>
        <w:t>’achat de matériel informatique.</w:t>
      </w:r>
    </w:p>
    <w:p w14:paraId="33AB54D2"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des dépenses hors budget (projets/programmes)</w:t>
      </w:r>
    </w:p>
    <w:p w14:paraId="5497E1B8" w14:textId="77777777" w:rsidR="006513D6" w:rsidRDefault="006513D6" w:rsidP="00F12682">
      <w:pPr>
        <w:spacing w:after="120" w:line="276" w:lineRule="auto"/>
        <w:jc w:val="both"/>
        <w:rPr>
          <w:rFonts w:ascii="Calibri" w:eastAsiaTheme="majorEastAsia" w:hAnsi="Calibri" w:cs="Calibri"/>
          <w:iCs/>
          <w:sz w:val="24"/>
        </w:rPr>
      </w:pPr>
      <w:r w:rsidRPr="006513D6">
        <w:rPr>
          <w:rFonts w:ascii="Calibri" w:eastAsiaTheme="majorEastAsia" w:hAnsi="Calibri" w:cs="Calibri"/>
          <w:iCs/>
          <w:sz w:val="24"/>
        </w:rPr>
        <w:t>Au titre de l’année 2016, le MHA/GC n’a pas bénéficié d’appui financier dans le cadre de projets/programmes.</w:t>
      </w:r>
    </w:p>
    <w:p w14:paraId="7B84DD9C" w14:textId="77777777" w:rsidR="003847D1" w:rsidRPr="006513D6" w:rsidRDefault="003847D1" w:rsidP="00F12682">
      <w:pPr>
        <w:spacing w:after="120" w:line="276" w:lineRule="auto"/>
        <w:jc w:val="both"/>
        <w:rPr>
          <w:rFonts w:ascii="Calibri" w:eastAsiaTheme="majorEastAsia" w:hAnsi="Calibri" w:cs="Calibri"/>
          <w:iCs/>
          <w:sz w:val="24"/>
        </w:rPr>
      </w:pPr>
    </w:p>
    <w:p w14:paraId="4B79C7DB" w14:textId="77777777" w:rsidR="007F358B" w:rsidRDefault="007F358B" w:rsidP="00F12682">
      <w:pPr>
        <w:pStyle w:val="Titre4"/>
        <w:rPr>
          <w:rFonts w:asciiTheme="minorHAnsi" w:hAnsiTheme="minorHAnsi" w:cstheme="minorHAnsi"/>
          <w:i w:val="0"/>
        </w:rPr>
      </w:pPr>
      <w:r w:rsidRPr="004A5122">
        <w:rPr>
          <w:rFonts w:asciiTheme="minorHAnsi" w:hAnsiTheme="minorHAnsi" w:cstheme="minorHAnsi"/>
          <w:i w:val="0"/>
        </w:rPr>
        <w:t>Synthèse et perspective</w:t>
      </w:r>
    </w:p>
    <w:p w14:paraId="4105A74D" w14:textId="77777777" w:rsidR="006513D6" w:rsidRPr="006513D6" w:rsidRDefault="006513D6" w:rsidP="00F12682">
      <w:pPr>
        <w:spacing w:after="120" w:line="276" w:lineRule="auto"/>
        <w:jc w:val="both"/>
        <w:rPr>
          <w:rFonts w:ascii="Calibri" w:eastAsiaTheme="majorEastAsia" w:hAnsi="Calibri" w:cs="Calibri"/>
          <w:iCs/>
          <w:sz w:val="24"/>
        </w:rPr>
      </w:pPr>
      <w:r w:rsidRPr="006513D6">
        <w:rPr>
          <w:rFonts w:ascii="Calibri" w:eastAsiaTheme="majorEastAsia" w:hAnsi="Calibri" w:cs="Calibri"/>
          <w:iCs/>
          <w:sz w:val="24"/>
        </w:rPr>
        <w:t xml:space="preserve">Malgré quelques difficultés liées aux locaux et à la faiblesse des moyens, le MAH/GC quasiment consommés les ressources financières mises à sa disposition, bien que celles-ci soient minces. </w:t>
      </w:r>
    </w:p>
    <w:p w14:paraId="10F00646" w14:textId="77777777" w:rsidR="006513D6" w:rsidRPr="006513D6" w:rsidRDefault="006513D6" w:rsidP="00F12682">
      <w:pPr>
        <w:spacing w:after="120" w:line="276" w:lineRule="auto"/>
        <w:jc w:val="both"/>
        <w:rPr>
          <w:rFonts w:ascii="Calibri" w:eastAsiaTheme="majorEastAsia" w:hAnsi="Calibri" w:cs="Calibri"/>
          <w:iCs/>
          <w:sz w:val="24"/>
        </w:rPr>
      </w:pPr>
      <w:r w:rsidRPr="006513D6">
        <w:rPr>
          <w:rFonts w:ascii="Calibri" w:eastAsiaTheme="majorEastAsia" w:hAnsi="Calibri" w:cs="Calibri"/>
          <w:iCs/>
          <w:sz w:val="24"/>
        </w:rPr>
        <w:t>Le MAH/GC fonde l’espoir que :</w:t>
      </w:r>
    </w:p>
    <w:p w14:paraId="632D61FA" w14:textId="73B2B49D"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Un local approprié lui sera affecté</w:t>
      </w:r>
      <w:r w:rsidR="003847D1">
        <w:rPr>
          <w:rFonts w:ascii="Calibri" w:eastAsiaTheme="majorEastAsia" w:hAnsi="Calibri" w:cs="Calibri"/>
          <w:iCs/>
          <w:sz w:val="24"/>
        </w:rPr>
        <w:t> ;</w:t>
      </w:r>
    </w:p>
    <w:p w14:paraId="5F1496A6" w14:textId="2F0AB69C"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Les interférences d’autres structures seront arrêtées</w:t>
      </w:r>
      <w:r w:rsidR="003847D1">
        <w:rPr>
          <w:rFonts w:ascii="Calibri" w:eastAsiaTheme="majorEastAsia" w:hAnsi="Calibri" w:cs="Calibri"/>
          <w:iCs/>
          <w:sz w:val="24"/>
        </w:rPr>
        <w:t> ;</w:t>
      </w:r>
    </w:p>
    <w:p w14:paraId="33E44E8C" w14:textId="2C17AB88"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Des ressources humaines lui seront allouées</w:t>
      </w:r>
      <w:r w:rsidR="003847D1">
        <w:rPr>
          <w:rFonts w:ascii="Calibri" w:eastAsiaTheme="majorEastAsia" w:hAnsi="Calibri" w:cs="Calibri"/>
          <w:iCs/>
          <w:sz w:val="24"/>
        </w:rPr>
        <w:t> ;</w:t>
      </w:r>
    </w:p>
    <w:p w14:paraId="58A62E72" w14:textId="106BC3D2" w:rsidR="006513D6" w:rsidRPr="006513D6" w:rsidRDefault="006513D6"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6513D6">
        <w:rPr>
          <w:rFonts w:ascii="Calibri" w:eastAsiaTheme="majorEastAsia" w:hAnsi="Calibri" w:cs="Calibri"/>
          <w:iCs/>
          <w:sz w:val="24"/>
        </w:rPr>
        <w:t>Des ressources financières con</w:t>
      </w:r>
      <w:r w:rsidR="003847D1">
        <w:rPr>
          <w:rFonts w:ascii="Calibri" w:eastAsiaTheme="majorEastAsia" w:hAnsi="Calibri" w:cs="Calibri"/>
          <w:iCs/>
          <w:sz w:val="24"/>
        </w:rPr>
        <w:t>séquentes lui seront octroyées.</w:t>
      </w:r>
    </w:p>
    <w:p w14:paraId="7A50A03B" w14:textId="77777777" w:rsidR="006513D6" w:rsidRPr="006513D6" w:rsidRDefault="006513D6" w:rsidP="00F12682">
      <w:pPr>
        <w:spacing w:after="120" w:line="276" w:lineRule="auto"/>
        <w:jc w:val="both"/>
        <w:rPr>
          <w:rFonts w:ascii="Calibri" w:eastAsiaTheme="majorEastAsia" w:hAnsi="Calibri" w:cs="Calibri"/>
          <w:iCs/>
          <w:sz w:val="24"/>
        </w:rPr>
      </w:pPr>
    </w:p>
    <w:p w14:paraId="1AE942F3" w14:textId="75DA6728" w:rsidR="007F358B" w:rsidRPr="004A5122" w:rsidRDefault="007F358B" w:rsidP="00F12682">
      <w:pPr>
        <w:pStyle w:val="Titre2"/>
        <w:numPr>
          <w:ilvl w:val="1"/>
          <w:numId w:val="22"/>
        </w:numPr>
        <w:rPr>
          <w:rFonts w:asciiTheme="minorHAnsi" w:hAnsiTheme="minorHAnsi" w:cstheme="minorHAnsi"/>
        </w:rPr>
      </w:pPr>
      <w:bookmarkStart w:id="191" w:name="_Toc529305048"/>
      <w:r>
        <w:rPr>
          <w:rFonts w:asciiTheme="minorHAnsi" w:hAnsiTheme="minorHAnsi" w:cstheme="minorHAnsi"/>
        </w:rPr>
        <w:t xml:space="preserve">Direction de la </w:t>
      </w:r>
      <w:r w:rsidRPr="004A5122">
        <w:rPr>
          <w:rFonts w:asciiTheme="minorHAnsi" w:hAnsiTheme="minorHAnsi" w:cstheme="minorHAnsi"/>
        </w:rPr>
        <w:t>Nutrition</w:t>
      </w:r>
      <w:r>
        <w:rPr>
          <w:rFonts w:asciiTheme="minorHAnsi" w:hAnsiTheme="minorHAnsi" w:cstheme="minorHAnsi"/>
        </w:rPr>
        <w:t xml:space="preserve"> du Ministère de la Santé Publique</w:t>
      </w:r>
      <w:r w:rsidR="00A35E93">
        <w:rPr>
          <w:rFonts w:asciiTheme="minorHAnsi" w:hAnsiTheme="minorHAnsi" w:cstheme="minorHAnsi"/>
        </w:rPr>
        <w:t xml:space="preserve"> (DN/MSP)</w:t>
      </w:r>
      <w:bookmarkEnd w:id="191"/>
    </w:p>
    <w:p w14:paraId="01BA2DC9"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l’efficacité des dépe</w:t>
      </w:r>
      <w:r>
        <w:rPr>
          <w:rFonts w:asciiTheme="minorHAnsi" w:hAnsiTheme="minorHAnsi" w:cstheme="minorHAnsi"/>
        </w:rPr>
        <w:t>nses de fonctionnement</w:t>
      </w:r>
    </w:p>
    <w:p w14:paraId="569D3179" w14:textId="2F237632" w:rsidR="00765789" w:rsidRPr="00765789" w:rsidRDefault="00765789" w:rsidP="00F12682">
      <w:pPr>
        <w:spacing w:after="120" w:line="276" w:lineRule="auto"/>
        <w:jc w:val="both"/>
        <w:rPr>
          <w:rFonts w:ascii="Calibri" w:eastAsiaTheme="majorEastAsia" w:hAnsi="Calibri" w:cs="Calibri"/>
          <w:iCs/>
          <w:sz w:val="24"/>
        </w:rPr>
      </w:pPr>
      <w:r w:rsidRPr="00765789">
        <w:rPr>
          <w:rFonts w:ascii="Calibri" w:eastAsiaTheme="majorEastAsia" w:hAnsi="Calibri" w:cs="Calibri"/>
          <w:iCs/>
          <w:sz w:val="24"/>
        </w:rPr>
        <w:t>En 2016, grâce au financement exclusif de l’Etat, la D</w:t>
      </w:r>
      <w:r w:rsidR="00FB7BFC">
        <w:rPr>
          <w:rFonts w:ascii="Calibri" w:eastAsiaTheme="majorEastAsia" w:hAnsi="Calibri" w:cs="Calibri"/>
          <w:iCs/>
          <w:sz w:val="24"/>
        </w:rPr>
        <w:t xml:space="preserve">irection de la </w:t>
      </w:r>
      <w:r w:rsidRPr="00765789">
        <w:rPr>
          <w:rFonts w:ascii="Calibri" w:eastAsiaTheme="majorEastAsia" w:hAnsi="Calibri" w:cs="Calibri"/>
          <w:iCs/>
          <w:sz w:val="24"/>
        </w:rPr>
        <w:t>N</w:t>
      </w:r>
      <w:r w:rsidR="00FB7BFC">
        <w:rPr>
          <w:rFonts w:ascii="Calibri" w:eastAsiaTheme="majorEastAsia" w:hAnsi="Calibri" w:cs="Calibri"/>
          <w:iCs/>
          <w:sz w:val="24"/>
        </w:rPr>
        <w:t>utrition</w:t>
      </w:r>
      <w:r w:rsidRPr="00765789">
        <w:rPr>
          <w:rFonts w:ascii="Calibri" w:eastAsiaTheme="majorEastAsia" w:hAnsi="Calibri" w:cs="Calibri"/>
          <w:iCs/>
          <w:sz w:val="24"/>
        </w:rPr>
        <w:t xml:space="preserve"> a pu conduire les activités suivantes :  </w:t>
      </w:r>
    </w:p>
    <w:p w14:paraId="677FC473" w14:textId="74060F96" w:rsidR="00765789" w:rsidRPr="00765789" w:rsidRDefault="00765789"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765789">
        <w:rPr>
          <w:rFonts w:ascii="Calibri" w:eastAsiaTheme="majorEastAsia" w:hAnsi="Calibri" w:cs="Calibri"/>
          <w:iCs/>
          <w:sz w:val="24"/>
        </w:rPr>
        <w:t xml:space="preserve">Paiement des salaires des agents utilisés par la </w:t>
      </w:r>
      <w:r w:rsidR="003847D1" w:rsidRPr="00765789">
        <w:rPr>
          <w:rFonts w:ascii="Calibri" w:eastAsiaTheme="majorEastAsia" w:hAnsi="Calibri" w:cs="Calibri"/>
          <w:iCs/>
          <w:sz w:val="24"/>
        </w:rPr>
        <w:t>D</w:t>
      </w:r>
      <w:r w:rsidR="003847D1">
        <w:rPr>
          <w:rFonts w:ascii="Calibri" w:eastAsiaTheme="majorEastAsia" w:hAnsi="Calibri" w:cs="Calibri"/>
          <w:iCs/>
          <w:sz w:val="24"/>
        </w:rPr>
        <w:t xml:space="preserve">irection de la </w:t>
      </w:r>
      <w:r w:rsidR="003847D1" w:rsidRPr="00765789">
        <w:rPr>
          <w:rFonts w:ascii="Calibri" w:eastAsiaTheme="majorEastAsia" w:hAnsi="Calibri" w:cs="Calibri"/>
          <w:iCs/>
          <w:sz w:val="24"/>
        </w:rPr>
        <w:t>N</w:t>
      </w:r>
      <w:r w:rsidR="003847D1">
        <w:rPr>
          <w:rFonts w:ascii="Calibri" w:eastAsiaTheme="majorEastAsia" w:hAnsi="Calibri" w:cs="Calibri"/>
          <w:iCs/>
          <w:sz w:val="24"/>
        </w:rPr>
        <w:t>utrition</w:t>
      </w:r>
      <w:r w:rsidRPr="00765789">
        <w:rPr>
          <w:rFonts w:ascii="Calibri" w:eastAsiaTheme="majorEastAsia" w:hAnsi="Calibri" w:cs="Calibri"/>
          <w:iCs/>
          <w:sz w:val="24"/>
        </w:rPr>
        <w:t> ;</w:t>
      </w:r>
    </w:p>
    <w:p w14:paraId="2BA05349" w14:textId="36CAA315" w:rsidR="00765789" w:rsidRPr="00765789" w:rsidRDefault="00765789"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sidRPr="00765789">
        <w:rPr>
          <w:rFonts w:ascii="Calibri" w:eastAsiaTheme="majorEastAsia" w:hAnsi="Calibri" w:cs="Calibri"/>
          <w:iCs/>
          <w:sz w:val="24"/>
        </w:rPr>
        <w:t xml:space="preserve">Assurer les dépenses de fonctionnement de la </w:t>
      </w:r>
      <w:r w:rsidR="003847D1" w:rsidRPr="00765789">
        <w:rPr>
          <w:rFonts w:ascii="Calibri" w:eastAsiaTheme="majorEastAsia" w:hAnsi="Calibri" w:cs="Calibri"/>
          <w:iCs/>
          <w:sz w:val="24"/>
        </w:rPr>
        <w:t>D</w:t>
      </w:r>
      <w:r w:rsidR="003847D1">
        <w:rPr>
          <w:rFonts w:ascii="Calibri" w:eastAsiaTheme="majorEastAsia" w:hAnsi="Calibri" w:cs="Calibri"/>
          <w:iCs/>
          <w:sz w:val="24"/>
        </w:rPr>
        <w:t xml:space="preserve">irection de la </w:t>
      </w:r>
      <w:r w:rsidR="003847D1" w:rsidRPr="00765789">
        <w:rPr>
          <w:rFonts w:ascii="Calibri" w:eastAsiaTheme="majorEastAsia" w:hAnsi="Calibri" w:cs="Calibri"/>
          <w:iCs/>
          <w:sz w:val="24"/>
        </w:rPr>
        <w:t>N</w:t>
      </w:r>
      <w:r w:rsidR="003847D1">
        <w:rPr>
          <w:rFonts w:ascii="Calibri" w:eastAsiaTheme="majorEastAsia" w:hAnsi="Calibri" w:cs="Calibri"/>
          <w:iCs/>
          <w:sz w:val="24"/>
        </w:rPr>
        <w:t>utrition</w:t>
      </w:r>
      <w:r w:rsidRPr="00765789">
        <w:rPr>
          <w:rFonts w:ascii="Calibri" w:eastAsiaTheme="majorEastAsia" w:hAnsi="Calibri" w:cs="Calibri"/>
          <w:iCs/>
          <w:sz w:val="24"/>
        </w:rPr>
        <w:t> ;</w:t>
      </w:r>
    </w:p>
    <w:p w14:paraId="40A7D363" w14:textId="46B0DCDF" w:rsidR="00765789" w:rsidRPr="00765789" w:rsidRDefault="00FB7BFC" w:rsidP="00F12682">
      <w:pPr>
        <w:pStyle w:val="Paragraphedeliste"/>
        <w:numPr>
          <w:ilvl w:val="0"/>
          <w:numId w:val="33"/>
        </w:numPr>
        <w:spacing w:after="120" w:line="276" w:lineRule="auto"/>
        <w:ind w:left="567" w:hanging="210"/>
        <w:contextualSpacing w:val="0"/>
        <w:jc w:val="both"/>
        <w:rPr>
          <w:rFonts w:ascii="Calibri" w:eastAsiaTheme="majorEastAsia" w:hAnsi="Calibri" w:cs="Calibri"/>
          <w:iCs/>
          <w:sz w:val="24"/>
        </w:rPr>
      </w:pPr>
      <w:r>
        <w:rPr>
          <w:rFonts w:ascii="Calibri" w:eastAsiaTheme="majorEastAsia" w:hAnsi="Calibri" w:cs="Calibri"/>
          <w:iCs/>
          <w:sz w:val="24"/>
        </w:rPr>
        <w:t xml:space="preserve">Acheter </w:t>
      </w:r>
      <w:r w:rsidR="00765789" w:rsidRPr="00765789">
        <w:rPr>
          <w:rFonts w:ascii="Calibri" w:eastAsiaTheme="majorEastAsia" w:hAnsi="Calibri" w:cs="Calibri"/>
          <w:iCs/>
          <w:sz w:val="24"/>
        </w:rPr>
        <w:t>et mettre en place les aliments thérapeutiques : ayant permis d’apporter les nutriments nécessaires aux enfants malnutris enregistrés sur l’e</w:t>
      </w:r>
      <w:r>
        <w:rPr>
          <w:rFonts w:ascii="Calibri" w:eastAsiaTheme="majorEastAsia" w:hAnsi="Calibri" w:cs="Calibri"/>
          <w:iCs/>
          <w:sz w:val="24"/>
        </w:rPr>
        <w:t>nsemble du territoire national.</w:t>
      </w:r>
    </w:p>
    <w:p w14:paraId="799A290B" w14:textId="77777777" w:rsidR="007F358B" w:rsidRPr="00673E94" w:rsidRDefault="007F358B" w:rsidP="00F12682">
      <w:pPr>
        <w:spacing w:after="120" w:line="276" w:lineRule="auto"/>
        <w:jc w:val="both"/>
        <w:rPr>
          <w:rFonts w:ascii="Calibri" w:eastAsiaTheme="majorEastAsia" w:hAnsi="Calibri" w:cs="Calibri"/>
          <w:iCs/>
          <w:sz w:val="24"/>
        </w:rPr>
      </w:pPr>
    </w:p>
    <w:p w14:paraId="2A25819C"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t>Analyse de l’efficacité des dépenses d’investissement</w:t>
      </w:r>
    </w:p>
    <w:p w14:paraId="5BEE6CC8" w14:textId="08511846" w:rsidR="007F358B" w:rsidRPr="00673E94" w:rsidRDefault="00765789" w:rsidP="00F12682">
      <w:pPr>
        <w:spacing w:after="120" w:line="276" w:lineRule="auto"/>
        <w:jc w:val="both"/>
        <w:rPr>
          <w:rFonts w:ascii="Calibri" w:eastAsiaTheme="majorEastAsia" w:hAnsi="Calibri" w:cs="Calibri"/>
          <w:iCs/>
          <w:sz w:val="24"/>
        </w:rPr>
      </w:pPr>
      <w:r w:rsidRPr="00765789">
        <w:rPr>
          <w:rFonts w:ascii="Calibri" w:eastAsiaTheme="majorEastAsia" w:hAnsi="Calibri" w:cs="Calibri"/>
          <w:iCs/>
          <w:sz w:val="24"/>
        </w:rPr>
        <w:t xml:space="preserve">En 2016, la </w:t>
      </w:r>
      <w:r w:rsidR="003847D1" w:rsidRPr="00765789">
        <w:rPr>
          <w:rFonts w:ascii="Calibri" w:eastAsiaTheme="majorEastAsia" w:hAnsi="Calibri" w:cs="Calibri"/>
          <w:iCs/>
          <w:sz w:val="24"/>
        </w:rPr>
        <w:t>D</w:t>
      </w:r>
      <w:r w:rsidR="003847D1">
        <w:rPr>
          <w:rFonts w:ascii="Calibri" w:eastAsiaTheme="majorEastAsia" w:hAnsi="Calibri" w:cs="Calibri"/>
          <w:iCs/>
          <w:sz w:val="24"/>
        </w:rPr>
        <w:t xml:space="preserve">irection de la </w:t>
      </w:r>
      <w:r w:rsidR="003847D1" w:rsidRPr="00765789">
        <w:rPr>
          <w:rFonts w:ascii="Calibri" w:eastAsiaTheme="majorEastAsia" w:hAnsi="Calibri" w:cs="Calibri"/>
          <w:iCs/>
          <w:sz w:val="24"/>
        </w:rPr>
        <w:t>N</w:t>
      </w:r>
      <w:r w:rsidR="003847D1">
        <w:rPr>
          <w:rFonts w:ascii="Calibri" w:eastAsiaTheme="majorEastAsia" w:hAnsi="Calibri" w:cs="Calibri"/>
          <w:iCs/>
          <w:sz w:val="24"/>
        </w:rPr>
        <w:t>utrition</w:t>
      </w:r>
      <w:r w:rsidR="003847D1" w:rsidRPr="00765789">
        <w:rPr>
          <w:rFonts w:ascii="Calibri" w:eastAsiaTheme="majorEastAsia" w:hAnsi="Calibri" w:cs="Calibri"/>
          <w:iCs/>
          <w:sz w:val="24"/>
        </w:rPr>
        <w:t xml:space="preserve"> </w:t>
      </w:r>
      <w:r w:rsidRPr="00765789">
        <w:rPr>
          <w:rFonts w:ascii="Calibri" w:eastAsiaTheme="majorEastAsia" w:hAnsi="Calibri" w:cs="Calibri"/>
          <w:iCs/>
          <w:sz w:val="24"/>
        </w:rPr>
        <w:t>a pu se doter de deux (2) véhicules de supervision grâce au financement de l’UNICEF</w:t>
      </w:r>
      <w:r>
        <w:rPr>
          <w:rFonts w:ascii="Calibri" w:eastAsiaTheme="majorEastAsia" w:hAnsi="Calibri" w:cs="Calibri"/>
          <w:iCs/>
          <w:sz w:val="24"/>
        </w:rPr>
        <w:t>.</w:t>
      </w:r>
    </w:p>
    <w:p w14:paraId="64D01BAE" w14:textId="77777777" w:rsidR="007F358B" w:rsidRPr="00673E94" w:rsidRDefault="007F358B" w:rsidP="00F12682">
      <w:pPr>
        <w:spacing w:after="120" w:line="276" w:lineRule="auto"/>
        <w:jc w:val="both"/>
        <w:rPr>
          <w:rFonts w:ascii="Calibri" w:eastAsiaTheme="majorEastAsia" w:hAnsi="Calibri" w:cs="Calibri"/>
          <w:iCs/>
          <w:sz w:val="24"/>
        </w:rPr>
      </w:pPr>
    </w:p>
    <w:p w14:paraId="1EC2D90D" w14:textId="77777777" w:rsidR="007F358B" w:rsidRDefault="007F358B" w:rsidP="00F12682">
      <w:pPr>
        <w:pStyle w:val="Titre4"/>
        <w:rPr>
          <w:rFonts w:asciiTheme="minorHAnsi" w:hAnsiTheme="minorHAnsi" w:cstheme="minorHAnsi"/>
        </w:rPr>
      </w:pPr>
      <w:r w:rsidRPr="004A5122">
        <w:rPr>
          <w:rFonts w:asciiTheme="minorHAnsi" w:hAnsiTheme="minorHAnsi" w:cstheme="minorHAnsi"/>
        </w:rPr>
        <w:lastRenderedPageBreak/>
        <w:t>Analyse des dépenses hors budget (projets/programmes)</w:t>
      </w:r>
    </w:p>
    <w:p w14:paraId="227BCD1D" w14:textId="34420562" w:rsidR="00765789" w:rsidRPr="00765789" w:rsidRDefault="00765789" w:rsidP="00F12682">
      <w:pPr>
        <w:spacing w:after="120" w:line="276" w:lineRule="auto"/>
        <w:jc w:val="both"/>
        <w:rPr>
          <w:rFonts w:ascii="Calibri" w:eastAsiaTheme="majorEastAsia" w:hAnsi="Calibri" w:cs="Calibri"/>
          <w:iCs/>
          <w:sz w:val="24"/>
        </w:rPr>
      </w:pPr>
      <w:r w:rsidRPr="00765789">
        <w:rPr>
          <w:rFonts w:ascii="Calibri" w:eastAsiaTheme="majorEastAsia" w:hAnsi="Calibri" w:cs="Calibri"/>
          <w:iCs/>
          <w:sz w:val="24"/>
        </w:rPr>
        <w:t xml:space="preserve">Grâce aux financements tous azimuts, la </w:t>
      </w:r>
      <w:r w:rsidR="003847D1" w:rsidRPr="00765789">
        <w:rPr>
          <w:rFonts w:ascii="Calibri" w:eastAsiaTheme="majorEastAsia" w:hAnsi="Calibri" w:cs="Calibri"/>
          <w:iCs/>
          <w:sz w:val="24"/>
        </w:rPr>
        <w:t>D</w:t>
      </w:r>
      <w:r w:rsidR="003847D1">
        <w:rPr>
          <w:rFonts w:ascii="Calibri" w:eastAsiaTheme="majorEastAsia" w:hAnsi="Calibri" w:cs="Calibri"/>
          <w:iCs/>
          <w:sz w:val="24"/>
        </w:rPr>
        <w:t xml:space="preserve">irection de la </w:t>
      </w:r>
      <w:r w:rsidR="003847D1" w:rsidRPr="00765789">
        <w:rPr>
          <w:rFonts w:ascii="Calibri" w:eastAsiaTheme="majorEastAsia" w:hAnsi="Calibri" w:cs="Calibri"/>
          <w:iCs/>
          <w:sz w:val="24"/>
        </w:rPr>
        <w:t>N</w:t>
      </w:r>
      <w:r w:rsidR="003847D1">
        <w:rPr>
          <w:rFonts w:ascii="Calibri" w:eastAsiaTheme="majorEastAsia" w:hAnsi="Calibri" w:cs="Calibri"/>
          <w:iCs/>
          <w:sz w:val="24"/>
        </w:rPr>
        <w:t>utrition</w:t>
      </w:r>
      <w:r w:rsidR="003847D1" w:rsidRPr="00765789">
        <w:rPr>
          <w:rFonts w:ascii="Calibri" w:eastAsiaTheme="majorEastAsia" w:hAnsi="Calibri" w:cs="Calibri"/>
          <w:iCs/>
          <w:sz w:val="24"/>
        </w:rPr>
        <w:t xml:space="preserve"> </w:t>
      </w:r>
      <w:r w:rsidRPr="00765789">
        <w:rPr>
          <w:rFonts w:ascii="Calibri" w:eastAsiaTheme="majorEastAsia" w:hAnsi="Calibri" w:cs="Calibri"/>
          <w:iCs/>
          <w:sz w:val="24"/>
        </w:rPr>
        <w:t xml:space="preserve">a pu conduire les activités suivantes :  </w:t>
      </w:r>
    </w:p>
    <w:p w14:paraId="0278888A" w14:textId="60BE65A8" w:rsidR="00765789" w:rsidRPr="00765789" w:rsidRDefault="001B6F2D" w:rsidP="00F12682">
      <w:pPr>
        <w:pStyle w:val="Paragraphedeliste"/>
        <w:numPr>
          <w:ilvl w:val="0"/>
          <w:numId w:val="33"/>
        </w:numPr>
        <w:spacing w:after="80" w:line="276" w:lineRule="auto"/>
        <w:ind w:left="426" w:right="-142" w:hanging="210"/>
        <w:contextualSpacing w:val="0"/>
        <w:jc w:val="both"/>
        <w:rPr>
          <w:rFonts w:ascii="Calibri" w:eastAsiaTheme="majorEastAsia" w:hAnsi="Calibri" w:cs="Calibri"/>
          <w:iCs/>
          <w:sz w:val="24"/>
        </w:rPr>
      </w:pPr>
      <w:r>
        <w:rPr>
          <w:rFonts w:ascii="Calibri" w:eastAsiaTheme="majorEastAsia" w:hAnsi="Calibri" w:cs="Calibri"/>
          <w:iCs/>
          <w:sz w:val="24"/>
        </w:rPr>
        <w:t xml:space="preserve">Acheter </w:t>
      </w:r>
      <w:r w:rsidR="00765789" w:rsidRPr="00765789">
        <w:rPr>
          <w:rFonts w:ascii="Calibri" w:eastAsiaTheme="majorEastAsia" w:hAnsi="Calibri" w:cs="Calibri"/>
          <w:iCs/>
          <w:sz w:val="24"/>
        </w:rPr>
        <w:t>et mettre en place les aliments  thérapeutiques : ayant permis d’apporter les nutriments nécessaires aux enfants malnutris enregistrés sur l’ensemble du territoire national ;</w:t>
      </w:r>
    </w:p>
    <w:p w14:paraId="651ABB2F" w14:textId="4F23E6C5" w:rsidR="00765789" w:rsidRPr="00765789" w:rsidRDefault="00765789" w:rsidP="00F12682">
      <w:pPr>
        <w:pStyle w:val="Paragraphedeliste"/>
        <w:numPr>
          <w:ilvl w:val="0"/>
          <w:numId w:val="33"/>
        </w:numPr>
        <w:spacing w:after="80" w:line="276" w:lineRule="auto"/>
        <w:ind w:left="426" w:right="-142" w:hanging="210"/>
        <w:contextualSpacing w:val="0"/>
        <w:jc w:val="both"/>
        <w:rPr>
          <w:rFonts w:ascii="Calibri" w:eastAsiaTheme="majorEastAsia" w:hAnsi="Calibri" w:cs="Calibri"/>
          <w:iCs/>
          <w:sz w:val="24"/>
        </w:rPr>
      </w:pPr>
      <w:r w:rsidRPr="00765789">
        <w:rPr>
          <w:rFonts w:ascii="Calibri" w:eastAsiaTheme="majorEastAsia" w:hAnsi="Calibri" w:cs="Calibri"/>
          <w:iCs/>
          <w:sz w:val="24"/>
        </w:rPr>
        <w:t>Appuyer l</w:t>
      </w:r>
      <w:r w:rsidR="00FB7BFC">
        <w:rPr>
          <w:rFonts w:ascii="Calibri" w:eastAsiaTheme="majorEastAsia" w:hAnsi="Calibri" w:cs="Calibri"/>
          <w:iCs/>
          <w:sz w:val="24"/>
        </w:rPr>
        <w:t>’</w:t>
      </w:r>
      <w:r w:rsidRPr="00765789">
        <w:rPr>
          <w:rFonts w:ascii="Calibri" w:eastAsiaTheme="majorEastAsia" w:hAnsi="Calibri" w:cs="Calibri"/>
          <w:iCs/>
          <w:sz w:val="24"/>
        </w:rPr>
        <w:t xml:space="preserve">organisation de 2 campagnes de supplémentation en vitamines A et déparasitage : qui servi à assister plusieurs enfants du pays ; </w:t>
      </w:r>
    </w:p>
    <w:p w14:paraId="4D8BE03E" w14:textId="088E8EA9" w:rsidR="00765789" w:rsidRPr="00765789" w:rsidRDefault="00765789" w:rsidP="00F12682">
      <w:pPr>
        <w:pStyle w:val="Paragraphedeliste"/>
        <w:numPr>
          <w:ilvl w:val="0"/>
          <w:numId w:val="33"/>
        </w:numPr>
        <w:spacing w:after="80" w:line="276" w:lineRule="auto"/>
        <w:ind w:left="426" w:right="-142" w:hanging="210"/>
        <w:contextualSpacing w:val="0"/>
        <w:jc w:val="both"/>
        <w:rPr>
          <w:rFonts w:ascii="Calibri" w:eastAsiaTheme="majorEastAsia" w:hAnsi="Calibri" w:cs="Calibri"/>
          <w:iCs/>
          <w:sz w:val="24"/>
        </w:rPr>
      </w:pPr>
      <w:r w:rsidRPr="00765789">
        <w:rPr>
          <w:rFonts w:ascii="Calibri" w:eastAsiaTheme="majorEastAsia" w:hAnsi="Calibri" w:cs="Calibri"/>
          <w:iCs/>
          <w:sz w:val="24"/>
        </w:rPr>
        <w:t>Célébrer la Semaine Mondiale d'Allaitement Maternel (SMAM)</w:t>
      </w:r>
      <w:r w:rsidR="003847D1">
        <w:rPr>
          <w:rFonts w:ascii="Calibri" w:eastAsiaTheme="majorEastAsia" w:hAnsi="Calibri" w:cs="Calibri"/>
          <w:iCs/>
          <w:sz w:val="24"/>
        </w:rPr>
        <w:t xml:space="preserve"> </w:t>
      </w:r>
      <w:r w:rsidRPr="00765789">
        <w:rPr>
          <w:rFonts w:ascii="Calibri" w:eastAsiaTheme="majorEastAsia" w:hAnsi="Calibri" w:cs="Calibri"/>
          <w:iCs/>
          <w:sz w:val="24"/>
        </w:rPr>
        <w:t>afin de faire mieux connaitre l’importance de l’AMA dans les différentes familles ;</w:t>
      </w:r>
    </w:p>
    <w:p w14:paraId="0A267B60" w14:textId="06BF9C03" w:rsidR="00765789" w:rsidRPr="00765789" w:rsidRDefault="00765789" w:rsidP="00F12682">
      <w:pPr>
        <w:pStyle w:val="Paragraphedeliste"/>
        <w:numPr>
          <w:ilvl w:val="0"/>
          <w:numId w:val="33"/>
        </w:numPr>
        <w:spacing w:after="80" w:line="276" w:lineRule="auto"/>
        <w:ind w:left="426" w:right="-142" w:hanging="210"/>
        <w:contextualSpacing w:val="0"/>
        <w:jc w:val="both"/>
        <w:rPr>
          <w:rFonts w:ascii="Calibri" w:eastAsiaTheme="majorEastAsia" w:hAnsi="Calibri" w:cs="Calibri"/>
          <w:iCs/>
          <w:sz w:val="24"/>
        </w:rPr>
      </w:pPr>
      <w:r w:rsidRPr="00765789">
        <w:rPr>
          <w:rFonts w:ascii="Calibri" w:eastAsiaTheme="majorEastAsia" w:hAnsi="Calibri" w:cs="Calibri"/>
          <w:iCs/>
          <w:sz w:val="24"/>
        </w:rPr>
        <w:t xml:space="preserve">Formations des cadres de la DN ainsi que des intervenants en la matière sur les différentes </w:t>
      </w:r>
      <w:r w:rsidR="003847D1">
        <w:rPr>
          <w:rFonts w:ascii="Calibri" w:eastAsiaTheme="majorEastAsia" w:hAnsi="Calibri" w:cs="Calibri"/>
          <w:iCs/>
          <w:sz w:val="24"/>
        </w:rPr>
        <w:t>thématiques sur la Nutrition ;</w:t>
      </w:r>
    </w:p>
    <w:p w14:paraId="0157C4FB" w14:textId="77777777" w:rsidR="00765789" w:rsidRPr="00765789" w:rsidRDefault="00765789" w:rsidP="00F12682">
      <w:pPr>
        <w:pStyle w:val="Paragraphedeliste"/>
        <w:numPr>
          <w:ilvl w:val="0"/>
          <w:numId w:val="33"/>
        </w:numPr>
        <w:spacing w:after="80" w:line="276" w:lineRule="auto"/>
        <w:ind w:left="426" w:right="-142" w:hanging="210"/>
        <w:contextualSpacing w:val="0"/>
        <w:jc w:val="both"/>
        <w:rPr>
          <w:rFonts w:ascii="Calibri" w:eastAsiaTheme="majorEastAsia" w:hAnsi="Calibri" w:cs="Calibri"/>
          <w:iCs/>
          <w:sz w:val="24"/>
        </w:rPr>
      </w:pPr>
      <w:r w:rsidRPr="00765789">
        <w:rPr>
          <w:rFonts w:ascii="Calibri" w:eastAsiaTheme="majorEastAsia" w:hAnsi="Calibri" w:cs="Calibri"/>
          <w:iCs/>
          <w:sz w:val="24"/>
        </w:rPr>
        <w:t>Organisations des supervisions tous azimuts pour s’enquérir de conditions d travail des cadres, du déroulement des activités et surtout d’apporter l’encadrement nécessaire en cas de besoin ;</w:t>
      </w:r>
    </w:p>
    <w:p w14:paraId="1F2C8004" w14:textId="0BD137D5" w:rsidR="00765789" w:rsidRPr="00765789" w:rsidRDefault="00765789" w:rsidP="00F12682">
      <w:pPr>
        <w:pStyle w:val="Paragraphedeliste"/>
        <w:numPr>
          <w:ilvl w:val="0"/>
          <w:numId w:val="33"/>
        </w:numPr>
        <w:spacing w:after="80" w:line="276" w:lineRule="auto"/>
        <w:ind w:left="426" w:right="-142" w:hanging="210"/>
        <w:contextualSpacing w:val="0"/>
        <w:jc w:val="both"/>
        <w:rPr>
          <w:rFonts w:ascii="Calibri" w:eastAsiaTheme="majorEastAsia" w:hAnsi="Calibri" w:cs="Calibri"/>
          <w:iCs/>
          <w:sz w:val="24"/>
        </w:rPr>
      </w:pPr>
      <w:r w:rsidRPr="00765789">
        <w:rPr>
          <w:rFonts w:ascii="Calibri" w:eastAsiaTheme="majorEastAsia" w:hAnsi="Calibri" w:cs="Calibri"/>
          <w:iCs/>
          <w:sz w:val="24"/>
        </w:rPr>
        <w:t>Reproduire les supports CREN afin de faciliter la collecte et l’archivage des données sur la Nutrition</w:t>
      </w:r>
      <w:r w:rsidR="003847D1">
        <w:rPr>
          <w:rFonts w:ascii="Calibri" w:eastAsiaTheme="majorEastAsia" w:hAnsi="Calibri" w:cs="Calibri"/>
          <w:iCs/>
          <w:sz w:val="24"/>
        </w:rPr>
        <w:t> ;</w:t>
      </w:r>
    </w:p>
    <w:p w14:paraId="0937E117" w14:textId="40C36F4F" w:rsidR="00765789" w:rsidRPr="00765789" w:rsidRDefault="00765789" w:rsidP="00F12682">
      <w:pPr>
        <w:pStyle w:val="Paragraphedeliste"/>
        <w:numPr>
          <w:ilvl w:val="0"/>
          <w:numId w:val="33"/>
        </w:numPr>
        <w:spacing w:after="80" w:line="276" w:lineRule="auto"/>
        <w:ind w:left="426" w:right="-142" w:hanging="210"/>
        <w:contextualSpacing w:val="0"/>
        <w:jc w:val="both"/>
        <w:rPr>
          <w:rFonts w:ascii="Calibri" w:eastAsiaTheme="majorEastAsia" w:hAnsi="Calibri" w:cs="Calibri"/>
          <w:iCs/>
          <w:sz w:val="24"/>
        </w:rPr>
      </w:pPr>
      <w:r w:rsidRPr="00765789">
        <w:rPr>
          <w:rFonts w:ascii="Calibri" w:eastAsiaTheme="majorEastAsia" w:hAnsi="Calibri" w:cs="Calibri"/>
          <w:iCs/>
          <w:sz w:val="24"/>
        </w:rPr>
        <w:t>Organiser une réunion de coordinat</w:t>
      </w:r>
      <w:r w:rsidR="003847D1">
        <w:rPr>
          <w:rFonts w:ascii="Calibri" w:eastAsiaTheme="majorEastAsia" w:hAnsi="Calibri" w:cs="Calibri"/>
          <w:iCs/>
          <w:sz w:val="24"/>
        </w:rPr>
        <w:t>ion des activités de nutrition ;</w:t>
      </w:r>
    </w:p>
    <w:p w14:paraId="3FC2E0D9" w14:textId="77777777" w:rsidR="00765789" w:rsidRPr="00765789" w:rsidRDefault="00765789" w:rsidP="00F12682">
      <w:pPr>
        <w:pStyle w:val="Paragraphedeliste"/>
        <w:numPr>
          <w:ilvl w:val="0"/>
          <w:numId w:val="33"/>
        </w:numPr>
        <w:spacing w:after="80" w:line="276" w:lineRule="auto"/>
        <w:ind w:left="426" w:right="-142" w:hanging="210"/>
        <w:contextualSpacing w:val="0"/>
        <w:jc w:val="both"/>
        <w:rPr>
          <w:rFonts w:ascii="Calibri" w:eastAsiaTheme="majorEastAsia" w:hAnsi="Calibri" w:cs="Calibri"/>
          <w:iCs/>
          <w:sz w:val="24"/>
        </w:rPr>
      </w:pPr>
      <w:r w:rsidRPr="00765789">
        <w:rPr>
          <w:rFonts w:ascii="Calibri" w:eastAsiaTheme="majorEastAsia" w:hAnsi="Calibri" w:cs="Calibri"/>
          <w:iCs/>
          <w:sz w:val="24"/>
        </w:rPr>
        <w:t>Réviser et reproduire les outils du PEV pour tenir compte de l'intégration de la vitamine A.</w:t>
      </w:r>
    </w:p>
    <w:p w14:paraId="5C3EA41C" w14:textId="77777777" w:rsidR="007F358B" w:rsidRPr="00673E94" w:rsidRDefault="007F358B" w:rsidP="00F12682">
      <w:pPr>
        <w:spacing w:after="120" w:line="276" w:lineRule="auto"/>
        <w:jc w:val="both"/>
        <w:rPr>
          <w:rFonts w:ascii="Calibri" w:eastAsiaTheme="majorEastAsia" w:hAnsi="Calibri" w:cs="Calibri"/>
          <w:iCs/>
          <w:sz w:val="24"/>
        </w:rPr>
      </w:pPr>
    </w:p>
    <w:p w14:paraId="6A2ABDD5" w14:textId="77777777" w:rsidR="007F358B" w:rsidRDefault="007F358B" w:rsidP="00F12682">
      <w:pPr>
        <w:pStyle w:val="Titre4"/>
        <w:rPr>
          <w:rFonts w:asciiTheme="minorHAnsi" w:hAnsiTheme="minorHAnsi" w:cstheme="minorHAnsi"/>
          <w:i w:val="0"/>
        </w:rPr>
      </w:pPr>
      <w:r w:rsidRPr="004A5122">
        <w:rPr>
          <w:rFonts w:asciiTheme="minorHAnsi" w:hAnsiTheme="minorHAnsi" w:cstheme="minorHAnsi"/>
          <w:i w:val="0"/>
        </w:rPr>
        <w:t>Synthèse et perspective</w:t>
      </w:r>
    </w:p>
    <w:p w14:paraId="6972B3A9" w14:textId="0BA29D56" w:rsidR="00765789" w:rsidRPr="00765789" w:rsidRDefault="00765789" w:rsidP="00F12682">
      <w:pPr>
        <w:spacing w:after="120" w:line="276" w:lineRule="auto"/>
        <w:jc w:val="both"/>
        <w:rPr>
          <w:rFonts w:ascii="Calibri" w:eastAsiaTheme="majorEastAsia" w:hAnsi="Calibri" w:cs="Calibri"/>
          <w:iCs/>
          <w:sz w:val="24"/>
        </w:rPr>
      </w:pPr>
      <w:r w:rsidRPr="00765789">
        <w:rPr>
          <w:rFonts w:ascii="Calibri" w:eastAsiaTheme="majorEastAsia" w:hAnsi="Calibri" w:cs="Calibri"/>
          <w:iCs/>
          <w:sz w:val="24"/>
        </w:rPr>
        <w:t xml:space="preserve">Les dépenses effectuées par la </w:t>
      </w:r>
      <w:r w:rsidR="003847D1" w:rsidRPr="00765789">
        <w:rPr>
          <w:rFonts w:ascii="Calibri" w:eastAsiaTheme="majorEastAsia" w:hAnsi="Calibri" w:cs="Calibri"/>
          <w:iCs/>
          <w:sz w:val="24"/>
        </w:rPr>
        <w:t>D</w:t>
      </w:r>
      <w:r w:rsidR="003847D1">
        <w:rPr>
          <w:rFonts w:ascii="Calibri" w:eastAsiaTheme="majorEastAsia" w:hAnsi="Calibri" w:cs="Calibri"/>
          <w:iCs/>
          <w:sz w:val="24"/>
        </w:rPr>
        <w:t xml:space="preserve">irection de la </w:t>
      </w:r>
      <w:r w:rsidR="003847D1" w:rsidRPr="00765789">
        <w:rPr>
          <w:rFonts w:ascii="Calibri" w:eastAsiaTheme="majorEastAsia" w:hAnsi="Calibri" w:cs="Calibri"/>
          <w:iCs/>
          <w:sz w:val="24"/>
        </w:rPr>
        <w:t>N</w:t>
      </w:r>
      <w:r w:rsidR="003847D1">
        <w:rPr>
          <w:rFonts w:ascii="Calibri" w:eastAsiaTheme="majorEastAsia" w:hAnsi="Calibri" w:cs="Calibri"/>
          <w:iCs/>
          <w:sz w:val="24"/>
        </w:rPr>
        <w:t>utrition</w:t>
      </w:r>
      <w:r w:rsidR="003847D1" w:rsidRPr="00765789">
        <w:rPr>
          <w:rFonts w:ascii="Calibri" w:eastAsiaTheme="majorEastAsia" w:hAnsi="Calibri" w:cs="Calibri"/>
          <w:iCs/>
          <w:sz w:val="24"/>
        </w:rPr>
        <w:t xml:space="preserve"> </w:t>
      </w:r>
      <w:r w:rsidRPr="00765789">
        <w:rPr>
          <w:rFonts w:ascii="Calibri" w:eastAsiaTheme="majorEastAsia" w:hAnsi="Calibri" w:cs="Calibri"/>
          <w:iCs/>
          <w:sz w:val="24"/>
        </w:rPr>
        <w:t>ont permis de garantir plusieurs choses dans le cadre de l’amélioration des conditions de vie des enfants malnutris. Cette performance est due grâce au financement e l’Etat et de certains PT</w:t>
      </w:r>
      <w:r w:rsidR="003847D1">
        <w:rPr>
          <w:rFonts w:ascii="Calibri" w:eastAsiaTheme="majorEastAsia" w:hAnsi="Calibri" w:cs="Calibri"/>
          <w:iCs/>
          <w:sz w:val="24"/>
        </w:rPr>
        <w:t>F dont principalement l’UNICEF.</w:t>
      </w:r>
    </w:p>
    <w:p w14:paraId="0C2406B7" w14:textId="70635679" w:rsidR="007F358B" w:rsidRPr="00673E94" w:rsidRDefault="00765789" w:rsidP="00F12682">
      <w:pPr>
        <w:spacing w:after="120" w:line="276" w:lineRule="auto"/>
        <w:jc w:val="both"/>
        <w:rPr>
          <w:rFonts w:ascii="Calibri" w:eastAsiaTheme="majorEastAsia" w:hAnsi="Calibri" w:cs="Calibri"/>
          <w:iCs/>
          <w:sz w:val="24"/>
        </w:rPr>
      </w:pPr>
      <w:r w:rsidRPr="00765789">
        <w:rPr>
          <w:rFonts w:ascii="Calibri" w:eastAsiaTheme="majorEastAsia" w:hAnsi="Calibri" w:cs="Calibri"/>
          <w:iCs/>
          <w:sz w:val="24"/>
        </w:rPr>
        <w:t>Cette prouesse est également tributaire des mécanismes et outils mis en place par le MSP afin de renforcer  les capacités de ses cadres.</w:t>
      </w:r>
    </w:p>
    <w:p w14:paraId="5FC50F44" w14:textId="77777777" w:rsidR="007F358B" w:rsidRDefault="007F358B" w:rsidP="00F12682">
      <w:pPr>
        <w:rPr>
          <w:rFonts w:cstheme="minorHAnsi"/>
        </w:rPr>
      </w:pPr>
    </w:p>
    <w:p w14:paraId="6B6E2DD9" w14:textId="77777777" w:rsidR="00FB7BFC" w:rsidRPr="00D73A12" w:rsidRDefault="00FB7BFC" w:rsidP="00F12682">
      <w:pPr>
        <w:rPr>
          <w:rFonts w:cstheme="minorHAnsi"/>
        </w:rPr>
      </w:pPr>
    </w:p>
    <w:p w14:paraId="250CB3A0" w14:textId="1CFF0619" w:rsidR="005445F6" w:rsidRPr="004A5122" w:rsidRDefault="003D34E5" w:rsidP="00F12682">
      <w:pPr>
        <w:pStyle w:val="Titre2"/>
        <w:numPr>
          <w:ilvl w:val="1"/>
          <w:numId w:val="22"/>
        </w:numPr>
        <w:rPr>
          <w:rFonts w:asciiTheme="minorHAnsi" w:hAnsiTheme="minorHAnsi" w:cstheme="minorHAnsi"/>
        </w:rPr>
      </w:pPr>
      <w:bookmarkStart w:id="192" w:name="_Toc529305049"/>
      <w:r w:rsidRPr="003D34E5">
        <w:rPr>
          <w:rFonts w:asciiTheme="minorHAnsi" w:hAnsiTheme="minorHAnsi" w:cstheme="minorHAnsi"/>
        </w:rPr>
        <w:t>Haut-Commissariat à l’Initiative 3N (HC3N)</w:t>
      </w:r>
      <w:bookmarkEnd w:id="192"/>
    </w:p>
    <w:p w14:paraId="7BA2C749" w14:textId="53B35FA6" w:rsidR="00895CB2" w:rsidRDefault="00895CB2" w:rsidP="00F12682">
      <w:pPr>
        <w:pStyle w:val="Titre4"/>
        <w:rPr>
          <w:rFonts w:asciiTheme="minorHAnsi" w:hAnsiTheme="minorHAnsi" w:cstheme="minorHAnsi"/>
        </w:rPr>
      </w:pPr>
      <w:r w:rsidRPr="004A5122">
        <w:rPr>
          <w:rFonts w:asciiTheme="minorHAnsi" w:hAnsiTheme="minorHAnsi" w:cstheme="minorHAnsi"/>
        </w:rPr>
        <w:t>Analyse de l’efficacité</w:t>
      </w:r>
      <w:r w:rsidR="00673E94">
        <w:rPr>
          <w:rFonts w:asciiTheme="minorHAnsi" w:hAnsiTheme="minorHAnsi" w:cstheme="minorHAnsi"/>
        </w:rPr>
        <w:t xml:space="preserve"> des dépenses de fonctionnement</w:t>
      </w:r>
    </w:p>
    <w:p w14:paraId="274327E9" w14:textId="2BCF3057" w:rsidR="0071717A" w:rsidRDefault="00E05FF8" w:rsidP="00F12682">
      <w:pPr>
        <w:spacing w:after="120" w:line="276" w:lineRule="auto"/>
        <w:jc w:val="both"/>
        <w:rPr>
          <w:rFonts w:ascii="Calibri" w:eastAsiaTheme="majorEastAsia" w:hAnsi="Calibri" w:cs="Calibri"/>
          <w:iCs/>
          <w:sz w:val="24"/>
        </w:rPr>
      </w:pPr>
      <w:r w:rsidRPr="00FB7BFC">
        <w:rPr>
          <w:rFonts w:ascii="Calibri" w:eastAsiaTheme="majorEastAsia" w:hAnsi="Calibri" w:cs="Calibri"/>
          <w:iCs/>
          <w:sz w:val="24"/>
        </w:rPr>
        <w:t>Les dépenses de</w:t>
      </w:r>
      <w:r w:rsidR="00DD02D3">
        <w:rPr>
          <w:rFonts w:ascii="Calibri" w:eastAsiaTheme="majorEastAsia" w:hAnsi="Calibri" w:cs="Calibri"/>
          <w:iCs/>
          <w:sz w:val="24"/>
        </w:rPr>
        <w:t xml:space="preserve"> fonctionnement du HC</w:t>
      </w:r>
      <w:r w:rsidRPr="00FB7BFC">
        <w:rPr>
          <w:rFonts w:ascii="Calibri" w:eastAsiaTheme="majorEastAsia" w:hAnsi="Calibri" w:cs="Calibri"/>
          <w:iCs/>
          <w:sz w:val="24"/>
        </w:rPr>
        <w:t xml:space="preserve">3N exécutées à hauteur de 39% en 2016, </w:t>
      </w:r>
      <w:r w:rsidR="00F210E7" w:rsidRPr="00FB7BFC">
        <w:rPr>
          <w:rFonts w:ascii="Calibri" w:eastAsiaTheme="majorEastAsia" w:hAnsi="Calibri" w:cs="Calibri"/>
          <w:iCs/>
          <w:sz w:val="24"/>
        </w:rPr>
        <w:t xml:space="preserve">mais le niveau déconcentré </w:t>
      </w:r>
      <w:r w:rsidR="00B4190A" w:rsidRPr="00FB7BFC">
        <w:rPr>
          <w:rFonts w:ascii="Calibri" w:eastAsiaTheme="majorEastAsia" w:hAnsi="Calibri" w:cs="Calibri"/>
          <w:iCs/>
          <w:sz w:val="24"/>
        </w:rPr>
        <w:t>à un taux de consommation qui double presque le taux moyen.</w:t>
      </w:r>
      <w:r w:rsidR="00E21D56" w:rsidRPr="00FB7BFC">
        <w:rPr>
          <w:rFonts w:ascii="Calibri" w:eastAsiaTheme="majorEastAsia" w:hAnsi="Calibri" w:cs="Calibri"/>
          <w:iCs/>
          <w:sz w:val="24"/>
        </w:rPr>
        <w:t xml:space="preserve"> Au niveau central, le taux </w:t>
      </w:r>
      <w:r w:rsidR="002C3A30" w:rsidRPr="00FB7BFC">
        <w:rPr>
          <w:rFonts w:ascii="Calibri" w:eastAsiaTheme="majorEastAsia" w:hAnsi="Calibri" w:cs="Calibri"/>
          <w:iCs/>
          <w:sz w:val="24"/>
        </w:rPr>
        <w:t>de</w:t>
      </w:r>
      <w:r w:rsidR="00E21D56" w:rsidRPr="00FB7BFC">
        <w:rPr>
          <w:rFonts w:ascii="Calibri" w:eastAsiaTheme="majorEastAsia" w:hAnsi="Calibri" w:cs="Calibri"/>
          <w:iCs/>
          <w:sz w:val="24"/>
        </w:rPr>
        <w:t xml:space="preserve"> consommation varie de 23 à 46%, avec le cabinet qui enregistre le taux le plus faible. </w:t>
      </w:r>
      <w:r w:rsidR="002C3A30" w:rsidRPr="00FB7BFC">
        <w:rPr>
          <w:rFonts w:ascii="Calibri" w:eastAsiaTheme="majorEastAsia" w:hAnsi="Calibri" w:cs="Calibri"/>
          <w:iCs/>
          <w:sz w:val="24"/>
        </w:rPr>
        <w:t xml:space="preserve">De </w:t>
      </w:r>
      <w:r w:rsidR="006C75E4" w:rsidRPr="00FB7BFC">
        <w:rPr>
          <w:rFonts w:ascii="Calibri" w:eastAsiaTheme="majorEastAsia" w:hAnsi="Calibri" w:cs="Calibri"/>
          <w:iCs/>
          <w:sz w:val="24"/>
        </w:rPr>
        <w:t>toutes l</w:t>
      </w:r>
      <w:r w:rsidR="002C3A30" w:rsidRPr="00FB7BFC">
        <w:rPr>
          <w:rFonts w:ascii="Calibri" w:eastAsiaTheme="majorEastAsia" w:hAnsi="Calibri" w:cs="Calibri"/>
          <w:iCs/>
          <w:sz w:val="24"/>
        </w:rPr>
        <w:t xml:space="preserve">es dépenses </w:t>
      </w:r>
      <w:r w:rsidR="006C75E4" w:rsidRPr="00FB7BFC">
        <w:rPr>
          <w:rFonts w:ascii="Calibri" w:eastAsiaTheme="majorEastAsia" w:hAnsi="Calibri" w:cs="Calibri"/>
          <w:iCs/>
          <w:sz w:val="24"/>
        </w:rPr>
        <w:t xml:space="preserve">de fonctionnement, le niveau déconcentré n’a reçu que 16% contre 45% </w:t>
      </w:r>
      <w:r w:rsidR="0071717A" w:rsidRPr="00FB7BFC">
        <w:rPr>
          <w:rFonts w:ascii="Calibri" w:eastAsiaTheme="majorEastAsia" w:hAnsi="Calibri" w:cs="Calibri"/>
          <w:iCs/>
          <w:sz w:val="24"/>
        </w:rPr>
        <w:t>pour la DRFM et 21% pour le cabinet.</w:t>
      </w:r>
    </w:p>
    <w:p w14:paraId="73AA683F" w14:textId="77777777" w:rsidR="00FB7BFC" w:rsidRDefault="00FB7BFC" w:rsidP="00F12682">
      <w:pPr>
        <w:spacing w:after="120" w:line="276" w:lineRule="auto"/>
        <w:jc w:val="both"/>
        <w:rPr>
          <w:rFonts w:ascii="Calibri" w:eastAsiaTheme="majorEastAsia" w:hAnsi="Calibri" w:cs="Calibri"/>
          <w:iCs/>
          <w:sz w:val="24"/>
        </w:rPr>
      </w:pPr>
    </w:p>
    <w:p w14:paraId="171614F6" w14:textId="77777777" w:rsidR="00860B25" w:rsidRPr="00FB7BFC" w:rsidRDefault="00860B25" w:rsidP="00F12682">
      <w:pPr>
        <w:spacing w:after="120" w:line="276" w:lineRule="auto"/>
        <w:jc w:val="both"/>
        <w:rPr>
          <w:rFonts w:ascii="Calibri" w:eastAsiaTheme="majorEastAsia" w:hAnsi="Calibri" w:cs="Calibri"/>
          <w:iCs/>
          <w:sz w:val="24"/>
        </w:rPr>
      </w:pPr>
    </w:p>
    <w:p w14:paraId="2913AB8E" w14:textId="31DCC3AA" w:rsidR="00D0640F" w:rsidRDefault="00337326" w:rsidP="00F12682">
      <w:pPr>
        <w:pStyle w:val="Lgende"/>
      </w:pPr>
      <w:bookmarkStart w:id="193" w:name="_Toc529305103"/>
      <w:r>
        <w:lastRenderedPageBreak/>
        <w:t xml:space="preserve">Tableau </w:t>
      </w:r>
      <w:r w:rsidR="00FA3679">
        <w:rPr>
          <w:noProof/>
        </w:rPr>
        <w:fldChar w:fldCharType="begin"/>
      </w:r>
      <w:r w:rsidR="00FA3679">
        <w:rPr>
          <w:noProof/>
        </w:rPr>
        <w:instrText xml:space="preserve"> SEQ Tableau \* ARABIC </w:instrText>
      </w:r>
      <w:r w:rsidR="00FA3679">
        <w:rPr>
          <w:noProof/>
        </w:rPr>
        <w:fldChar w:fldCharType="separate"/>
      </w:r>
      <w:r w:rsidR="001C37F0">
        <w:rPr>
          <w:noProof/>
        </w:rPr>
        <w:t>49</w:t>
      </w:r>
      <w:r w:rsidR="00FA3679">
        <w:rPr>
          <w:noProof/>
        </w:rPr>
        <w:fldChar w:fldCharType="end"/>
      </w:r>
      <w:r w:rsidR="00D0640F">
        <w:t xml:space="preserve"> : Dépenses </w:t>
      </w:r>
      <w:r>
        <w:t>de fonctionnement du HC</w:t>
      </w:r>
      <w:r w:rsidR="00D0640F">
        <w:t>3N en 2016</w:t>
      </w:r>
      <w:bookmarkEnd w:id="193"/>
    </w:p>
    <w:tbl>
      <w:tblPr>
        <w:tblW w:w="5296" w:type="pct"/>
        <w:tblInd w:w="-5" w:type="dxa"/>
        <w:tblLayout w:type="fixed"/>
        <w:tblCellMar>
          <w:left w:w="70" w:type="dxa"/>
          <w:right w:w="70" w:type="dxa"/>
        </w:tblCellMar>
        <w:tblLook w:val="04A0" w:firstRow="1" w:lastRow="0" w:firstColumn="1" w:lastColumn="0" w:noHBand="0" w:noVBand="1"/>
      </w:tblPr>
      <w:tblGrid>
        <w:gridCol w:w="4815"/>
        <w:gridCol w:w="1322"/>
        <w:gridCol w:w="1322"/>
        <w:gridCol w:w="1507"/>
        <w:gridCol w:w="1232"/>
      </w:tblGrid>
      <w:tr w:rsidR="00D71172" w:rsidRPr="00FB7BFC" w14:paraId="7B4AB96B" w14:textId="77777777" w:rsidTr="00337326">
        <w:tc>
          <w:tcPr>
            <w:tcW w:w="2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8F646" w14:textId="77777777" w:rsidR="00D71172" w:rsidRPr="00FB7BFC" w:rsidRDefault="00D71172" w:rsidP="00F12682">
            <w:pPr>
              <w:spacing w:after="0" w:line="240" w:lineRule="auto"/>
              <w:jc w:val="center"/>
              <w:rPr>
                <w:rFonts w:ascii="Calibri" w:eastAsia="Times New Roman" w:hAnsi="Calibri" w:cs="Calibri"/>
                <w:b/>
                <w:color w:val="000000"/>
                <w:sz w:val="20"/>
                <w:szCs w:val="20"/>
                <w:lang w:eastAsia="fr-FR"/>
              </w:rPr>
            </w:pPr>
            <w:r w:rsidRPr="00FB7BFC">
              <w:rPr>
                <w:rFonts w:ascii="Calibri" w:eastAsia="Times New Roman" w:hAnsi="Calibri" w:cs="Calibri"/>
                <w:b/>
                <w:color w:val="000000"/>
                <w:sz w:val="20"/>
                <w:szCs w:val="20"/>
                <w:lang w:eastAsia="fr-FR"/>
              </w:rPr>
              <w:t>Administration</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635CA010" w14:textId="5417A7E2" w:rsidR="00D71172" w:rsidRPr="00FB7BFC" w:rsidRDefault="00D71172" w:rsidP="00F12682">
            <w:pPr>
              <w:spacing w:after="0" w:line="240" w:lineRule="auto"/>
              <w:jc w:val="center"/>
              <w:rPr>
                <w:rFonts w:ascii="Calibri" w:eastAsia="Times New Roman" w:hAnsi="Calibri" w:cs="Calibri"/>
                <w:b/>
                <w:color w:val="000000"/>
                <w:sz w:val="20"/>
                <w:szCs w:val="20"/>
                <w:lang w:eastAsia="fr-FR"/>
              </w:rPr>
            </w:pPr>
            <w:r w:rsidRPr="008D300D">
              <w:rPr>
                <w:rFonts w:eastAsia="Times New Roman" w:cstheme="minorHAnsi"/>
                <w:b/>
                <w:sz w:val="20"/>
                <w:szCs w:val="20"/>
                <w:lang w:eastAsia="fr-FR"/>
              </w:rPr>
              <w:t>Crédits votés</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73756E56" w14:textId="0247312C" w:rsidR="00D71172" w:rsidRPr="00FB7BFC" w:rsidRDefault="00D71172" w:rsidP="00F12682">
            <w:pPr>
              <w:spacing w:after="0" w:line="240" w:lineRule="auto"/>
              <w:jc w:val="center"/>
              <w:rPr>
                <w:rFonts w:ascii="Calibri" w:eastAsia="Times New Roman" w:hAnsi="Calibri" w:cs="Calibri"/>
                <w:b/>
                <w:color w:val="000000"/>
                <w:sz w:val="20"/>
                <w:szCs w:val="20"/>
                <w:lang w:eastAsia="fr-FR"/>
              </w:rPr>
            </w:pPr>
            <w:r w:rsidRPr="008D300D">
              <w:rPr>
                <w:rFonts w:eastAsia="Times New Roman" w:cstheme="minorHAnsi"/>
                <w:b/>
                <w:sz w:val="20"/>
                <w:szCs w:val="20"/>
                <w:lang w:eastAsia="fr-FR"/>
              </w:rPr>
              <w:t>Crédits consommés</w:t>
            </w:r>
          </w:p>
        </w:tc>
        <w:tc>
          <w:tcPr>
            <w:tcW w:w="739" w:type="pct"/>
            <w:tcBorders>
              <w:top w:val="single" w:sz="4" w:space="0" w:color="auto"/>
              <w:left w:val="nil"/>
              <w:bottom w:val="single" w:sz="4" w:space="0" w:color="auto"/>
              <w:right w:val="single" w:sz="4" w:space="0" w:color="auto"/>
            </w:tcBorders>
            <w:shd w:val="clear" w:color="auto" w:fill="auto"/>
            <w:noWrap/>
            <w:vAlign w:val="center"/>
            <w:hideMark/>
          </w:tcPr>
          <w:p w14:paraId="7B16C1FD" w14:textId="77777777" w:rsidR="00D71172" w:rsidRPr="00FB7BFC" w:rsidRDefault="00D71172" w:rsidP="00F12682">
            <w:pPr>
              <w:spacing w:after="0" w:line="240" w:lineRule="auto"/>
              <w:jc w:val="center"/>
              <w:rPr>
                <w:rFonts w:ascii="Calibri" w:eastAsia="Times New Roman" w:hAnsi="Calibri" w:cs="Calibri"/>
                <w:b/>
                <w:color w:val="000000"/>
                <w:sz w:val="20"/>
                <w:szCs w:val="20"/>
                <w:lang w:eastAsia="fr-FR"/>
              </w:rPr>
            </w:pPr>
            <w:r w:rsidRPr="00FB7BFC">
              <w:rPr>
                <w:rFonts w:ascii="Calibri" w:eastAsia="Times New Roman" w:hAnsi="Calibri" w:cs="Calibri"/>
                <w:b/>
                <w:color w:val="000000"/>
                <w:sz w:val="20"/>
                <w:szCs w:val="20"/>
                <w:lang w:eastAsia="fr-FR"/>
              </w:rPr>
              <w:t>Taux de consommation</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331D04B7" w14:textId="5C334A4C" w:rsidR="00D71172" w:rsidRPr="00FB7BFC" w:rsidRDefault="00D71172" w:rsidP="00F12682">
            <w:pPr>
              <w:spacing w:after="0" w:line="240" w:lineRule="auto"/>
              <w:jc w:val="center"/>
              <w:rPr>
                <w:rFonts w:ascii="Calibri" w:eastAsia="Times New Roman" w:hAnsi="Calibri" w:cs="Calibri"/>
                <w:b/>
                <w:color w:val="000000"/>
                <w:sz w:val="20"/>
                <w:szCs w:val="20"/>
                <w:lang w:eastAsia="fr-FR"/>
              </w:rPr>
            </w:pPr>
            <w:r w:rsidRPr="00FB7BFC">
              <w:rPr>
                <w:rFonts w:ascii="Calibri" w:eastAsia="Times New Roman" w:hAnsi="Calibri" w:cs="Calibri"/>
                <w:b/>
                <w:color w:val="000000"/>
                <w:sz w:val="20"/>
                <w:szCs w:val="20"/>
                <w:lang w:eastAsia="fr-FR"/>
              </w:rPr>
              <w:t>Importance relative</w:t>
            </w:r>
          </w:p>
        </w:tc>
      </w:tr>
      <w:tr w:rsidR="00D862D4" w:rsidRPr="00FB7BFC" w14:paraId="5DB0D757" w14:textId="77777777" w:rsidTr="00337326">
        <w:tc>
          <w:tcPr>
            <w:tcW w:w="2361" w:type="pct"/>
            <w:tcBorders>
              <w:top w:val="nil"/>
              <w:left w:val="single" w:sz="4" w:space="0" w:color="auto"/>
              <w:bottom w:val="single" w:sz="4" w:space="0" w:color="auto"/>
              <w:right w:val="single" w:sz="4" w:space="0" w:color="auto"/>
            </w:tcBorders>
            <w:shd w:val="clear" w:color="auto" w:fill="auto"/>
            <w:noWrap/>
            <w:vAlign w:val="center"/>
            <w:hideMark/>
          </w:tcPr>
          <w:p w14:paraId="7CB82F02" w14:textId="52D2F6AF" w:rsidR="00D862D4" w:rsidRPr="00FB7BFC" w:rsidRDefault="00337326" w:rsidP="00F12682">
            <w:pPr>
              <w:spacing w:after="0" w:line="240" w:lineRule="auto"/>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Cabinet</w:t>
            </w:r>
          </w:p>
        </w:tc>
        <w:tc>
          <w:tcPr>
            <w:tcW w:w="648" w:type="pct"/>
            <w:tcBorders>
              <w:top w:val="nil"/>
              <w:left w:val="nil"/>
              <w:bottom w:val="single" w:sz="4" w:space="0" w:color="auto"/>
              <w:right w:val="single" w:sz="4" w:space="0" w:color="auto"/>
            </w:tcBorders>
            <w:shd w:val="clear" w:color="auto" w:fill="auto"/>
            <w:noWrap/>
            <w:vAlign w:val="center"/>
            <w:hideMark/>
          </w:tcPr>
          <w:p w14:paraId="40F06AB8" w14:textId="77777777" w:rsidR="00D862D4" w:rsidRPr="00FB7BFC" w:rsidRDefault="00D862D4"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93 179 588</w:t>
            </w:r>
          </w:p>
        </w:tc>
        <w:tc>
          <w:tcPr>
            <w:tcW w:w="648" w:type="pct"/>
            <w:tcBorders>
              <w:top w:val="nil"/>
              <w:left w:val="nil"/>
              <w:bottom w:val="single" w:sz="4" w:space="0" w:color="auto"/>
              <w:right w:val="single" w:sz="4" w:space="0" w:color="auto"/>
            </w:tcBorders>
            <w:shd w:val="clear" w:color="auto" w:fill="auto"/>
            <w:noWrap/>
            <w:vAlign w:val="center"/>
            <w:hideMark/>
          </w:tcPr>
          <w:p w14:paraId="623AEC95" w14:textId="77777777" w:rsidR="00D862D4" w:rsidRPr="00FB7BFC" w:rsidRDefault="00D862D4"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21 416 199</w:t>
            </w:r>
          </w:p>
        </w:tc>
        <w:tc>
          <w:tcPr>
            <w:tcW w:w="739" w:type="pct"/>
            <w:tcBorders>
              <w:top w:val="nil"/>
              <w:left w:val="nil"/>
              <w:bottom w:val="single" w:sz="4" w:space="0" w:color="auto"/>
              <w:right w:val="single" w:sz="4" w:space="0" w:color="auto"/>
            </w:tcBorders>
            <w:shd w:val="clear" w:color="auto" w:fill="auto"/>
            <w:noWrap/>
            <w:vAlign w:val="center"/>
            <w:hideMark/>
          </w:tcPr>
          <w:p w14:paraId="099304DF" w14:textId="77777777" w:rsidR="00D862D4" w:rsidRPr="00FB7BFC" w:rsidRDefault="00D862D4"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23%</w:t>
            </w:r>
          </w:p>
        </w:tc>
        <w:tc>
          <w:tcPr>
            <w:tcW w:w="604" w:type="pct"/>
            <w:tcBorders>
              <w:top w:val="nil"/>
              <w:left w:val="nil"/>
              <w:bottom w:val="single" w:sz="4" w:space="0" w:color="auto"/>
              <w:right w:val="single" w:sz="4" w:space="0" w:color="auto"/>
            </w:tcBorders>
            <w:shd w:val="clear" w:color="auto" w:fill="auto"/>
            <w:noWrap/>
            <w:vAlign w:val="center"/>
            <w:hideMark/>
          </w:tcPr>
          <w:p w14:paraId="682E9256" w14:textId="77777777" w:rsidR="00D862D4" w:rsidRPr="00FB7BFC" w:rsidRDefault="00D862D4"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21%</w:t>
            </w:r>
          </w:p>
        </w:tc>
      </w:tr>
      <w:tr w:rsidR="00337326" w:rsidRPr="00FB7BFC" w14:paraId="4756BA67" w14:textId="77777777" w:rsidTr="00337326">
        <w:tc>
          <w:tcPr>
            <w:tcW w:w="2361" w:type="pct"/>
            <w:tcBorders>
              <w:top w:val="nil"/>
              <w:left w:val="single" w:sz="4" w:space="0" w:color="auto"/>
              <w:bottom w:val="single" w:sz="4" w:space="0" w:color="auto"/>
              <w:right w:val="single" w:sz="4" w:space="0" w:color="auto"/>
            </w:tcBorders>
            <w:shd w:val="clear" w:color="auto" w:fill="auto"/>
            <w:noWrap/>
            <w:vAlign w:val="center"/>
          </w:tcPr>
          <w:p w14:paraId="134E2583" w14:textId="09B3BCA2" w:rsidR="00337326" w:rsidRPr="00FB7BFC" w:rsidRDefault="00337326" w:rsidP="00F12682">
            <w:pPr>
              <w:spacing w:after="0" w:line="240" w:lineRule="auto"/>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Secrétariat Général</w:t>
            </w:r>
          </w:p>
        </w:tc>
        <w:tc>
          <w:tcPr>
            <w:tcW w:w="648" w:type="pct"/>
            <w:tcBorders>
              <w:top w:val="nil"/>
              <w:left w:val="nil"/>
              <w:bottom w:val="single" w:sz="4" w:space="0" w:color="auto"/>
              <w:right w:val="single" w:sz="4" w:space="0" w:color="auto"/>
            </w:tcBorders>
            <w:shd w:val="clear" w:color="auto" w:fill="auto"/>
            <w:noWrap/>
            <w:vAlign w:val="center"/>
          </w:tcPr>
          <w:p w14:paraId="3801DF9E" w14:textId="06A6D72F"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28 243 000</w:t>
            </w:r>
          </w:p>
        </w:tc>
        <w:tc>
          <w:tcPr>
            <w:tcW w:w="648" w:type="pct"/>
            <w:tcBorders>
              <w:top w:val="nil"/>
              <w:left w:val="nil"/>
              <w:bottom w:val="single" w:sz="4" w:space="0" w:color="auto"/>
              <w:right w:val="single" w:sz="4" w:space="0" w:color="auto"/>
            </w:tcBorders>
            <w:shd w:val="clear" w:color="auto" w:fill="auto"/>
            <w:noWrap/>
            <w:vAlign w:val="center"/>
          </w:tcPr>
          <w:p w14:paraId="3AEC7FC0" w14:textId="4999DE1F"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11 480 112</w:t>
            </w:r>
          </w:p>
        </w:tc>
        <w:tc>
          <w:tcPr>
            <w:tcW w:w="739" w:type="pct"/>
            <w:tcBorders>
              <w:top w:val="nil"/>
              <w:left w:val="nil"/>
              <w:bottom w:val="single" w:sz="4" w:space="0" w:color="auto"/>
              <w:right w:val="single" w:sz="4" w:space="0" w:color="auto"/>
            </w:tcBorders>
            <w:shd w:val="clear" w:color="auto" w:fill="auto"/>
            <w:noWrap/>
            <w:vAlign w:val="center"/>
          </w:tcPr>
          <w:p w14:paraId="1DEDA9F1" w14:textId="2EEB2002"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41%</w:t>
            </w:r>
          </w:p>
        </w:tc>
        <w:tc>
          <w:tcPr>
            <w:tcW w:w="604" w:type="pct"/>
            <w:tcBorders>
              <w:top w:val="nil"/>
              <w:left w:val="nil"/>
              <w:bottom w:val="single" w:sz="4" w:space="0" w:color="auto"/>
              <w:right w:val="single" w:sz="4" w:space="0" w:color="auto"/>
            </w:tcBorders>
            <w:shd w:val="clear" w:color="auto" w:fill="auto"/>
            <w:noWrap/>
            <w:vAlign w:val="center"/>
          </w:tcPr>
          <w:p w14:paraId="419D3713" w14:textId="0D37B0EA"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11%</w:t>
            </w:r>
          </w:p>
        </w:tc>
      </w:tr>
      <w:tr w:rsidR="00337326" w:rsidRPr="00FB7BFC" w14:paraId="6BB45601" w14:textId="77777777" w:rsidTr="00337326">
        <w:tc>
          <w:tcPr>
            <w:tcW w:w="2361" w:type="pct"/>
            <w:tcBorders>
              <w:top w:val="nil"/>
              <w:left w:val="single" w:sz="4" w:space="0" w:color="auto"/>
              <w:bottom w:val="single" w:sz="4" w:space="0" w:color="auto"/>
              <w:right w:val="single" w:sz="4" w:space="0" w:color="auto"/>
            </w:tcBorders>
            <w:shd w:val="clear" w:color="auto" w:fill="auto"/>
            <w:noWrap/>
            <w:vAlign w:val="center"/>
            <w:hideMark/>
          </w:tcPr>
          <w:p w14:paraId="1EA99198" w14:textId="3CFC7A78" w:rsidR="00337326" w:rsidRPr="00FB7BFC" w:rsidRDefault="00337326" w:rsidP="00F12682">
            <w:pPr>
              <w:spacing w:after="0" w:line="240" w:lineRule="auto"/>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Département Affaires Administratives et Juridiques</w:t>
            </w:r>
          </w:p>
        </w:tc>
        <w:tc>
          <w:tcPr>
            <w:tcW w:w="648" w:type="pct"/>
            <w:tcBorders>
              <w:top w:val="nil"/>
              <w:left w:val="nil"/>
              <w:bottom w:val="single" w:sz="4" w:space="0" w:color="auto"/>
              <w:right w:val="single" w:sz="4" w:space="0" w:color="auto"/>
            </w:tcBorders>
            <w:shd w:val="clear" w:color="auto" w:fill="auto"/>
            <w:noWrap/>
            <w:vAlign w:val="center"/>
            <w:hideMark/>
          </w:tcPr>
          <w:p w14:paraId="6A433A93"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4 800 000</w:t>
            </w:r>
          </w:p>
        </w:tc>
        <w:tc>
          <w:tcPr>
            <w:tcW w:w="648" w:type="pct"/>
            <w:tcBorders>
              <w:top w:val="nil"/>
              <w:left w:val="nil"/>
              <w:bottom w:val="single" w:sz="4" w:space="0" w:color="auto"/>
              <w:right w:val="single" w:sz="4" w:space="0" w:color="auto"/>
            </w:tcBorders>
            <w:shd w:val="clear" w:color="auto" w:fill="auto"/>
            <w:noWrap/>
            <w:vAlign w:val="center"/>
            <w:hideMark/>
          </w:tcPr>
          <w:p w14:paraId="302B08BF"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1 901 382</w:t>
            </w:r>
          </w:p>
        </w:tc>
        <w:tc>
          <w:tcPr>
            <w:tcW w:w="739" w:type="pct"/>
            <w:tcBorders>
              <w:top w:val="nil"/>
              <w:left w:val="nil"/>
              <w:bottom w:val="single" w:sz="4" w:space="0" w:color="auto"/>
              <w:right w:val="single" w:sz="4" w:space="0" w:color="auto"/>
            </w:tcBorders>
            <w:shd w:val="clear" w:color="auto" w:fill="auto"/>
            <w:noWrap/>
            <w:vAlign w:val="center"/>
            <w:hideMark/>
          </w:tcPr>
          <w:p w14:paraId="7DFB5E13"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40%</w:t>
            </w:r>
          </w:p>
        </w:tc>
        <w:tc>
          <w:tcPr>
            <w:tcW w:w="604" w:type="pct"/>
            <w:tcBorders>
              <w:top w:val="nil"/>
              <w:left w:val="nil"/>
              <w:bottom w:val="single" w:sz="4" w:space="0" w:color="auto"/>
              <w:right w:val="single" w:sz="4" w:space="0" w:color="auto"/>
            </w:tcBorders>
            <w:shd w:val="clear" w:color="auto" w:fill="auto"/>
            <w:noWrap/>
            <w:vAlign w:val="center"/>
            <w:hideMark/>
          </w:tcPr>
          <w:p w14:paraId="2F55052D"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w:t>
            </w:r>
          </w:p>
        </w:tc>
      </w:tr>
      <w:tr w:rsidR="00337326" w:rsidRPr="00FB7BFC" w14:paraId="59294023" w14:textId="77777777" w:rsidTr="00337326">
        <w:tc>
          <w:tcPr>
            <w:tcW w:w="2361" w:type="pct"/>
            <w:tcBorders>
              <w:top w:val="nil"/>
              <w:left w:val="single" w:sz="4" w:space="0" w:color="auto"/>
              <w:bottom w:val="single" w:sz="4" w:space="0" w:color="auto"/>
              <w:right w:val="single" w:sz="4" w:space="0" w:color="auto"/>
            </w:tcBorders>
            <w:shd w:val="clear" w:color="auto" w:fill="auto"/>
            <w:noWrap/>
            <w:vAlign w:val="center"/>
            <w:hideMark/>
          </w:tcPr>
          <w:p w14:paraId="00544939" w14:textId="5457005C" w:rsidR="00337326" w:rsidRPr="00FB7BFC" w:rsidRDefault="00337326" w:rsidP="00F12682">
            <w:pPr>
              <w:spacing w:after="0" w:line="240" w:lineRule="auto"/>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Département des Affaires Administratives et Financières</w:t>
            </w:r>
          </w:p>
        </w:tc>
        <w:tc>
          <w:tcPr>
            <w:tcW w:w="648" w:type="pct"/>
            <w:tcBorders>
              <w:top w:val="nil"/>
              <w:left w:val="nil"/>
              <w:bottom w:val="single" w:sz="4" w:space="0" w:color="auto"/>
              <w:right w:val="single" w:sz="4" w:space="0" w:color="auto"/>
            </w:tcBorders>
            <w:shd w:val="clear" w:color="auto" w:fill="auto"/>
            <w:noWrap/>
            <w:vAlign w:val="center"/>
            <w:hideMark/>
          </w:tcPr>
          <w:p w14:paraId="3C89AFB4"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99 603 242</w:t>
            </w:r>
          </w:p>
        </w:tc>
        <w:tc>
          <w:tcPr>
            <w:tcW w:w="648" w:type="pct"/>
            <w:tcBorders>
              <w:top w:val="nil"/>
              <w:left w:val="nil"/>
              <w:bottom w:val="single" w:sz="4" w:space="0" w:color="auto"/>
              <w:right w:val="single" w:sz="4" w:space="0" w:color="auto"/>
            </w:tcBorders>
            <w:shd w:val="clear" w:color="auto" w:fill="auto"/>
            <w:noWrap/>
            <w:vAlign w:val="center"/>
            <w:hideMark/>
          </w:tcPr>
          <w:p w14:paraId="09265560"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46 225 409</w:t>
            </w:r>
          </w:p>
        </w:tc>
        <w:tc>
          <w:tcPr>
            <w:tcW w:w="739" w:type="pct"/>
            <w:tcBorders>
              <w:top w:val="nil"/>
              <w:left w:val="nil"/>
              <w:bottom w:val="single" w:sz="4" w:space="0" w:color="auto"/>
              <w:right w:val="single" w:sz="4" w:space="0" w:color="auto"/>
            </w:tcBorders>
            <w:shd w:val="clear" w:color="auto" w:fill="auto"/>
            <w:noWrap/>
            <w:vAlign w:val="center"/>
            <w:hideMark/>
          </w:tcPr>
          <w:p w14:paraId="1EA60298"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46%</w:t>
            </w:r>
          </w:p>
        </w:tc>
        <w:tc>
          <w:tcPr>
            <w:tcW w:w="604" w:type="pct"/>
            <w:tcBorders>
              <w:top w:val="nil"/>
              <w:left w:val="nil"/>
              <w:bottom w:val="single" w:sz="4" w:space="0" w:color="auto"/>
              <w:right w:val="single" w:sz="4" w:space="0" w:color="auto"/>
            </w:tcBorders>
            <w:shd w:val="clear" w:color="auto" w:fill="auto"/>
            <w:noWrap/>
            <w:vAlign w:val="center"/>
            <w:hideMark/>
          </w:tcPr>
          <w:p w14:paraId="61BE35F7"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45%</w:t>
            </w:r>
          </w:p>
        </w:tc>
      </w:tr>
      <w:tr w:rsidR="00337326" w:rsidRPr="00FB7BFC" w14:paraId="67D7E9B3" w14:textId="77777777" w:rsidTr="00337326">
        <w:tc>
          <w:tcPr>
            <w:tcW w:w="2361" w:type="pct"/>
            <w:tcBorders>
              <w:top w:val="nil"/>
              <w:left w:val="single" w:sz="4" w:space="0" w:color="auto"/>
              <w:bottom w:val="single" w:sz="4" w:space="0" w:color="auto"/>
              <w:right w:val="single" w:sz="4" w:space="0" w:color="auto"/>
            </w:tcBorders>
            <w:shd w:val="clear" w:color="auto" w:fill="auto"/>
            <w:noWrap/>
            <w:vAlign w:val="center"/>
            <w:hideMark/>
          </w:tcPr>
          <w:p w14:paraId="1E8E5EC6" w14:textId="28C36B39" w:rsidR="00337326" w:rsidRPr="00FB7BFC" w:rsidRDefault="00337326" w:rsidP="00F12682">
            <w:pPr>
              <w:spacing w:after="0" w:line="240" w:lineRule="auto"/>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Département Mobilisation Sociale et Renforcement des Capacités</w:t>
            </w:r>
          </w:p>
        </w:tc>
        <w:tc>
          <w:tcPr>
            <w:tcW w:w="648" w:type="pct"/>
            <w:tcBorders>
              <w:top w:val="nil"/>
              <w:left w:val="nil"/>
              <w:bottom w:val="single" w:sz="4" w:space="0" w:color="auto"/>
              <w:right w:val="single" w:sz="4" w:space="0" w:color="auto"/>
            </w:tcBorders>
            <w:shd w:val="clear" w:color="auto" w:fill="auto"/>
            <w:noWrap/>
            <w:vAlign w:val="center"/>
            <w:hideMark/>
          </w:tcPr>
          <w:p w14:paraId="56D6A686"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4 800 000</w:t>
            </w:r>
          </w:p>
        </w:tc>
        <w:tc>
          <w:tcPr>
            <w:tcW w:w="648" w:type="pct"/>
            <w:tcBorders>
              <w:top w:val="nil"/>
              <w:left w:val="nil"/>
              <w:bottom w:val="single" w:sz="4" w:space="0" w:color="auto"/>
              <w:right w:val="single" w:sz="4" w:space="0" w:color="auto"/>
            </w:tcBorders>
            <w:shd w:val="clear" w:color="auto" w:fill="auto"/>
            <w:noWrap/>
            <w:vAlign w:val="center"/>
            <w:hideMark/>
          </w:tcPr>
          <w:p w14:paraId="03BF3F4C"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1 144 007</w:t>
            </w:r>
          </w:p>
        </w:tc>
        <w:tc>
          <w:tcPr>
            <w:tcW w:w="739" w:type="pct"/>
            <w:tcBorders>
              <w:top w:val="nil"/>
              <w:left w:val="nil"/>
              <w:bottom w:val="single" w:sz="4" w:space="0" w:color="auto"/>
              <w:right w:val="single" w:sz="4" w:space="0" w:color="auto"/>
            </w:tcBorders>
            <w:shd w:val="clear" w:color="auto" w:fill="auto"/>
            <w:noWrap/>
            <w:vAlign w:val="center"/>
            <w:hideMark/>
          </w:tcPr>
          <w:p w14:paraId="5AEBE734"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24%</w:t>
            </w:r>
          </w:p>
        </w:tc>
        <w:tc>
          <w:tcPr>
            <w:tcW w:w="604" w:type="pct"/>
            <w:tcBorders>
              <w:top w:val="nil"/>
              <w:left w:val="nil"/>
              <w:bottom w:val="single" w:sz="4" w:space="0" w:color="auto"/>
              <w:right w:val="single" w:sz="4" w:space="0" w:color="auto"/>
            </w:tcBorders>
            <w:shd w:val="clear" w:color="auto" w:fill="auto"/>
            <w:noWrap/>
            <w:vAlign w:val="center"/>
            <w:hideMark/>
          </w:tcPr>
          <w:p w14:paraId="27119042"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1%</w:t>
            </w:r>
          </w:p>
        </w:tc>
      </w:tr>
      <w:tr w:rsidR="00337326" w:rsidRPr="00FB7BFC" w14:paraId="57A96735" w14:textId="77777777" w:rsidTr="00337326">
        <w:tc>
          <w:tcPr>
            <w:tcW w:w="2361" w:type="pct"/>
            <w:tcBorders>
              <w:top w:val="nil"/>
              <w:left w:val="single" w:sz="4" w:space="0" w:color="auto"/>
              <w:bottom w:val="single" w:sz="4" w:space="0" w:color="auto"/>
              <w:right w:val="single" w:sz="4" w:space="0" w:color="auto"/>
            </w:tcBorders>
            <w:shd w:val="clear" w:color="auto" w:fill="auto"/>
            <w:noWrap/>
            <w:vAlign w:val="center"/>
            <w:hideMark/>
          </w:tcPr>
          <w:p w14:paraId="612D5AEE" w14:textId="60CF8CE7" w:rsidR="00337326" w:rsidRPr="00FB7BFC" w:rsidRDefault="00337326" w:rsidP="00F12682">
            <w:pPr>
              <w:spacing w:after="0" w:line="240" w:lineRule="auto"/>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Département Programmation Etudes et Prospectives</w:t>
            </w:r>
          </w:p>
        </w:tc>
        <w:tc>
          <w:tcPr>
            <w:tcW w:w="648" w:type="pct"/>
            <w:tcBorders>
              <w:top w:val="nil"/>
              <w:left w:val="nil"/>
              <w:bottom w:val="single" w:sz="4" w:space="0" w:color="auto"/>
              <w:right w:val="single" w:sz="4" w:space="0" w:color="auto"/>
            </w:tcBorders>
            <w:shd w:val="clear" w:color="auto" w:fill="auto"/>
            <w:noWrap/>
            <w:vAlign w:val="center"/>
            <w:hideMark/>
          </w:tcPr>
          <w:p w14:paraId="240653AD"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4 800 000</w:t>
            </w:r>
          </w:p>
        </w:tc>
        <w:tc>
          <w:tcPr>
            <w:tcW w:w="648" w:type="pct"/>
            <w:tcBorders>
              <w:top w:val="nil"/>
              <w:left w:val="nil"/>
              <w:bottom w:val="single" w:sz="4" w:space="0" w:color="auto"/>
              <w:right w:val="single" w:sz="4" w:space="0" w:color="auto"/>
            </w:tcBorders>
            <w:shd w:val="clear" w:color="auto" w:fill="auto"/>
            <w:noWrap/>
            <w:vAlign w:val="center"/>
            <w:hideMark/>
          </w:tcPr>
          <w:p w14:paraId="21C4C6F3"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2 174 702</w:t>
            </w:r>
          </w:p>
        </w:tc>
        <w:tc>
          <w:tcPr>
            <w:tcW w:w="739" w:type="pct"/>
            <w:tcBorders>
              <w:top w:val="nil"/>
              <w:left w:val="nil"/>
              <w:bottom w:val="single" w:sz="4" w:space="0" w:color="auto"/>
              <w:right w:val="single" w:sz="4" w:space="0" w:color="auto"/>
            </w:tcBorders>
            <w:shd w:val="clear" w:color="auto" w:fill="auto"/>
            <w:noWrap/>
            <w:vAlign w:val="center"/>
            <w:hideMark/>
          </w:tcPr>
          <w:p w14:paraId="15112D79"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45%</w:t>
            </w:r>
          </w:p>
        </w:tc>
        <w:tc>
          <w:tcPr>
            <w:tcW w:w="604" w:type="pct"/>
            <w:tcBorders>
              <w:top w:val="nil"/>
              <w:left w:val="nil"/>
              <w:bottom w:val="single" w:sz="4" w:space="0" w:color="auto"/>
              <w:right w:val="single" w:sz="4" w:space="0" w:color="auto"/>
            </w:tcBorders>
            <w:shd w:val="clear" w:color="auto" w:fill="auto"/>
            <w:noWrap/>
            <w:vAlign w:val="center"/>
            <w:hideMark/>
          </w:tcPr>
          <w:p w14:paraId="4F0A4296"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w:t>
            </w:r>
          </w:p>
        </w:tc>
      </w:tr>
      <w:tr w:rsidR="00337326" w:rsidRPr="00FB7BFC" w14:paraId="5812F1D3" w14:textId="77777777" w:rsidTr="00337326">
        <w:tc>
          <w:tcPr>
            <w:tcW w:w="2361" w:type="pct"/>
            <w:tcBorders>
              <w:top w:val="nil"/>
              <w:left w:val="single" w:sz="4" w:space="0" w:color="auto"/>
              <w:bottom w:val="single" w:sz="4" w:space="0" w:color="auto"/>
              <w:right w:val="single" w:sz="4" w:space="0" w:color="auto"/>
            </w:tcBorders>
            <w:shd w:val="clear" w:color="auto" w:fill="auto"/>
            <w:noWrap/>
            <w:vAlign w:val="center"/>
            <w:hideMark/>
          </w:tcPr>
          <w:p w14:paraId="18E9399E" w14:textId="3BC1645A" w:rsidR="00337326" w:rsidRPr="00FB7BFC" w:rsidRDefault="00337326" w:rsidP="00F12682">
            <w:pPr>
              <w:spacing w:after="0" w:line="240" w:lineRule="auto"/>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Département Suivi Evaluation et Capitalisation</w:t>
            </w:r>
          </w:p>
        </w:tc>
        <w:tc>
          <w:tcPr>
            <w:tcW w:w="648" w:type="pct"/>
            <w:tcBorders>
              <w:top w:val="nil"/>
              <w:left w:val="nil"/>
              <w:bottom w:val="single" w:sz="4" w:space="0" w:color="auto"/>
              <w:right w:val="single" w:sz="4" w:space="0" w:color="auto"/>
            </w:tcBorders>
            <w:shd w:val="clear" w:color="auto" w:fill="auto"/>
            <w:noWrap/>
            <w:vAlign w:val="center"/>
            <w:hideMark/>
          </w:tcPr>
          <w:p w14:paraId="46542250"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4 800 000</w:t>
            </w:r>
          </w:p>
        </w:tc>
        <w:tc>
          <w:tcPr>
            <w:tcW w:w="648" w:type="pct"/>
            <w:tcBorders>
              <w:top w:val="nil"/>
              <w:left w:val="nil"/>
              <w:bottom w:val="single" w:sz="4" w:space="0" w:color="auto"/>
              <w:right w:val="single" w:sz="4" w:space="0" w:color="auto"/>
            </w:tcBorders>
            <w:shd w:val="clear" w:color="auto" w:fill="auto"/>
            <w:noWrap/>
            <w:vAlign w:val="center"/>
            <w:hideMark/>
          </w:tcPr>
          <w:p w14:paraId="24B52E95"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1 236 410</w:t>
            </w:r>
          </w:p>
        </w:tc>
        <w:tc>
          <w:tcPr>
            <w:tcW w:w="739" w:type="pct"/>
            <w:tcBorders>
              <w:top w:val="nil"/>
              <w:left w:val="nil"/>
              <w:bottom w:val="single" w:sz="4" w:space="0" w:color="auto"/>
              <w:right w:val="single" w:sz="4" w:space="0" w:color="auto"/>
            </w:tcBorders>
            <w:shd w:val="clear" w:color="auto" w:fill="auto"/>
            <w:noWrap/>
            <w:vAlign w:val="center"/>
            <w:hideMark/>
          </w:tcPr>
          <w:p w14:paraId="55C8C399"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26%</w:t>
            </w:r>
          </w:p>
        </w:tc>
        <w:tc>
          <w:tcPr>
            <w:tcW w:w="604" w:type="pct"/>
            <w:tcBorders>
              <w:top w:val="nil"/>
              <w:left w:val="nil"/>
              <w:bottom w:val="single" w:sz="4" w:space="0" w:color="auto"/>
              <w:right w:val="single" w:sz="4" w:space="0" w:color="auto"/>
            </w:tcBorders>
            <w:shd w:val="clear" w:color="auto" w:fill="auto"/>
            <w:noWrap/>
            <w:vAlign w:val="center"/>
            <w:hideMark/>
          </w:tcPr>
          <w:p w14:paraId="1204AAA3"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1%</w:t>
            </w:r>
          </w:p>
        </w:tc>
      </w:tr>
      <w:tr w:rsidR="00337326" w:rsidRPr="00FB7BFC" w14:paraId="0C53593E" w14:textId="77777777" w:rsidTr="00337326">
        <w:tc>
          <w:tcPr>
            <w:tcW w:w="2361" w:type="pct"/>
            <w:tcBorders>
              <w:top w:val="nil"/>
              <w:left w:val="single" w:sz="4" w:space="0" w:color="auto"/>
              <w:bottom w:val="single" w:sz="4" w:space="0" w:color="auto"/>
              <w:right w:val="single" w:sz="4" w:space="0" w:color="auto"/>
            </w:tcBorders>
            <w:shd w:val="clear" w:color="auto" w:fill="auto"/>
            <w:noWrap/>
            <w:vAlign w:val="center"/>
            <w:hideMark/>
          </w:tcPr>
          <w:p w14:paraId="171850B6" w14:textId="27EDE195" w:rsidR="00337326" w:rsidRPr="00FB7BFC" w:rsidRDefault="00337326" w:rsidP="00F12682">
            <w:pPr>
              <w:spacing w:after="0" w:line="240" w:lineRule="auto"/>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 xml:space="preserve">Coordinations Régionales </w:t>
            </w:r>
          </w:p>
        </w:tc>
        <w:tc>
          <w:tcPr>
            <w:tcW w:w="648" w:type="pct"/>
            <w:tcBorders>
              <w:top w:val="nil"/>
              <w:left w:val="nil"/>
              <w:bottom w:val="single" w:sz="4" w:space="0" w:color="auto"/>
              <w:right w:val="single" w:sz="4" w:space="0" w:color="auto"/>
            </w:tcBorders>
            <w:shd w:val="clear" w:color="auto" w:fill="auto"/>
            <w:noWrap/>
            <w:vAlign w:val="center"/>
            <w:hideMark/>
          </w:tcPr>
          <w:p w14:paraId="1ADD21A6"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22 150 000</w:t>
            </w:r>
          </w:p>
        </w:tc>
        <w:tc>
          <w:tcPr>
            <w:tcW w:w="648" w:type="pct"/>
            <w:tcBorders>
              <w:top w:val="nil"/>
              <w:left w:val="nil"/>
              <w:bottom w:val="single" w:sz="4" w:space="0" w:color="auto"/>
              <w:right w:val="single" w:sz="4" w:space="0" w:color="auto"/>
            </w:tcBorders>
            <w:shd w:val="clear" w:color="auto" w:fill="auto"/>
            <w:noWrap/>
            <w:vAlign w:val="center"/>
            <w:hideMark/>
          </w:tcPr>
          <w:p w14:paraId="30609461"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16 471 790</w:t>
            </w:r>
          </w:p>
        </w:tc>
        <w:tc>
          <w:tcPr>
            <w:tcW w:w="739" w:type="pct"/>
            <w:tcBorders>
              <w:top w:val="nil"/>
              <w:left w:val="nil"/>
              <w:bottom w:val="single" w:sz="4" w:space="0" w:color="auto"/>
              <w:right w:val="single" w:sz="4" w:space="0" w:color="auto"/>
            </w:tcBorders>
            <w:shd w:val="clear" w:color="auto" w:fill="auto"/>
            <w:noWrap/>
            <w:vAlign w:val="center"/>
            <w:hideMark/>
          </w:tcPr>
          <w:p w14:paraId="04291420"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74%</w:t>
            </w:r>
          </w:p>
        </w:tc>
        <w:tc>
          <w:tcPr>
            <w:tcW w:w="604" w:type="pct"/>
            <w:tcBorders>
              <w:top w:val="nil"/>
              <w:left w:val="nil"/>
              <w:bottom w:val="single" w:sz="4" w:space="0" w:color="auto"/>
              <w:right w:val="single" w:sz="4" w:space="0" w:color="auto"/>
            </w:tcBorders>
            <w:shd w:val="clear" w:color="auto" w:fill="auto"/>
            <w:noWrap/>
            <w:vAlign w:val="center"/>
            <w:hideMark/>
          </w:tcPr>
          <w:p w14:paraId="36F5BCA8" w14:textId="77777777" w:rsidR="00337326" w:rsidRPr="00FB7BFC" w:rsidRDefault="00337326" w:rsidP="00F12682">
            <w:pPr>
              <w:spacing w:after="0" w:line="240" w:lineRule="auto"/>
              <w:jc w:val="right"/>
              <w:rPr>
                <w:rFonts w:ascii="Calibri" w:eastAsia="Times New Roman" w:hAnsi="Calibri" w:cs="Calibri"/>
                <w:color w:val="000000"/>
                <w:sz w:val="20"/>
                <w:szCs w:val="20"/>
                <w:lang w:eastAsia="fr-FR"/>
              </w:rPr>
            </w:pPr>
            <w:r w:rsidRPr="00FB7BFC">
              <w:rPr>
                <w:rFonts w:ascii="Calibri" w:eastAsia="Times New Roman" w:hAnsi="Calibri" w:cs="Calibri"/>
                <w:color w:val="000000"/>
                <w:sz w:val="20"/>
                <w:szCs w:val="20"/>
                <w:lang w:eastAsia="fr-FR"/>
              </w:rPr>
              <w:t>16%</w:t>
            </w:r>
          </w:p>
        </w:tc>
      </w:tr>
      <w:tr w:rsidR="00337326" w:rsidRPr="00FB7BFC" w14:paraId="753E6E45" w14:textId="77777777" w:rsidTr="00337326">
        <w:tc>
          <w:tcPr>
            <w:tcW w:w="2361" w:type="pct"/>
            <w:tcBorders>
              <w:top w:val="nil"/>
              <w:left w:val="single" w:sz="4" w:space="0" w:color="auto"/>
              <w:bottom w:val="single" w:sz="4" w:space="0" w:color="auto"/>
              <w:right w:val="single" w:sz="4" w:space="0" w:color="auto"/>
            </w:tcBorders>
            <w:shd w:val="clear" w:color="auto" w:fill="auto"/>
            <w:noWrap/>
            <w:vAlign w:val="center"/>
            <w:hideMark/>
          </w:tcPr>
          <w:p w14:paraId="534FD777" w14:textId="77777777" w:rsidR="00337326" w:rsidRPr="00FB7BFC" w:rsidRDefault="00337326" w:rsidP="00F12682">
            <w:pPr>
              <w:spacing w:after="0" w:line="240" w:lineRule="auto"/>
              <w:jc w:val="center"/>
              <w:rPr>
                <w:rFonts w:ascii="Calibri" w:eastAsia="Times New Roman" w:hAnsi="Calibri" w:cs="Calibri"/>
                <w:b/>
                <w:color w:val="000000"/>
                <w:sz w:val="20"/>
                <w:szCs w:val="20"/>
                <w:lang w:eastAsia="fr-FR"/>
              </w:rPr>
            </w:pPr>
            <w:r w:rsidRPr="00FB7BFC">
              <w:rPr>
                <w:rFonts w:ascii="Calibri" w:eastAsia="Times New Roman" w:hAnsi="Calibri" w:cs="Calibri"/>
                <w:b/>
                <w:color w:val="000000"/>
                <w:sz w:val="20"/>
                <w:szCs w:val="20"/>
                <w:lang w:eastAsia="fr-FR"/>
              </w:rPr>
              <w:t>Total général</w:t>
            </w:r>
          </w:p>
        </w:tc>
        <w:tc>
          <w:tcPr>
            <w:tcW w:w="648" w:type="pct"/>
            <w:tcBorders>
              <w:top w:val="nil"/>
              <w:left w:val="nil"/>
              <w:bottom w:val="single" w:sz="4" w:space="0" w:color="auto"/>
              <w:right w:val="single" w:sz="4" w:space="0" w:color="auto"/>
            </w:tcBorders>
            <w:shd w:val="clear" w:color="auto" w:fill="auto"/>
            <w:noWrap/>
            <w:vAlign w:val="center"/>
            <w:hideMark/>
          </w:tcPr>
          <w:p w14:paraId="3909E0C6" w14:textId="77777777" w:rsidR="00337326" w:rsidRPr="00FB7BFC" w:rsidRDefault="00337326" w:rsidP="00F12682">
            <w:pPr>
              <w:spacing w:after="0" w:line="240" w:lineRule="auto"/>
              <w:jc w:val="right"/>
              <w:rPr>
                <w:rFonts w:ascii="Calibri" w:eastAsia="Times New Roman" w:hAnsi="Calibri" w:cs="Calibri"/>
                <w:b/>
                <w:color w:val="000000"/>
                <w:sz w:val="20"/>
                <w:szCs w:val="20"/>
                <w:lang w:eastAsia="fr-FR"/>
              </w:rPr>
            </w:pPr>
            <w:r w:rsidRPr="00FB7BFC">
              <w:rPr>
                <w:rFonts w:ascii="Calibri" w:eastAsia="Times New Roman" w:hAnsi="Calibri" w:cs="Calibri"/>
                <w:b/>
                <w:color w:val="000000"/>
                <w:sz w:val="20"/>
                <w:szCs w:val="20"/>
                <w:lang w:eastAsia="fr-FR"/>
              </w:rPr>
              <w:t>262 375 830</w:t>
            </w:r>
          </w:p>
        </w:tc>
        <w:tc>
          <w:tcPr>
            <w:tcW w:w="648" w:type="pct"/>
            <w:tcBorders>
              <w:top w:val="nil"/>
              <w:left w:val="nil"/>
              <w:bottom w:val="single" w:sz="4" w:space="0" w:color="auto"/>
              <w:right w:val="single" w:sz="4" w:space="0" w:color="auto"/>
            </w:tcBorders>
            <w:shd w:val="clear" w:color="auto" w:fill="auto"/>
            <w:noWrap/>
            <w:vAlign w:val="center"/>
            <w:hideMark/>
          </w:tcPr>
          <w:p w14:paraId="4B00DF06" w14:textId="77777777" w:rsidR="00337326" w:rsidRPr="00FB7BFC" w:rsidRDefault="00337326" w:rsidP="00F12682">
            <w:pPr>
              <w:spacing w:after="0" w:line="240" w:lineRule="auto"/>
              <w:jc w:val="right"/>
              <w:rPr>
                <w:rFonts w:ascii="Calibri" w:eastAsia="Times New Roman" w:hAnsi="Calibri" w:cs="Calibri"/>
                <w:b/>
                <w:color w:val="000000"/>
                <w:sz w:val="20"/>
                <w:szCs w:val="20"/>
                <w:lang w:eastAsia="fr-FR"/>
              </w:rPr>
            </w:pPr>
            <w:r w:rsidRPr="00FB7BFC">
              <w:rPr>
                <w:rFonts w:ascii="Calibri" w:eastAsia="Times New Roman" w:hAnsi="Calibri" w:cs="Calibri"/>
                <w:b/>
                <w:color w:val="000000"/>
                <w:sz w:val="20"/>
                <w:szCs w:val="20"/>
                <w:lang w:eastAsia="fr-FR"/>
              </w:rPr>
              <w:t>102 050 011</w:t>
            </w:r>
          </w:p>
        </w:tc>
        <w:tc>
          <w:tcPr>
            <w:tcW w:w="739" w:type="pct"/>
            <w:tcBorders>
              <w:top w:val="nil"/>
              <w:left w:val="nil"/>
              <w:bottom w:val="single" w:sz="4" w:space="0" w:color="auto"/>
              <w:right w:val="single" w:sz="4" w:space="0" w:color="auto"/>
            </w:tcBorders>
            <w:shd w:val="clear" w:color="auto" w:fill="auto"/>
            <w:noWrap/>
            <w:vAlign w:val="center"/>
            <w:hideMark/>
          </w:tcPr>
          <w:p w14:paraId="7B78D3E0" w14:textId="77777777" w:rsidR="00337326" w:rsidRPr="00FB7BFC" w:rsidRDefault="00337326" w:rsidP="00F12682">
            <w:pPr>
              <w:spacing w:after="0" w:line="240" w:lineRule="auto"/>
              <w:jc w:val="right"/>
              <w:rPr>
                <w:rFonts w:ascii="Calibri" w:eastAsia="Times New Roman" w:hAnsi="Calibri" w:cs="Calibri"/>
                <w:b/>
                <w:color w:val="000000"/>
                <w:sz w:val="20"/>
                <w:szCs w:val="20"/>
                <w:lang w:eastAsia="fr-FR"/>
              </w:rPr>
            </w:pPr>
            <w:r w:rsidRPr="00FB7BFC">
              <w:rPr>
                <w:rFonts w:ascii="Calibri" w:eastAsia="Times New Roman" w:hAnsi="Calibri" w:cs="Calibri"/>
                <w:b/>
                <w:color w:val="000000"/>
                <w:sz w:val="20"/>
                <w:szCs w:val="20"/>
                <w:lang w:eastAsia="fr-FR"/>
              </w:rPr>
              <w:t>39%</w:t>
            </w:r>
          </w:p>
        </w:tc>
        <w:tc>
          <w:tcPr>
            <w:tcW w:w="604" w:type="pct"/>
            <w:tcBorders>
              <w:top w:val="nil"/>
              <w:left w:val="nil"/>
              <w:bottom w:val="single" w:sz="4" w:space="0" w:color="auto"/>
              <w:right w:val="single" w:sz="4" w:space="0" w:color="auto"/>
            </w:tcBorders>
            <w:shd w:val="clear" w:color="auto" w:fill="auto"/>
            <w:noWrap/>
            <w:vAlign w:val="center"/>
            <w:hideMark/>
          </w:tcPr>
          <w:p w14:paraId="65652B63" w14:textId="77777777" w:rsidR="00337326" w:rsidRPr="00FB7BFC" w:rsidRDefault="00337326" w:rsidP="00F12682">
            <w:pPr>
              <w:spacing w:after="0" w:line="240" w:lineRule="auto"/>
              <w:jc w:val="right"/>
              <w:rPr>
                <w:rFonts w:ascii="Calibri" w:eastAsia="Times New Roman" w:hAnsi="Calibri" w:cs="Calibri"/>
                <w:b/>
                <w:color w:val="000000"/>
                <w:sz w:val="20"/>
                <w:szCs w:val="20"/>
                <w:lang w:eastAsia="fr-FR"/>
              </w:rPr>
            </w:pPr>
            <w:r w:rsidRPr="00FB7BFC">
              <w:rPr>
                <w:rFonts w:ascii="Calibri" w:eastAsia="Times New Roman" w:hAnsi="Calibri" w:cs="Calibri"/>
                <w:b/>
                <w:color w:val="000000"/>
                <w:sz w:val="20"/>
                <w:szCs w:val="20"/>
                <w:lang w:eastAsia="fr-FR"/>
              </w:rPr>
              <w:t>100%</w:t>
            </w:r>
          </w:p>
        </w:tc>
      </w:tr>
    </w:tbl>
    <w:p w14:paraId="4CF9611F" w14:textId="77777777" w:rsidR="00673E94" w:rsidRPr="00673E94" w:rsidRDefault="00673E94" w:rsidP="00F12682">
      <w:pPr>
        <w:spacing w:after="120" w:line="276" w:lineRule="auto"/>
        <w:jc w:val="both"/>
        <w:rPr>
          <w:rFonts w:ascii="Calibri" w:eastAsiaTheme="majorEastAsia" w:hAnsi="Calibri" w:cs="Calibri"/>
          <w:iCs/>
          <w:sz w:val="24"/>
        </w:rPr>
      </w:pPr>
    </w:p>
    <w:p w14:paraId="2EC434C1" w14:textId="77777777" w:rsidR="00895CB2" w:rsidRDefault="00895CB2" w:rsidP="00F12682">
      <w:pPr>
        <w:pStyle w:val="Titre4"/>
        <w:rPr>
          <w:rFonts w:asciiTheme="minorHAnsi" w:hAnsiTheme="minorHAnsi" w:cstheme="minorHAnsi"/>
        </w:rPr>
      </w:pPr>
      <w:r w:rsidRPr="004A5122">
        <w:rPr>
          <w:rFonts w:asciiTheme="minorHAnsi" w:hAnsiTheme="minorHAnsi" w:cstheme="minorHAnsi"/>
        </w:rPr>
        <w:t>Analyse de l’efficacité des dépenses d’investissement</w:t>
      </w:r>
    </w:p>
    <w:p w14:paraId="76320076" w14:textId="360D2789" w:rsidR="00734DE4" w:rsidRDefault="000F176E" w:rsidP="00F12682">
      <w:pPr>
        <w:spacing w:after="120" w:line="276" w:lineRule="auto"/>
        <w:jc w:val="both"/>
        <w:rPr>
          <w:rFonts w:ascii="Calibri" w:eastAsiaTheme="majorEastAsia" w:hAnsi="Calibri" w:cs="Calibri"/>
          <w:iCs/>
          <w:sz w:val="24"/>
        </w:rPr>
      </w:pPr>
      <w:r w:rsidRPr="00FB7BFC">
        <w:rPr>
          <w:rFonts w:ascii="Calibri" w:eastAsiaTheme="majorEastAsia" w:hAnsi="Calibri" w:cs="Calibri"/>
          <w:iCs/>
          <w:sz w:val="24"/>
        </w:rPr>
        <w:t xml:space="preserve">Les dépenses d’investissement ont été très faiblement exécutées </w:t>
      </w:r>
      <w:r w:rsidR="00337326" w:rsidRPr="00FB7BFC">
        <w:rPr>
          <w:rFonts w:ascii="Calibri" w:eastAsiaTheme="majorEastAsia" w:hAnsi="Calibri" w:cs="Calibri"/>
          <w:iCs/>
          <w:sz w:val="24"/>
        </w:rPr>
        <w:t>au HC</w:t>
      </w:r>
      <w:r w:rsidR="00B824EA" w:rsidRPr="00FB7BFC">
        <w:rPr>
          <w:rFonts w:ascii="Calibri" w:eastAsiaTheme="majorEastAsia" w:hAnsi="Calibri" w:cs="Calibri"/>
          <w:iCs/>
          <w:sz w:val="24"/>
        </w:rPr>
        <w:t xml:space="preserve">3N en 2016, à peine 6%. </w:t>
      </w:r>
      <w:r w:rsidR="00D823BB" w:rsidRPr="00FB7BFC">
        <w:rPr>
          <w:rFonts w:ascii="Calibri" w:eastAsiaTheme="majorEastAsia" w:hAnsi="Calibri" w:cs="Calibri"/>
          <w:iCs/>
          <w:sz w:val="24"/>
        </w:rPr>
        <w:t xml:space="preserve">Les fonds du trésor ont la meilleure performance en </w:t>
      </w:r>
      <w:proofErr w:type="gramStart"/>
      <w:r w:rsidR="00D823BB" w:rsidRPr="00FB7BFC">
        <w:rPr>
          <w:rFonts w:ascii="Calibri" w:eastAsiaTheme="majorEastAsia" w:hAnsi="Calibri" w:cs="Calibri"/>
          <w:iCs/>
          <w:sz w:val="24"/>
        </w:rPr>
        <w:t>terme</w:t>
      </w:r>
      <w:proofErr w:type="gramEnd"/>
      <w:r w:rsidR="00D823BB" w:rsidRPr="00FB7BFC">
        <w:rPr>
          <w:rFonts w:ascii="Calibri" w:eastAsiaTheme="majorEastAsia" w:hAnsi="Calibri" w:cs="Calibri"/>
          <w:iCs/>
          <w:sz w:val="24"/>
        </w:rPr>
        <w:t xml:space="preserve"> de consommation (</w:t>
      </w:r>
      <w:r w:rsidR="00FC7994" w:rsidRPr="00FB7BFC">
        <w:rPr>
          <w:rFonts w:ascii="Calibri" w:eastAsiaTheme="majorEastAsia" w:hAnsi="Calibri" w:cs="Calibri"/>
          <w:iCs/>
          <w:sz w:val="24"/>
        </w:rPr>
        <w:t>22%). Mais l’importance rela</w:t>
      </w:r>
      <w:r w:rsidR="00595552" w:rsidRPr="00FB7BFC">
        <w:rPr>
          <w:rFonts w:ascii="Calibri" w:eastAsiaTheme="majorEastAsia" w:hAnsi="Calibri" w:cs="Calibri"/>
          <w:iCs/>
          <w:sz w:val="24"/>
        </w:rPr>
        <w:t>tive des emprunts (90%) de tou</w:t>
      </w:r>
      <w:r w:rsidR="00FC7994" w:rsidRPr="00FB7BFC">
        <w:rPr>
          <w:rFonts w:ascii="Calibri" w:eastAsiaTheme="majorEastAsia" w:hAnsi="Calibri" w:cs="Calibri"/>
          <w:iCs/>
          <w:sz w:val="24"/>
        </w:rPr>
        <w:t xml:space="preserve">s les crédits d’investissement exécutés, </w:t>
      </w:r>
      <w:r w:rsidR="00595552" w:rsidRPr="00FB7BFC">
        <w:rPr>
          <w:rFonts w:ascii="Calibri" w:eastAsiaTheme="majorEastAsia" w:hAnsi="Calibri" w:cs="Calibri"/>
          <w:iCs/>
          <w:sz w:val="24"/>
        </w:rPr>
        <w:t>le taux global de consommation est resté très faible.</w:t>
      </w:r>
    </w:p>
    <w:p w14:paraId="6F46D570" w14:textId="77777777" w:rsidR="00FB7BFC" w:rsidRPr="00FB7BFC" w:rsidRDefault="00FB7BFC" w:rsidP="00F12682">
      <w:pPr>
        <w:spacing w:after="120" w:line="276" w:lineRule="auto"/>
        <w:jc w:val="both"/>
        <w:rPr>
          <w:rFonts w:ascii="Calibri" w:eastAsiaTheme="majorEastAsia" w:hAnsi="Calibri" w:cs="Calibri"/>
          <w:iCs/>
          <w:sz w:val="24"/>
        </w:rPr>
      </w:pPr>
    </w:p>
    <w:p w14:paraId="7748AA45" w14:textId="17B09DF2" w:rsidR="00734DE4" w:rsidRDefault="00337326" w:rsidP="00F12682">
      <w:pPr>
        <w:pStyle w:val="Lgende"/>
      </w:pPr>
      <w:bookmarkStart w:id="194" w:name="_Toc529305104"/>
      <w:r>
        <w:t xml:space="preserve">Tableau </w:t>
      </w:r>
      <w:r w:rsidR="00FA3679">
        <w:rPr>
          <w:noProof/>
        </w:rPr>
        <w:fldChar w:fldCharType="begin"/>
      </w:r>
      <w:r w:rsidR="00FA3679">
        <w:rPr>
          <w:noProof/>
        </w:rPr>
        <w:instrText xml:space="preserve"> SEQ Tableau \* ARABIC </w:instrText>
      </w:r>
      <w:r w:rsidR="00FA3679">
        <w:rPr>
          <w:noProof/>
        </w:rPr>
        <w:fldChar w:fldCharType="separate"/>
      </w:r>
      <w:r w:rsidR="001C37F0">
        <w:rPr>
          <w:noProof/>
        </w:rPr>
        <w:t>50</w:t>
      </w:r>
      <w:r w:rsidR="00FA3679">
        <w:rPr>
          <w:noProof/>
        </w:rPr>
        <w:fldChar w:fldCharType="end"/>
      </w:r>
      <w:r w:rsidR="00734DE4">
        <w:t xml:space="preserve"> : </w:t>
      </w:r>
      <w:r>
        <w:t>Dépenses d’investissement du HC</w:t>
      </w:r>
      <w:r w:rsidR="00734DE4">
        <w:t>3N en 2016</w:t>
      </w:r>
      <w:bookmarkEnd w:id="194"/>
    </w:p>
    <w:tbl>
      <w:tblPr>
        <w:tblW w:w="5088" w:type="pct"/>
        <w:tblLayout w:type="fixed"/>
        <w:tblCellMar>
          <w:left w:w="70" w:type="dxa"/>
          <w:right w:w="70" w:type="dxa"/>
        </w:tblCellMar>
        <w:tblLook w:val="04A0" w:firstRow="1" w:lastRow="0" w:firstColumn="1" w:lastColumn="0" w:noHBand="0" w:noVBand="1"/>
      </w:tblPr>
      <w:tblGrid>
        <w:gridCol w:w="3148"/>
        <w:gridCol w:w="1967"/>
        <w:gridCol w:w="1656"/>
        <w:gridCol w:w="1658"/>
        <w:gridCol w:w="1368"/>
      </w:tblGrid>
      <w:tr w:rsidR="00D71172" w:rsidRPr="00FB7BFC" w14:paraId="1D9AABFC" w14:textId="77777777" w:rsidTr="007777A8">
        <w:trPr>
          <w:trHeight w:val="300"/>
        </w:trPr>
        <w:tc>
          <w:tcPr>
            <w:tcW w:w="16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1C93E" w14:textId="77777777" w:rsidR="00D71172" w:rsidRPr="00FB7BFC" w:rsidRDefault="00D71172" w:rsidP="00F12682">
            <w:pPr>
              <w:spacing w:after="0" w:line="240" w:lineRule="auto"/>
              <w:jc w:val="center"/>
              <w:rPr>
                <w:rFonts w:ascii="Calibri" w:eastAsia="Times New Roman" w:hAnsi="Calibri" w:cs="Calibri"/>
                <w:b/>
                <w:color w:val="000000"/>
                <w:sz w:val="20"/>
                <w:lang w:eastAsia="fr-FR"/>
              </w:rPr>
            </w:pPr>
            <w:r w:rsidRPr="00FB7BFC">
              <w:rPr>
                <w:rFonts w:ascii="Calibri" w:eastAsia="Times New Roman" w:hAnsi="Calibri" w:cs="Calibri"/>
                <w:b/>
                <w:color w:val="000000"/>
                <w:sz w:val="20"/>
                <w:lang w:eastAsia="fr-FR"/>
              </w:rPr>
              <w:t>Sources dépenses d'investissement</w:t>
            </w:r>
          </w:p>
        </w:tc>
        <w:tc>
          <w:tcPr>
            <w:tcW w:w="1004" w:type="pct"/>
            <w:tcBorders>
              <w:top w:val="single" w:sz="4" w:space="0" w:color="auto"/>
              <w:left w:val="nil"/>
              <w:bottom w:val="single" w:sz="4" w:space="0" w:color="auto"/>
              <w:right w:val="single" w:sz="4" w:space="0" w:color="auto"/>
            </w:tcBorders>
            <w:shd w:val="clear" w:color="auto" w:fill="auto"/>
            <w:noWrap/>
            <w:vAlign w:val="center"/>
            <w:hideMark/>
          </w:tcPr>
          <w:p w14:paraId="35923607" w14:textId="6F34F1D3" w:rsidR="00D71172" w:rsidRPr="00FB7BFC" w:rsidRDefault="00D71172" w:rsidP="00F12682">
            <w:pPr>
              <w:spacing w:after="0" w:line="240" w:lineRule="auto"/>
              <w:jc w:val="center"/>
              <w:rPr>
                <w:rFonts w:ascii="Calibri" w:eastAsia="Times New Roman" w:hAnsi="Calibri" w:cs="Calibri"/>
                <w:b/>
                <w:color w:val="000000"/>
                <w:sz w:val="20"/>
                <w:lang w:eastAsia="fr-FR"/>
              </w:rPr>
            </w:pPr>
            <w:r w:rsidRPr="008D300D">
              <w:rPr>
                <w:rFonts w:eastAsia="Times New Roman" w:cstheme="minorHAnsi"/>
                <w:b/>
                <w:sz w:val="20"/>
                <w:szCs w:val="20"/>
                <w:lang w:eastAsia="fr-FR"/>
              </w:rPr>
              <w:t>Crédits votés</w:t>
            </w:r>
          </w:p>
        </w:tc>
        <w:tc>
          <w:tcPr>
            <w:tcW w:w="845" w:type="pct"/>
            <w:tcBorders>
              <w:top w:val="single" w:sz="4" w:space="0" w:color="auto"/>
              <w:left w:val="nil"/>
              <w:bottom w:val="single" w:sz="4" w:space="0" w:color="auto"/>
              <w:right w:val="single" w:sz="4" w:space="0" w:color="auto"/>
            </w:tcBorders>
            <w:shd w:val="clear" w:color="auto" w:fill="auto"/>
            <w:noWrap/>
            <w:vAlign w:val="center"/>
            <w:hideMark/>
          </w:tcPr>
          <w:p w14:paraId="452F709A" w14:textId="4FC83D22" w:rsidR="00D71172" w:rsidRPr="00FB7BFC" w:rsidRDefault="00D71172" w:rsidP="00F12682">
            <w:pPr>
              <w:spacing w:after="0" w:line="240" w:lineRule="auto"/>
              <w:jc w:val="center"/>
              <w:rPr>
                <w:rFonts w:ascii="Calibri" w:eastAsia="Times New Roman" w:hAnsi="Calibri" w:cs="Calibri"/>
                <w:b/>
                <w:color w:val="000000"/>
                <w:sz w:val="20"/>
                <w:lang w:eastAsia="fr-FR"/>
              </w:rPr>
            </w:pPr>
            <w:r w:rsidRPr="008D300D">
              <w:rPr>
                <w:rFonts w:eastAsia="Times New Roman" w:cstheme="minorHAnsi"/>
                <w:b/>
                <w:sz w:val="20"/>
                <w:szCs w:val="20"/>
                <w:lang w:eastAsia="fr-FR"/>
              </w:rPr>
              <w:t>Crédits consommés</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14:paraId="47FF976A" w14:textId="77777777" w:rsidR="00D71172" w:rsidRPr="00FB7BFC" w:rsidRDefault="00D71172" w:rsidP="00F12682">
            <w:pPr>
              <w:spacing w:after="0" w:line="240" w:lineRule="auto"/>
              <w:jc w:val="center"/>
              <w:rPr>
                <w:rFonts w:ascii="Calibri" w:eastAsia="Times New Roman" w:hAnsi="Calibri" w:cs="Calibri"/>
                <w:b/>
                <w:color w:val="000000"/>
                <w:sz w:val="20"/>
                <w:lang w:eastAsia="fr-FR"/>
              </w:rPr>
            </w:pPr>
            <w:r w:rsidRPr="00FB7BFC">
              <w:rPr>
                <w:rFonts w:ascii="Calibri" w:eastAsia="Times New Roman" w:hAnsi="Calibri" w:cs="Calibri"/>
                <w:b/>
                <w:color w:val="000000"/>
                <w:sz w:val="20"/>
                <w:lang w:eastAsia="fr-FR"/>
              </w:rPr>
              <w:t>Taux de consommation</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3360A4AF" w14:textId="09A02F76" w:rsidR="00D71172" w:rsidRPr="00FB7BFC" w:rsidRDefault="00D71172" w:rsidP="00F12682">
            <w:pPr>
              <w:spacing w:after="0" w:line="240" w:lineRule="auto"/>
              <w:jc w:val="center"/>
              <w:rPr>
                <w:rFonts w:ascii="Calibri" w:eastAsia="Times New Roman" w:hAnsi="Calibri" w:cs="Calibri"/>
                <w:b/>
                <w:color w:val="000000"/>
                <w:sz w:val="20"/>
                <w:lang w:eastAsia="fr-FR"/>
              </w:rPr>
            </w:pPr>
            <w:r w:rsidRPr="00FB7BFC">
              <w:rPr>
                <w:rFonts w:ascii="Calibri" w:eastAsia="Times New Roman" w:hAnsi="Calibri" w:cs="Calibri"/>
                <w:b/>
                <w:color w:val="000000"/>
                <w:sz w:val="20"/>
                <w:lang w:eastAsia="fr-FR"/>
              </w:rPr>
              <w:t>Importance relative</w:t>
            </w:r>
          </w:p>
        </w:tc>
      </w:tr>
      <w:tr w:rsidR="00734DE4" w:rsidRPr="00FB7BFC" w14:paraId="016CA331" w14:textId="77777777" w:rsidTr="007777A8">
        <w:trPr>
          <w:trHeight w:val="300"/>
        </w:trPr>
        <w:tc>
          <w:tcPr>
            <w:tcW w:w="1607" w:type="pct"/>
            <w:tcBorders>
              <w:top w:val="nil"/>
              <w:left w:val="single" w:sz="4" w:space="0" w:color="auto"/>
              <w:bottom w:val="single" w:sz="4" w:space="0" w:color="auto"/>
              <w:right w:val="single" w:sz="4" w:space="0" w:color="auto"/>
            </w:tcBorders>
            <w:shd w:val="clear" w:color="auto" w:fill="auto"/>
            <w:noWrap/>
            <w:vAlign w:val="center"/>
            <w:hideMark/>
          </w:tcPr>
          <w:p w14:paraId="51C4B74A" w14:textId="77777777" w:rsidR="00734DE4" w:rsidRPr="00FB7BFC" w:rsidRDefault="00734DE4" w:rsidP="00F12682">
            <w:pPr>
              <w:spacing w:after="0" w:line="240" w:lineRule="auto"/>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Trésor</w:t>
            </w:r>
          </w:p>
        </w:tc>
        <w:tc>
          <w:tcPr>
            <w:tcW w:w="1004" w:type="pct"/>
            <w:tcBorders>
              <w:top w:val="nil"/>
              <w:left w:val="nil"/>
              <w:bottom w:val="single" w:sz="4" w:space="0" w:color="auto"/>
              <w:right w:val="single" w:sz="4" w:space="0" w:color="auto"/>
            </w:tcBorders>
            <w:shd w:val="clear" w:color="auto" w:fill="auto"/>
            <w:noWrap/>
            <w:vAlign w:val="center"/>
            <w:hideMark/>
          </w:tcPr>
          <w:p w14:paraId="02B87C6F"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116 092 035</w:t>
            </w:r>
          </w:p>
        </w:tc>
        <w:tc>
          <w:tcPr>
            <w:tcW w:w="845" w:type="pct"/>
            <w:tcBorders>
              <w:top w:val="nil"/>
              <w:left w:val="nil"/>
              <w:bottom w:val="single" w:sz="4" w:space="0" w:color="auto"/>
              <w:right w:val="single" w:sz="4" w:space="0" w:color="auto"/>
            </w:tcBorders>
            <w:shd w:val="clear" w:color="auto" w:fill="auto"/>
            <w:noWrap/>
            <w:vAlign w:val="center"/>
            <w:hideMark/>
          </w:tcPr>
          <w:p w14:paraId="7A8A6D09"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25 317 677</w:t>
            </w:r>
          </w:p>
        </w:tc>
        <w:tc>
          <w:tcPr>
            <w:tcW w:w="846" w:type="pct"/>
            <w:tcBorders>
              <w:top w:val="nil"/>
              <w:left w:val="nil"/>
              <w:bottom w:val="single" w:sz="4" w:space="0" w:color="auto"/>
              <w:right w:val="single" w:sz="4" w:space="0" w:color="auto"/>
            </w:tcBorders>
            <w:shd w:val="clear" w:color="auto" w:fill="auto"/>
            <w:noWrap/>
            <w:vAlign w:val="center"/>
            <w:hideMark/>
          </w:tcPr>
          <w:p w14:paraId="2B85F3C0"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22%</w:t>
            </w:r>
          </w:p>
        </w:tc>
        <w:tc>
          <w:tcPr>
            <w:tcW w:w="698" w:type="pct"/>
            <w:tcBorders>
              <w:top w:val="nil"/>
              <w:left w:val="nil"/>
              <w:bottom w:val="single" w:sz="4" w:space="0" w:color="auto"/>
              <w:right w:val="single" w:sz="4" w:space="0" w:color="auto"/>
            </w:tcBorders>
            <w:shd w:val="clear" w:color="auto" w:fill="auto"/>
            <w:noWrap/>
            <w:vAlign w:val="center"/>
            <w:hideMark/>
          </w:tcPr>
          <w:p w14:paraId="4CE4D282"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10%</w:t>
            </w:r>
          </w:p>
        </w:tc>
      </w:tr>
      <w:tr w:rsidR="00734DE4" w:rsidRPr="00FB7BFC" w14:paraId="2A929893" w14:textId="77777777" w:rsidTr="007777A8">
        <w:trPr>
          <w:trHeight w:val="300"/>
        </w:trPr>
        <w:tc>
          <w:tcPr>
            <w:tcW w:w="1607" w:type="pct"/>
            <w:tcBorders>
              <w:top w:val="nil"/>
              <w:left w:val="single" w:sz="4" w:space="0" w:color="auto"/>
              <w:bottom w:val="single" w:sz="4" w:space="0" w:color="auto"/>
              <w:right w:val="single" w:sz="4" w:space="0" w:color="auto"/>
            </w:tcBorders>
            <w:shd w:val="clear" w:color="auto" w:fill="auto"/>
            <w:noWrap/>
            <w:vAlign w:val="center"/>
            <w:hideMark/>
          </w:tcPr>
          <w:p w14:paraId="3FBD39BC" w14:textId="77777777" w:rsidR="00734DE4" w:rsidRPr="00FB7BFC" w:rsidRDefault="00734DE4" w:rsidP="00F12682">
            <w:pPr>
              <w:spacing w:after="0" w:line="240" w:lineRule="auto"/>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ANR</w:t>
            </w:r>
          </w:p>
        </w:tc>
        <w:tc>
          <w:tcPr>
            <w:tcW w:w="1004" w:type="pct"/>
            <w:tcBorders>
              <w:top w:val="nil"/>
              <w:left w:val="nil"/>
              <w:bottom w:val="single" w:sz="4" w:space="0" w:color="auto"/>
              <w:right w:val="single" w:sz="4" w:space="0" w:color="auto"/>
            </w:tcBorders>
            <w:shd w:val="clear" w:color="auto" w:fill="auto"/>
            <w:noWrap/>
            <w:vAlign w:val="center"/>
            <w:hideMark/>
          </w:tcPr>
          <w:p w14:paraId="595CBE35"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1 339 227 000</w:t>
            </w:r>
          </w:p>
        </w:tc>
        <w:tc>
          <w:tcPr>
            <w:tcW w:w="845" w:type="pct"/>
            <w:tcBorders>
              <w:top w:val="nil"/>
              <w:left w:val="nil"/>
              <w:bottom w:val="single" w:sz="4" w:space="0" w:color="auto"/>
              <w:right w:val="single" w:sz="4" w:space="0" w:color="auto"/>
            </w:tcBorders>
            <w:shd w:val="clear" w:color="auto" w:fill="auto"/>
            <w:noWrap/>
            <w:vAlign w:val="center"/>
            <w:hideMark/>
          </w:tcPr>
          <w:p w14:paraId="55F9E58C"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0</w:t>
            </w:r>
          </w:p>
        </w:tc>
        <w:tc>
          <w:tcPr>
            <w:tcW w:w="846" w:type="pct"/>
            <w:tcBorders>
              <w:top w:val="nil"/>
              <w:left w:val="nil"/>
              <w:bottom w:val="single" w:sz="4" w:space="0" w:color="auto"/>
              <w:right w:val="single" w:sz="4" w:space="0" w:color="auto"/>
            </w:tcBorders>
            <w:shd w:val="clear" w:color="auto" w:fill="auto"/>
            <w:noWrap/>
            <w:vAlign w:val="center"/>
            <w:hideMark/>
          </w:tcPr>
          <w:p w14:paraId="6EE81415"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0%</w:t>
            </w:r>
          </w:p>
        </w:tc>
        <w:tc>
          <w:tcPr>
            <w:tcW w:w="698" w:type="pct"/>
            <w:tcBorders>
              <w:top w:val="nil"/>
              <w:left w:val="nil"/>
              <w:bottom w:val="single" w:sz="4" w:space="0" w:color="auto"/>
              <w:right w:val="single" w:sz="4" w:space="0" w:color="auto"/>
            </w:tcBorders>
            <w:shd w:val="clear" w:color="auto" w:fill="auto"/>
            <w:noWrap/>
            <w:vAlign w:val="center"/>
            <w:hideMark/>
          </w:tcPr>
          <w:p w14:paraId="58575CDE"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0%</w:t>
            </w:r>
          </w:p>
        </w:tc>
      </w:tr>
      <w:tr w:rsidR="00734DE4" w:rsidRPr="00FB7BFC" w14:paraId="56D63BA4" w14:textId="77777777" w:rsidTr="007777A8">
        <w:trPr>
          <w:trHeight w:val="300"/>
        </w:trPr>
        <w:tc>
          <w:tcPr>
            <w:tcW w:w="1607" w:type="pct"/>
            <w:tcBorders>
              <w:top w:val="nil"/>
              <w:left w:val="single" w:sz="4" w:space="0" w:color="auto"/>
              <w:bottom w:val="single" w:sz="4" w:space="0" w:color="auto"/>
              <w:right w:val="single" w:sz="4" w:space="0" w:color="auto"/>
            </w:tcBorders>
            <w:shd w:val="clear" w:color="auto" w:fill="auto"/>
            <w:noWrap/>
            <w:vAlign w:val="center"/>
            <w:hideMark/>
          </w:tcPr>
          <w:p w14:paraId="54F416C5" w14:textId="60A273D1" w:rsidR="00734DE4" w:rsidRPr="00FB7BFC" w:rsidRDefault="00337326" w:rsidP="00F12682">
            <w:pPr>
              <w:spacing w:after="0" w:line="240" w:lineRule="auto"/>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Emprunt</w:t>
            </w:r>
          </w:p>
        </w:tc>
        <w:tc>
          <w:tcPr>
            <w:tcW w:w="1004" w:type="pct"/>
            <w:tcBorders>
              <w:top w:val="nil"/>
              <w:left w:val="nil"/>
              <w:bottom w:val="single" w:sz="4" w:space="0" w:color="auto"/>
              <w:right w:val="single" w:sz="4" w:space="0" w:color="auto"/>
            </w:tcBorders>
            <w:shd w:val="clear" w:color="auto" w:fill="auto"/>
            <w:noWrap/>
            <w:vAlign w:val="center"/>
            <w:hideMark/>
          </w:tcPr>
          <w:p w14:paraId="331A5577"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2 627 500 000</w:t>
            </w:r>
          </w:p>
        </w:tc>
        <w:tc>
          <w:tcPr>
            <w:tcW w:w="845" w:type="pct"/>
            <w:tcBorders>
              <w:top w:val="nil"/>
              <w:left w:val="nil"/>
              <w:bottom w:val="single" w:sz="4" w:space="0" w:color="auto"/>
              <w:right w:val="single" w:sz="4" w:space="0" w:color="auto"/>
            </w:tcBorders>
            <w:shd w:val="clear" w:color="auto" w:fill="auto"/>
            <w:noWrap/>
            <w:vAlign w:val="center"/>
            <w:hideMark/>
          </w:tcPr>
          <w:p w14:paraId="144D7E2A"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226 910 000</w:t>
            </w:r>
          </w:p>
        </w:tc>
        <w:tc>
          <w:tcPr>
            <w:tcW w:w="846" w:type="pct"/>
            <w:tcBorders>
              <w:top w:val="nil"/>
              <w:left w:val="nil"/>
              <w:bottom w:val="single" w:sz="4" w:space="0" w:color="auto"/>
              <w:right w:val="single" w:sz="4" w:space="0" w:color="auto"/>
            </w:tcBorders>
            <w:shd w:val="clear" w:color="auto" w:fill="auto"/>
            <w:noWrap/>
            <w:vAlign w:val="center"/>
            <w:hideMark/>
          </w:tcPr>
          <w:p w14:paraId="7BEDD31E"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9%</w:t>
            </w:r>
          </w:p>
        </w:tc>
        <w:tc>
          <w:tcPr>
            <w:tcW w:w="698" w:type="pct"/>
            <w:tcBorders>
              <w:top w:val="nil"/>
              <w:left w:val="nil"/>
              <w:bottom w:val="single" w:sz="4" w:space="0" w:color="auto"/>
              <w:right w:val="single" w:sz="4" w:space="0" w:color="auto"/>
            </w:tcBorders>
            <w:shd w:val="clear" w:color="auto" w:fill="auto"/>
            <w:noWrap/>
            <w:vAlign w:val="center"/>
            <w:hideMark/>
          </w:tcPr>
          <w:p w14:paraId="6DC91923" w14:textId="77777777" w:rsidR="00734DE4" w:rsidRPr="00FB7BFC" w:rsidRDefault="00734DE4" w:rsidP="00F12682">
            <w:pPr>
              <w:spacing w:after="0" w:line="240" w:lineRule="auto"/>
              <w:jc w:val="right"/>
              <w:rPr>
                <w:rFonts w:ascii="Calibri" w:eastAsia="Times New Roman" w:hAnsi="Calibri" w:cs="Calibri"/>
                <w:color w:val="000000"/>
                <w:sz w:val="20"/>
                <w:lang w:eastAsia="fr-FR"/>
              </w:rPr>
            </w:pPr>
            <w:r w:rsidRPr="00FB7BFC">
              <w:rPr>
                <w:rFonts w:ascii="Calibri" w:eastAsia="Times New Roman" w:hAnsi="Calibri" w:cs="Calibri"/>
                <w:color w:val="000000"/>
                <w:sz w:val="20"/>
                <w:lang w:eastAsia="fr-FR"/>
              </w:rPr>
              <w:t>90%</w:t>
            </w:r>
          </w:p>
        </w:tc>
      </w:tr>
      <w:tr w:rsidR="00734DE4" w:rsidRPr="00FB7BFC" w14:paraId="30C2DB77" w14:textId="77777777" w:rsidTr="007777A8">
        <w:trPr>
          <w:trHeight w:val="300"/>
        </w:trPr>
        <w:tc>
          <w:tcPr>
            <w:tcW w:w="1607" w:type="pct"/>
            <w:tcBorders>
              <w:top w:val="nil"/>
              <w:left w:val="single" w:sz="4" w:space="0" w:color="auto"/>
              <w:bottom w:val="single" w:sz="4" w:space="0" w:color="auto"/>
              <w:right w:val="single" w:sz="4" w:space="0" w:color="auto"/>
            </w:tcBorders>
            <w:shd w:val="clear" w:color="auto" w:fill="auto"/>
            <w:noWrap/>
            <w:vAlign w:val="center"/>
            <w:hideMark/>
          </w:tcPr>
          <w:p w14:paraId="73BADA04" w14:textId="77777777" w:rsidR="00734DE4" w:rsidRPr="00FB7BFC" w:rsidRDefault="00734DE4" w:rsidP="00F12682">
            <w:pPr>
              <w:spacing w:after="0" w:line="240" w:lineRule="auto"/>
              <w:rPr>
                <w:rFonts w:ascii="Calibri" w:eastAsia="Times New Roman" w:hAnsi="Calibri" w:cs="Calibri"/>
                <w:b/>
                <w:bCs/>
                <w:color w:val="000000"/>
                <w:sz w:val="20"/>
                <w:lang w:eastAsia="fr-FR"/>
              </w:rPr>
            </w:pPr>
            <w:r w:rsidRPr="00FB7BFC">
              <w:rPr>
                <w:rFonts w:ascii="Calibri" w:eastAsia="Times New Roman" w:hAnsi="Calibri" w:cs="Calibri"/>
                <w:b/>
                <w:bCs/>
                <w:color w:val="000000"/>
                <w:sz w:val="20"/>
                <w:lang w:eastAsia="fr-FR"/>
              </w:rPr>
              <w:t>Total général</w:t>
            </w:r>
          </w:p>
        </w:tc>
        <w:tc>
          <w:tcPr>
            <w:tcW w:w="1004" w:type="pct"/>
            <w:tcBorders>
              <w:top w:val="nil"/>
              <w:left w:val="nil"/>
              <w:bottom w:val="single" w:sz="4" w:space="0" w:color="auto"/>
              <w:right w:val="single" w:sz="4" w:space="0" w:color="auto"/>
            </w:tcBorders>
            <w:shd w:val="clear" w:color="auto" w:fill="auto"/>
            <w:noWrap/>
            <w:vAlign w:val="center"/>
            <w:hideMark/>
          </w:tcPr>
          <w:p w14:paraId="624ACAAE" w14:textId="77777777" w:rsidR="00734DE4" w:rsidRPr="00FB7BFC" w:rsidRDefault="00734DE4" w:rsidP="00F12682">
            <w:pPr>
              <w:spacing w:after="0" w:line="240" w:lineRule="auto"/>
              <w:jc w:val="right"/>
              <w:rPr>
                <w:rFonts w:ascii="Calibri" w:eastAsia="Times New Roman" w:hAnsi="Calibri" w:cs="Calibri"/>
                <w:b/>
                <w:bCs/>
                <w:color w:val="000000"/>
                <w:sz w:val="20"/>
                <w:lang w:eastAsia="fr-FR"/>
              </w:rPr>
            </w:pPr>
            <w:r w:rsidRPr="00FB7BFC">
              <w:rPr>
                <w:rFonts w:ascii="Calibri" w:eastAsia="Times New Roman" w:hAnsi="Calibri" w:cs="Calibri"/>
                <w:b/>
                <w:bCs/>
                <w:color w:val="000000"/>
                <w:sz w:val="20"/>
                <w:lang w:eastAsia="fr-FR"/>
              </w:rPr>
              <w:t>4 082 819 035</w:t>
            </w:r>
          </w:p>
        </w:tc>
        <w:tc>
          <w:tcPr>
            <w:tcW w:w="845" w:type="pct"/>
            <w:tcBorders>
              <w:top w:val="nil"/>
              <w:left w:val="nil"/>
              <w:bottom w:val="single" w:sz="4" w:space="0" w:color="auto"/>
              <w:right w:val="single" w:sz="4" w:space="0" w:color="auto"/>
            </w:tcBorders>
            <w:shd w:val="clear" w:color="auto" w:fill="auto"/>
            <w:noWrap/>
            <w:vAlign w:val="center"/>
            <w:hideMark/>
          </w:tcPr>
          <w:p w14:paraId="6A4E5F88" w14:textId="77777777" w:rsidR="00734DE4" w:rsidRPr="00FB7BFC" w:rsidRDefault="00734DE4" w:rsidP="00F12682">
            <w:pPr>
              <w:spacing w:after="0" w:line="240" w:lineRule="auto"/>
              <w:jc w:val="right"/>
              <w:rPr>
                <w:rFonts w:ascii="Calibri" w:eastAsia="Times New Roman" w:hAnsi="Calibri" w:cs="Calibri"/>
                <w:b/>
                <w:bCs/>
                <w:color w:val="000000"/>
                <w:sz w:val="20"/>
                <w:lang w:eastAsia="fr-FR"/>
              </w:rPr>
            </w:pPr>
            <w:r w:rsidRPr="00FB7BFC">
              <w:rPr>
                <w:rFonts w:ascii="Calibri" w:eastAsia="Times New Roman" w:hAnsi="Calibri" w:cs="Calibri"/>
                <w:b/>
                <w:bCs/>
                <w:color w:val="000000"/>
                <w:sz w:val="20"/>
                <w:lang w:eastAsia="fr-FR"/>
              </w:rPr>
              <w:t>252 227 677</w:t>
            </w:r>
          </w:p>
        </w:tc>
        <w:tc>
          <w:tcPr>
            <w:tcW w:w="846" w:type="pct"/>
            <w:tcBorders>
              <w:top w:val="nil"/>
              <w:left w:val="nil"/>
              <w:bottom w:val="single" w:sz="4" w:space="0" w:color="auto"/>
              <w:right w:val="single" w:sz="4" w:space="0" w:color="auto"/>
            </w:tcBorders>
            <w:shd w:val="clear" w:color="auto" w:fill="auto"/>
            <w:noWrap/>
            <w:vAlign w:val="center"/>
            <w:hideMark/>
          </w:tcPr>
          <w:p w14:paraId="5BB3DAF1" w14:textId="77777777" w:rsidR="00734DE4" w:rsidRPr="00FB7BFC" w:rsidRDefault="00734DE4" w:rsidP="00F12682">
            <w:pPr>
              <w:spacing w:after="0" w:line="240" w:lineRule="auto"/>
              <w:jc w:val="right"/>
              <w:rPr>
                <w:rFonts w:ascii="Calibri" w:eastAsia="Times New Roman" w:hAnsi="Calibri" w:cs="Calibri"/>
                <w:b/>
                <w:bCs/>
                <w:color w:val="000000"/>
                <w:sz w:val="20"/>
                <w:lang w:eastAsia="fr-FR"/>
              </w:rPr>
            </w:pPr>
            <w:r w:rsidRPr="00FB7BFC">
              <w:rPr>
                <w:rFonts w:ascii="Calibri" w:eastAsia="Times New Roman" w:hAnsi="Calibri" w:cs="Calibri"/>
                <w:b/>
                <w:bCs/>
                <w:color w:val="000000"/>
                <w:sz w:val="20"/>
                <w:lang w:eastAsia="fr-FR"/>
              </w:rPr>
              <w:t>6%</w:t>
            </w:r>
          </w:p>
        </w:tc>
        <w:tc>
          <w:tcPr>
            <w:tcW w:w="698" w:type="pct"/>
            <w:tcBorders>
              <w:top w:val="nil"/>
              <w:left w:val="nil"/>
              <w:bottom w:val="single" w:sz="4" w:space="0" w:color="auto"/>
              <w:right w:val="single" w:sz="4" w:space="0" w:color="auto"/>
            </w:tcBorders>
            <w:shd w:val="clear" w:color="auto" w:fill="auto"/>
            <w:noWrap/>
            <w:vAlign w:val="center"/>
            <w:hideMark/>
          </w:tcPr>
          <w:p w14:paraId="1DE33707" w14:textId="77777777" w:rsidR="00734DE4" w:rsidRPr="00FB7BFC" w:rsidRDefault="00734DE4" w:rsidP="00F12682">
            <w:pPr>
              <w:spacing w:after="0" w:line="240" w:lineRule="auto"/>
              <w:jc w:val="right"/>
              <w:rPr>
                <w:rFonts w:ascii="Calibri" w:eastAsia="Times New Roman" w:hAnsi="Calibri" w:cs="Calibri"/>
                <w:b/>
                <w:bCs/>
                <w:color w:val="000000"/>
                <w:sz w:val="20"/>
                <w:lang w:eastAsia="fr-FR"/>
              </w:rPr>
            </w:pPr>
            <w:r w:rsidRPr="00FB7BFC">
              <w:rPr>
                <w:rFonts w:ascii="Calibri" w:eastAsia="Times New Roman" w:hAnsi="Calibri" w:cs="Calibri"/>
                <w:b/>
                <w:bCs/>
                <w:color w:val="000000"/>
                <w:sz w:val="20"/>
                <w:lang w:eastAsia="fr-FR"/>
              </w:rPr>
              <w:t>100%</w:t>
            </w:r>
          </w:p>
        </w:tc>
      </w:tr>
    </w:tbl>
    <w:p w14:paraId="0B770D45" w14:textId="77777777" w:rsidR="00FB7BFC" w:rsidRPr="00FB7BFC" w:rsidRDefault="00FB7BFC" w:rsidP="00F12682">
      <w:pPr>
        <w:spacing w:after="120" w:line="276" w:lineRule="auto"/>
        <w:jc w:val="both"/>
        <w:rPr>
          <w:rFonts w:ascii="Calibri" w:eastAsiaTheme="majorEastAsia" w:hAnsi="Calibri" w:cs="Calibri"/>
          <w:iCs/>
          <w:sz w:val="24"/>
        </w:rPr>
      </w:pPr>
    </w:p>
    <w:p w14:paraId="12D53F84" w14:textId="77777777" w:rsidR="00895CB2" w:rsidRDefault="00895CB2" w:rsidP="00F12682">
      <w:pPr>
        <w:pStyle w:val="Titre4"/>
        <w:rPr>
          <w:rFonts w:asciiTheme="minorHAnsi" w:hAnsiTheme="minorHAnsi" w:cstheme="minorHAnsi"/>
        </w:rPr>
      </w:pPr>
      <w:r w:rsidRPr="004A5122">
        <w:rPr>
          <w:rFonts w:asciiTheme="minorHAnsi" w:hAnsiTheme="minorHAnsi" w:cstheme="minorHAnsi"/>
        </w:rPr>
        <w:t>Synthèse et perspective</w:t>
      </w:r>
    </w:p>
    <w:p w14:paraId="17F77311" w14:textId="33784EFF" w:rsidR="00673E94" w:rsidRDefault="00390BB0"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 xml:space="preserve">L’élément saillant de ce chapitre est la mise en exergue </w:t>
      </w:r>
      <w:r w:rsidR="00EB505F">
        <w:rPr>
          <w:rFonts w:ascii="Calibri" w:eastAsiaTheme="majorEastAsia" w:hAnsi="Calibri" w:cs="Calibri"/>
          <w:iCs/>
          <w:sz w:val="24"/>
        </w:rPr>
        <w:t xml:space="preserve">la mauvaise répartition des crédits entre le niveau central qui </w:t>
      </w:r>
      <w:r w:rsidR="0021075C">
        <w:rPr>
          <w:rFonts w:ascii="Calibri" w:eastAsiaTheme="majorEastAsia" w:hAnsi="Calibri" w:cs="Calibri"/>
          <w:iCs/>
          <w:sz w:val="24"/>
        </w:rPr>
        <w:t xml:space="preserve">garde l’essentiel des ressources financières et le niveau déconcentré qui se contente d’un pourcentage relativement faible. </w:t>
      </w:r>
      <w:r w:rsidR="00076012">
        <w:rPr>
          <w:rFonts w:ascii="Calibri" w:eastAsiaTheme="majorEastAsia" w:hAnsi="Calibri" w:cs="Calibri"/>
          <w:iCs/>
          <w:sz w:val="24"/>
        </w:rPr>
        <w:t xml:space="preserve">Aussi, les budgets d’investissement sont globalement sous consommés, avec des situations très critiques pour  les ANR et les </w:t>
      </w:r>
      <w:r w:rsidR="004128C7">
        <w:rPr>
          <w:rFonts w:ascii="Calibri" w:eastAsiaTheme="majorEastAsia" w:hAnsi="Calibri" w:cs="Calibri"/>
          <w:iCs/>
          <w:sz w:val="24"/>
        </w:rPr>
        <w:t>E</w:t>
      </w:r>
      <w:r w:rsidR="00076012">
        <w:rPr>
          <w:rFonts w:ascii="Calibri" w:eastAsiaTheme="majorEastAsia" w:hAnsi="Calibri" w:cs="Calibri"/>
          <w:iCs/>
          <w:sz w:val="24"/>
        </w:rPr>
        <w:t>mprunts.</w:t>
      </w:r>
    </w:p>
    <w:p w14:paraId="1C432F2A" w14:textId="77777777" w:rsidR="00FB7BFC" w:rsidRPr="00673E94" w:rsidRDefault="00FB7BFC" w:rsidP="00F12682">
      <w:pPr>
        <w:spacing w:after="120" w:line="276" w:lineRule="auto"/>
        <w:jc w:val="both"/>
        <w:rPr>
          <w:rFonts w:ascii="Calibri" w:eastAsiaTheme="majorEastAsia" w:hAnsi="Calibri" w:cs="Calibri"/>
          <w:iCs/>
          <w:sz w:val="24"/>
        </w:rPr>
      </w:pPr>
    </w:p>
    <w:p w14:paraId="480B3E21" w14:textId="77777777" w:rsidR="00942A9B" w:rsidRDefault="00942A9B" w:rsidP="00F12682">
      <w:pPr>
        <w:rPr>
          <w:rFonts w:eastAsiaTheme="majorEastAsia" w:cstheme="minorHAnsi"/>
          <w:b/>
          <w:color w:val="2E74B5" w:themeColor="accent1" w:themeShade="BF"/>
          <w:sz w:val="30"/>
          <w:szCs w:val="32"/>
        </w:rPr>
      </w:pPr>
      <w:r>
        <w:rPr>
          <w:rFonts w:cstheme="minorHAnsi"/>
        </w:rPr>
        <w:br w:type="page"/>
      </w:r>
    </w:p>
    <w:p w14:paraId="3C9BADB7" w14:textId="3F41529E" w:rsidR="00597DBF" w:rsidRDefault="00597DBF" w:rsidP="00F12682">
      <w:pPr>
        <w:pStyle w:val="Titre1"/>
        <w:numPr>
          <w:ilvl w:val="0"/>
          <w:numId w:val="0"/>
        </w:numPr>
        <w:jc w:val="both"/>
        <w:rPr>
          <w:rFonts w:asciiTheme="minorHAnsi" w:hAnsiTheme="minorHAnsi" w:cstheme="minorHAnsi"/>
        </w:rPr>
      </w:pPr>
      <w:bookmarkStart w:id="195" w:name="_Toc529305050"/>
      <w:r w:rsidRPr="004A5122">
        <w:rPr>
          <w:rFonts w:asciiTheme="minorHAnsi" w:hAnsiTheme="minorHAnsi" w:cstheme="minorHAnsi"/>
        </w:rPr>
        <w:lastRenderedPageBreak/>
        <w:t xml:space="preserve">Chapitre 6 : </w:t>
      </w:r>
      <w:r w:rsidR="0042448D" w:rsidRPr="004A5122">
        <w:rPr>
          <w:rFonts w:asciiTheme="minorHAnsi" w:hAnsiTheme="minorHAnsi" w:cstheme="minorHAnsi"/>
        </w:rPr>
        <w:t>Conclusion et recommandations</w:t>
      </w:r>
      <w:bookmarkEnd w:id="195"/>
    </w:p>
    <w:p w14:paraId="3D3E73DA" w14:textId="77777777" w:rsidR="003D34E5" w:rsidRPr="003D34E5" w:rsidRDefault="003D34E5" w:rsidP="00F12682"/>
    <w:p w14:paraId="3B641056" w14:textId="1CE964AB" w:rsidR="00F42FF8" w:rsidRDefault="00870868" w:rsidP="00F12682">
      <w:pPr>
        <w:pStyle w:val="Titre2"/>
        <w:numPr>
          <w:ilvl w:val="1"/>
          <w:numId w:val="2"/>
        </w:numPr>
        <w:rPr>
          <w:rFonts w:asciiTheme="minorHAnsi" w:hAnsiTheme="minorHAnsi" w:cstheme="minorHAnsi"/>
        </w:rPr>
      </w:pPr>
      <w:bookmarkStart w:id="196" w:name="_Toc529305051"/>
      <w:r>
        <w:rPr>
          <w:rFonts w:asciiTheme="minorHAnsi" w:hAnsiTheme="minorHAnsi" w:cstheme="minorHAnsi"/>
        </w:rPr>
        <w:t>Conclusion</w:t>
      </w:r>
      <w:r w:rsidR="00F42FF8" w:rsidRPr="004A5122">
        <w:rPr>
          <w:rFonts w:asciiTheme="minorHAnsi" w:hAnsiTheme="minorHAnsi" w:cstheme="minorHAnsi"/>
        </w:rPr>
        <w:t xml:space="preserve"> </w:t>
      </w:r>
      <w:r w:rsidR="00F80296" w:rsidRPr="004A5122">
        <w:rPr>
          <w:rFonts w:asciiTheme="minorHAnsi" w:hAnsiTheme="minorHAnsi" w:cstheme="minorHAnsi"/>
        </w:rPr>
        <w:t>générale</w:t>
      </w:r>
      <w:bookmarkEnd w:id="196"/>
    </w:p>
    <w:p w14:paraId="51AA6ADE" w14:textId="6D75C050" w:rsidR="00000463" w:rsidRDefault="00000463" w:rsidP="00F12682">
      <w:pPr>
        <w:spacing w:after="120" w:line="276" w:lineRule="auto"/>
        <w:jc w:val="both"/>
        <w:rPr>
          <w:rFonts w:ascii="Calibri" w:eastAsiaTheme="majorEastAsia" w:hAnsi="Calibri" w:cs="Calibri"/>
          <w:iCs/>
          <w:sz w:val="24"/>
        </w:rPr>
      </w:pPr>
      <w:r w:rsidRPr="00000463">
        <w:rPr>
          <w:rFonts w:ascii="Calibri" w:eastAsiaTheme="majorEastAsia" w:hAnsi="Calibri" w:cs="Calibri"/>
          <w:iCs/>
          <w:sz w:val="24"/>
        </w:rPr>
        <w:t>L’analyse de la gestion 201</w:t>
      </w:r>
      <w:r>
        <w:rPr>
          <w:rFonts w:ascii="Calibri" w:eastAsiaTheme="majorEastAsia" w:hAnsi="Calibri" w:cs="Calibri"/>
          <w:iCs/>
          <w:sz w:val="24"/>
        </w:rPr>
        <w:t>6</w:t>
      </w:r>
      <w:r w:rsidRPr="00000463">
        <w:rPr>
          <w:rFonts w:ascii="Calibri" w:eastAsiaTheme="majorEastAsia" w:hAnsi="Calibri" w:cs="Calibri"/>
          <w:iCs/>
          <w:sz w:val="24"/>
        </w:rPr>
        <w:t xml:space="preserve"> des dépenses du secteur </w:t>
      </w:r>
      <w:r>
        <w:rPr>
          <w:rFonts w:ascii="Calibri" w:eastAsiaTheme="majorEastAsia" w:hAnsi="Calibri" w:cs="Calibri"/>
          <w:iCs/>
          <w:sz w:val="24"/>
        </w:rPr>
        <w:t>de la Sécurité Alimentaire et Nutri</w:t>
      </w:r>
      <w:r w:rsidR="00960EDE">
        <w:rPr>
          <w:rFonts w:ascii="Calibri" w:eastAsiaTheme="majorEastAsia" w:hAnsi="Calibri" w:cs="Calibri"/>
          <w:iCs/>
          <w:sz w:val="24"/>
        </w:rPr>
        <w:t>ti</w:t>
      </w:r>
      <w:r>
        <w:rPr>
          <w:rFonts w:ascii="Calibri" w:eastAsiaTheme="majorEastAsia" w:hAnsi="Calibri" w:cs="Calibri"/>
          <w:iCs/>
          <w:sz w:val="24"/>
        </w:rPr>
        <w:t>onnelle et Dé</w:t>
      </w:r>
      <w:r w:rsidR="00960EDE">
        <w:rPr>
          <w:rFonts w:ascii="Calibri" w:eastAsiaTheme="majorEastAsia" w:hAnsi="Calibri" w:cs="Calibri"/>
          <w:iCs/>
          <w:sz w:val="24"/>
        </w:rPr>
        <w:t>v</w:t>
      </w:r>
      <w:r>
        <w:rPr>
          <w:rFonts w:ascii="Calibri" w:eastAsiaTheme="majorEastAsia" w:hAnsi="Calibri" w:cs="Calibri"/>
          <w:iCs/>
          <w:sz w:val="24"/>
        </w:rPr>
        <w:t xml:space="preserve">eloppement Agricole Durable </w:t>
      </w:r>
      <w:r w:rsidRPr="00000463">
        <w:rPr>
          <w:rFonts w:ascii="Calibri" w:eastAsiaTheme="majorEastAsia" w:hAnsi="Calibri" w:cs="Calibri"/>
          <w:iCs/>
          <w:sz w:val="24"/>
        </w:rPr>
        <w:t>à travers cette RDP a non seulement permis d’estimer le volume des dépenses en 201</w:t>
      </w:r>
      <w:r w:rsidR="00960EDE">
        <w:rPr>
          <w:rFonts w:ascii="Calibri" w:eastAsiaTheme="majorEastAsia" w:hAnsi="Calibri" w:cs="Calibri"/>
          <w:iCs/>
          <w:sz w:val="24"/>
        </w:rPr>
        <w:t>6</w:t>
      </w:r>
      <w:r w:rsidRPr="00000463">
        <w:rPr>
          <w:rFonts w:ascii="Calibri" w:eastAsiaTheme="majorEastAsia" w:hAnsi="Calibri" w:cs="Calibri"/>
          <w:iCs/>
          <w:sz w:val="24"/>
        </w:rPr>
        <w:t xml:space="preserve"> mais aussi d’apprécier la qualité de la gestion afin de l’affermir dans l’avenir.</w:t>
      </w:r>
      <w:r w:rsidR="00144C60">
        <w:rPr>
          <w:rFonts w:ascii="Calibri" w:eastAsiaTheme="majorEastAsia" w:hAnsi="Calibri" w:cs="Calibri"/>
          <w:iCs/>
          <w:sz w:val="24"/>
        </w:rPr>
        <w:t xml:space="preserve"> En effet, pour </w:t>
      </w:r>
      <w:r w:rsidR="00144C60" w:rsidRPr="00634B7E">
        <w:rPr>
          <w:rFonts w:ascii="Calibri" w:eastAsiaTheme="majorEastAsia" w:hAnsi="Calibri" w:cs="Calibri"/>
          <w:iCs/>
          <w:sz w:val="24"/>
        </w:rPr>
        <w:t>un montant global des crédits consommés de 1</w:t>
      </w:r>
      <w:r w:rsidR="00144C60">
        <w:rPr>
          <w:rFonts w:ascii="Calibri" w:eastAsiaTheme="majorEastAsia" w:hAnsi="Calibri" w:cs="Calibri"/>
          <w:iCs/>
          <w:sz w:val="24"/>
        </w:rPr>
        <w:t> </w:t>
      </w:r>
      <w:r w:rsidR="00144C60" w:rsidRPr="00634B7E">
        <w:rPr>
          <w:rFonts w:ascii="Calibri" w:eastAsiaTheme="majorEastAsia" w:hAnsi="Calibri" w:cs="Calibri"/>
          <w:iCs/>
          <w:sz w:val="24"/>
        </w:rPr>
        <w:t>251</w:t>
      </w:r>
      <w:r w:rsidR="00144C60">
        <w:rPr>
          <w:rFonts w:ascii="Calibri" w:eastAsiaTheme="majorEastAsia" w:hAnsi="Calibri" w:cs="Calibri"/>
          <w:iCs/>
          <w:sz w:val="24"/>
        </w:rPr>
        <w:t> </w:t>
      </w:r>
      <w:r w:rsidR="00144C60" w:rsidRPr="00634B7E">
        <w:rPr>
          <w:rFonts w:ascii="Calibri" w:eastAsiaTheme="majorEastAsia" w:hAnsi="Calibri" w:cs="Calibri"/>
          <w:iCs/>
          <w:sz w:val="24"/>
        </w:rPr>
        <w:t>523</w:t>
      </w:r>
      <w:r w:rsidR="00144C60">
        <w:rPr>
          <w:rFonts w:ascii="Calibri" w:eastAsiaTheme="majorEastAsia" w:hAnsi="Calibri" w:cs="Calibri"/>
          <w:iCs/>
          <w:sz w:val="24"/>
        </w:rPr>
        <w:t> </w:t>
      </w:r>
      <w:r w:rsidR="00144C60" w:rsidRPr="00634B7E">
        <w:rPr>
          <w:rFonts w:ascii="Calibri" w:eastAsiaTheme="majorEastAsia" w:hAnsi="Calibri" w:cs="Calibri"/>
          <w:iCs/>
          <w:sz w:val="24"/>
        </w:rPr>
        <w:t>790</w:t>
      </w:r>
      <w:r w:rsidR="00144C60">
        <w:rPr>
          <w:rFonts w:ascii="Calibri" w:eastAsiaTheme="majorEastAsia" w:hAnsi="Calibri" w:cs="Calibri"/>
          <w:iCs/>
          <w:sz w:val="24"/>
        </w:rPr>
        <w:t> </w:t>
      </w:r>
      <w:r w:rsidR="00144C60" w:rsidRPr="00634B7E">
        <w:rPr>
          <w:rFonts w:ascii="Calibri" w:eastAsiaTheme="majorEastAsia" w:hAnsi="Calibri" w:cs="Calibri"/>
          <w:iCs/>
          <w:sz w:val="24"/>
        </w:rPr>
        <w:t>153</w:t>
      </w:r>
      <w:r w:rsidR="00144C60">
        <w:rPr>
          <w:rFonts w:ascii="Calibri" w:eastAsiaTheme="majorEastAsia" w:hAnsi="Calibri" w:cs="Calibri"/>
          <w:iCs/>
          <w:sz w:val="24"/>
        </w:rPr>
        <w:t xml:space="preserve"> </w:t>
      </w:r>
      <w:r w:rsidR="00144C60" w:rsidRPr="00634B7E">
        <w:rPr>
          <w:rFonts w:ascii="Calibri" w:eastAsiaTheme="majorEastAsia" w:hAnsi="Calibri" w:cs="Calibri"/>
          <w:iCs/>
          <w:sz w:val="24"/>
        </w:rPr>
        <w:t xml:space="preserve">FCFA, le secteur rural n’a bénéficié que de </w:t>
      </w:r>
      <w:r w:rsidR="0032231D" w:rsidRPr="0032231D">
        <w:rPr>
          <w:rFonts w:ascii="Calibri" w:eastAsiaTheme="majorEastAsia" w:hAnsi="Calibri" w:cs="Calibri"/>
          <w:iCs/>
          <w:sz w:val="24"/>
        </w:rPr>
        <w:t>61</w:t>
      </w:r>
      <w:r w:rsidR="000F7FA3">
        <w:rPr>
          <w:rFonts w:ascii="Calibri" w:eastAsiaTheme="majorEastAsia" w:hAnsi="Calibri" w:cs="Calibri"/>
          <w:iCs/>
          <w:sz w:val="24"/>
        </w:rPr>
        <w:t> </w:t>
      </w:r>
      <w:r w:rsidR="0032231D" w:rsidRPr="0032231D">
        <w:rPr>
          <w:rFonts w:ascii="Calibri" w:eastAsiaTheme="majorEastAsia" w:hAnsi="Calibri" w:cs="Calibri"/>
          <w:iCs/>
          <w:sz w:val="24"/>
        </w:rPr>
        <w:t>333</w:t>
      </w:r>
      <w:r w:rsidR="000F7FA3">
        <w:rPr>
          <w:rFonts w:ascii="Calibri" w:eastAsiaTheme="majorEastAsia" w:hAnsi="Calibri" w:cs="Calibri"/>
          <w:iCs/>
          <w:sz w:val="24"/>
        </w:rPr>
        <w:t> </w:t>
      </w:r>
      <w:r w:rsidR="0032231D" w:rsidRPr="0032231D">
        <w:rPr>
          <w:rFonts w:ascii="Calibri" w:eastAsiaTheme="majorEastAsia" w:hAnsi="Calibri" w:cs="Calibri"/>
          <w:iCs/>
          <w:sz w:val="24"/>
        </w:rPr>
        <w:t>954</w:t>
      </w:r>
      <w:r w:rsidR="000F7FA3">
        <w:rPr>
          <w:rFonts w:ascii="Calibri" w:eastAsiaTheme="majorEastAsia" w:hAnsi="Calibri" w:cs="Calibri"/>
          <w:iCs/>
          <w:sz w:val="24"/>
        </w:rPr>
        <w:t> </w:t>
      </w:r>
      <w:r w:rsidR="0032231D" w:rsidRPr="0032231D">
        <w:rPr>
          <w:rFonts w:ascii="Calibri" w:eastAsiaTheme="majorEastAsia" w:hAnsi="Calibri" w:cs="Calibri"/>
          <w:iCs/>
          <w:sz w:val="24"/>
        </w:rPr>
        <w:t>935</w:t>
      </w:r>
      <w:r w:rsidR="000F7FA3">
        <w:rPr>
          <w:rFonts w:ascii="Calibri" w:eastAsiaTheme="majorEastAsia" w:hAnsi="Calibri" w:cs="Calibri"/>
          <w:iCs/>
          <w:sz w:val="24"/>
        </w:rPr>
        <w:t xml:space="preserve"> </w:t>
      </w:r>
      <w:r w:rsidR="0032231D" w:rsidRPr="0032231D">
        <w:rPr>
          <w:rFonts w:ascii="Calibri" w:eastAsiaTheme="majorEastAsia" w:hAnsi="Calibri" w:cs="Calibri"/>
          <w:iCs/>
          <w:sz w:val="24"/>
        </w:rPr>
        <w:t xml:space="preserve">FCFA </w:t>
      </w:r>
      <w:r w:rsidR="00144C60" w:rsidRPr="00634B7E">
        <w:rPr>
          <w:rFonts w:ascii="Calibri" w:eastAsiaTheme="majorEastAsia" w:hAnsi="Calibri" w:cs="Calibri"/>
          <w:iCs/>
          <w:sz w:val="24"/>
        </w:rPr>
        <w:t xml:space="preserve">soit </w:t>
      </w:r>
      <w:r w:rsidR="0032231D">
        <w:rPr>
          <w:rFonts w:ascii="Calibri" w:eastAsiaTheme="majorEastAsia" w:hAnsi="Calibri" w:cs="Calibri"/>
          <w:iCs/>
          <w:sz w:val="24"/>
        </w:rPr>
        <w:t>5</w:t>
      </w:r>
      <w:r w:rsidR="00144C60" w:rsidRPr="00634B7E">
        <w:rPr>
          <w:rFonts w:ascii="Calibri" w:eastAsiaTheme="majorEastAsia" w:hAnsi="Calibri" w:cs="Calibri"/>
          <w:iCs/>
          <w:sz w:val="24"/>
        </w:rPr>
        <w:t>%. Le taux de consommation du secteur rural est à peine la moitié du taux de consommation du budget global de l’Etat.</w:t>
      </w:r>
    </w:p>
    <w:p w14:paraId="11D2A8F5" w14:textId="2ECBDB53" w:rsidR="00000463" w:rsidRPr="00000463" w:rsidRDefault="00000463" w:rsidP="00F12682">
      <w:pPr>
        <w:spacing w:after="120" w:line="276" w:lineRule="auto"/>
        <w:jc w:val="both"/>
        <w:rPr>
          <w:rFonts w:ascii="Calibri" w:eastAsiaTheme="majorEastAsia" w:hAnsi="Calibri" w:cs="Calibri"/>
          <w:iCs/>
          <w:sz w:val="24"/>
        </w:rPr>
      </w:pPr>
      <w:r w:rsidRPr="00000463">
        <w:rPr>
          <w:rFonts w:ascii="Calibri" w:eastAsiaTheme="majorEastAsia" w:hAnsi="Calibri" w:cs="Calibri"/>
          <w:iCs/>
          <w:sz w:val="24"/>
        </w:rPr>
        <w:t xml:space="preserve">En dépit que cette RDP n’pas pu appréhender tous les programmes </w:t>
      </w:r>
      <w:r w:rsidR="00960EDE">
        <w:rPr>
          <w:rFonts w:ascii="Calibri" w:eastAsiaTheme="majorEastAsia" w:hAnsi="Calibri" w:cs="Calibri"/>
          <w:iCs/>
          <w:sz w:val="24"/>
        </w:rPr>
        <w:t>stratégiques du Plan d’Action 2016-2020</w:t>
      </w:r>
      <w:r w:rsidRPr="00000463">
        <w:rPr>
          <w:rFonts w:ascii="Calibri" w:eastAsiaTheme="majorEastAsia" w:hAnsi="Calibri" w:cs="Calibri"/>
          <w:iCs/>
          <w:sz w:val="24"/>
        </w:rPr>
        <w:t xml:space="preserve"> du fait de leur exhaustivité, cet exercice a fait ressortir la part de la contribution de tous les partenaires en présence (Etat, PTF</w:t>
      </w:r>
      <w:r w:rsidR="003F6F26">
        <w:rPr>
          <w:rFonts w:ascii="Calibri" w:eastAsiaTheme="majorEastAsia" w:hAnsi="Calibri" w:cs="Calibri"/>
          <w:iCs/>
          <w:sz w:val="24"/>
        </w:rPr>
        <w:t>)</w:t>
      </w:r>
      <w:r w:rsidRPr="00000463">
        <w:rPr>
          <w:rFonts w:ascii="Calibri" w:eastAsiaTheme="majorEastAsia" w:hAnsi="Calibri" w:cs="Calibri"/>
          <w:iCs/>
          <w:sz w:val="24"/>
        </w:rPr>
        <w:t xml:space="preserve"> dans la réalisation pour l’atteinte des objectifs de l</w:t>
      </w:r>
      <w:r w:rsidR="00960EDE">
        <w:rPr>
          <w:rFonts w:ascii="Calibri" w:eastAsiaTheme="majorEastAsia" w:hAnsi="Calibri" w:cs="Calibri"/>
          <w:iCs/>
          <w:sz w:val="24"/>
        </w:rPr>
        <w:t>’Initiative 3N</w:t>
      </w:r>
      <w:r w:rsidRPr="00000463">
        <w:rPr>
          <w:rFonts w:ascii="Calibri" w:eastAsiaTheme="majorEastAsia" w:hAnsi="Calibri" w:cs="Calibri"/>
          <w:iCs/>
          <w:sz w:val="24"/>
        </w:rPr>
        <w:t>.</w:t>
      </w:r>
    </w:p>
    <w:p w14:paraId="211FA33E" w14:textId="061C4373" w:rsidR="0004596D" w:rsidRPr="00144C60" w:rsidRDefault="00144C60" w:rsidP="00F12682">
      <w:pPr>
        <w:spacing w:after="120" w:line="276" w:lineRule="auto"/>
        <w:jc w:val="both"/>
        <w:rPr>
          <w:rFonts w:ascii="Calibri" w:eastAsiaTheme="majorEastAsia" w:hAnsi="Calibri" w:cs="Calibri"/>
          <w:iCs/>
          <w:sz w:val="24"/>
        </w:rPr>
      </w:pPr>
      <w:r w:rsidRPr="00144C60">
        <w:rPr>
          <w:rFonts w:ascii="Calibri" w:eastAsiaTheme="majorEastAsia" w:hAnsi="Calibri" w:cs="Calibri"/>
          <w:iCs/>
          <w:sz w:val="24"/>
        </w:rPr>
        <w:t>Il ressort aussi que d</w:t>
      </w:r>
      <w:r w:rsidR="0004596D" w:rsidRPr="00144C60">
        <w:rPr>
          <w:rFonts w:ascii="Calibri" w:eastAsiaTheme="majorEastAsia" w:hAnsi="Calibri" w:cs="Calibri"/>
          <w:iCs/>
          <w:sz w:val="24"/>
        </w:rPr>
        <w:t>ans le cadre de processus formel et institutionnalisé comme les revues, les données sont accessibles dans le secteur de la SANDAD. Cependant, le manque des bases des données fiables et unifiées par sous-secteur et/ou administration ne facilite pas l’accessibilité aux données fiables. Les données aussi bien financière que celles relatives aux réalisations physiques sont stockées selon plusieurs méthodes et dans de format et/ou logiciels divers. Cette situation entraine une lenteur dans l’accessibilité aux données, leur dispersion et l’existence des écarts à l’intérieur d’une même administration.</w:t>
      </w:r>
    </w:p>
    <w:p w14:paraId="55C63F1D" w14:textId="77777777" w:rsidR="0004596D" w:rsidRDefault="0004596D" w:rsidP="00F12682">
      <w:pPr>
        <w:spacing w:after="120" w:line="276" w:lineRule="auto"/>
        <w:jc w:val="both"/>
        <w:rPr>
          <w:rFonts w:ascii="Calibri" w:eastAsiaTheme="majorEastAsia" w:hAnsi="Calibri" w:cs="Calibri"/>
          <w:iCs/>
          <w:sz w:val="24"/>
        </w:rPr>
      </w:pPr>
      <w:r w:rsidRPr="00144C60">
        <w:rPr>
          <w:rFonts w:ascii="Calibri" w:eastAsiaTheme="majorEastAsia" w:hAnsi="Calibri" w:cs="Calibri"/>
          <w:iCs/>
          <w:sz w:val="24"/>
        </w:rPr>
        <w:t>Cette situation est beaucoup plus difficile pour les sous-secteurs de l’agriculture, l’élevage et de l’environnement, colonne vertébrale de la SANDAD, ils se contentent de la production du rapport bilan de l’action gouvernementale au titre de l’année 2016.</w:t>
      </w:r>
    </w:p>
    <w:p w14:paraId="0A8D7D85" w14:textId="10AC20FB" w:rsidR="005223BD" w:rsidRDefault="00144C60" w:rsidP="00F12682">
      <w:pPr>
        <w:spacing w:after="120" w:line="276" w:lineRule="auto"/>
        <w:jc w:val="both"/>
        <w:rPr>
          <w:rFonts w:ascii="Calibri" w:eastAsiaTheme="majorEastAsia" w:hAnsi="Calibri" w:cs="Calibri"/>
          <w:iCs/>
          <w:sz w:val="24"/>
        </w:rPr>
      </w:pPr>
      <w:r w:rsidRPr="00144C60">
        <w:rPr>
          <w:rFonts w:ascii="Calibri" w:eastAsiaTheme="majorEastAsia" w:hAnsi="Calibri" w:cs="Calibri"/>
          <w:iCs/>
          <w:sz w:val="24"/>
        </w:rPr>
        <w:t xml:space="preserve">Les faibles taux de réalisations ont aussi leur explication dans la faible mobilisation des ressources internes et dans certaines contingences qui, dans des situations de tensions budgétaires, orientent les financements (tant internes qu’externes) vers des domaines jugés plus prioritaires </w:t>
      </w:r>
      <w:r w:rsidR="005223BD">
        <w:rPr>
          <w:rFonts w:ascii="Calibri" w:eastAsiaTheme="majorEastAsia" w:hAnsi="Calibri" w:cs="Calibri"/>
          <w:iCs/>
          <w:sz w:val="24"/>
        </w:rPr>
        <w:t xml:space="preserve">notamment vers les </w:t>
      </w:r>
      <w:r w:rsidRPr="00144C60">
        <w:rPr>
          <w:rFonts w:ascii="Calibri" w:eastAsiaTheme="majorEastAsia" w:hAnsi="Calibri" w:cs="Calibri"/>
          <w:iCs/>
          <w:sz w:val="24"/>
        </w:rPr>
        <w:t>secteurs sociaux</w:t>
      </w:r>
      <w:r w:rsidR="005223BD">
        <w:rPr>
          <w:rFonts w:ascii="Calibri" w:eastAsiaTheme="majorEastAsia" w:hAnsi="Calibri" w:cs="Calibri"/>
          <w:iCs/>
          <w:sz w:val="24"/>
        </w:rPr>
        <w:t xml:space="preserve"> et l’</w:t>
      </w:r>
      <w:r w:rsidRPr="00144C60">
        <w:rPr>
          <w:rFonts w:ascii="Calibri" w:eastAsiaTheme="majorEastAsia" w:hAnsi="Calibri" w:cs="Calibri"/>
          <w:iCs/>
          <w:sz w:val="24"/>
        </w:rPr>
        <w:t>aide humanitaire</w:t>
      </w:r>
      <w:r w:rsidR="005223BD">
        <w:rPr>
          <w:rFonts w:ascii="Calibri" w:eastAsiaTheme="majorEastAsia" w:hAnsi="Calibri" w:cs="Calibri"/>
          <w:iCs/>
          <w:sz w:val="24"/>
        </w:rPr>
        <w:t>.</w:t>
      </w:r>
      <w:r w:rsidRPr="00144C60">
        <w:rPr>
          <w:rFonts w:ascii="Calibri" w:eastAsiaTheme="majorEastAsia" w:hAnsi="Calibri" w:cs="Calibri"/>
          <w:iCs/>
          <w:sz w:val="24"/>
        </w:rPr>
        <w:t xml:space="preserve"> Le Niger dépend fortement des financements extérieurs parce que les ressources internes sont faibles, elles couvrent à peine les dépenses de souveraineté ; ceci est dû au fait que l’économie est essentiellement rurale et informelle, le secteur moderne est limité et connait des difficultés de surcoûts grevant sa compétitivité, le secteur informel est difficilement et insuffisamment fiscalisé, le secteur minier est en crise de demande. A cela s’ajoute des défis en matière de bonne gouvernance.</w:t>
      </w:r>
    </w:p>
    <w:p w14:paraId="7FD144B8" w14:textId="77777777" w:rsidR="005223BD" w:rsidRDefault="00144C60" w:rsidP="00F12682">
      <w:pPr>
        <w:spacing w:after="120" w:line="276" w:lineRule="auto"/>
        <w:jc w:val="both"/>
        <w:rPr>
          <w:rFonts w:ascii="Calibri" w:eastAsiaTheme="majorEastAsia" w:hAnsi="Calibri" w:cs="Calibri"/>
          <w:iCs/>
          <w:sz w:val="24"/>
        </w:rPr>
      </w:pPr>
      <w:r w:rsidRPr="00144C60">
        <w:rPr>
          <w:rFonts w:ascii="Calibri" w:eastAsiaTheme="majorEastAsia" w:hAnsi="Calibri" w:cs="Calibri"/>
          <w:iCs/>
          <w:sz w:val="24"/>
        </w:rPr>
        <w:t>La programmation des activités est en général bien conçue mais son exécution constitue le défi le plus important</w:t>
      </w:r>
      <w:r w:rsidR="005223BD">
        <w:rPr>
          <w:rFonts w:ascii="Calibri" w:eastAsiaTheme="majorEastAsia" w:hAnsi="Calibri" w:cs="Calibri"/>
          <w:iCs/>
          <w:sz w:val="24"/>
        </w:rPr>
        <w:t>.</w:t>
      </w:r>
    </w:p>
    <w:p w14:paraId="65C9BB25" w14:textId="6DFDB600" w:rsidR="005223BD" w:rsidRPr="005223BD" w:rsidRDefault="005223BD" w:rsidP="00F12682">
      <w:pPr>
        <w:spacing w:after="120" w:line="276" w:lineRule="auto"/>
        <w:jc w:val="both"/>
        <w:rPr>
          <w:rFonts w:ascii="Calibri" w:eastAsiaTheme="majorEastAsia" w:hAnsi="Calibri" w:cs="Calibri"/>
          <w:iCs/>
          <w:sz w:val="24"/>
        </w:rPr>
      </w:pPr>
      <w:r>
        <w:rPr>
          <w:rFonts w:ascii="Calibri" w:eastAsiaTheme="majorEastAsia" w:hAnsi="Calibri" w:cs="Calibri"/>
          <w:iCs/>
          <w:sz w:val="24"/>
        </w:rPr>
        <w:t>Aussi, il est à noter que l</w:t>
      </w:r>
      <w:r w:rsidRPr="005223BD">
        <w:rPr>
          <w:rFonts w:ascii="Calibri" w:eastAsiaTheme="majorEastAsia" w:hAnsi="Calibri" w:cs="Calibri"/>
          <w:iCs/>
          <w:sz w:val="24"/>
        </w:rPr>
        <w:t>a répartition des crédits budgétaires ne répond pas clairement et objectivement aux priorités; tout parait prioritaire; or il n’y a pas suffisamment de ressources pour répondre à tous les besoins ; les arbitrages ent</w:t>
      </w:r>
      <w:r>
        <w:rPr>
          <w:rFonts w:ascii="Calibri" w:eastAsiaTheme="majorEastAsia" w:hAnsi="Calibri" w:cs="Calibri"/>
          <w:iCs/>
          <w:sz w:val="24"/>
        </w:rPr>
        <w:t xml:space="preserve">re priorités sont insuffisants. C’est ainsi que le </w:t>
      </w:r>
      <w:r w:rsidRPr="005223BD">
        <w:rPr>
          <w:rFonts w:ascii="Calibri" w:eastAsiaTheme="majorEastAsia" w:hAnsi="Calibri" w:cs="Calibri"/>
          <w:iCs/>
          <w:sz w:val="24"/>
        </w:rPr>
        <w:t xml:space="preserve">gel des crédits </w:t>
      </w:r>
      <w:r>
        <w:rPr>
          <w:rFonts w:ascii="Calibri" w:eastAsiaTheme="majorEastAsia" w:hAnsi="Calibri" w:cs="Calibri"/>
          <w:iCs/>
          <w:sz w:val="24"/>
        </w:rPr>
        <w:t xml:space="preserve">en 2016 </w:t>
      </w:r>
      <w:r w:rsidRPr="005223BD">
        <w:rPr>
          <w:rFonts w:ascii="Calibri" w:eastAsiaTheme="majorEastAsia" w:hAnsi="Calibri" w:cs="Calibri"/>
          <w:iCs/>
          <w:sz w:val="24"/>
        </w:rPr>
        <w:t xml:space="preserve">du fait des tensions de trésorerie et les lenteurs des décaissements </w:t>
      </w:r>
      <w:r>
        <w:rPr>
          <w:rFonts w:ascii="Calibri" w:eastAsiaTheme="majorEastAsia" w:hAnsi="Calibri" w:cs="Calibri"/>
          <w:iCs/>
          <w:sz w:val="24"/>
        </w:rPr>
        <w:t>ont faussés</w:t>
      </w:r>
      <w:r w:rsidRPr="005223BD">
        <w:rPr>
          <w:rFonts w:ascii="Calibri" w:eastAsiaTheme="majorEastAsia" w:hAnsi="Calibri" w:cs="Calibri"/>
          <w:iCs/>
          <w:sz w:val="24"/>
        </w:rPr>
        <w:t xml:space="preserve"> les </w:t>
      </w:r>
      <w:r w:rsidRPr="005223BD">
        <w:rPr>
          <w:rFonts w:ascii="Calibri" w:eastAsiaTheme="majorEastAsia" w:hAnsi="Calibri" w:cs="Calibri"/>
          <w:iCs/>
          <w:sz w:val="24"/>
        </w:rPr>
        <w:lastRenderedPageBreak/>
        <w:t xml:space="preserve">prévisions et </w:t>
      </w:r>
      <w:r>
        <w:rPr>
          <w:rFonts w:ascii="Calibri" w:eastAsiaTheme="majorEastAsia" w:hAnsi="Calibri" w:cs="Calibri"/>
          <w:iCs/>
          <w:sz w:val="24"/>
        </w:rPr>
        <w:t xml:space="preserve">ont </w:t>
      </w:r>
      <w:r w:rsidRPr="005223BD">
        <w:rPr>
          <w:rFonts w:ascii="Calibri" w:eastAsiaTheme="majorEastAsia" w:hAnsi="Calibri" w:cs="Calibri"/>
          <w:iCs/>
          <w:sz w:val="24"/>
        </w:rPr>
        <w:t>comprom</w:t>
      </w:r>
      <w:r>
        <w:rPr>
          <w:rFonts w:ascii="Calibri" w:eastAsiaTheme="majorEastAsia" w:hAnsi="Calibri" w:cs="Calibri"/>
          <w:iCs/>
          <w:sz w:val="24"/>
        </w:rPr>
        <w:t xml:space="preserve">is </w:t>
      </w:r>
      <w:r w:rsidRPr="005223BD">
        <w:rPr>
          <w:rFonts w:ascii="Calibri" w:eastAsiaTheme="majorEastAsia" w:hAnsi="Calibri" w:cs="Calibri"/>
          <w:iCs/>
          <w:sz w:val="24"/>
        </w:rPr>
        <w:t>la réalisation des objectifs ; le déficit de prévision et d’anticipation aggra</w:t>
      </w:r>
      <w:r>
        <w:rPr>
          <w:rFonts w:ascii="Calibri" w:eastAsiaTheme="majorEastAsia" w:hAnsi="Calibri" w:cs="Calibri"/>
          <w:iCs/>
          <w:sz w:val="24"/>
        </w:rPr>
        <w:t>ve les difficultés financières.</w:t>
      </w:r>
    </w:p>
    <w:p w14:paraId="22C2D134" w14:textId="77777777" w:rsidR="003D34E5" w:rsidRPr="003D34E5" w:rsidRDefault="003D34E5" w:rsidP="00F12682">
      <w:pPr>
        <w:spacing w:after="120" w:line="276" w:lineRule="auto"/>
        <w:jc w:val="both"/>
        <w:rPr>
          <w:rFonts w:ascii="Calibri" w:eastAsiaTheme="majorEastAsia" w:hAnsi="Calibri" w:cs="Calibri"/>
          <w:iCs/>
          <w:sz w:val="24"/>
        </w:rPr>
      </w:pPr>
    </w:p>
    <w:p w14:paraId="08D37854" w14:textId="26E06AD8" w:rsidR="00F42FF8" w:rsidRDefault="00F42FF8" w:rsidP="00F12682">
      <w:pPr>
        <w:pStyle w:val="Titre2"/>
        <w:numPr>
          <w:ilvl w:val="1"/>
          <w:numId w:val="2"/>
        </w:numPr>
        <w:rPr>
          <w:rFonts w:asciiTheme="minorHAnsi" w:hAnsiTheme="minorHAnsi" w:cstheme="minorHAnsi"/>
        </w:rPr>
      </w:pPr>
      <w:bookmarkStart w:id="197" w:name="_Toc529305052"/>
      <w:r w:rsidRPr="004A5122">
        <w:rPr>
          <w:rFonts w:asciiTheme="minorHAnsi" w:hAnsiTheme="minorHAnsi" w:cstheme="minorHAnsi"/>
        </w:rPr>
        <w:t>Recommandations</w:t>
      </w:r>
      <w:bookmarkEnd w:id="197"/>
    </w:p>
    <w:p w14:paraId="0A6FA7BB" w14:textId="77777777" w:rsidR="003D34E5" w:rsidRDefault="003D34E5" w:rsidP="00F12682">
      <w:pPr>
        <w:spacing w:after="120" w:line="276" w:lineRule="auto"/>
        <w:jc w:val="both"/>
        <w:rPr>
          <w:rFonts w:ascii="Calibri" w:eastAsiaTheme="majorEastAsia" w:hAnsi="Calibri" w:cs="Calibri"/>
          <w:iCs/>
          <w:sz w:val="24"/>
        </w:rPr>
      </w:pPr>
    </w:p>
    <w:p w14:paraId="0622747F" w14:textId="28D2B1F0" w:rsidR="00144C60" w:rsidRPr="00EE0826" w:rsidRDefault="00144C60" w:rsidP="00F12682">
      <w:pPr>
        <w:pStyle w:val="Paragraphedeliste"/>
        <w:numPr>
          <w:ilvl w:val="0"/>
          <w:numId w:val="44"/>
        </w:numPr>
        <w:spacing w:after="120" w:line="276" w:lineRule="auto"/>
        <w:ind w:left="284" w:hanging="68"/>
        <w:contextualSpacing w:val="0"/>
        <w:jc w:val="both"/>
        <w:rPr>
          <w:rFonts w:ascii="Calibri" w:hAnsi="Calibri" w:cs="Calibri"/>
          <w:sz w:val="24"/>
          <w:szCs w:val="24"/>
        </w:rPr>
      </w:pPr>
      <w:r w:rsidRPr="00EE0826">
        <w:rPr>
          <w:rFonts w:ascii="Calibri" w:hAnsi="Calibri" w:cs="Calibri"/>
          <w:sz w:val="24"/>
          <w:szCs w:val="24"/>
        </w:rPr>
        <w:t xml:space="preserve">Les Ministères </w:t>
      </w:r>
      <w:r w:rsidR="00EE0826" w:rsidRPr="00EE0826">
        <w:rPr>
          <w:rFonts w:ascii="Calibri" w:hAnsi="Calibri" w:cs="Calibri"/>
          <w:sz w:val="24"/>
          <w:szCs w:val="24"/>
        </w:rPr>
        <w:t xml:space="preserve">/Institutions </w:t>
      </w:r>
      <w:r w:rsidRPr="00EE0826">
        <w:rPr>
          <w:rFonts w:ascii="Calibri" w:hAnsi="Calibri" w:cs="Calibri"/>
          <w:sz w:val="24"/>
          <w:szCs w:val="24"/>
        </w:rPr>
        <w:t>doivent améliorer l’allocation des ressources humaines entre niveaux central et déconcentré et doter les services de terrain des moyens conséquents permettant d’assurer un encadrement rapproché de la mise en œuvre des actions programmées ;</w:t>
      </w:r>
    </w:p>
    <w:p w14:paraId="10B2EB86" w14:textId="117B9A93" w:rsidR="00144C60" w:rsidRPr="00EE0826" w:rsidRDefault="00144C60" w:rsidP="00F12682">
      <w:pPr>
        <w:pStyle w:val="Paragraphedeliste"/>
        <w:numPr>
          <w:ilvl w:val="0"/>
          <w:numId w:val="44"/>
        </w:numPr>
        <w:spacing w:after="120" w:line="276" w:lineRule="auto"/>
        <w:ind w:left="284" w:hanging="68"/>
        <w:contextualSpacing w:val="0"/>
        <w:jc w:val="both"/>
        <w:rPr>
          <w:rFonts w:ascii="Calibri" w:hAnsi="Calibri" w:cs="Calibri"/>
          <w:sz w:val="24"/>
          <w:szCs w:val="24"/>
        </w:rPr>
      </w:pPr>
      <w:r w:rsidRPr="00EE0826">
        <w:rPr>
          <w:rFonts w:ascii="Calibri" w:hAnsi="Calibri" w:cs="Calibri"/>
          <w:sz w:val="24"/>
          <w:szCs w:val="24"/>
        </w:rPr>
        <w:t xml:space="preserve">L’Etat et les autres parties prenantes doivent introduire des modes de financement innovants </w:t>
      </w:r>
      <w:r w:rsidR="00EE0826" w:rsidRPr="00EE0826">
        <w:rPr>
          <w:rFonts w:ascii="Calibri" w:hAnsi="Calibri" w:cs="Calibri"/>
          <w:sz w:val="24"/>
          <w:szCs w:val="24"/>
        </w:rPr>
        <w:t>et efficients</w:t>
      </w:r>
      <w:r w:rsidRPr="00EE0826">
        <w:rPr>
          <w:rFonts w:ascii="Calibri" w:hAnsi="Calibri" w:cs="Calibri"/>
          <w:sz w:val="24"/>
          <w:szCs w:val="24"/>
        </w:rPr>
        <w:t> ; les expériences de certains projets actuellement en cours d’exécution sont pertine</w:t>
      </w:r>
      <w:r w:rsidR="00EE0826" w:rsidRPr="00EE0826">
        <w:rPr>
          <w:rFonts w:ascii="Calibri" w:hAnsi="Calibri" w:cs="Calibri"/>
          <w:sz w:val="24"/>
          <w:szCs w:val="24"/>
        </w:rPr>
        <w:t>ntes et sont de bons exemples ;</w:t>
      </w:r>
    </w:p>
    <w:p w14:paraId="3B022C07" w14:textId="66EE61C4" w:rsidR="00144C60" w:rsidRPr="00EE0826" w:rsidRDefault="00144C60" w:rsidP="00F12682">
      <w:pPr>
        <w:pStyle w:val="Paragraphedeliste"/>
        <w:numPr>
          <w:ilvl w:val="0"/>
          <w:numId w:val="44"/>
        </w:numPr>
        <w:spacing w:after="120" w:line="276" w:lineRule="auto"/>
        <w:ind w:left="284" w:hanging="68"/>
        <w:contextualSpacing w:val="0"/>
        <w:jc w:val="both"/>
        <w:rPr>
          <w:rFonts w:ascii="Calibri" w:hAnsi="Calibri" w:cs="Calibri"/>
          <w:sz w:val="24"/>
          <w:szCs w:val="24"/>
        </w:rPr>
      </w:pPr>
      <w:r w:rsidRPr="00EE0826">
        <w:rPr>
          <w:rFonts w:ascii="Calibri" w:hAnsi="Calibri" w:cs="Calibri"/>
          <w:sz w:val="24"/>
          <w:szCs w:val="24"/>
        </w:rPr>
        <w:t xml:space="preserve">L’Etat doit assurer des allocations budgétaires conséquentes eu égard à ses ambitions en matière </w:t>
      </w:r>
      <w:r w:rsidR="00EE0826" w:rsidRPr="00EE0826">
        <w:rPr>
          <w:rFonts w:ascii="Calibri" w:hAnsi="Calibri" w:cs="Calibri"/>
          <w:sz w:val="24"/>
          <w:szCs w:val="24"/>
        </w:rPr>
        <w:t>de Sécurité Alimentaire et Nutritionnelle</w:t>
      </w:r>
      <w:r w:rsidRPr="00EE0826">
        <w:rPr>
          <w:rFonts w:ascii="Calibri" w:hAnsi="Calibri" w:cs="Calibri"/>
          <w:sz w:val="24"/>
          <w:szCs w:val="24"/>
        </w:rPr>
        <w:t xml:space="preserve"> et de Développement Agricole Durable et libérer les crédits à temps pour éviter des retards dans la mise en œuvre des actions et mesures ;</w:t>
      </w:r>
    </w:p>
    <w:p w14:paraId="4026B62C" w14:textId="769EECFB" w:rsidR="00144C60" w:rsidRPr="00EE0826" w:rsidRDefault="00144C60" w:rsidP="00F12682">
      <w:pPr>
        <w:pStyle w:val="Paragraphedeliste"/>
        <w:numPr>
          <w:ilvl w:val="0"/>
          <w:numId w:val="44"/>
        </w:numPr>
        <w:spacing w:after="120" w:line="276" w:lineRule="auto"/>
        <w:ind w:left="284" w:hanging="68"/>
        <w:contextualSpacing w:val="0"/>
        <w:jc w:val="both"/>
        <w:rPr>
          <w:rFonts w:ascii="Calibri" w:hAnsi="Calibri" w:cs="Calibri"/>
          <w:sz w:val="24"/>
          <w:szCs w:val="24"/>
        </w:rPr>
      </w:pPr>
      <w:r w:rsidRPr="00EE0826">
        <w:rPr>
          <w:rFonts w:ascii="Calibri" w:hAnsi="Calibri" w:cs="Calibri"/>
          <w:sz w:val="24"/>
          <w:szCs w:val="24"/>
        </w:rPr>
        <w:t>Les Ministères et autres structures étatiques doivent planifier et programmer leurs actions et mesures en tenant compte de la réforme des finances publiques nouvellement adoptée par le Gouvernement; cela devrait contribuer à une amélioration de la gestion.</w:t>
      </w:r>
    </w:p>
    <w:p w14:paraId="28279C90" w14:textId="77777777" w:rsidR="00144C60" w:rsidRDefault="00144C60" w:rsidP="00F12682">
      <w:pPr>
        <w:spacing w:after="0"/>
      </w:pPr>
    </w:p>
    <w:p w14:paraId="1628B066" w14:textId="77777777" w:rsidR="003D34E5" w:rsidRPr="003D34E5" w:rsidRDefault="003D34E5" w:rsidP="00F12682">
      <w:pPr>
        <w:spacing w:after="120" w:line="276" w:lineRule="auto"/>
        <w:jc w:val="both"/>
        <w:rPr>
          <w:rFonts w:ascii="Calibri" w:eastAsiaTheme="majorEastAsia" w:hAnsi="Calibri" w:cs="Calibri"/>
          <w:iCs/>
          <w:sz w:val="24"/>
        </w:rPr>
      </w:pPr>
    </w:p>
    <w:p w14:paraId="0E045712" w14:textId="77777777" w:rsidR="003D34E5" w:rsidRPr="003D34E5" w:rsidRDefault="003D34E5" w:rsidP="00F12682">
      <w:pPr>
        <w:spacing w:after="120" w:line="276" w:lineRule="auto"/>
        <w:jc w:val="both"/>
        <w:rPr>
          <w:rFonts w:ascii="Calibri" w:eastAsiaTheme="majorEastAsia" w:hAnsi="Calibri" w:cs="Calibri"/>
          <w:iCs/>
          <w:sz w:val="24"/>
        </w:rPr>
      </w:pPr>
    </w:p>
    <w:p w14:paraId="02C8D492" w14:textId="77777777" w:rsidR="003D34E5" w:rsidRPr="003D34E5" w:rsidRDefault="003D34E5" w:rsidP="00F12682">
      <w:pPr>
        <w:sectPr w:rsidR="003D34E5" w:rsidRPr="003D34E5" w:rsidSect="00E32B33">
          <w:pgSz w:w="11906" w:h="16838"/>
          <w:pgMar w:top="1134" w:right="1134" w:bottom="1134" w:left="1134" w:header="709" w:footer="709" w:gutter="0"/>
          <w:cols w:space="708"/>
          <w:docGrid w:linePitch="360"/>
        </w:sectPr>
      </w:pPr>
    </w:p>
    <w:p w14:paraId="16231B61" w14:textId="77777777" w:rsidR="003A570C" w:rsidRPr="003A570C" w:rsidRDefault="003A570C" w:rsidP="00F12682">
      <w:pPr>
        <w:spacing w:after="120" w:line="276" w:lineRule="auto"/>
        <w:jc w:val="both"/>
        <w:rPr>
          <w:rFonts w:ascii="Calibri" w:eastAsiaTheme="majorEastAsia" w:hAnsi="Calibri" w:cs="Calibri"/>
          <w:iCs/>
          <w:sz w:val="24"/>
        </w:rPr>
      </w:pPr>
    </w:p>
    <w:p w14:paraId="5BDE0352" w14:textId="77777777" w:rsidR="003A570C" w:rsidRPr="003A570C" w:rsidRDefault="003A570C" w:rsidP="003A570C">
      <w:pPr>
        <w:spacing w:after="120" w:line="276" w:lineRule="auto"/>
        <w:jc w:val="both"/>
        <w:rPr>
          <w:rFonts w:ascii="Calibri" w:eastAsiaTheme="majorEastAsia" w:hAnsi="Calibri" w:cs="Calibri"/>
          <w:iCs/>
          <w:sz w:val="24"/>
        </w:rPr>
      </w:pPr>
    </w:p>
    <w:sectPr w:rsidR="003A570C" w:rsidRPr="003A570C" w:rsidSect="00E32B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4E87B" w14:textId="77777777" w:rsidR="00B83528" w:rsidRDefault="00B83528" w:rsidP="004118AB">
      <w:pPr>
        <w:spacing w:after="0" w:line="240" w:lineRule="auto"/>
      </w:pPr>
      <w:r>
        <w:separator/>
      </w:r>
    </w:p>
  </w:endnote>
  <w:endnote w:type="continuationSeparator" w:id="0">
    <w:p w14:paraId="43998841" w14:textId="77777777" w:rsidR="00B83528" w:rsidRDefault="00B83528" w:rsidP="0041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C04CF" w14:textId="7BCF7F69" w:rsidR="009E3565" w:rsidRDefault="009E3565">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44D0D" w14:textId="77777777" w:rsidR="009E3565" w:rsidRDefault="009E3565">
    <w:pPr>
      <w:pStyle w:val="Pieddepag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956739"/>
      <w:docPartObj>
        <w:docPartGallery w:val="Page Numbers (Bottom of Page)"/>
        <w:docPartUnique/>
      </w:docPartObj>
    </w:sdtPr>
    <w:sdtEndPr/>
    <w:sdtContent>
      <w:p w14:paraId="02119835" w14:textId="77777777" w:rsidR="009E3565" w:rsidRDefault="009E3565">
        <w:pPr>
          <w:pStyle w:val="Pieddepage"/>
          <w:jc w:val="right"/>
        </w:pPr>
        <w:r>
          <w:fldChar w:fldCharType="begin"/>
        </w:r>
        <w:r>
          <w:instrText>PAGE   \* MERGEFORMAT</w:instrText>
        </w:r>
        <w:r>
          <w:fldChar w:fldCharType="separate"/>
        </w:r>
        <w:r w:rsidR="001C37F0">
          <w:rPr>
            <w:noProof/>
          </w:rPr>
          <w:t>73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8ADF7" w14:textId="77777777" w:rsidR="00B83528" w:rsidRDefault="00B83528" w:rsidP="004118AB">
      <w:pPr>
        <w:spacing w:after="0" w:line="240" w:lineRule="auto"/>
      </w:pPr>
      <w:r>
        <w:separator/>
      </w:r>
    </w:p>
  </w:footnote>
  <w:footnote w:type="continuationSeparator" w:id="0">
    <w:p w14:paraId="66C61231" w14:textId="77777777" w:rsidR="00B83528" w:rsidRDefault="00B83528" w:rsidP="00411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29D01" w14:textId="3EDE7CAD" w:rsidR="009E3565" w:rsidRDefault="009E3565">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909"/>
      <w:docPartObj>
        <w:docPartGallery w:val="Page Numbers (Top of Page)"/>
        <w:docPartUnique/>
      </w:docPartObj>
    </w:sdtPr>
    <w:sdtEndPr/>
    <w:sdtContent>
      <w:p w14:paraId="7DDD04D3" w14:textId="77777777" w:rsidR="009E3565" w:rsidRDefault="009E3565">
        <w:pPr>
          <w:pStyle w:val="En-tte"/>
          <w:jc w:val="right"/>
        </w:pPr>
        <w:r>
          <w:fldChar w:fldCharType="begin"/>
        </w:r>
        <w:r>
          <w:instrText>PAGE   \* MERGEFORMAT</w:instrText>
        </w:r>
        <w:r>
          <w:fldChar w:fldCharType="separate"/>
        </w:r>
        <w:r w:rsidR="001C37F0">
          <w:rPr>
            <w:noProof/>
          </w:rPr>
          <w:t>vi</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130200"/>
      <w:docPartObj>
        <w:docPartGallery w:val="Page Numbers (Top of Page)"/>
        <w:docPartUnique/>
      </w:docPartObj>
    </w:sdtPr>
    <w:sdtEndPr/>
    <w:sdtContent>
      <w:p w14:paraId="195DF901" w14:textId="4526677E" w:rsidR="009E3565" w:rsidRDefault="00B83528">
        <w:pPr>
          <w:pStyle w:val="En-tte"/>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7FA"/>
    <w:multiLevelType w:val="hybridMultilevel"/>
    <w:tmpl w:val="EDDCA57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7B16F3"/>
    <w:multiLevelType w:val="hybridMultilevel"/>
    <w:tmpl w:val="4AE23B7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BB1706"/>
    <w:multiLevelType w:val="hybridMultilevel"/>
    <w:tmpl w:val="E45C3F5C"/>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425D3"/>
    <w:multiLevelType w:val="hybridMultilevel"/>
    <w:tmpl w:val="977880A8"/>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57E9E"/>
    <w:multiLevelType w:val="hybridMultilevel"/>
    <w:tmpl w:val="A8740652"/>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234448"/>
    <w:multiLevelType w:val="multilevel"/>
    <w:tmpl w:val="BAD2C0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C05AC7"/>
    <w:multiLevelType w:val="hybridMultilevel"/>
    <w:tmpl w:val="84982D28"/>
    <w:lvl w:ilvl="0" w:tplc="6B147A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F0834"/>
    <w:multiLevelType w:val="hybridMultilevel"/>
    <w:tmpl w:val="B33EDAD4"/>
    <w:lvl w:ilvl="0" w:tplc="3514B864">
      <w:start w:val="1"/>
      <w:numFmt w:val="bullet"/>
      <w:lvlText w:val="­"/>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5B1BB7"/>
    <w:multiLevelType w:val="hybridMultilevel"/>
    <w:tmpl w:val="D5468B8A"/>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73268"/>
    <w:multiLevelType w:val="hybridMultilevel"/>
    <w:tmpl w:val="1CD80776"/>
    <w:lvl w:ilvl="0" w:tplc="695EA9D4">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7E7637"/>
    <w:multiLevelType w:val="hybridMultilevel"/>
    <w:tmpl w:val="FED28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9026C7"/>
    <w:multiLevelType w:val="hybridMultilevel"/>
    <w:tmpl w:val="D0F62E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353692"/>
    <w:multiLevelType w:val="hybridMultilevel"/>
    <w:tmpl w:val="7EDC4858"/>
    <w:lvl w:ilvl="0" w:tplc="81EA80D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3166C6"/>
    <w:multiLevelType w:val="hybridMultilevel"/>
    <w:tmpl w:val="1F16F6C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EE0D24"/>
    <w:multiLevelType w:val="hybridMultilevel"/>
    <w:tmpl w:val="C3A06DD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405A41"/>
    <w:multiLevelType w:val="hybridMultilevel"/>
    <w:tmpl w:val="8B26AF74"/>
    <w:lvl w:ilvl="0" w:tplc="3514B86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083F8A"/>
    <w:multiLevelType w:val="hybridMultilevel"/>
    <w:tmpl w:val="BE16E96A"/>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295244"/>
    <w:multiLevelType w:val="hybridMultilevel"/>
    <w:tmpl w:val="6A42C8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1851F9"/>
    <w:multiLevelType w:val="hybridMultilevel"/>
    <w:tmpl w:val="18B8A49C"/>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E80342"/>
    <w:multiLevelType w:val="hybridMultilevel"/>
    <w:tmpl w:val="43428C2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5A1CEE"/>
    <w:multiLevelType w:val="hybridMultilevel"/>
    <w:tmpl w:val="03564862"/>
    <w:lvl w:ilvl="0" w:tplc="040C0003">
      <w:start w:val="1"/>
      <w:numFmt w:val="bullet"/>
      <w:lvlText w:val="o"/>
      <w:lvlJc w:val="left"/>
      <w:pPr>
        <w:ind w:left="360" w:hanging="360"/>
      </w:pPr>
      <w:rPr>
        <w:rFonts w:ascii="Courier New" w:hAnsi="Courier New" w:cs="Courier New" w:hint="default"/>
      </w:rPr>
    </w:lvl>
    <w:lvl w:ilvl="1" w:tplc="3514B864">
      <w:start w:val="1"/>
      <w:numFmt w:val="bullet"/>
      <w:lvlText w:val="­"/>
      <w:lvlJc w:val="left"/>
      <w:pPr>
        <w:ind w:left="1080" w:hanging="360"/>
      </w:pPr>
      <w:rPr>
        <w:rFonts w:ascii="Calibri" w:hAnsi="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29541A2"/>
    <w:multiLevelType w:val="hybridMultilevel"/>
    <w:tmpl w:val="5724885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4C4047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354A08E1"/>
    <w:multiLevelType w:val="hybridMultilevel"/>
    <w:tmpl w:val="833E7A7C"/>
    <w:lvl w:ilvl="0" w:tplc="93547E9C">
      <w:numFmt w:val="bullet"/>
      <w:lvlText w:val="-"/>
      <w:lvlJc w:val="left"/>
      <w:pPr>
        <w:ind w:left="720" w:hanging="360"/>
      </w:pPr>
      <w:rPr>
        <w:rFonts w:ascii="Arial" w:eastAsia="Georgia"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E2274"/>
    <w:multiLevelType w:val="hybridMultilevel"/>
    <w:tmpl w:val="C972976A"/>
    <w:lvl w:ilvl="0" w:tplc="40488B7A">
      <w:start w:val="1"/>
      <w:numFmt w:val="bullet"/>
      <w:pStyle w:val="Titre4"/>
      <w:lvlText w:val="&gt;"/>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A3F42CF"/>
    <w:multiLevelType w:val="multilevel"/>
    <w:tmpl w:val="BAD2C0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857F69"/>
    <w:multiLevelType w:val="hybridMultilevel"/>
    <w:tmpl w:val="328EFF9E"/>
    <w:lvl w:ilvl="0" w:tplc="040C0003">
      <w:start w:val="1"/>
      <w:numFmt w:val="bullet"/>
      <w:lvlText w:val="o"/>
      <w:lvlJc w:val="left"/>
      <w:pPr>
        <w:ind w:left="360" w:hanging="360"/>
      </w:pPr>
      <w:rPr>
        <w:rFonts w:ascii="Courier New" w:hAnsi="Courier New" w:cs="Courier New" w:hint="default"/>
      </w:rPr>
    </w:lvl>
    <w:lvl w:ilvl="1" w:tplc="3514B864">
      <w:start w:val="1"/>
      <w:numFmt w:val="bullet"/>
      <w:lvlText w:val="­"/>
      <w:lvlJc w:val="left"/>
      <w:pPr>
        <w:ind w:left="1080" w:hanging="360"/>
      </w:pPr>
      <w:rPr>
        <w:rFonts w:ascii="Calibri" w:hAnsi="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3C0523F"/>
    <w:multiLevelType w:val="hybridMultilevel"/>
    <w:tmpl w:val="033C7D7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92857A2"/>
    <w:multiLevelType w:val="hybridMultilevel"/>
    <w:tmpl w:val="326EF3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9410EB8"/>
    <w:multiLevelType w:val="hybridMultilevel"/>
    <w:tmpl w:val="CC0A20A0"/>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C02BB8"/>
    <w:multiLevelType w:val="multilevel"/>
    <w:tmpl w:val="BAD2C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7B54F0"/>
    <w:multiLevelType w:val="hybridMultilevel"/>
    <w:tmpl w:val="84E61354"/>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16329F"/>
    <w:multiLevelType w:val="multilevel"/>
    <w:tmpl w:val="6974E1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E47EAB"/>
    <w:multiLevelType w:val="hybridMultilevel"/>
    <w:tmpl w:val="8998F08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18E07B7"/>
    <w:multiLevelType w:val="hybridMultilevel"/>
    <w:tmpl w:val="4EF0DC0C"/>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0A266A"/>
    <w:multiLevelType w:val="hybridMultilevel"/>
    <w:tmpl w:val="E6B2F91A"/>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2C77D1"/>
    <w:multiLevelType w:val="hybridMultilevel"/>
    <w:tmpl w:val="9FDE91E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3C64D8"/>
    <w:multiLevelType w:val="hybridMultilevel"/>
    <w:tmpl w:val="FCEC7866"/>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4B18BB"/>
    <w:multiLevelType w:val="hybridMultilevel"/>
    <w:tmpl w:val="FF98F7A2"/>
    <w:lvl w:ilvl="0" w:tplc="9A58C56E">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0C06000"/>
    <w:multiLevelType w:val="hybridMultilevel"/>
    <w:tmpl w:val="702A71FA"/>
    <w:lvl w:ilvl="0" w:tplc="3514B86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350502D"/>
    <w:multiLevelType w:val="hybridMultilevel"/>
    <w:tmpl w:val="C73A790A"/>
    <w:lvl w:ilvl="0" w:tplc="B45010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7B83BA1"/>
    <w:multiLevelType w:val="hybridMultilevel"/>
    <w:tmpl w:val="A016E53A"/>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5C43F4"/>
    <w:multiLevelType w:val="hybridMultilevel"/>
    <w:tmpl w:val="76202B62"/>
    <w:lvl w:ilvl="0" w:tplc="3514B86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5C59E6"/>
    <w:multiLevelType w:val="hybridMultilevel"/>
    <w:tmpl w:val="23BC3E36"/>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F2658F5"/>
    <w:multiLevelType w:val="hybridMultilevel"/>
    <w:tmpl w:val="FDA426DA"/>
    <w:lvl w:ilvl="0" w:tplc="3514B86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11485C"/>
    <w:multiLevelType w:val="hybridMultilevel"/>
    <w:tmpl w:val="5F9EB8FE"/>
    <w:lvl w:ilvl="0" w:tplc="F684E56C">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7F0096F"/>
    <w:multiLevelType w:val="hybridMultilevel"/>
    <w:tmpl w:val="42F0442A"/>
    <w:lvl w:ilvl="0" w:tplc="9628101C">
      <w:start w:val="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491F80"/>
    <w:multiLevelType w:val="hybridMultilevel"/>
    <w:tmpl w:val="70E6C08C"/>
    <w:lvl w:ilvl="0" w:tplc="6B147AD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B52405"/>
    <w:multiLevelType w:val="multilevel"/>
    <w:tmpl w:val="29E0D4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D0572EE"/>
    <w:multiLevelType w:val="hybridMultilevel"/>
    <w:tmpl w:val="B9D258B0"/>
    <w:lvl w:ilvl="0" w:tplc="9628101C">
      <w:start w:val="8"/>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5"/>
  </w:num>
  <w:num w:numId="4">
    <w:abstractNumId w:val="22"/>
  </w:num>
  <w:num w:numId="5">
    <w:abstractNumId w:val="24"/>
  </w:num>
  <w:num w:numId="6">
    <w:abstractNumId w:val="42"/>
  </w:num>
  <w:num w:numId="7">
    <w:abstractNumId w:val="17"/>
  </w:num>
  <w:num w:numId="8">
    <w:abstractNumId w:val="39"/>
  </w:num>
  <w:num w:numId="9">
    <w:abstractNumId w:val="13"/>
  </w:num>
  <w:num w:numId="10">
    <w:abstractNumId w:val="40"/>
  </w:num>
  <w:num w:numId="11">
    <w:abstractNumId w:val="26"/>
  </w:num>
  <w:num w:numId="12">
    <w:abstractNumId w:val="27"/>
  </w:num>
  <w:num w:numId="13">
    <w:abstractNumId w:val="1"/>
  </w:num>
  <w:num w:numId="14">
    <w:abstractNumId w:val="10"/>
  </w:num>
  <w:num w:numId="15">
    <w:abstractNumId w:val="20"/>
  </w:num>
  <w:num w:numId="16">
    <w:abstractNumId w:val="47"/>
  </w:num>
  <w:num w:numId="17">
    <w:abstractNumId w:val="35"/>
  </w:num>
  <w:num w:numId="18">
    <w:abstractNumId w:val="8"/>
  </w:num>
  <w:num w:numId="19">
    <w:abstractNumId w:val="18"/>
  </w:num>
  <w:num w:numId="20">
    <w:abstractNumId w:val="49"/>
  </w:num>
  <w:num w:numId="21">
    <w:abstractNumId w:val="32"/>
  </w:num>
  <w:num w:numId="22">
    <w:abstractNumId w:val="48"/>
  </w:num>
  <w:num w:numId="23">
    <w:abstractNumId w:val="23"/>
  </w:num>
  <w:num w:numId="24">
    <w:abstractNumId w:val="6"/>
  </w:num>
  <w:num w:numId="25">
    <w:abstractNumId w:val="41"/>
  </w:num>
  <w:num w:numId="26">
    <w:abstractNumId w:val="3"/>
  </w:num>
  <w:num w:numId="27">
    <w:abstractNumId w:val="34"/>
  </w:num>
  <w:num w:numId="28">
    <w:abstractNumId w:val="4"/>
  </w:num>
  <w:num w:numId="29">
    <w:abstractNumId w:val="29"/>
  </w:num>
  <w:num w:numId="30">
    <w:abstractNumId w:val="11"/>
  </w:num>
  <w:num w:numId="31">
    <w:abstractNumId w:val="31"/>
  </w:num>
  <w:num w:numId="32">
    <w:abstractNumId w:val="46"/>
  </w:num>
  <w:num w:numId="33">
    <w:abstractNumId w:val="16"/>
  </w:num>
  <w:num w:numId="34">
    <w:abstractNumId w:val="37"/>
  </w:num>
  <w:num w:numId="35">
    <w:abstractNumId w:val="2"/>
  </w:num>
  <w:num w:numId="36">
    <w:abstractNumId w:val="43"/>
  </w:num>
  <w:num w:numId="37">
    <w:abstractNumId w:val="12"/>
  </w:num>
  <w:num w:numId="38">
    <w:abstractNumId w:val="7"/>
  </w:num>
  <w:num w:numId="39">
    <w:abstractNumId w:val="9"/>
  </w:num>
  <w:num w:numId="40">
    <w:abstractNumId w:val="19"/>
  </w:num>
  <w:num w:numId="41">
    <w:abstractNumId w:val="45"/>
  </w:num>
  <w:num w:numId="42">
    <w:abstractNumId w:val="38"/>
  </w:num>
  <w:num w:numId="43">
    <w:abstractNumId w:val="14"/>
  </w:num>
  <w:num w:numId="44">
    <w:abstractNumId w:val="21"/>
  </w:num>
  <w:num w:numId="45">
    <w:abstractNumId w:val="28"/>
  </w:num>
  <w:num w:numId="46">
    <w:abstractNumId w:val="33"/>
  </w:num>
  <w:num w:numId="47">
    <w:abstractNumId w:val="36"/>
  </w:num>
  <w:num w:numId="48">
    <w:abstractNumId w:val="0"/>
  </w:num>
  <w:num w:numId="49">
    <w:abstractNumId w:val="44"/>
  </w:num>
  <w:num w:numId="5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08"/>
    <w:rsid w:val="00000463"/>
    <w:rsid w:val="00001A85"/>
    <w:rsid w:val="00002FB6"/>
    <w:rsid w:val="00011FEB"/>
    <w:rsid w:val="000203F9"/>
    <w:rsid w:val="000211D6"/>
    <w:rsid w:val="00022C71"/>
    <w:rsid w:val="00025AC2"/>
    <w:rsid w:val="000315C7"/>
    <w:rsid w:val="000325E2"/>
    <w:rsid w:val="00032759"/>
    <w:rsid w:val="00035CA3"/>
    <w:rsid w:val="00035FF3"/>
    <w:rsid w:val="00041080"/>
    <w:rsid w:val="00042CA9"/>
    <w:rsid w:val="0004459F"/>
    <w:rsid w:val="0004596D"/>
    <w:rsid w:val="00047518"/>
    <w:rsid w:val="00055FD3"/>
    <w:rsid w:val="000566C0"/>
    <w:rsid w:val="000576E0"/>
    <w:rsid w:val="0006254D"/>
    <w:rsid w:val="000654F9"/>
    <w:rsid w:val="00065DE0"/>
    <w:rsid w:val="00066A75"/>
    <w:rsid w:val="000673B1"/>
    <w:rsid w:val="000677E6"/>
    <w:rsid w:val="000678B2"/>
    <w:rsid w:val="00067A27"/>
    <w:rsid w:val="00071BEB"/>
    <w:rsid w:val="00073CD1"/>
    <w:rsid w:val="00076012"/>
    <w:rsid w:val="00076106"/>
    <w:rsid w:val="00080F9D"/>
    <w:rsid w:val="00081A43"/>
    <w:rsid w:val="00082E7C"/>
    <w:rsid w:val="00083AF9"/>
    <w:rsid w:val="000978B2"/>
    <w:rsid w:val="000A59EE"/>
    <w:rsid w:val="000B1B3B"/>
    <w:rsid w:val="000B4309"/>
    <w:rsid w:val="000B6493"/>
    <w:rsid w:val="000C00BC"/>
    <w:rsid w:val="000C407E"/>
    <w:rsid w:val="000C5478"/>
    <w:rsid w:val="000C747C"/>
    <w:rsid w:val="000D378C"/>
    <w:rsid w:val="000D3940"/>
    <w:rsid w:val="000E00F8"/>
    <w:rsid w:val="000F176E"/>
    <w:rsid w:val="000F1D1A"/>
    <w:rsid w:val="000F6E33"/>
    <w:rsid w:val="000F7FA3"/>
    <w:rsid w:val="00100A08"/>
    <w:rsid w:val="00101CE3"/>
    <w:rsid w:val="00102ACC"/>
    <w:rsid w:val="0010350C"/>
    <w:rsid w:val="00105E3D"/>
    <w:rsid w:val="00105E87"/>
    <w:rsid w:val="00107A96"/>
    <w:rsid w:val="00111C6B"/>
    <w:rsid w:val="00113973"/>
    <w:rsid w:val="001155B6"/>
    <w:rsid w:val="00115E93"/>
    <w:rsid w:val="0012310F"/>
    <w:rsid w:val="001278F2"/>
    <w:rsid w:val="00132946"/>
    <w:rsid w:val="00132BA9"/>
    <w:rsid w:val="001353E2"/>
    <w:rsid w:val="00135DFE"/>
    <w:rsid w:val="00144C60"/>
    <w:rsid w:val="001455EE"/>
    <w:rsid w:val="00150323"/>
    <w:rsid w:val="00151736"/>
    <w:rsid w:val="00151E34"/>
    <w:rsid w:val="00153986"/>
    <w:rsid w:val="0015471F"/>
    <w:rsid w:val="00157817"/>
    <w:rsid w:val="001608EF"/>
    <w:rsid w:val="00166CF3"/>
    <w:rsid w:val="00167E48"/>
    <w:rsid w:val="001756DA"/>
    <w:rsid w:val="00180A0E"/>
    <w:rsid w:val="001845AC"/>
    <w:rsid w:val="0018799A"/>
    <w:rsid w:val="00191AC4"/>
    <w:rsid w:val="00193185"/>
    <w:rsid w:val="001949A3"/>
    <w:rsid w:val="00196702"/>
    <w:rsid w:val="00196874"/>
    <w:rsid w:val="0019790B"/>
    <w:rsid w:val="001A08BF"/>
    <w:rsid w:val="001A3F4F"/>
    <w:rsid w:val="001A56E6"/>
    <w:rsid w:val="001A5A73"/>
    <w:rsid w:val="001B0A37"/>
    <w:rsid w:val="001B2FD3"/>
    <w:rsid w:val="001B6F2D"/>
    <w:rsid w:val="001B71EC"/>
    <w:rsid w:val="001C37F0"/>
    <w:rsid w:val="001C49DF"/>
    <w:rsid w:val="001C57F5"/>
    <w:rsid w:val="001D03FB"/>
    <w:rsid w:val="001D095C"/>
    <w:rsid w:val="001D09CF"/>
    <w:rsid w:val="001D6377"/>
    <w:rsid w:val="001D73FA"/>
    <w:rsid w:val="001D769B"/>
    <w:rsid w:val="001D7733"/>
    <w:rsid w:val="001E0637"/>
    <w:rsid w:val="001E6641"/>
    <w:rsid w:val="001E693D"/>
    <w:rsid w:val="001E7405"/>
    <w:rsid w:val="001F42BD"/>
    <w:rsid w:val="001F67CA"/>
    <w:rsid w:val="001F6F19"/>
    <w:rsid w:val="001F7DBF"/>
    <w:rsid w:val="002035E5"/>
    <w:rsid w:val="00204370"/>
    <w:rsid w:val="002075EF"/>
    <w:rsid w:val="00207EC6"/>
    <w:rsid w:val="0021075C"/>
    <w:rsid w:val="00210E5F"/>
    <w:rsid w:val="00214044"/>
    <w:rsid w:val="00214CE0"/>
    <w:rsid w:val="00215346"/>
    <w:rsid w:val="00216743"/>
    <w:rsid w:val="00216D41"/>
    <w:rsid w:val="00220071"/>
    <w:rsid w:val="002229A3"/>
    <w:rsid w:val="00223855"/>
    <w:rsid w:val="00223BCE"/>
    <w:rsid w:val="0022543C"/>
    <w:rsid w:val="00226F3F"/>
    <w:rsid w:val="0023155C"/>
    <w:rsid w:val="002317D0"/>
    <w:rsid w:val="00232231"/>
    <w:rsid w:val="0023259E"/>
    <w:rsid w:val="002328F6"/>
    <w:rsid w:val="00232A40"/>
    <w:rsid w:val="00232E13"/>
    <w:rsid w:val="00232E58"/>
    <w:rsid w:val="002353DF"/>
    <w:rsid w:val="002413A9"/>
    <w:rsid w:val="0024205A"/>
    <w:rsid w:val="00242A3C"/>
    <w:rsid w:val="00245984"/>
    <w:rsid w:val="00254319"/>
    <w:rsid w:val="00256BD9"/>
    <w:rsid w:val="00257459"/>
    <w:rsid w:val="00260622"/>
    <w:rsid w:val="00261A83"/>
    <w:rsid w:val="0026238E"/>
    <w:rsid w:val="00262D58"/>
    <w:rsid w:val="002631F5"/>
    <w:rsid w:val="00264522"/>
    <w:rsid w:val="00266848"/>
    <w:rsid w:val="00266F25"/>
    <w:rsid w:val="00275992"/>
    <w:rsid w:val="002779E9"/>
    <w:rsid w:val="002821AE"/>
    <w:rsid w:val="0028274D"/>
    <w:rsid w:val="00284E0F"/>
    <w:rsid w:val="00290DAE"/>
    <w:rsid w:val="00290E06"/>
    <w:rsid w:val="00291F81"/>
    <w:rsid w:val="00293F27"/>
    <w:rsid w:val="002943F7"/>
    <w:rsid w:val="002959BB"/>
    <w:rsid w:val="002966AD"/>
    <w:rsid w:val="002A25CD"/>
    <w:rsid w:val="002A3AAC"/>
    <w:rsid w:val="002A59AD"/>
    <w:rsid w:val="002A6AF9"/>
    <w:rsid w:val="002A6C52"/>
    <w:rsid w:val="002A75B4"/>
    <w:rsid w:val="002A75C6"/>
    <w:rsid w:val="002B0C2D"/>
    <w:rsid w:val="002B5E30"/>
    <w:rsid w:val="002B6DA0"/>
    <w:rsid w:val="002B73FB"/>
    <w:rsid w:val="002B7743"/>
    <w:rsid w:val="002C1594"/>
    <w:rsid w:val="002C277C"/>
    <w:rsid w:val="002C3A30"/>
    <w:rsid w:val="002C3CEB"/>
    <w:rsid w:val="002C5FC2"/>
    <w:rsid w:val="002D4DE1"/>
    <w:rsid w:val="002D78EE"/>
    <w:rsid w:val="002D7BA9"/>
    <w:rsid w:val="002D7EEB"/>
    <w:rsid w:val="002E0418"/>
    <w:rsid w:val="002E08F2"/>
    <w:rsid w:val="002E1D29"/>
    <w:rsid w:val="002E3511"/>
    <w:rsid w:val="002E58B9"/>
    <w:rsid w:val="002E74F2"/>
    <w:rsid w:val="002F086A"/>
    <w:rsid w:val="002F1585"/>
    <w:rsid w:val="002F6516"/>
    <w:rsid w:val="002F6631"/>
    <w:rsid w:val="002F756E"/>
    <w:rsid w:val="002F789A"/>
    <w:rsid w:val="00305FDA"/>
    <w:rsid w:val="003112E3"/>
    <w:rsid w:val="00312E67"/>
    <w:rsid w:val="0031400F"/>
    <w:rsid w:val="00315753"/>
    <w:rsid w:val="00316113"/>
    <w:rsid w:val="0032231D"/>
    <w:rsid w:val="003227D5"/>
    <w:rsid w:val="00323450"/>
    <w:rsid w:val="003253BF"/>
    <w:rsid w:val="00330913"/>
    <w:rsid w:val="00332914"/>
    <w:rsid w:val="00333E6C"/>
    <w:rsid w:val="00334116"/>
    <w:rsid w:val="00335816"/>
    <w:rsid w:val="00335EA9"/>
    <w:rsid w:val="00336DFC"/>
    <w:rsid w:val="003370B1"/>
    <w:rsid w:val="00337326"/>
    <w:rsid w:val="00340B28"/>
    <w:rsid w:val="00342109"/>
    <w:rsid w:val="00343562"/>
    <w:rsid w:val="00346AAD"/>
    <w:rsid w:val="00352AAF"/>
    <w:rsid w:val="00354689"/>
    <w:rsid w:val="00356E55"/>
    <w:rsid w:val="003570FA"/>
    <w:rsid w:val="00361D61"/>
    <w:rsid w:val="00363BE4"/>
    <w:rsid w:val="00364937"/>
    <w:rsid w:val="00366020"/>
    <w:rsid w:val="00366701"/>
    <w:rsid w:val="00366F8A"/>
    <w:rsid w:val="0037211E"/>
    <w:rsid w:val="003729D6"/>
    <w:rsid w:val="003746AD"/>
    <w:rsid w:val="003754ED"/>
    <w:rsid w:val="003768B5"/>
    <w:rsid w:val="003847D1"/>
    <w:rsid w:val="00384C89"/>
    <w:rsid w:val="003875E2"/>
    <w:rsid w:val="0038775F"/>
    <w:rsid w:val="00387932"/>
    <w:rsid w:val="00387E29"/>
    <w:rsid w:val="00390BB0"/>
    <w:rsid w:val="00392649"/>
    <w:rsid w:val="00392CF7"/>
    <w:rsid w:val="003A0923"/>
    <w:rsid w:val="003A33E0"/>
    <w:rsid w:val="003A570C"/>
    <w:rsid w:val="003A5920"/>
    <w:rsid w:val="003A775F"/>
    <w:rsid w:val="003B0B23"/>
    <w:rsid w:val="003B1FDF"/>
    <w:rsid w:val="003B6D99"/>
    <w:rsid w:val="003B6F2F"/>
    <w:rsid w:val="003C6B88"/>
    <w:rsid w:val="003C6CDB"/>
    <w:rsid w:val="003C7334"/>
    <w:rsid w:val="003D1348"/>
    <w:rsid w:val="003D27C9"/>
    <w:rsid w:val="003D2FED"/>
    <w:rsid w:val="003D34E5"/>
    <w:rsid w:val="003D40B1"/>
    <w:rsid w:val="003D618B"/>
    <w:rsid w:val="003E21F2"/>
    <w:rsid w:val="003E4FD5"/>
    <w:rsid w:val="003E5A55"/>
    <w:rsid w:val="003E675D"/>
    <w:rsid w:val="003E74CC"/>
    <w:rsid w:val="003F02CE"/>
    <w:rsid w:val="003F0B90"/>
    <w:rsid w:val="003F37BE"/>
    <w:rsid w:val="003F3DA4"/>
    <w:rsid w:val="003F6F26"/>
    <w:rsid w:val="00400B14"/>
    <w:rsid w:val="00402DDE"/>
    <w:rsid w:val="00404698"/>
    <w:rsid w:val="00404A84"/>
    <w:rsid w:val="00406E83"/>
    <w:rsid w:val="0040762D"/>
    <w:rsid w:val="00407B97"/>
    <w:rsid w:val="00410EF2"/>
    <w:rsid w:val="004118AB"/>
    <w:rsid w:val="00411EDF"/>
    <w:rsid w:val="004128C7"/>
    <w:rsid w:val="0041291D"/>
    <w:rsid w:val="00413F8D"/>
    <w:rsid w:val="00414421"/>
    <w:rsid w:val="0042182F"/>
    <w:rsid w:val="0042448D"/>
    <w:rsid w:val="0042487A"/>
    <w:rsid w:val="004273D7"/>
    <w:rsid w:val="0043687F"/>
    <w:rsid w:val="00437688"/>
    <w:rsid w:val="00440C55"/>
    <w:rsid w:val="0044155B"/>
    <w:rsid w:val="00443ED9"/>
    <w:rsid w:val="004447A4"/>
    <w:rsid w:val="00445CFB"/>
    <w:rsid w:val="004507D1"/>
    <w:rsid w:val="004512A3"/>
    <w:rsid w:val="004546F9"/>
    <w:rsid w:val="0045483E"/>
    <w:rsid w:val="00454B3C"/>
    <w:rsid w:val="004562E9"/>
    <w:rsid w:val="00456367"/>
    <w:rsid w:val="00456ED3"/>
    <w:rsid w:val="0045712E"/>
    <w:rsid w:val="004574C5"/>
    <w:rsid w:val="00457FB2"/>
    <w:rsid w:val="00461BC0"/>
    <w:rsid w:val="004649AB"/>
    <w:rsid w:val="00467D78"/>
    <w:rsid w:val="004737C1"/>
    <w:rsid w:val="00473AE4"/>
    <w:rsid w:val="004801AA"/>
    <w:rsid w:val="00480893"/>
    <w:rsid w:val="00480A4B"/>
    <w:rsid w:val="00482205"/>
    <w:rsid w:val="00483CDE"/>
    <w:rsid w:val="00484A10"/>
    <w:rsid w:val="00485591"/>
    <w:rsid w:val="00487F1A"/>
    <w:rsid w:val="0049108E"/>
    <w:rsid w:val="00493D52"/>
    <w:rsid w:val="00496C80"/>
    <w:rsid w:val="004A01F2"/>
    <w:rsid w:val="004A5122"/>
    <w:rsid w:val="004A7DD0"/>
    <w:rsid w:val="004B2890"/>
    <w:rsid w:val="004B35CA"/>
    <w:rsid w:val="004C0A29"/>
    <w:rsid w:val="004C0CB9"/>
    <w:rsid w:val="004C1776"/>
    <w:rsid w:val="004C6069"/>
    <w:rsid w:val="004C72DD"/>
    <w:rsid w:val="004C7AFD"/>
    <w:rsid w:val="004D184E"/>
    <w:rsid w:val="004D3D2C"/>
    <w:rsid w:val="004D4B16"/>
    <w:rsid w:val="004D7F00"/>
    <w:rsid w:val="004E03F3"/>
    <w:rsid w:val="004E294B"/>
    <w:rsid w:val="004E50AA"/>
    <w:rsid w:val="004E5500"/>
    <w:rsid w:val="004E6BC6"/>
    <w:rsid w:val="004E6D1D"/>
    <w:rsid w:val="004F17C4"/>
    <w:rsid w:val="004F2604"/>
    <w:rsid w:val="004F2947"/>
    <w:rsid w:val="0050022D"/>
    <w:rsid w:val="005055FB"/>
    <w:rsid w:val="00510C35"/>
    <w:rsid w:val="00510CCC"/>
    <w:rsid w:val="00510D8B"/>
    <w:rsid w:val="005112E8"/>
    <w:rsid w:val="0051303F"/>
    <w:rsid w:val="0051402A"/>
    <w:rsid w:val="00517003"/>
    <w:rsid w:val="0051705A"/>
    <w:rsid w:val="00517977"/>
    <w:rsid w:val="00520684"/>
    <w:rsid w:val="00521EC9"/>
    <w:rsid w:val="005223BD"/>
    <w:rsid w:val="00522678"/>
    <w:rsid w:val="00522C87"/>
    <w:rsid w:val="00523CE2"/>
    <w:rsid w:val="00527D67"/>
    <w:rsid w:val="005300FA"/>
    <w:rsid w:val="00531175"/>
    <w:rsid w:val="00533CFF"/>
    <w:rsid w:val="00534103"/>
    <w:rsid w:val="00534FD1"/>
    <w:rsid w:val="005354A6"/>
    <w:rsid w:val="005355BD"/>
    <w:rsid w:val="005420EE"/>
    <w:rsid w:val="0054245D"/>
    <w:rsid w:val="00542CF1"/>
    <w:rsid w:val="005445F6"/>
    <w:rsid w:val="00544DF7"/>
    <w:rsid w:val="0054590E"/>
    <w:rsid w:val="00550500"/>
    <w:rsid w:val="0055070A"/>
    <w:rsid w:val="00551768"/>
    <w:rsid w:val="00553CD1"/>
    <w:rsid w:val="005542AB"/>
    <w:rsid w:val="00556B1A"/>
    <w:rsid w:val="005633CF"/>
    <w:rsid w:val="0056533E"/>
    <w:rsid w:val="005658E5"/>
    <w:rsid w:val="00566FEB"/>
    <w:rsid w:val="00567A71"/>
    <w:rsid w:val="00574709"/>
    <w:rsid w:val="005750A4"/>
    <w:rsid w:val="005800F8"/>
    <w:rsid w:val="005815CD"/>
    <w:rsid w:val="00582648"/>
    <w:rsid w:val="00587272"/>
    <w:rsid w:val="00587BCD"/>
    <w:rsid w:val="005908D0"/>
    <w:rsid w:val="00591FC2"/>
    <w:rsid w:val="00592C27"/>
    <w:rsid w:val="00594CD2"/>
    <w:rsid w:val="00594CDF"/>
    <w:rsid w:val="00595552"/>
    <w:rsid w:val="005970F0"/>
    <w:rsid w:val="005978CD"/>
    <w:rsid w:val="00597DBF"/>
    <w:rsid w:val="005A19F3"/>
    <w:rsid w:val="005A38D6"/>
    <w:rsid w:val="005A52E0"/>
    <w:rsid w:val="005B1222"/>
    <w:rsid w:val="005B12F6"/>
    <w:rsid w:val="005B4047"/>
    <w:rsid w:val="005B5941"/>
    <w:rsid w:val="005B66B0"/>
    <w:rsid w:val="005B79A3"/>
    <w:rsid w:val="005C1E69"/>
    <w:rsid w:val="005C3537"/>
    <w:rsid w:val="005C59D4"/>
    <w:rsid w:val="005D064A"/>
    <w:rsid w:val="005D24AE"/>
    <w:rsid w:val="005E0083"/>
    <w:rsid w:val="005E2C4A"/>
    <w:rsid w:val="005E416D"/>
    <w:rsid w:val="005E47C1"/>
    <w:rsid w:val="005E5753"/>
    <w:rsid w:val="005F0323"/>
    <w:rsid w:val="005F3BBA"/>
    <w:rsid w:val="005F4330"/>
    <w:rsid w:val="005F4D13"/>
    <w:rsid w:val="005F55AC"/>
    <w:rsid w:val="005F6484"/>
    <w:rsid w:val="00603F08"/>
    <w:rsid w:val="00606ADF"/>
    <w:rsid w:val="00607C44"/>
    <w:rsid w:val="006108EB"/>
    <w:rsid w:val="0061122E"/>
    <w:rsid w:val="00611831"/>
    <w:rsid w:val="00614139"/>
    <w:rsid w:val="00620015"/>
    <w:rsid w:val="006205CD"/>
    <w:rsid w:val="00622B0C"/>
    <w:rsid w:val="00623D84"/>
    <w:rsid w:val="0062450A"/>
    <w:rsid w:val="0062614E"/>
    <w:rsid w:val="00627449"/>
    <w:rsid w:val="0063041A"/>
    <w:rsid w:val="00630C7B"/>
    <w:rsid w:val="00632B03"/>
    <w:rsid w:val="00634583"/>
    <w:rsid w:val="00634B7E"/>
    <w:rsid w:val="0064246A"/>
    <w:rsid w:val="00645087"/>
    <w:rsid w:val="00645D04"/>
    <w:rsid w:val="00646C78"/>
    <w:rsid w:val="00650879"/>
    <w:rsid w:val="006513D6"/>
    <w:rsid w:val="00654401"/>
    <w:rsid w:val="00654B4F"/>
    <w:rsid w:val="00655F97"/>
    <w:rsid w:val="0065662F"/>
    <w:rsid w:val="00657567"/>
    <w:rsid w:val="00657B14"/>
    <w:rsid w:val="00664AF6"/>
    <w:rsid w:val="00665E42"/>
    <w:rsid w:val="00671F2F"/>
    <w:rsid w:val="00673E94"/>
    <w:rsid w:val="00674B91"/>
    <w:rsid w:val="00677DF8"/>
    <w:rsid w:val="00680AFA"/>
    <w:rsid w:val="00682E3D"/>
    <w:rsid w:val="00683B3A"/>
    <w:rsid w:val="00685320"/>
    <w:rsid w:val="00686F82"/>
    <w:rsid w:val="00692908"/>
    <w:rsid w:val="006951FD"/>
    <w:rsid w:val="006969B8"/>
    <w:rsid w:val="00697651"/>
    <w:rsid w:val="006A27F7"/>
    <w:rsid w:val="006A2B58"/>
    <w:rsid w:val="006A3273"/>
    <w:rsid w:val="006A536E"/>
    <w:rsid w:val="006A6702"/>
    <w:rsid w:val="006A7366"/>
    <w:rsid w:val="006B193F"/>
    <w:rsid w:val="006B4856"/>
    <w:rsid w:val="006B5B40"/>
    <w:rsid w:val="006B61C2"/>
    <w:rsid w:val="006B72F9"/>
    <w:rsid w:val="006B7C28"/>
    <w:rsid w:val="006B7DE5"/>
    <w:rsid w:val="006C65EE"/>
    <w:rsid w:val="006C75E4"/>
    <w:rsid w:val="006D0DF5"/>
    <w:rsid w:val="006E09C3"/>
    <w:rsid w:val="006E0D8D"/>
    <w:rsid w:val="006E3ED3"/>
    <w:rsid w:val="006E4C0E"/>
    <w:rsid w:val="006E4ED3"/>
    <w:rsid w:val="006E66B4"/>
    <w:rsid w:val="006E71B1"/>
    <w:rsid w:val="006F1134"/>
    <w:rsid w:val="006F38A9"/>
    <w:rsid w:val="006F4014"/>
    <w:rsid w:val="006F762D"/>
    <w:rsid w:val="006F7D5C"/>
    <w:rsid w:val="006F7E3A"/>
    <w:rsid w:val="0070055A"/>
    <w:rsid w:val="00702369"/>
    <w:rsid w:val="00706994"/>
    <w:rsid w:val="00710EB3"/>
    <w:rsid w:val="00711691"/>
    <w:rsid w:val="0071717A"/>
    <w:rsid w:val="00720C5F"/>
    <w:rsid w:val="0072236F"/>
    <w:rsid w:val="0073063E"/>
    <w:rsid w:val="00734DE4"/>
    <w:rsid w:val="00735649"/>
    <w:rsid w:val="0073633B"/>
    <w:rsid w:val="00736A3E"/>
    <w:rsid w:val="00742AFB"/>
    <w:rsid w:val="00743121"/>
    <w:rsid w:val="00745B61"/>
    <w:rsid w:val="00752577"/>
    <w:rsid w:val="00754914"/>
    <w:rsid w:val="0075712E"/>
    <w:rsid w:val="007574D7"/>
    <w:rsid w:val="00757CF6"/>
    <w:rsid w:val="00762A39"/>
    <w:rsid w:val="0076380E"/>
    <w:rsid w:val="00764896"/>
    <w:rsid w:val="00765789"/>
    <w:rsid w:val="0077254E"/>
    <w:rsid w:val="0077502B"/>
    <w:rsid w:val="0077546B"/>
    <w:rsid w:val="007777A8"/>
    <w:rsid w:val="00777EED"/>
    <w:rsid w:val="0078046D"/>
    <w:rsid w:val="0078335F"/>
    <w:rsid w:val="007833B8"/>
    <w:rsid w:val="0078383A"/>
    <w:rsid w:val="007838B2"/>
    <w:rsid w:val="00784875"/>
    <w:rsid w:val="00784CD6"/>
    <w:rsid w:val="00786DD6"/>
    <w:rsid w:val="00786FC1"/>
    <w:rsid w:val="0078717B"/>
    <w:rsid w:val="00791229"/>
    <w:rsid w:val="00794791"/>
    <w:rsid w:val="00795D6D"/>
    <w:rsid w:val="00796CC2"/>
    <w:rsid w:val="00797C5C"/>
    <w:rsid w:val="007A0EAD"/>
    <w:rsid w:val="007A379C"/>
    <w:rsid w:val="007A3D57"/>
    <w:rsid w:val="007A420D"/>
    <w:rsid w:val="007A4DC1"/>
    <w:rsid w:val="007A7284"/>
    <w:rsid w:val="007A76B6"/>
    <w:rsid w:val="007B103F"/>
    <w:rsid w:val="007B1AE8"/>
    <w:rsid w:val="007B2CF2"/>
    <w:rsid w:val="007B4A2D"/>
    <w:rsid w:val="007B7A68"/>
    <w:rsid w:val="007C6035"/>
    <w:rsid w:val="007C7773"/>
    <w:rsid w:val="007D0001"/>
    <w:rsid w:val="007D4163"/>
    <w:rsid w:val="007D560C"/>
    <w:rsid w:val="007D7D16"/>
    <w:rsid w:val="007E0C79"/>
    <w:rsid w:val="007E17C6"/>
    <w:rsid w:val="007E63AF"/>
    <w:rsid w:val="007E6857"/>
    <w:rsid w:val="007F01B2"/>
    <w:rsid w:val="007F13DE"/>
    <w:rsid w:val="007F200C"/>
    <w:rsid w:val="007F2C27"/>
    <w:rsid w:val="007F358B"/>
    <w:rsid w:val="007F77F3"/>
    <w:rsid w:val="00800471"/>
    <w:rsid w:val="00801252"/>
    <w:rsid w:val="00801DA6"/>
    <w:rsid w:val="00803BD0"/>
    <w:rsid w:val="008064A7"/>
    <w:rsid w:val="00807E04"/>
    <w:rsid w:val="00810BD0"/>
    <w:rsid w:val="00811870"/>
    <w:rsid w:val="00811DFB"/>
    <w:rsid w:val="00815EED"/>
    <w:rsid w:val="00825300"/>
    <w:rsid w:val="00825758"/>
    <w:rsid w:val="00825BD2"/>
    <w:rsid w:val="008269D4"/>
    <w:rsid w:val="00826E24"/>
    <w:rsid w:val="00827887"/>
    <w:rsid w:val="00827BBE"/>
    <w:rsid w:val="008361F2"/>
    <w:rsid w:val="00836E65"/>
    <w:rsid w:val="008377A5"/>
    <w:rsid w:val="00837F75"/>
    <w:rsid w:val="008402C3"/>
    <w:rsid w:val="00840389"/>
    <w:rsid w:val="00840BF9"/>
    <w:rsid w:val="0084202E"/>
    <w:rsid w:val="0084231C"/>
    <w:rsid w:val="00843E0F"/>
    <w:rsid w:val="00845E4B"/>
    <w:rsid w:val="00846A87"/>
    <w:rsid w:val="008474E2"/>
    <w:rsid w:val="00847C1A"/>
    <w:rsid w:val="00851BBD"/>
    <w:rsid w:val="00851DFE"/>
    <w:rsid w:val="008520BE"/>
    <w:rsid w:val="00855DFA"/>
    <w:rsid w:val="00855F2E"/>
    <w:rsid w:val="00856FD8"/>
    <w:rsid w:val="00857DDC"/>
    <w:rsid w:val="0086086D"/>
    <w:rsid w:val="00860B25"/>
    <w:rsid w:val="00861B80"/>
    <w:rsid w:val="0086322F"/>
    <w:rsid w:val="008637AA"/>
    <w:rsid w:val="008643BD"/>
    <w:rsid w:val="008674BF"/>
    <w:rsid w:val="0087028D"/>
    <w:rsid w:val="00870868"/>
    <w:rsid w:val="008817CE"/>
    <w:rsid w:val="008862DE"/>
    <w:rsid w:val="008875D1"/>
    <w:rsid w:val="00890614"/>
    <w:rsid w:val="008930AA"/>
    <w:rsid w:val="00893505"/>
    <w:rsid w:val="00895CB2"/>
    <w:rsid w:val="00896709"/>
    <w:rsid w:val="00896789"/>
    <w:rsid w:val="008A04E1"/>
    <w:rsid w:val="008A07A6"/>
    <w:rsid w:val="008A3454"/>
    <w:rsid w:val="008A3FCC"/>
    <w:rsid w:val="008A5EB0"/>
    <w:rsid w:val="008A6C05"/>
    <w:rsid w:val="008A6F34"/>
    <w:rsid w:val="008A7952"/>
    <w:rsid w:val="008B0752"/>
    <w:rsid w:val="008B26E0"/>
    <w:rsid w:val="008B4058"/>
    <w:rsid w:val="008B4754"/>
    <w:rsid w:val="008B592D"/>
    <w:rsid w:val="008C0967"/>
    <w:rsid w:val="008C0C24"/>
    <w:rsid w:val="008C0E6A"/>
    <w:rsid w:val="008C0FF1"/>
    <w:rsid w:val="008C1B59"/>
    <w:rsid w:val="008C38CC"/>
    <w:rsid w:val="008C4721"/>
    <w:rsid w:val="008D0161"/>
    <w:rsid w:val="008D0632"/>
    <w:rsid w:val="008D180C"/>
    <w:rsid w:val="008D300D"/>
    <w:rsid w:val="008D56E0"/>
    <w:rsid w:val="008D7463"/>
    <w:rsid w:val="008E0F30"/>
    <w:rsid w:val="008E18C8"/>
    <w:rsid w:val="008E19FA"/>
    <w:rsid w:val="008E1AD5"/>
    <w:rsid w:val="008E45E1"/>
    <w:rsid w:val="008E47C1"/>
    <w:rsid w:val="008E78BA"/>
    <w:rsid w:val="008E7B70"/>
    <w:rsid w:val="008F267E"/>
    <w:rsid w:val="008F2B8D"/>
    <w:rsid w:val="008F38D6"/>
    <w:rsid w:val="008F5582"/>
    <w:rsid w:val="008F6BEA"/>
    <w:rsid w:val="009024D0"/>
    <w:rsid w:val="009044C0"/>
    <w:rsid w:val="00904822"/>
    <w:rsid w:val="00904D8D"/>
    <w:rsid w:val="00905C2D"/>
    <w:rsid w:val="00907EC7"/>
    <w:rsid w:val="00910B67"/>
    <w:rsid w:val="009111B1"/>
    <w:rsid w:val="0091188A"/>
    <w:rsid w:val="00912181"/>
    <w:rsid w:val="009129BA"/>
    <w:rsid w:val="00913831"/>
    <w:rsid w:val="009168CF"/>
    <w:rsid w:val="00917B2E"/>
    <w:rsid w:val="00920DEE"/>
    <w:rsid w:val="00922BCB"/>
    <w:rsid w:val="00922E87"/>
    <w:rsid w:val="0092517C"/>
    <w:rsid w:val="00925D65"/>
    <w:rsid w:val="0092779D"/>
    <w:rsid w:val="00932031"/>
    <w:rsid w:val="00933B09"/>
    <w:rsid w:val="00933D50"/>
    <w:rsid w:val="00933DAA"/>
    <w:rsid w:val="009355D8"/>
    <w:rsid w:val="00936BA8"/>
    <w:rsid w:val="009401A4"/>
    <w:rsid w:val="00941B87"/>
    <w:rsid w:val="00942A9B"/>
    <w:rsid w:val="00943352"/>
    <w:rsid w:val="0094594C"/>
    <w:rsid w:val="00945E55"/>
    <w:rsid w:val="00946696"/>
    <w:rsid w:val="009523A3"/>
    <w:rsid w:val="0095369D"/>
    <w:rsid w:val="009536F2"/>
    <w:rsid w:val="009542F6"/>
    <w:rsid w:val="00955D17"/>
    <w:rsid w:val="0095667F"/>
    <w:rsid w:val="00957DC3"/>
    <w:rsid w:val="00960EDE"/>
    <w:rsid w:val="00961DD5"/>
    <w:rsid w:val="00963076"/>
    <w:rsid w:val="00965266"/>
    <w:rsid w:val="009678CA"/>
    <w:rsid w:val="00973582"/>
    <w:rsid w:val="009757CB"/>
    <w:rsid w:val="00981AC2"/>
    <w:rsid w:val="00981E0C"/>
    <w:rsid w:val="00982F19"/>
    <w:rsid w:val="00983CBF"/>
    <w:rsid w:val="00985AC1"/>
    <w:rsid w:val="00987C30"/>
    <w:rsid w:val="0099008F"/>
    <w:rsid w:val="009908A4"/>
    <w:rsid w:val="009932FF"/>
    <w:rsid w:val="00993C1B"/>
    <w:rsid w:val="009964B9"/>
    <w:rsid w:val="009A2ED1"/>
    <w:rsid w:val="009B1D5C"/>
    <w:rsid w:val="009B2545"/>
    <w:rsid w:val="009B5F09"/>
    <w:rsid w:val="009B652F"/>
    <w:rsid w:val="009B6A39"/>
    <w:rsid w:val="009B720F"/>
    <w:rsid w:val="009B748D"/>
    <w:rsid w:val="009B7543"/>
    <w:rsid w:val="009C2AAD"/>
    <w:rsid w:val="009C2B2D"/>
    <w:rsid w:val="009C51D7"/>
    <w:rsid w:val="009E28A6"/>
    <w:rsid w:val="009E3565"/>
    <w:rsid w:val="009E699C"/>
    <w:rsid w:val="009F12D3"/>
    <w:rsid w:val="009F1CCB"/>
    <w:rsid w:val="009F4886"/>
    <w:rsid w:val="009F5E81"/>
    <w:rsid w:val="009F69E2"/>
    <w:rsid w:val="00A03C69"/>
    <w:rsid w:val="00A13B52"/>
    <w:rsid w:val="00A146BD"/>
    <w:rsid w:val="00A1697A"/>
    <w:rsid w:val="00A16EF6"/>
    <w:rsid w:val="00A22A4C"/>
    <w:rsid w:val="00A25A3F"/>
    <w:rsid w:val="00A30180"/>
    <w:rsid w:val="00A35E93"/>
    <w:rsid w:val="00A41BF8"/>
    <w:rsid w:val="00A41CBC"/>
    <w:rsid w:val="00A43429"/>
    <w:rsid w:val="00A43FEC"/>
    <w:rsid w:val="00A440F1"/>
    <w:rsid w:val="00A469D5"/>
    <w:rsid w:val="00A4754A"/>
    <w:rsid w:val="00A55E27"/>
    <w:rsid w:val="00A6602E"/>
    <w:rsid w:val="00A70A11"/>
    <w:rsid w:val="00A718DE"/>
    <w:rsid w:val="00A73A02"/>
    <w:rsid w:val="00A748F9"/>
    <w:rsid w:val="00A7508C"/>
    <w:rsid w:val="00A75303"/>
    <w:rsid w:val="00A773EB"/>
    <w:rsid w:val="00A8116B"/>
    <w:rsid w:val="00A81522"/>
    <w:rsid w:val="00A8599F"/>
    <w:rsid w:val="00A93179"/>
    <w:rsid w:val="00A936CE"/>
    <w:rsid w:val="00A9665A"/>
    <w:rsid w:val="00A96E37"/>
    <w:rsid w:val="00A9748A"/>
    <w:rsid w:val="00AA0D6F"/>
    <w:rsid w:val="00AA11A9"/>
    <w:rsid w:val="00AA1494"/>
    <w:rsid w:val="00AA1BBD"/>
    <w:rsid w:val="00AA1DD3"/>
    <w:rsid w:val="00AA1F94"/>
    <w:rsid w:val="00AA24AC"/>
    <w:rsid w:val="00AA4B0F"/>
    <w:rsid w:val="00AA5BE6"/>
    <w:rsid w:val="00AA63E0"/>
    <w:rsid w:val="00AA6AA1"/>
    <w:rsid w:val="00AA6F5D"/>
    <w:rsid w:val="00AB27F3"/>
    <w:rsid w:val="00AB2906"/>
    <w:rsid w:val="00AB54C6"/>
    <w:rsid w:val="00AB5C23"/>
    <w:rsid w:val="00AC0016"/>
    <w:rsid w:val="00AC0EBF"/>
    <w:rsid w:val="00AC1DBE"/>
    <w:rsid w:val="00AC1E21"/>
    <w:rsid w:val="00AC27C7"/>
    <w:rsid w:val="00AC2D58"/>
    <w:rsid w:val="00AC4405"/>
    <w:rsid w:val="00AC4433"/>
    <w:rsid w:val="00AC5D19"/>
    <w:rsid w:val="00AD0F29"/>
    <w:rsid w:val="00AD5A25"/>
    <w:rsid w:val="00AD5D67"/>
    <w:rsid w:val="00AD6670"/>
    <w:rsid w:val="00AE13DE"/>
    <w:rsid w:val="00AE1ECD"/>
    <w:rsid w:val="00AE394C"/>
    <w:rsid w:val="00AE488E"/>
    <w:rsid w:val="00AE6F92"/>
    <w:rsid w:val="00AE78B3"/>
    <w:rsid w:val="00AF324D"/>
    <w:rsid w:val="00AF33BB"/>
    <w:rsid w:val="00AF3FF8"/>
    <w:rsid w:val="00AF45B5"/>
    <w:rsid w:val="00AF550D"/>
    <w:rsid w:val="00AF5C9F"/>
    <w:rsid w:val="00B00FBF"/>
    <w:rsid w:val="00B02787"/>
    <w:rsid w:val="00B0279D"/>
    <w:rsid w:val="00B02C6E"/>
    <w:rsid w:val="00B03B89"/>
    <w:rsid w:val="00B04C66"/>
    <w:rsid w:val="00B05275"/>
    <w:rsid w:val="00B079F5"/>
    <w:rsid w:val="00B07B57"/>
    <w:rsid w:val="00B07B8A"/>
    <w:rsid w:val="00B12DA0"/>
    <w:rsid w:val="00B130F9"/>
    <w:rsid w:val="00B14B08"/>
    <w:rsid w:val="00B265A8"/>
    <w:rsid w:val="00B26C6C"/>
    <w:rsid w:val="00B30008"/>
    <w:rsid w:val="00B30D19"/>
    <w:rsid w:val="00B31EB5"/>
    <w:rsid w:val="00B33DDD"/>
    <w:rsid w:val="00B4190A"/>
    <w:rsid w:val="00B42E80"/>
    <w:rsid w:val="00B462C1"/>
    <w:rsid w:val="00B466D8"/>
    <w:rsid w:val="00B46B70"/>
    <w:rsid w:val="00B4715E"/>
    <w:rsid w:val="00B47A92"/>
    <w:rsid w:val="00B5100D"/>
    <w:rsid w:val="00B514B0"/>
    <w:rsid w:val="00B514C6"/>
    <w:rsid w:val="00B5163C"/>
    <w:rsid w:val="00B52191"/>
    <w:rsid w:val="00B53251"/>
    <w:rsid w:val="00B539EB"/>
    <w:rsid w:val="00B57677"/>
    <w:rsid w:val="00B57E4A"/>
    <w:rsid w:val="00B61AC2"/>
    <w:rsid w:val="00B668B7"/>
    <w:rsid w:val="00B70B9C"/>
    <w:rsid w:val="00B70ED4"/>
    <w:rsid w:val="00B74120"/>
    <w:rsid w:val="00B746E3"/>
    <w:rsid w:val="00B7751F"/>
    <w:rsid w:val="00B824EA"/>
    <w:rsid w:val="00B83528"/>
    <w:rsid w:val="00B878AE"/>
    <w:rsid w:val="00B9335C"/>
    <w:rsid w:val="00B94395"/>
    <w:rsid w:val="00B94407"/>
    <w:rsid w:val="00B94838"/>
    <w:rsid w:val="00B970D7"/>
    <w:rsid w:val="00BA0AFF"/>
    <w:rsid w:val="00BA208B"/>
    <w:rsid w:val="00BA404A"/>
    <w:rsid w:val="00BA46E2"/>
    <w:rsid w:val="00BB2061"/>
    <w:rsid w:val="00BB222B"/>
    <w:rsid w:val="00BB3978"/>
    <w:rsid w:val="00BB4ABF"/>
    <w:rsid w:val="00BC5313"/>
    <w:rsid w:val="00BD0156"/>
    <w:rsid w:val="00BD1F9D"/>
    <w:rsid w:val="00BD261D"/>
    <w:rsid w:val="00BD4622"/>
    <w:rsid w:val="00BD4D02"/>
    <w:rsid w:val="00BD4E46"/>
    <w:rsid w:val="00BD6552"/>
    <w:rsid w:val="00BD6AF8"/>
    <w:rsid w:val="00BE1070"/>
    <w:rsid w:val="00BE3A6B"/>
    <w:rsid w:val="00BE4918"/>
    <w:rsid w:val="00BF0A9C"/>
    <w:rsid w:val="00BF0F99"/>
    <w:rsid w:val="00BF1D6A"/>
    <w:rsid w:val="00BF4172"/>
    <w:rsid w:val="00BF4756"/>
    <w:rsid w:val="00BF4DF4"/>
    <w:rsid w:val="00BF74C5"/>
    <w:rsid w:val="00C018B4"/>
    <w:rsid w:val="00C03E1E"/>
    <w:rsid w:val="00C06476"/>
    <w:rsid w:val="00C1012F"/>
    <w:rsid w:val="00C135D9"/>
    <w:rsid w:val="00C13C59"/>
    <w:rsid w:val="00C15E23"/>
    <w:rsid w:val="00C16737"/>
    <w:rsid w:val="00C16823"/>
    <w:rsid w:val="00C21B85"/>
    <w:rsid w:val="00C21D46"/>
    <w:rsid w:val="00C24C06"/>
    <w:rsid w:val="00C2745C"/>
    <w:rsid w:val="00C278DC"/>
    <w:rsid w:val="00C30F68"/>
    <w:rsid w:val="00C33EEC"/>
    <w:rsid w:val="00C36EFD"/>
    <w:rsid w:val="00C40B3D"/>
    <w:rsid w:val="00C451E3"/>
    <w:rsid w:val="00C4526F"/>
    <w:rsid w:val="00C57803"/>
    <w:rsid w:val="00C60715"/>
    <w:rsid w:val="00C615E9"/>
    <w:rsid w:val="00C65599"/>
    <w:rsid w:val="00C71E37"/>
    <w:rsid w:val="00C7303C"/>
    <w:rsid w:val="00C7585A"/>
    <w:rsid w:val="00C766A5"/>
    <w:rsid w:val="00C77474"/>
    <w:rsid w:val="00C81734"/>
    <w:rsid w:val="00C81AA4"/>
    <w:rsid w:val="00C85B76"/>
    <w:rsid w:val="00C9089F"/>
    <w:rsid w:val="00C92018"/>
    <w:rsid w:val="00C92DC5"/>
    <w:rsid w:val="00C93C4D"/>
    <w:rsid w:val="00C94937"/>
    <w:rsid w:val="00C96509"/>
    <w:rsid w:val="00C96B04"/>
    <w:rsid w:val="00C96D54"/>
    <w:rsid w:val="00CA1B7F"/>
    <w:rsid w:val="00CA2D42"/>
    <w:rsid w:val="00CA3AF6"/>
    <w:rsid w:val="00CA4C05"/>
    <w:rsid w:val="00CA7747"/>
    <w:rsid w:val="00CA7CF5"/>
    <w:rsid w:val="00CB5AF4"/>
    <w:rsid w:val="00CC0EF0"/>
    <w:rsid w:val="00CC16EC"/>
    <w:rsid w:val="00CC44D5"/>
    <w:rsid w:val="00CC49BC"/>
    <w:rsid w:val="00CC5A20"/>
    <w:rsid w:val="00CC5B82"/>
    <w:rsid w:val="00CC65DD"/>
    <w:rsid w:val="00CD3AB0"/>
    <w:rsid w:val="00CD5747"/>
    <w:rsid w:val="00CD7123"/>
    <w:rsid w:val="00CD7286"/>
    <w:rsid w:val="00CE0D37"/>
    <w:rsid w:val="00CE56D8"/>
    <w:rsid w:val="00CE5B06"/>
    <w:rsid w:val="00CE6251"/>
    <w:rsid w:val="00CE650A"/>
    <w:rsid w:val="00CE748C"/>
    <w:rsid w:val="00CF0748"/>
    <w:rsid w:val="00CF16A3"/>
    <w:rsid w:val="00CF4C9F"/>
    <w:rsid w:val="00CF7A5A"/>
    <w:rsid w:val="00D021DB"/>
    <w:rsid w:val="00D03DF1"/>
    <w:rsid w:val="00D0640F"/>
    <w:rsid w:val="00D101D3"/>
    <w:rsid w:val="00D1104F"/>
    <w:rsid w:val="00D1167F"/>
    <w:rsid w:val="00D24EAC"/>
    <w:rsid w:val="00D25ED7"/>
    <w:rsid w:val="00D306C7"/>
    <w:rsid w:val="00D30AB0"/>
    <w:rsid w:val="00D30C8E"/>
    <w:rsid w:val="00D37AC5"/>
    <w:rsid w:val="00D409BC"/>
    <w:rsid w:val="00D4120E"/>
    <w:rsid w:val="00D463C3"/>
    <w:rsid w:val="00D50CD3"/>
    <w:rsid w:val="00D57A3A"/>
    <w:rsid w:val="00D57F8A"/>
    <w:rsid w:val="00D60074"/>
    <w:rsid w:val="00D6070C"/>
    <w:rsid w:val="00D60A79"/>
    <w:rsid w:val="00D61FFA"/>
    <w:rsid w:val="00D62FF3"/>
    <w:rsid w:val="00D65CA4"/>
    <w:rsid w:val="00D71172"/>
    <w:rsid w:val="00D728C5"/>
    <w:rsid w:val="00D728FD"/>
    <w:rsid w:val="00D734D6"/>
    <w:rsid w:val="00D73A12"/>
    <w:rsid w:val="00D74CC8"/>
    <w:rsid w:val="00D74FC9"/>
    <w:rsid w:val="00D75FF8"/>
    <w:rsid w:val="00D810DD"/>
    <w:rsid w:val="00D812CD"/>
    <w:rsid w:val="00D823BB"/>
    <w:rsid w:val="00D84817"/>
    <w:rsid w:val="00D84A76"/>
    <w:rsid w:val="00D862D4"/>
    <w:rsid w:val="00D9098F"/>
    <w:rsid w:val="00D9274E"/>
    <w:rsid w:val="00D95A55"/>
    <w:rsid w:val="00D96524"/>
    <w:rsid w:val="00D9677C"/>
    <w:rsid w:val="00D96C36"/>
    <w:rsid w:val="00D9711F"/>
    <w:rsid w:val="00D97404"/>
    <w:rsid w:val="00DA16F0"/>
    <w:rsid w:val="00DA4A9D"/>
    <w:rsid w:val="00DA55B8"/>
    <w:rsid w:val="00DA598D"/>
    <w:rsid w:val="00DA6039"/>
    <w:rsid w:val="00DB747C"/>
    <w:rsid w:val="00DC2B39"/>
    <w:rsid w:val="00DC32DA"/>
    <w:rsid w:val="00DC349B"/>
    <w:rsid w:val="00DD02D3"/>
    <w:rsid w:val="00DD3007"/>
    <w:rsid w:val="00DE3C71"/>
    <w:rsid w:val="00DF042A"/>
    <w:rsid w:val="00DF397A"/>
    <w:rsid w:val="00DF4E72"/>
    <w:rsid w:val="00DF5E22"/>
    <w:rsid w:val="00DF5F6C"/>
    <w:rsid w:val="00DF644F"/>
    <w:rsid w:val="00DF6B7A"/>
    <w:rsid w:val="00DF7261"/>
    <w:rsid w:val="00E009FA"/>
    <w:rsid w:val="00E022D6"/>
    <w:rsid w:val="00E05CF3"/>
    <w:rsid w:val="00E05FF8"/>
    <w:rsid w:val="00E07BBA"/>
    <w:rsid w:val="00E100C3"/>
    <w:rsid w:val="00E15533"/>
    <w:rsid w:val="00E15F69"/>
    <w:rsid w:val="00E1679A"/>
    <w:rsid w:val="00E21785"/>
    <w:rsid w:val="00E21D56"/>
    <w:rsid w:val="00E26293"/>
    <w:rsid w:val="00E26EC3"/>
    <w:rsid w:val="00E3118A"/>
    <w:rsid w:val="00E32B33"/>
    <w:rsid w:val="00E33481"/>
    <w:rsid w:val="00E35F2B"/>
    <w:rsid w:val="00E361BF"/>
    <w:rsid w:val="00E37318"/>
    <w:rsid w:val="00E40AAF"/>
    <w:rsid w:val="00E424D9"/>
    <w:rsid w:val="00E44391"/>
    <w:rsid w:val="00E51545"/>
    <w:rsid w:val="00E51AB3"/>
    <w:rsid w:val="00E52B22"/>
    <w:rsid w:val="00E53DB3"/>
    <w:rsid w:val="00E55603"/>
    <w:rsid w:val="00E6031B"/>
    <w:rsid w:val="00E621D2"/>
    <w:rsid w:val="00E64480"/>
    <w:rsid w:val="00E64567"/>
    <w:rsid w:val="00E709EB"/>
    <w:rsid w:val="00E72CE5"/>
    <w:rsid w:val="00E74B71"/>
    <w:rsid w:val="00E74F01"/>
    <w:rsid w:val="00E75C04"/>
    <w:rsid w:val="00E76B9D"/>
    <w:rsid w:val="00E77C7E"/>
    <w:rsid w:val="00E8192B"/>
    <w:rsid w:val="00E82172"/>
    <w:rsid w:val="00E90184"/>
    <w:rsid w:val="00E917DF"/>
    <w:rsid w:val="00E918DF"/>
    <w:rsid w:val="00E92AEE"/>
    <w:rsid w:val="00E9557A"/>
    <w:rsid w:val="00E97F57"/>
    <w:rsid w:val="00EB46B7"/>
    <w:rsid w:val="00EB505F"/>
    <w:rsid w:val="00EB5130"/>
    <w:rsid w:val="00EC2039"/>
    <w:rsid w:val="00EC4971"/>
    <w:rsid w:val="00EC6203"/>
    <w:rsid w:val="00EC6E88"/>
    <w:rsid w:val="00ED0E3B"/>
    <w:rsid w:val="00ED1AF5"/>
    <w:rsid w:val="00ED383B"/>
    <w:rsid w:val="00ED3D87"/>
    <w:rsid w:val="00ED558F"/>
    <w:rsid w:val="00EE0826"/>
    <w:rsid w:val="00EE2584"/>
    <w:rsid w:val="00EE2711"/>
    <w:rsid w:val="00EE3AC5"/>
    <w:rsid w:val="00EF199A"/>
    <w:rsid w:val="00EF323D"/>
    <w:rsid w:val="00EF3389"/>
    <w:rsid w:val="00EF3B6E"/>
    <w:rsid w:val="00EF6A1E"/>
    <w:rsid w:val="00EF74B8"/>
    <w:rsid w:val="00EF7D85"/>
    <w:rsid w:val="00EF7F9E"/>
    <w:rsid w:val="00F0343E"/>
    <w:rsid w:val="00F06C81"/>
    <w:rsid w:val="00F12682"/>
    <w:rsid w:val="00F141F1"/>
    <w:rsid w:val="00F150C7"/>
    <w:rsid w:val="00F210E7"/>
    <w:rsid w:val="00F21153"/>
    <w:rsid w:val="00F212AE"/>
    <w:rsid w:val="00F229E3"/>
    <w:rsid w:val="00F3022A"/>
    <w:rsid w:val="00F31A5C"/>
    <w:rsid w:val="00F3672E"/>
    <w:rsid w:val="00F4076F"/>
    <w:rsid w:val="00F40C03"/>
    <w:rsid w:val="00F4105D"/>
    <w:rsid w:val="00F42FF8"/>
    <w:rsid w:val="00F44153"/>
    <w:rsid w:val="00F442AD"/>
    <w:rsid w:val="00F46037"/>
    <w:rsid w:val="00F56345"/>
    <w:rsid w:val="00F57BC3"/>
    <w:rsid w:val="00F60E5E"/>
    <w:rsid w:val="00F6115A"/>
    <w:rsid w:val="00F61421"/>
    <w:rsid w:val="00F6241D"/>
    <w:rsid w:val="00F67006"/>
    <w:rsid w:val="00F67BB3"/>
    <w:rsid w:val="00F73C71"/>
    <w:rsid w:val="00F7716F"/>
    <w:rsid w:val="00F80296"/>
    <w:rsid w:val="00F85608"/>
    <w:rsid w:val="00F85790"/>
    <w:rsid w:val="00F8711D"/>
    <w:rsid w:val="00F927F3"/>
    <w:rsid w:val="00F94046"/>
    <w:rsid w:val="00FA0B78"/>
    <w:rsid w:val="00FA14BA"/>
    <w:rsid w:val="00FA2386"/>
    <w:rsid w:val="00FA248D"/>
    <w:rsid w:val="00FA3679"/>
    <w:rsid w:val="00FA60A9"/>
    <w:rsid w:val="00FB0D75"/>
    <w:rsid w:val="00FB2347"/>
    <w:rsid w:val="00FB38CA"/>
    <w:rsid w:val="00FB5D52"/>
    <w:rsid w:val="00FB6DD0"/>
    <w:rsid w:val="00FB7BFC"/>
    <w:rsid w:val="00FC3915"/>
    <w:rsid w:val="00FC3B93"/>
    <w:rsid w:val="00FC4CAA"/>
    <w:rsid w:val="00FC5924"/>
    <w:rsid w:val="00FC7994"/>
    <w:rsid w:val="00FD14CF"/>
    <w:rsid w:val="00FD2138"/>
    <w:rsid w:val="00FD227B"/>
    <w:rsid w:val="00FD3C35"/>
    <w:rsid w:val="00FD6187"/>
    <w:rsid w:val="00FD7E5B"/>
    <w:rsid w:val="00FE0E5E"/>
    <w:rsid w:val="00FE135A"/>
    <w:rsid w:val="00FE207E"/>
    <w:rsid w:val="00FE4C6A"/>
    <w:rsid w:val="00FE52F8"/>
    <w:rsid w:val="00FE7153"/>
    <w:rsid w:val="00FE7457"/>
    <w:rsid w:val="00FF0CAD"/>
    <w:rsid w:val="00FF7C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2F87"/>
  <w15:chartTrackingRefBased/>
  <w15:docId w15:val="{0123E85E-50D3-4F75-BAAE-175315E5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5"/>
  </w:style>
  <w:style w:type="paragraph" w:styleId="Titre1">
    <w:name w:val="heading 1"/>
    <w:basedOn w:val="Normal"/>
    <w:next w:val="Normal"/>
    <w:link w:val="Titre1Car"/>
    <w:uiPriority w:val="9"/>
    <w:qFormat/>
    <w:rsid w:val="007D560C"/>
    <w:pPr>
      <w:keepNext/>
      <w:keepLines/>
      <w:numPr>
        <w:numId w:val="4"/>
      </w:numPr>
      <w:spacing w:after="360"/>
      <w:ind w:left="431" w:hanging="431"/>
      <w:outlineLvl w:val="0"/>
    </w:pPr>
    <w:rPr>
      <w:rFonts w:ascii="Calibri" w:eastAsiaTheme="majorEastAsia" w:hAnsi="Calibri" w:cstheme="majorBidi"/>
      <w:b/>
      <w:color w:val="2E74B5" w:themeColor="accent1" w:themeShade="BF"/>
      <w:sz w:val="30"/>
      <w:szCs w:val="32"/>
    </w:rPr>
  </w:style>
  <w:style w:type="paragraph" w:styleId="Titre2">
    <w:name w:val="heading 2"/>
    <w:basedOn w:val="Normal"/>
    <w:next w:val="Normal"/>
    <w:link w:val="Titre2Car"/>
    <w:uiPriority w:val="9"/>
    <w:unhideWhenUsed/>
    <w:qFormat/>
    <w:rsid w:val="007D560C"/>
    <w:pPr>
      <w:keepNext/>
      <w:keepLines/>
      <w:numPr>
        <w:ilvl w:val="1"/>
        <w:numId w:val="4"/>
      </w:numPr>
      <w:spacing w:before="120" w:after="240"/>
      <w:ind w:left="578" w:hanging="578"/>
      <w:outlineLvl w:val="1"/>
    </w:pPr>
    <w:rPr>
      <w:rFonts w:ascii="Calibri" w:eastAsiaTheme="majorEastAsia" w:hAnsi="Calibri" w:cstheme="majorBidi"/>
      <w:b/>
      <w:sz w:val="26"/>
      <w:szCs w:val="26"/>
    </w:rPr>
  </w:style>
  <w:style w:type="paragraph" w:styleId="Titre3">
    <w:name w:val="heading 3"/>
    <w:basedOn w:val="Titre2"/>
    <w:next w:val="Normal"/>
    <w:link w:val="Titre3Car"/>
    <w:uiPriority w:val="9"/>
    <w:unhideWhenUsed/>
    <w:qFormat/>
    <w:rsid w:val="004A7DD0"/>
    <w:pPr>
      <w:numPr>
        <w:ilvl w:val="2"/>
      </w:numPr>
      <w:outlineLvl w:val="2"/>
    </w:pPr>
    <w:rPr>
      <w:i/>
    </w:rPr>
  </w:style>
  <w:style w:type="paragraph" w:styleId="Titre4">
    <w:name w:val="heading 4"/>
    <w:basedOn w:val="Normal"/>
    <w:next w:val="Normal"/>
    <w:link w:val="Titre4Car"/>
    <w:uiPriority w:val="9"/>
    <w:unhideWhenUsed/>
    <w:qFormat/>
    <w:rsid w:val="00406E83"/>
    <w:pPr>
      <w:keepNext/>
      <w:keepLines/>
      <w:numPr>
        <w:numId w:val="5"/>
      </w:numPr>
      <w:spacing w:before="120" w:after="240"/>
      <w:outlineLvl w:val="3"/>
    </w:pPr>
    <w:rPr>
      <w:rFonts w:ascii="Calibri" w:eastAsiaTheme="majorEastAsia" w:hAnsi="Calibri" w:cstheme="majorBidi"/>
      <w:b/>
      <w:i/>
      <w:iCs/>
      <w:color w:val="2E74B5" w:themeColor="accent1" w:themeShade="BF"/>
      <w:sz w:val="24"/>
    </w:rPr>
  </w:style>
  <w:style w:type="paragraph" w:styleId="Titre5">
    <w:name w:val="heading 5"/>
    <w:basedOn w:val="Normal"/>
    <w:next w:val="Normal"/>
    <w:link w:val="Titre5Car"/>
    <w:uiPriority w:val="9"/>
    <w:semiHidden/>
    <w:unhideWhenUsed/>
    <w:qFormat/>
    <w:rsid w:val="00754914"/>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754914"/>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754914"/>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75491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491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1,Liste couleur - Accent 12,Bullets,Liste couleur - Accent 13,Premier,Paragraphe à Puce,Tiret lettres,List Paragraph,r2,Paragraphe 2,inspringtekst,Paragraphe de liste1,References,Paragraphe,Numbered paragraph,Figure Caption,L_4"/>
    <w:basedOn w:val="Normal"/>
    <w:link w:val="ParagraphedelisteCar"/>
    <w:uiPriority w:val="34"/>
    <w:qFormat/>
    <w:rsid w:val="00550500"/>
    <w:pPr>
      <w:ind w:left="720"/>
      <w:contextualSpacing/>
    </w:pPr>
  </w:style>
  <w:style w:type="character" w:customStyle="1" w:styleId="Titre1Car">
    <w:name w:val="Titre 1 Car"/>
    <w:basedOn w:val="Policepardfaut"/>
    <w:link w:val="Titre1"/>
    <w:uiPriority w:val="9"/>
    <w:rsid w:val="007D560C"/>
    <w:rPr>
      <w:rFonts w:ascii="Calibri" w:eastAsiaTheme="majorEastAsia" w:hAnsi="Calibri" w:cstheme="majorBidi"/>
      <w:b/>
      <w:color w:val="2E74B5" w:themeColor="accent1" w:themeShade="BF"/>
      <w:sz w:val="30"/>
      <w:szCs w:val="32"/>
    </w:rPr>
  </w:style>
  <w:style w:type="character" w:customStyle="1" w:styleId="Titre2Car">
    <w:name w:val="Titre 2 Car"/>
    <w:basedOn w:val="Policepardfaut"/>
    <w:link w:val="Titre2"/>
    <w:uiPriority w:val="9"/>
    <w:rsid w:val="007D560C"/>
    <w:rPr>
      <w:rFonts w:ascii="Calibri" w:eastAsiaTheme="majorEastAsia" w:hAnsi="Calibri" w:cstheme="majorBidi"/>
      <w:b/>
      <w:sz w:val="26"/>
      <w:szCs w:val="26"/>
    </w:rPr>
  </w:style>
  <w:style w:type="paragraph" w:customStyle="1" w:styleId="Default">
    <w:name w:val="Default"/>
    <w:rsid w:val="009168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rsid w:val="004A7DD0"/>
    <w:rPr>
      <w:rFonts w:ascii="Calibri" w:eastAsiaTheme="majorEastAsia" w:hAnsi="Calibri" w:cstheme="majorBidi"/>
      <w:b/>
      <w:i/>
      <w:sz w:val="26"/>
      <w:szCs w:val="26"/>
    </w:rPr>
  </w:style>
  <w:style w:type="paragraph" w:styleId="Textedebulles">
    <w:name w:val="Balloon Text"/>
    <w:basedOn w:val="Normal"/>
    <w:link w:val="TextedebullesCar"/>
    <w:uiPriority w:val="99"/>
    <w:semiHidden/>
    <w:unhideWhenUsed/>
    <w:rsid w:val="006B61C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B61C2"/>
    <w:rPr>
      <w:rFonts w:ascii="Times New Roman" w:hAnsi="Times New Roman" w:cs="Times New Roman"/>
      <w:sz w:val="18"/>
      <w:szCs w:val="18"/>
    </w:rPr>
  </w:style>
  <w:style w:type="character" w:customStyle="1" w:styleId="Titre4Car">
    <w:name w:val="Titre 4 Car"/>
    <w:basedOn w:val="Policepardfaut"/>
    <w:link w:val="Titre4"/>
    <w:uiPriority w:val="9"/>
    <w:rsid w:val="00406E83"/>
    <w:rPr>
      <w:rFonts w:ascii="Calibri" w:eastAsiaTheme="majorEastAsia" w:hAnsi="Calibri" w:cstheme="majorBidi"/>
      <w:b/>
      <w:i/>
      <w:iCs/>
      <w:color w:val="2E74B5" w:themeColor="accent1" w:themeShade="BF"/>
      <w:sz w:val="24"/>
    </w:rPr>
  </w:style>
  <w:style w:type="character" w:customStyle="1" w:styleId="Titre5Car">
    <w:name w:val="Titre 5 Car"/>
    <w:basedOn w:val="Policepardfaut"/>
    <w:link w:val="Titre5"/>
    <w:uiPriority w:val="9"/>
    <w:semiHidden/>
    <w:rsid w:val="00754914"/>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75491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75491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75491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54914"/>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0E00F8"/>
    <w:pPr>
      <w:numPr>
        <w:numId w:val="0"/>
      </w:numPr>
      <w:spacing w:before="480" w:line="276" w:lineRule="auto"/>
      <w:outlineLvl w:val="9"/>
    </w:pPr>
    <w:rPr>
      <w:b w:val="0"/>
      <w:bCs/>
      <w:sz w:val="28"/>
      <w:szCs w:val="28"/>
      <w:lang w:eastAsia="fr-FR"/>
    </w:rPr>
  </w:style>
  <w:style w:type="paragraph" w:styleId="TM1">
    <w:name w:val="toc 1"/>
    <w:basedOn w:val="Normal"/>
    <w:next w:val="Normal"/>
    <w:autoRedefine/>
    <w:uiPriority w:val="39"/>
    <w:unhideWhenUsed/>
    <w:rsid w:val="00AA11A9"/>
    <w:pPr>
      <w:tabs>
        <w:tab w:val="right" w:leader="dot" w:pos="9062"/>
      </w:tabs>
      <w:spacing w:before="120" w:after="60"/>
    </w:pPr>
    <w:rPr>
      <w:b/>
      <w:bCs/>
      <w:sz w:val="24"/>
      <w:szCs w:val="24"/>
    </w:rPr>
  </w:style>
  <w:style w:type="paragraph" w:styleId="TM2">
    <w:name w:val="toc 2"/>
    <w:basedOn w:val="Normal"/>
    <w:next w:val="Normal"/>
    <w:autoRedefine/>
    <w:uiPriority w:val="39"/>
    <w:unhideWhenUsed/>
    <w:rsid w:val="00AA11A9"/>
    <w:pPr>
      <w:tabs>
        <w:tab w:val="left" w:pos="880"/>
        <w:tab w:val="right" w:leader="dot" w:pos="9062"/>
      </w:tabs>
      <w:spacing w:before="40" w:after="40"/>
      <w:ind w:left="221"/>
    </w:pPr>
    <w:rPr>
      <w:b/>
      <w:bCs/>
    </w:rPr>
  </w:style>
  <w:style w:type="paragraph" w:styleId="TM3">
    <w:name w:val="toc 3"/>
    <w:basedOn w:val="Normal"/>
    <w:next w:val="Normal"/>
    <w:autoRedefine/>
    <w:uiPriority w:val="39"/>
    <w:unhideWhenUsed/>
    <w:rsid w:val="000E00F8"/>
    <w:pPr>
      <w:spacing w:after="0"/>
      <w:ind w:left="440"/>
    </w:pPr>
  </w:style>
  <w:style w:type="character" w:styleId="Lienhypertexte">
    <w:name w:val="Hyperlink"/>
    <w:basedOn w:val="Policepardfaut"/>
    <w:uiPriority w:val="99"/>
    <w:unhideWhenUsed/>
    <w:rsid w:val="000E00F8"/>
    <w:rPr>
      <w:color w:val="0563C1" w:themeColor="hyperlink"/>
      <w:u w:val="single"/>
    </w:rPr>
  </w:style>
  <w:style w:type="paragraph" w:styleId="TM4">
    <w:name w:val="toc 4"/>
    <w:basedOn w:val="Normal"/>
    <w:next w:val="Normal"/>
    <w:autoRedefine/>
    <w:uiPriority w:val="39"/>
    <w:semiHidden/>
    <w:unhideWhenUsed/>
    <w:rsid w:val="000E00F8"/>
    <w:pPr>
      <w:spacing w:after="0"/>
      <w:ind w:left="660"/>
    </w:pPr>
    <w:rPr>
      <w:sz w:val="20"/>
      <w:szCs w:val="20"/>
    </w:rPr>
  </w:style>
  <w:style w:type="paragraph" w:styleId="TM5">
    <w:name w:val="toc 5"/>
    <w:basedOn w:val="Normal"/>
    <w:next w:val="Normal"/>
    <w:autoRedefine/>
    <w:uiPriority w:val="39"/>
    <w:semiHidden/>
    <w:unhideWhenUsed/>
    <w:rsid w:val="000E00F8"/>
    <w:pPr>
      <w:spacing w:after="0"/>
      <w:ind w:left="880"/>
    </w:pPr>
    <w:rPr>
      <w:sz w:val="20"/>
      <w:szCs w:val="20"/>
    </w:rPr>
  </w:style>
  <w:style w:type="paragraph" w:styleId="TM6">
    <w:name w:val="toc 6"/>
    <w:basedOn w:val="Normal"/>
    <w:next w:val="Normal"/>
    <w:autoRedefine/>
    <w:uiPriority w:val="39"/>
    <w:semiHidden/>
    <w:unhideWhenUsed/>
    <w:rsid w:val="000E00F8"/>
    <w:pPr>
      <w:spacing w:after="0"/>
      <w:ind w:left="1100"/>
    </w:pPr>
    <w:rPr>
      <w:sz w:val="20"/>
      <w:szCs w:val="20"/>
    </w:rPr>
  </w:style>
  <w:style w:type="paragraph" w:styleId="TM7">
    <w:name w:val="toc 7"/>
    <w:basedOn w:val="Normal"/>
    <w:next w:val="Normal"/>
    <w:autoRedefine/>
    <w:uiPriority w:val="39"/>
    <w:semiHidden/>
    <w:unhideWhenUsed/>
    <w:rsid w:val="000E00F8"/>
    <w:pPr>
      <w:spacing w:after="0"/>
      <w:ind w:left="1320"/>
    </w:pPr>
    <w:rPr>
      <w:sz w:val="20"/>
      <w:szCs w:val="20"/>
    </w:rPr>
  </w:style>
  <w:style w:type="paragraph" w:styleId="TM8">
    <w:name w:val="toc 8"/>
    <w:basedOn w:val="Normal"/>
    <w:next w:val="Normal"/>
    <w:autoRedefine/>
    <w:uiPriority w:val="39"/>
    <w:semiHidden/>
    <w:unhideWhenUsed/>
    <w:rsid w:val="000E00F8"/>
    <w:pPr>
      <w:spacing w:after="0"/>
      <w:ind w:left="1540"/>
    </w:pPr>
    <w:rPr>
      <w:sz w:val="20"/>
      <w:szCs w:val="20"/>
    </w:rPr>
  </w:style>
  <w:style w:type="paragraph" w:styleId="TM9">
    <w:name w:val="toc 9"/>
    <w:basedOn w:val="Normal"/>
    <w:next w:val="Normal"/>
    <w:autoRedefine/>
    <w:uiPriority w:val="39"/>
    <w:semiHidden/>
    <w:unhideWhenUsed/>
    <w:rsid w:val="000E00F8"/>
    <w:pPr>
      <w:spacing w:after="0"/>
      <w:ind w:left="1760"/>
    </w:pPr>
    <w:rPr>
      <w:sz w:val="20"/>
      <w:szCs w:val="20"/>
    </w:rPr>
  </w:style>
  <w:style w:type="paragraph" w:styleId="Lgende">
    <w:name w:val="caption"/>
    <w:aliases w:val="Légende Car Car Car Car"/>
    <w:basedOn w:val="Normal"/>
    <w:next w:val="Normal"/>
    <w:link w:val="LgendeCar"/>
    <w:uiPriority w:val="35"/>
    <w:unhideWhenUsed/>
    <w:qFormat/>
    <w:rsid w:val="00855DFA"/>
    <w:pPr>
      <w:spacing w:after="120" w:line="240" w:lineRule="auto"/>
    </w:pPr>
    <w:rPr>
      <w:rFonts w:ascii="Calibri" w:hAnsi="Calibri"/>
      <w:iCs/>
      <w:color w:val="000000" w:themeColor="text1"/>
      <w:szCs w:val="18"/>
    </w:rPr>
  </w:style>
  <w:style w:type="table" w:styleId="Grilledutableau">
    <w:name w:val="Table Grid"/>
    <w:basedOn w:val="TableauNormal"/>
    <w:uiPriority w:val="39"/>
    <w:rsid w:val="003F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itre1 Car,Liste couleur - Accent 12 Car,Bullets Car,Liste couleur - Accent 13 Car,Premier Car,Paragraphe à Puce Car,Tiret lettres Car,List Paragraph Car,r2 Car,Paragraphe 2 Car,inspringtekst Car,Paragraphe de liste1 Car,L_4 Car"/>
    <w:link w:val="Paragraphedeliste"/>
    <w:uiPriority w:val="34"/>
    <w:qFormat/>
    <w:rsid w:val="00BA404A"/>
  </w:style>
  <w:style w:type="paragraph" w:styleId="En-tte">
    <w:name w:val="header"/>
    <w:basedOn w:val="Normal"/>
    <w:link w:val="En-tteCar"/>
    <w:uiPriority w:val="99"/>
    <w:unhideWhenUsed/>
    <w:rsid w:val="004118AB"/>
    <w:pPr>
      <w:tabs>
        <w:tab w:val="center" w:pos="4536"/>
        <w:tab w:val="right" w:pos="9072"/>
      </w:tabs>
      <w:spacing w:after="0" w:line="240" w:lineRule="auto"/>
    </w:pPr>
  </w:style>
  <w:style w:type="character" w:customStyle="1" w:styleId="En-tteCar">
    <w:name w:val="En-tête Car"/>
    <w:basedOn w:val="Policepardfaut"/>
    <w:link w:val="En-tte"/>
    <w:uiPriority w:val="99"/>
    <w:rsid w:val="004118AB"/>
  </w:style>
  <w:style w:type="paragraph" w:styleId="Pieddepage">
    <w:name w:val="footer"/>
    <w:basedOn w:val="Normal"/>
    <w:link w:val="PieddepageCar"/>
    <w:uiPriority w:val="99"/>
    <w:unhideWhenUsed/>
    <w:rsid w:val="004118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18AB"/>
  </w:style>
  <w:style w:type="character" w:styleId="Marquedecommentaire">
    <w:name w:val="annotation reference"/>
    <w:basedOn w:val="Policepardfaut"/>
    <w:uiPriority w:val="99"/>
    <w:semiHidden/>
    <w:unhideWhenUsed/>
    <w:rsid w:val="008C1B59"/>
    <w:rPr>
      <w:sz w:val="16"/>
      <w:szCs w:val="16"/>
    </w:rPr>
  </w:style>
  <w:style w:type="paragraph" w:styleId="Commentaire">
    <w:name w:val="annotation text"/>
    <w:basedOn w:val="Normal"/>
    <w:link w:val="CommentaireCar"/>
    <w:uiPriority w:val="99"/>
    <w:semiHidden/>
    <w:unhideWhenUsed/>
    <w:rsid w:val="008C1B59"/>
    <w:pPr>
      <w:shd w:val="clear" w:color="auto" w:fill="FFFFFF" w:themeFill="background1"/>
      <w:spacing w:after="120" w:line="240" w:lineRule="auto"/>
      <w:jc w:val="both"/>
    </w:pPr>
    <w:rPr>
      <w:rFonts w:ascii="Arial Narrow" w:hAnsi="Arial Narrow"/>
      <w:sz w:val="20"/>
      <w:szCs w:val="20"/>
    </w:rPr>
  </w:style>
  <w:style w:type="character" w:customStyle="1" w:styleId="CommentaireCar">
    <w:name w:val="Commentaire Car"/>
    <w:basedOn w:val="Policepardfaut"/>
    <w:link w:val="Commentaire"/>
    <w:uiPriority w:val="99"/>
    <w:semiHidden/>
    <w:rsid w:val="008C1B59"/>
    <w:rPr>
      <w:rFonts w:ascii="Arial Narrow" w:hAnsi="Arial Narrow"/>
      <w:sz w:val="20"/>
      <w:szCs w:val="20"/>
      <w:shd w:val="clear" w:color="auto" w:fill="FFFFFF" w:themeFill="background1"/>
    </w:rPr>
  </w:style>
  <w:style w:type="paragraph" w:styleId="Tabledesillustrations">
    <w:name w:val="table of figures"/>
    <w:basedOn w:val="Normal"/>
    <w:next w:val="Normal"/>
    <w:uiPriority w:val="99"/>
    <w:unhideWhenUsed/>
    <w:rsid w:val="000C747C"/>
    <w:pPr>
      <w:spacing w:after="0"/>
    </w:pPr>
    <w:rPr>
      <w:rFonts w:cstheme="minorHAnsi"/>
      <w:i/>
      <w:iCs/>
      <w:sz w:val="20"/>
      <w:szCs w:val="20"/>
    </w:rPr>
  </w:style>
  <w:style w:type="character" w:customStyle="1" w:styleId="LgendeCar">
    <w:name w:val="Légende Car"/>
    <w:aliases w:val="Légende Car Car Car Car Car"/>
    <w:link w:val="Lgende"/>
    <w:uiPriority w:val="35"/>
    <w:rsid w:val="001A56E6"/>
    <w:rPr>
      <w:rFonts w:ascii="Calibri" w:hAnsi="Calibri"/>
      <w:iCs/>
      <w:color w:val="000000" w:themeColor="text1"/>
      <w:szCs w:val="18"/>
    </w:rPr>
  </w:style>
  <w:style w:type="paragraph" w:customStyle="1" w:styleId="StyleTitre2ArialNarrow">
    <w:name w:val="Style Titre 2 + Arial Narrow"/>
    <w:basedOn w:val="Normal"/>
    <w:uiPriority w:val="99"/>
    <w:rsid w:val="00843E0F"/>
    <w:pPr>
      <w:spacing w:after="0" w:line="240" w:lineRule="auto"/>
      <w:ind w:left="1080" w:hanging="360"/>
    </w:pPr>
    <w:rPr>
      <w:rFonts w:ascii="Times New Roman" w:eastAsia="Times New Roman" w:hAnsi="Times New Roman" w:cs="Times New Roman"/>
      <w:sz w:val="24"/>
      <w:szCs w:val="24"/>
      <w:lang w:val="en-US" w:eastAsia="fr-FR" w:bidi="en-US"/>
    </w:rPr>
  </w:style>
  <w:style w:type="character" w:customStyle="1" w:styleId="ilfuvd">
    <w:name w:val="ilfuvd"/>
    <w:basedOn w:val="Policepardfaut"/>
    <w:rsid w:val="0033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3812">
      <w:bodyDiv w:val="1"/>
      <w:marLeft w:val="0"/>
      <w:marRight w:val="0"/>
      <w:marTop w:val="0"/>
      <w:marBottom w:val="0"/>
      <w:divBdr>
        <w:top w:val="none" w:sz="0" w:space="0" w:color="auto"/>
        <w:left w:val="none" w:sz="0" w:space="0" w:color="auto"/>
        <w:bottom w:val="none" w:sz="0" w:space="0" w:color="auto"/>
        <w:right w:val="none" w:sz="0" w:space="0" w:color="auto"/>
      </w:divBdr>
    </w:div>
    <w:div w:id="157775725">
      <w:bodyDiv w:val="1"/>
      <w:marLeft w:val="0"/>
      <w:marRight w:val="0"/>
      <w:marTop w:val="0"/>
      <w:marBottom w:val="0"/>
      <w:divBdr>
        <w:top w:val="none" w:sz="0" w:space="0" w:color="auto"/>
        <w:left w:val="none" w:sz="0" w:space="0" w:color="auto"/>
        <w:bottom w:val="none" w:sz="0" w:space="0" w:color="auto"/>
        <w:right w:val="none" w:sz="0" w:space="0" w:color="auto"/>
      </w:divBdr>
    </w:div>
    <w:div w:id="228930018">
      <w:bodyDiv w:val="1"/>
      <w:marLeft w:val="0"/>
      <w:marRight w:val="0"/>
      <w:marTop w:val="0"/>
      <w:marBottom w:val="0"/>
      <w:divBdr>
        <w:top w:val="none" w:sz="0" w:space="0" w:color="auto"/>
        <w:left w:val="none" w:sz="0" w:space="0" w:color="auto"/>
        <w:bottom w:val="none" w:sz="0" w:space="0" w:color="auto"/>
        <w:right w:val="none" w:sz="0" w:space="0" w:color="auto"/>
      </w:divBdr>
    </w:div>
    <w:div w:id="243757514">
      <w:bodyDiv w:val="1"/>
      <w:marLeft w:val="0"/>
      <w:marRight w:val="0"/>
      <w:marTop w:val="0"/>
      <w:marBottom w:val="0"/>
      <w:divBdr>
        <w:top w:val="none" w:sz="0" w:space="0" w:color="auto"/>
        <w:left w:val="none" w:sz="0" w:space="0" w:color="auto"/>
        <w:bottom w:val="none" w:sz="0" w:space="0" w:color="auto"/>
        <w:right w:val="none" w:sz="0" w:space="0" w:color="auto"/>
      </w:divBdr>
    </w:div>
    <w:div w:id="263271446">
      <w:bodyDiv w:val="1"/>
      <w:marLeft w:val="0"/>
      <w:marRight w:val="0"/>
      <w:marTop w:val="0"/>
      <w:marBottom w:val="0"/>
      <w:divBdr>
        <w:top w:val="none" w:sz="0" w:space="0" w:color="auto"/>
        <w:left w:val="none" w:sz="0" w:space="0" w:color="auto"/>
        <w:bottom w:val="none" w:sz="0" w:space="0" w:color="auto"/>
        <w:right w:val="none" w:sz="0" w:space="0" w:color="auto"/>
      </w:divBdr>
    </w:div>
    <w:div w:id="304480755">
      <w:bodyDiv w:val="1"/>
      <w:marLeft w:val="0"/>
      <w:marRight w:val="0"/>
      <w:marTop w:val="0"/>
      <w:marBottom w:val="0"/>
      <w:divBdr>
        <w:top w:val="none" w:sz="0" w:space="0" w:color="auto"/>
        <w:left w:val="none" w:sz="0" w:space="0" w:color="auto"/>
        <w:bottom w:val="none" w:sz="0" w:space="0" w:color="auto"/>
        <w:right w:val="none" w:sz="0" w:space="0" w:color="auto"/>
      </w:divBdr>
    </w:div>
    <w:div w:id="353003553">
      <w:bodyDiv w:val="1"/>
      <w:marLeft w:val="0"/>
      <w:marRight w:val="0"/>
      <w:marTop w:val="0"/>
      <w:marBottom w:val="0"/>
      <w:divBdr>
        <w:top w:val="none" w:sz="0" w:space="0" w:color="auto"/>
        <w:left w:val="none" w:sz="0" w:space="0" w:color="auto"/>
        <w:bottom w:val="none" w:sz="0" w:space="0" w:color="auto"/>
        <w:right w:val="none" w:sz="0" w:space="0" w:color="auto"/>
      </w:divBdr>
    </w:div>
    <w:div w:id="371804567">
      <w:bodyDiv w:val="1"/>
      <w:marLeft w:val="0"/>
      <w:marRight w:val="0"/>
      <w:marTop w:val="0"/>
      <w:marBottom w:val="0"/>
      <w:divBdr>
        <w:top w:val="none" w:sz="0" w:space="0" w:color="auto"/>
        <w:left w:val="none" w:sz="0" w:space="0" w:color="auto"/>
        <w:bottom w:val="none" w:sz="0" w:space="0" w:color="auto"/>
        <w:right w:val="none" w:sz="0" w:space="0" w:color="auto"/>
      </w:divBdr>
    </w:div>
    <w:div w:id="405996084">
      <w:bodyDiv w:val="1"/>
      <w:marLeft w:val="0"/>
      <w:marRight w:val="0"/>
      <w:marTop w:val="0"/>
      <w:marBottom w:val="0"/>
      <w:divBdr>
        <w:top w:val="none" w:sz="0" w:space="0" w:color="auto"/>
        <w:left w:val="none" w:sz="0" w:space="0" w:color="auto"/>
        <w:bottom w:val="none" w:sz="0" w:space="0" w:color="auto"/>
        <w:right w:val="none" w:sz="0" w:space="0" w:color="auto"/>
      </w:divBdr>
    </w:div>
    <w:div w:id="436406994">
      <w:bodyDiv w:val="1"/>
      <w:marLeft w:val="0"/>
      <w:marRight w:val="0"/>
      <w:marTop w:val="0"/>
      <w:marBottom w:val="0"/>
      <w:divBdr>
        <w:top w:val="none" w:sz="0" w:space="0" w:color="auto"/>
        <w:left w:val="none" w:sz="0" w:space="0" w:color="auto"/>
        <w:bottom w:val="none" w:sz="0" w:space="0" w:color="auto"/>
        <w:right w:val="none" w:sz="0" w:space="0" w:color="auto"/>
      </w:divBdr>
    </w:div>
    <w:div w:id="453447802">
      <w:bodyDiv w:val="1"/>
      <w:marLeft w:val="0"/>
      <w:marRight w:val="0"/>
      <w:marTop w:val="0"/>
      <w:marBottom w:val="0"/>
      <w:divBdr>
        <w:top w:val="none" w:sz="0" w:space="0" w:color="auto"/>
        <w:left w:val="none" w:sz="0" w:space="0" w:color="auto"/>
        <w:bottom w:val="none" w:sz="0" w:space="0" w:color="auto"/>
        <w:right w:val="none" w:sz="0" w:space="0" w:color="auto"/>
      </w:divBdr>
    </w:div>
    <w:div w:id="530992732">
      <w:bodyDiv w:val="1"/>
      <w:marLeft w:val="0"/>
      <w:marRight w:val="0"/>
      <w:marTop w:val="0"/>
      <w:marBottom w:val="0"/>
      <w:divBdr>
        <w:top w:val="none" w:sz="0" w:space="0" w:color="auto"/>
        <w:left w:val="none" w:sz="0" w:space="0" w:color="auto"/>
        <w:bottom w:val="none" w:sz="0" w:space="0" w:color="auto"/>
        <w:right w:val="none" w:sz="0" w:space="0" w:color="auto"/>
      </w:divBdr>
    </w:div>
    <w:div w:id="552468994">
      <w:bodyDiv w:val="1"/>
      <w:marLeft w:val="0"/>
      <w:marRight w:val="0"/>
      <w:marTop w:val="0"/>
      <w:marBottom w:val="0"/>
      <w:divBdr>
        <w:top w:val="none" w:sz="0" w:space="0" w:color="auto"/>
        <w:left w:val="none" w:sz="0" w:space="0" w:color="auto"/>
        <w:bottom w:val="none" w:sz="0" w:space="0" w:color="auto"/>
        <w:right w:val="none" w:sz="0" w:space="0" w:color="auto"/>
      </w:divBdr>
    </w:div>
    <w:div w:id="595476716">
      <w:bodyDiv w:val="1"/>
      <w:marLeft w:val="0"/>
      <w:marRight w:val="0"/>
      <w:marTop w:val="0"/>
      <w:marBottom w:val="0"/>
      <w:divBdr>
        <w:top w:val="none" w:sz="0" w:space="0" w:color="auto"/>
        <w:left w:val="none" w:sz="0" w:space="0" w:color="auto"/>
        <w:bottom w:val="none" w:sz="0" w:space="0" w:color="auto"/>
        <w:right w:val="none" w:sz="0" w:space="0" w:color="auto"/>
      </w:divBdr>
    </w:div>
    <w:div w:id="608706097">
      <w:bodyDiv w:val="1"/>
      <w:marLeft w:val="0"/>
      <w:marRight w:val="0"/>
      <w:marTop w:val="0"/>
      <w:marBottom w:val="0"/>
      <w:divBdr>
        <w:top w:val="none" w:sz="0" w:space="0" w:color="auto"/>
        <w:left w:val="none" w:sz="0" w:space="0" w:color="auto"/>
        <w:bottom w:val="none" w:sz="0" w:space="0" w:color="auto"/>
        <w:right w:val="none" w:sz="0" w:space="0" w:color="auto"/>
      </w:divBdr>
    </w:div>
    <w:div w:id="625935010">
      <w:bodyDiv w:val="1"/>
      <w:marLeft w:val="0"/>
      <w:marRight w:val="0"/>
      <w:marTop w:val="0"/>
      <w:marBottom w:val="0"/>
      <w:divBdr>
        <w:top w:val="none" w:sz="0" w:space="0" w:color="auto"/>
        <w:left w:val="none" w:sz="0" w:space="0" w:color="auto"/>
        <w:bottom w:val="none" w:sz="0" w:space="0" w:color="auto"/>
        <w:right w:val="none" w:sz="0" w:space="0" w:color="auto"/>
      </w:divBdr>
    </w:div>
    <w:div w:id="632100118">
      <w:bodyDiv w:val="1"/>
      <w:marLeft w:val="0"/>
      <w:marRight w:val="0"/>
      <w:marTop w:val="0"/>
      <w:marBottom w:val="0"/>
      <w:divBdr>
        <w:top w:val="none" w:sz="0" w:space="0" w:color="auto"/>
        <w:left w:val="none" w:sz="0" w:space="0" w:color="auto"/>
        <w:bottom w:val="none" w:sz="0" w:space="0" w:color="auto"/>
        <w:right w:val="none" w:sz="0" w:space="0" w:color="auto"/>
      </w:divBdr>
    </w:div>
    <w:div w:id="653023701">
      <w:bodyDiv w:val="1"/>
      <w:marLeft w:val="0"/>
      <w:marRight w:val="0"/>
      <w:marTop w:val="0"/>
      <w:marBottom w:val="0"/>
      <w:divBdr>
        <w:top w:val="none" w:sz="0" w:space="0" w:color="auto"/>
        <w:left w:val="none" w:sz="0" w:space="0" w:color="auto"/>
        <w:bottom w:val="none" w:sz="0" w:space="0" w:color="auto"/>
        <w:right w:val="none" w:sz="0" w:space="0" w:color="auto"/>
      </w:divBdr>
    </w:div>
    <w:div w:id="673998729">
      <w:bodyDiv w:val="1"/>
      <w:marLeft w:val="0"/>
      <w:marRight w:val="0"/>
      <w:marTop w:val="0"/>
      <w:marBottom w:val="0"/>
      <w:divBdr>
        <w:top w:val="none" w:sz="0" w:space="0" w:color="auto"/>
        <w:left w:val="none" w:sz="0" w:space="0" w:color="auto"/>
        <w:bottom w:val="none" w:sz="0" w:space="0" w:color="auto"/>
        <w:right w:val="none" w:sz="0" w:space="0" w:color="auto"/>
      </w:divBdr>
    </w:div>
    <w:div w:id="711803948">
      <w:bodyDiv w:val="1"/>
      <w:marLeft w:val="0"/>
      <w:marRight w:val="0"/>
      <w:marTop w:val="0"/>
      <w:marBottom w:val="0"/>
      <w:divBdr>
        <w:top w:val="none" w:sz="0" w:space="0" w:color="auto"/>
        <w:left w:val="none" w:sz="0" w:space="0" w:color="auto"/>
        <w:bottom w:val="none" w:sz="0" w:space="0" w:color="auto"/>
        <w:right w:val="none" w:sz="0" w:space="0" w:color="auto"/>
      </w:divBdr>
    </w:div>
    <w:div w:id="738140499">
      <w:bodyDiv w:val="1"/>
      <w:marLeft w:val="0"/>
      <w:marRight w:val="0"/>
      <w:marTop w:val="0"/>
      <w:marBottom w:val="0"/>
      <w:divBdr>
        <w:top w:val="none" w:sz="0" w:space="0" w:color="auto"/>
        <w:left w:val="none" w:sz="0" w:space="0" w:color="auto"/>
        <w:bottom w:val="none" w:sz="0" w:space="0" w:color="auto"/>
        <w:right w:val="none" w:sz="0" w:space="0" w:color="auto"/>
      </w:divBdr>
    </w:div>
    <w:div w:id="755983803">
      <w:bodyDiv w:val="1"/>
      <w:marLeft w:val="0"/>
      <w:marRight w:val="0"/>
      <w:marTop w:val="0"/>
      <w:marBottom w:val="0"/>
      <w:divBdr>
        <w:top w:val="none" w:sz="0" w:space="0" w:color="auto"/>
        <w:left w:val="none" w:sz="0" w:space="0" w:color="auto"/>
        <w:bottom w:val="none" w:sz="0" w:space="0" w:color="auto"/>
        <w:right w:val="none" w:sz="0" w:space="0" w:color="auto"/>
      </w:divBdr>
    </w:div>
    <w:div w:id="789518960">
      <w:bodyDiv w:val="1"/>
      <w:marLeft w:val="0"/>
      <w:marRight w:val="0"/>
      <w:marTop w:val="0"/>
      <w:marBottom w:val="0"/>
      <w:divBdr>
        <w:top w:val="none" w:sz="0" w:space="0" w:color="auto"/>
        <w:left w:val="none" w:sz="0" w:space="0" w:color="auto"/>
        <w:bottom w:val="none" w:sz="0" w:space="0" w:color="auto"/>
        <w:right w:val="none" w:sz="0" w:space="0" w:color="auto"/>
      </w:divBdr>
    </w:div>
    <w:div w:id="815881212">
      <w:bodyDiv w:val="1"/>
      <w:marLeft w:val="0"/>
      <w:marRight w:val="0"/>
      <w:marTop w:val="0"/>
      <w:marBottom w:val="0"/>
      <w:divBdr>
        <w:top w:val="none" w:sz="0" w:space="0" w:color="auto"/>
        <w:left w:val="none" w:sz="0" w:space="0" w:color="auto"/>
        <w:bottom w:val="none" w:sz="0" w:space="0" w:color="auto"/>
        <w:right w:val="none" w:sz="0" w:space="0" w:color="auto"/>
      </w:divBdr>
    </w:div>
    <w:div w:id="846792497">
      <w:bodyDiv w:val="1"/>
      <w:marLeft w:val="0"/>
      <w:marRight w:val="0"/>
      <w:marTop w:val="0"/>
      <w:marBottom w:val="0"/>
      <w:divBdr>
        <w:top w:val="none" w:sz="0" w:space="0" w:color="auto"/>
        <w:left w:val="none" w:sz="0" w:space="0" w:color="auto"/>
        <w:bottom w:val="none" w:sz="0" w:space="0" w:color="auto"/>
        <w:right w:val="none" w:sz="0" w:space="0" w:color="auto"/>
      </w:divBdr>
    </w:div>
    <w:div w:id="855849976">
      <w:bodyDiv w:val="1"/>
      <w:marLeft w:val="0"/>
      <w:marRight w:val="0"/>
      <w:marTop w:val="0"/>
      <w:marBottom w:val="0"/>
      <w:divBdr>
        <w:top w:val="none" w:sz="0" w:space="0" w:color="auto"/>
        <w:left w:val="none" w:sz="0" w:space="0" w:color="auto"/>
        <w:bottom w:val="none" w:sz="0" w:space="0" w:color="auto"/>
        <w:right w:val="none" w:sz="0" w:space="0" w:color="auto"/>
      </w:divBdr>
    </w:div>
    <w:div w:id="921253958">
      <w:bodyDiv w:val="1"/>
      <w:marLeft w:val="0"/>
      <w:marRight w:val="0"/>
      <w:marTop w:val="0"/>
      <w:marBottom w:val="0"/>
      <w:divBdr>
        <w:top w:val="none" w:sz="0" w:space="0" w:color="auto"/>
        <w:left w:val="none" w:sz="0" w:space="0" w:color="auto"/>
        <w:bottom w:val="none" w:sz="0" w:space="0" w:color="auto"/>
        <w:right w:val="none" w:sz="0" w:space="0" w:color="auto"/>
      </w:divBdr>
    </w:div>
    <w:div w:id="941189137">
      <w:bodyDiv w:val="1"/>
      <w:marLeft w:val="0"/>
      <w:marRight w:val="0"/>
      <w:marTop w:val="0"/>
      <w:marBottom w:val="0"/>
      <w:divBdr>
        <w:top w:val="none" w:sz="0" w:space="0" w:color="auto"/>
        <w:left w:val="none" w:sz="0" w:space="0" w:color="auto"/>
        <w:bottom w:val="none" w:sz="0" w:space="0" w:color="auto"/>
        <w:right w:val="none" w:sz="0" w:space="0" w:color="auto"/>
      </w:divBdr>
    </w:div>
    <w:div w:id="1007714101">
      <w:bodyDiv w:val="1"/>
      <w:marLeft w:val="0"/>
      <w:marRight w:val="0"/>
      <w:marTop w:val="0"/>
      <w:marBottom w:val="0"/>
      <w:divBdr>
        <w:top w:val="none" w:sz="0" w:space="0" w:color="auto"/>
        <w:left w:val="none" w:sz="0" w:space="0" w:color="auto"/>
        <w:bottom w:val="none" w:sz="0" w:space="0" w:color="auto"/>
        <w:right w:val="none" w:sz="0" w:space="0" w:color="auto"/>
      </w:divBdr>
    </w:div>
    <w:div w:id="1013536084">
      <w:bodyDiv w:val="1"/>
      <w:marLeft w:val="0"/>
      <w:marRight w:val="0"/>
      <w:marTop w:val="0"/>
      <w:marBottom w:val="0"/>
      <w:divBdr>
        <w:top w:val="none" w:sz="0" w:space="0" w:color="auto"/>
        <w:left w:val="none" w:sz="0" w:space="0" w:color="auto"/>
        <w:bottom w:val="none" w:sz="0" w:space="0" w:color="auto"/>
        <w:right w:val="none" w:sz="0" w:space="0" w:color="auto"/>
      </w:divBdr>
    </w:div>
    <w:div w:id="1046105709">
      <w:bodyDiv w:val="1"/>
      <w:marLeft w:val="0"/>
      <w:marRight w:val="0"/>
      <w:marTop w:val="0"/>
      <w:marBottom w:val="0"/>
      <w:divBdr>
        <w:top w:val="none" w:sz="0" w:space="0" w:color="auto"/>
        <w:left w:val="none" w:sz="0" w:space="0" w:color="auto"/>
        <w:bottom w:val="none" w:sz="0" w:space="0" w:color="auto"/>
        <w:right w:val="none" w:sz="0" w:space="0" w:color="auto"/>
      </w:divBdr>
    </w:div>
    <w:div w:id="1064178931">
      <w:bodyDiv w:val="1"/>
      <w:marLeft w:val="0"/>
      <w:marRight w:val="0"/>
      <w:marTop w:val="0"/>
      <w:marBottom w:val="0"/>
      <w:divBdr>
        <w:top w:val="none" w:sz="0" w:space="0" w:color="auto"/>
        <w:left w:val="none" w:sz="0" w:space="0" w:color="auto"/>
        <w:bottom w:val="none" w:sz="0" w:space="0" w:color="auto"/>
        <w:right w:val="none" w:sz="0" w:space="0" w:color="auto"/>
      </w:divBdr>
    </w:div>
    <w:div w:id="1102459955">
      <w:bodyDiv w:val="1"/>
      <w:marLeft w:val="0"/>
      <w:marRight w:val="0"/>
      <w:marTop w:val="0"/>
      <w:marBottom w:val="0"/>
      <w:divBdr>
        <w:top w:val="none" w:sz="0" w:space="0" w:color="auto"/>
        <w:left w:val="none" w:sz="0" w:space="0" w:color="auto"/>
        <w:bottom w:val="none" w:sz="0" w:space="0" w:color="auto"/>
        <w:right w:val="none" w:sz="0" w:space="0" w:color="auto"/>
      </w:divBdr>
    </w:div>
    <w:div w:id="1123499162">
      <w:bodyDiv w:val="1"/>
      <w:marLeft w:val="0"/>
      <w:marRight w:val="0"/>
      <w:marTop w:val="0"/>
      <w:marBottom w:val="0"/>
      <w:divBdr>
        <w:top w:val="none" w:sz="0" w:space="0" w:color="auto"/>
        <w:left w:val="none" w:sz="0" w:space="0" w:color="auto"/>
        <w:bottom w:val="none" w:sz="0" w:space="0" w:color="auto"/>
        <w:right w:val="none" w:sz="0" w:space="0" w:color="auto"/>
      </w:divBdr>
    </w:div>
    <w:div w:id="1138110349">
      <w:bodyDiv w:val="1"/>
      <w:marLeft w:val="0"/>
      <w:marRight w:val="0"/>
      <w:marTop w:val="0"/>
      <w:marBottom w:val="0"/>
      <w:divBdr>
        <w:top w:val="none" w:sz="0" w:space="0" w:color="auto"/>
        <w:left w:val="none" w:sz="0" w:space="0" w:color="auto"/>
        <w:bottom w:val="none" w:sz="0" w:space="0" w:color="auto"/>
        <w:right w:val="none" w:sz="0" w:space="0" w:color="auto"/>
      </w:divBdr>
    </w:div>
    <w:div w:id="1140271700">
      <w:bodyDiv w:val="1"/>
      <w:marLeft w:val="0"/>
      <w:marRight w:val="0"/>
      <w:marTop w:val="0"/>
      <w:marBottom w:val="0"/>
      <w:divBdr>
        <w:top w:val="none" w:sz="0" w:space="0" w:color="auto"/>
        <w:left w:val="none" w:sz="0" w:space="0" w:color="auto"/>
        <w:bottom w:val="none" w:sz="0" w:space="0" w:color="auto"/>
        <w:right w:val="none" w:sz="0" w:space="0" w:color="auto"/>
      </w:divBdr>
    </w:div>
    <w:div w:id="1187521104">
      <w:bodyDiv w:val="1"/>
      <w:marLeft w:val="0"/>
      <w:marRight w:val="0"/>
      <w:marTop w:val="0"/>
      <w:marBottom w:val="0"/>
      <w:divBdr>
        <w:top w:val="none" w:sz="0" w:space="0" w:color="auto"/>
        <w:left w:val="none" w:sz="0" w:space="0" w:color="auto"/>
        <w:bottom w:val="none" w:sz="0" w:space="0" w:color="auto"/>
        <w:right w:val="none" w:sz="0" w:space="0" w:color="auto"/>
      </w:divBdr>
    </w:div>
    <w:div w:id="1229341979">
      <w:bodyDiv w:val="1"/>
      <w:marLeft w:val="0"/>
      <w:marRight w:val="0"/>
      <w:marTop w:val="0"/>
      <w:marBottom w:val="0"/>
      <w:divBdr>
        <w:top w:val="none" w:sz="0" w:space="0" w:color="auto"/>
        <w:left w:val="none" w:sz="0" w:space="0" w:color="auto"/>
        <w:bottom w:val="none" w:sz="0" w:space="0" w:color="auto"/>
        <w:right w:val="none" w:sz="0" w:space="0" w:color="auto"/>
      </w:divBdr>
    </w:div>
    <w:div w:id="1229538059">
      <w:bodyDiv w:val="1"/>
      <w:marLeft w:val="0"/>
      <w:marRight w:val="0"/>
      <w:marTop w:val="0"/>
      <w:marBottom w:val="0"/>
      <w:divBdr>
        <w:top w:val="none" w:sz="0" w:space="0" w:color="auto"/>
        <w:left w:val="none" w:sz="0" w:space="0" w:color="auto"/>
        <w:bottom w:val="none" w:sz="0" w:space="0" w:color="auto"/>
        <w:right w:val="none" w:sz="0" w:space="0" w:color="auto"/>
      </w:divBdr>
    </w:div>
    <w:div w:id="1247805831">
      <w:bodyDiv w:val="1"/>
      <w:marLeft w:val="0"/>
      <w:marRight w:val="0"/>
      <w:marTop w:val="0"/>
      <w:marBottom w:val="0"/>
      <w:divBdr>
        <w:top w:val="none" w:sz="0" w:space="0" w:color="auto"/>
        <w:left w:val="none" w:sz="0" w:space="0" w:color="auto"/>
        <w:bottom w:val="none" w:sz="0" w:space="0" w:color="auto"/>
        <w:right w:val="none" w:sz="0" w:space="0" w:color="auto"/>
      </w:divBdr>
    </w:div>
    <w:div w:id="1292438472">
      <w:bodyDiv w:val="1"/>
      <w:marLeft w:val="0"/>
      <w:marRight w:val="0"/>
      <w:marTop w:val="0"/>
      <w:marBottom w:val="0"/>
      <w:divBdr>
        <w:top w:val="none" w:sz="0" w:space="0" w:color="auto"/>
        <w:left w:val="none" w:sz="0" w:space="0" w:color="auto"/>
        <w:bottom w:val="none" w:sz="0" w:space="0" w:color="auto"/>
        <w:right w:val="none" w:sz="0" w:space="0" w:color="auto"/>
      </w:divBdr>
    </w:div>
    <w:div w:id="1295791747">
      <w:bodyDiv w:val="1"/>
      <w:marLeft w:val="0"/>
      <w:marRight w:val="0"/>
      <w:marTop w:val="0"/>
      <w:marBottom w:val="0"/>
      <w:divBdr>
        <w:top w:val="none" w:sz="0" w:space="0" w:color="auto"/>
        <w:left w:val="none" w:sz="0" w:space="0" w:color="auto"/>
        <w:bottom w:val="none" w:sz="0" w:space="0" w:color="auto"/>
        <w:right w:val="none" w:sz="0" w:space="0" w:color="auto"/>
      </w:divBdr>
    </w:div>
    <w:div w:id="1310549963">
      <w:bodyDiv w:val="1"/>
      <w:marLeft w:val="0"/>
      <w:marRight w:val="0"/>
      <w:marTop w:val="0"/>
      <w:marBottom w:val="0"/>
      <w:divBdr>
        <w:top w:val="none" w:sz="0" w:space="0" w:color="auto"/>
        <w:left w:val="none" w:sz="0" w:space="0" w:color="auto"/>
        <w:bottom w:val="none" w:sz="0" w:space="0" w:color="auto"/>
        <w:right w:val="none" w:sz="0" w:space="0" w:color="auto"/>
      </w:divBdr>
    </w:div>
    <w:div w:id="1323582732">
      <w:bodyDiv w:val="1"/>
      <w:marLeft w:val="0"/>
      <w:marRight w:val="0"/>
      <w:marTop w:val="0"/>
      <w:marBottom w:val="0"/>
      <w:divBdr>
        <w:top w:val="none" w:sz="0" w:space="0" w:color="auto"/>
        <w:left w:val="none" w:sz="0" w:space="0" w:color="auto"/>
        <w:bottom w:val="none" w:sz="0" w:space="0" w:color="auto"/>
        <w:right w:val="none" w:sz="0" w:space="0" w:color="auto"/>
      </w:divBdr>
    </w:div>
    <w:div w:id="1324628667">
      <w:bodyDiv w:val="1"/>
      <w:marLeft w:val="0"/>
      <w:marRight w:val="0"/>
      <w:marTop w:val="0"/>
      <w:marBottom w:val="0"/>
      <w:divBdr>
        <w:top w:val="none" w:sz="0" w:space="0" w:color="auto"/>
        <w:left w:val="none" w:sz="0" w:space="0" w:color="auto"/>
        <w:bottom w:val="none" w:sz="0" w:space="0" w:color="auto"/>
        <w:right w:val="none" w:sz="0" w:space="0" w:color="auto"/>
      </w:divBdr>
    </w:div>
    <w:div w:id="1390423688">
      <w:bodyDiv w:val="1"/>
      <w:marLeft w:val="0"/>
      <w:marRight w:val="0"/>
      <w:marTop w:val="0"/>
      <w:marBottom w:val="0"/>
      <w:divBdr>
        <w:top w:val="none" w:sz="0" w:space="0" w:color="auto"/>
        <w:left w:val="none" w:sz="0" w:space="0" w:color="auto"/>
        <w:bottom w:val="none" w:sz="0" w:space="0" w:color="auto"/>
        <w:right w:val="none" w:sz="0" w:space="0" w:color="auto"/>
      </w:divBdr>
    </w:div>
    <w:div w:id="1392264405">
      <w:bodyDiv w:val="1"/>
      <w:marLeft w:val="0"/>
      <w:marRight w:val="0"/>
      <w:marTop w:val="0"/>
      <w:marBottom w:val="0"/>
      <w:divBdr>
        <w:top w:val="none" w:sz="0" w:space="0" w:color="auto"/>
        <w:left w:val="none" w:sz="0" w:space="0" w:color="auto"/>
        <w:bottom w:val="none" w:sz="0" w:space="0" w:color="auto"/>
        <w:right w:val="none" w:sz="0" w:space="0" w:color="auto"/>
      </w:divBdr>
    </w:div>
    <w:div w:id="1402482238">
      <w:bodyDiv w:val="1"/>
      <w:marLeft w:val="0"/>
      <w:marRight w:val="0"/>
      <w:marTop w:val="0"/>
      <w:marBottom w:val="0"/>
      <w:divBdr>
        <w:top w:val="none" w:sz="0" w:space="0" w:color="auto"/>
        <w:left w:val="none" w:sz="0" w:space="0" w:color="auto"/>
        <w:bottom w:val="none" w:sz="0" w:space="0" w:color="auto"/>
        <w:right w:val="none" w:sz="0" w:space="0" w:color="auto"/>
      </w:divBdr>
    </w:div>
    <w:div w:id="1404185801">
      <w:bodyDiv w:val="1"/>
      <w:marLeft w:val="0"/>
      <w:marRight w:val="0"/>
      <w:marTop w:val="0"/>
      <w:marBottom w:val="0"/>
      <w:divBdr>
        <w:top w:val="none" w:sz="0" w:space="0" w:color="auto"/>
        <w:left w:val="none" w:sz="0" w:space="0" w:color="auto"/>
        <w:bottom w:val="none" w:sz="0" w:space="0" w:color="auto"/>
        <w:right w:val="none" w:sz="0" w:space="0" w:color="auto"/>
      </w:divBdr>
    </w:div>
    <w:div w:id="1414080821">
      <w:bodyDiv w:val="1"/>
      <w:marLeft w:val="0"/>
      <w:marRight w:val="0"/>
      <w:marTop w:val="0"/>
      <w:marBottom w:val="0"/>
      <w:divBdr>
        <w:top w:val="none" w:sz="0" w:space="0" w:color="auto"/>
        <w:left w:val="none" w:sz="0" w:space="0" w:color="auto"/>
        <w:bottom w:val="none" w:sz="0" w:space="0" w:color="auto"/>
        <w:right w:val="none" w:sz="0" w:space="0" w:color="auto"/>
      </w:divBdr>
    </w:div>
    <w:div w:id="1459228378">
      <w:bodyDiv w:val="1"/>
      <w:marLeft w:val="0"/>
      <w:marRight w:val="0"/>
      <w:marTop w:val="0"/>
      <w:marBottom w:val="0"/>
      <w:divBdr>
        <w:top w:val="none" w:sz="0" w:space="0" w:color="auto"/>
        <w:left w:val="none" w:sz="0" w:space="0" w:color="auto"/>
        <w:bottom w:val="none" w:sz="0" w:space="0" w:color="auto"/>
        <w:right w:val="none" w:sz="0" w:space="0" w:color="auto"/>
      </w:divBdr>
    </w:div>
    <w:div w:id="1464077379">
      <w:bodyDiv w:val="1"/>
      <w:marLeft w:val="0"/>
      <w:marRight w:val="0"/>
      <w:marTop w:val="0"/>
      <w:marBottom w:val="0"/>
      <w:divBdr>
        <w:top w:val="none" w:sz="0" w:space="0" w:color="auto"/>
        <w:left w:val="none" w:sz="0" w:space="0" w:color="auto"/>
        <w:bottom w:val="none" w:sz="0" w:space="0" w:color="auto"/>
        <w:right w:val="none" w:sz="0" w:space="0" w:color="auto"/>
      </w:divBdr>
    </w:div>
    <w:div w:id="1488866343">
      <w:bodyDiv w:val="1"/>
      <w:marLeft w:val="0"/>
      <w:marRight w:val="0"/>
      <w:marTop w:val="0"/>
      <w:marBottom w:val="0"/>
      <w:divBdr>
        <w:top w:val="none" w:sz="0" w:space="0" w:color="auto"/>
        <w:left w:val="none" w:sz="0" w:space="0" w:color="auto"/>
        <w:bottom w:val="none" w:sz="0" w:space="0" w:color="auto"/>
        <w:right w:val="none" w:sz="0" w:space="0" w:color="auto"/>
      </w:divBdr>
    </w:div>
    <w:div w:id="1539665983">
      <w:bodyDiv w:val="1"/>
      <w:marLeft w:val="0"/>
      <w:marRight w:val="0"/>
      <w:marTop w:val="0"/>
      <w:marBottom w:val="0"/>
      <w:divBdr>
        <w:top w:val="none" w:sz="0" w:space="0" w:color="auto"/>
        <w:left w:val="none" w:sz="0" w:space="0" w:color="auto"/>
        <w:bottom w:val="none" w:sz="0" w:space="0" w:color="auto"/>
        <w:right w:val="none" w:sz="0" w:space="0" w:color="auto"/>
      </w:divBdr>
    </w:div>
    <w:div w:id="1585840621">
      <w:bodyDiv w:val="1"/>
      <w:marLeft w:val="0"/>
      <w:marRight w:val="0"/>
      <w:marTop w:val="0"/>
      <w:marBottom w:val="0"/>
      <w:divBdr>
        <w:top w:val="none" w:sz="0" w:space="0" w:color="auto"/>
        <w:left w:val="none" w:sz="0" w:space="0" w:color="auto"/>
        <w:bottom w:val="none" w:sz="0" w:space="0" w:color="auto"/>
        <w:right w:val="none" w:sz="0" w:space="0" w:color="auto"/>
      </w:divBdr>
    </w:div>
    <w:div w:id="1614703241">
      <w:bodyDiv w:val="1"/>
      <w:marLeft w:val="0"/>
      <w:marRight w:val="0"/>
      <w:marTop w:val="0"/>
      <w:marBottom w:val="0"/>
      <w:divBdr>
        <w:top w:val="none" w:sz="0" w:space="0" w:color="auto"/>
        <w:left w:val="none" w:sz="0" w:space="0" w:color="auto"/>
        <w:bottom w:val="none" w:sz="0" w:space="0" w:color="auto"/>
        <w:right w:val="none" w:sz="0" w:space="0" w:color="auto"/>
      </w:divBdr>
    </w:div>
    <w:div w:id="1642155391">
      <w:bodyDiv w:val="1"/>
      <w:marLeft w:val="0"/>
      <w:marRight w:val="0"/>
      <w:marTop w:val="0"/>
      <w:marBottom w:val="0"/>
      <w:divBdr>
        <w:top w:val="none" w:sz="0" w:space="0" w:color="auto"/>
        <w:left w:val="none" w:sz="0" w:space="0" w:color="auto"/>
        <w:bottom w:val="none" w:sz="0" w:space="0" w:color="auto"/>
        <w:right w:val="none" w:sz="0" w:space="0" w:color="auto"/>
      </w:divBdr>
    </w:div>
    <w:div w:id="1720086225">
      <w:bodyDiv w:val="1"/>
      <w:marLeft w:val="0"/>
      <w:marRight w:val="0"/>
      <w:marTop w:val="0"/>
      <w:marBottom w:val="0"/>
      <w:divBdr>
        <w:top w:val="none" w:sz="0" w:space="0" w:color="auto"/>
        <w:left w:val="none" w:sz="0" w:space="0" w:color="auto"/>
        <w:bottom w:val="none" w:sz="0" w:space="0" w:color="auto"/>
        <w:right w:val="none" w:sz="0" w:space="0" w:color="auto"/>
      </w:divBdr>
    </w:div>
    <w:div w:id="1728333867">
      <w:bodyDiv w:val="1"/>
      <w:marLeft w:val="0"/>
      <w:marRight w:val="0"/>
      <w:marTop w:val="0"/>
      <w:marBottom w:val="0"/>
      <w:divBdr>
        <w:top w:val="none" w:sz="0" w:space="0" w:color="auto"/>
        <w:left w:val="none" w:sz="0" w:space="0" w:color="auto"/>
        <w:bottom w:val="none" w:sz="0" w:space="0" w:color="auto"/>
        <w:right w:val="none" w:sz="0" w:space="0" w:color="auto"/>
      </w:divBdr>
    </w:div>
    <w:div w:id="1792898597">
      <w:bodyDiv w:val="1"/>
      <w:marLeft w:val="0"/>
      <w:marRight w:val="0"/>
      <w:marTop w:val="0"/>
      <w:marBottom w:val="0"/>
      <w:divBdr>
        <w:top w:val="none" w:sz="0" w:space="0" w:color="auto"/>
        <w:left w:val="none" w:sz="0" w:space="0" w:color="auto"/>
        <w:bottom w:val="none" w:sz="0" w:space="0" w:color="auto"/>
        <w:right w:val="none" w:sz="0" w:space="0" w:color="auto"/>
      </w:divBdr>
    </w:div>
    <w:div w:id="1836189249">
      <w:bodyDiv w:val="1"/>
      <w:marLeft w:val="0"/>
      <w:marRight w:val="0"/>
      <w:marTop w:val="0"/>
      <w:marBottom w:val="0"/>
      <w:divBdr>
        <w:top w:val="none" w:sz="0" w:space="0" w:color="auto"/>
        <w:left w:val="none" w:sz="0" w:space="0" w:color="auto"/>
        <w:bottom w:val="none" w:sz="0" w:space="0" w:color="auto"/>
        <w:right w:val="none" w:sz="0" w:space="0" w:color="auto"/>
      </w:divBdr>
    </w:div>
    <w:div w:id="1955822567">
      <w:bodyDiv w:val="1"/>
      <w:marLeft w:val="0"/>
      <w:marRight w:val="0"/>
      <w:marTop w:val="0"/>
      <w:marBottom w:val="0"/>
      <w:divBdr>
        <w:top w:val="none" w:sz="0" w:space="0" w:color="auto"/>
        <w:left w:val="none" w:sz="0" w:space="0" w:color="auto"/>
        <w:bottom w:val="none" w:sz="0" w:space="0" w:color="auto"/>
        <w:right w:val="none" w:sz="0" w:space="0" w:color="auto"/>
      </w:divBdr>
    </w:div>
    <w:div w:id="1958019903">
      <w:bodyDiv w:val="1"/>
      <w:marLeft w:val="0"/>
      <w:marRight w:val="0"/>
      <w:marTop w:val="0"/>
      <w:marBottom w:val="0"/>
      <w:divBdr>
        <w:top w:val="none" w:sz="0" w:space="0" w:color="auto"/>
        <w:left w:val="none" w:sz="0" w:space="0" w:color="auto"/>
        <w:bottom w:val="none" w:sz="0" w:space="0" w:color="auto"/>
        <w:right w:val="none" w:sz="0" w:space="0" w:color="auto"/>
      </w:divBdr>
    </w:div>
    <w:div w:id="2004553239">
      <w:bodyDiv w:val="1"/>
      <w:marLeft w:val="0"/>
      <w:marRight w:val="0"/>
      <w:marTop w:val="0"/>
      <w:marBottom w:val="0"/>
      <w:divBdr>
        <w:top w:val="none" w:sz="0" w:space="0" w:color="auto"/>
        <w:left w:val="none" w:sz="0" w:space="0" w:color="auto"/>
        <w:bottom w:val="none" w:sz="0" w:space="0" w:color="auto"/>
        <w:right w:val="none" w:sz="0" w:space="0" w:color="auto"/>
      </w:divBdr>
    </w:div>
    <w:div w:id="2022469385">
      <w:bodyDiv w:val="1"/>
      <w:marLeft w:val="0"/>
      <w:marRight w:val="0"/>
      <w:marTop w:val="0"/>
      <w:marBottom w:val="0"/>
      <w:divBdr>
        <w:top w:val="none" w:sz="0" w:space="0" w:color="auto"/>
        <w:left w:val="none" w:sz="0" w:space="0" w:color="auto"/>
        <w:bottom w:val="none" w:sz="0" w:space="0" w:color="auto"/>
        <w:right w:val="none" w:sz="0" w:space="0" w:color="auto"/>
      </w:divBdr>
    </w:div>
    <w:div w:id="2086490832">
      <w:bodyDiv w:val="1"/>
      <w:marLeft w:val="0"/>
      <w:marRight w:val="0"/>
      <w:marTop w:val="0"/>
      <w:marBottom w:val="0"/>
      <w:divBdr>
        <w:top w:val="none" w:sz="0" w:space="0" w:color="auto"/>
        <w:left w:val="none" w:sz="0" w:space="0" w:color="auto"/>
        <w:bottom w:val="none" w:sz="0" w:space="0" w:color="auto"/>
        <w:right w:val="none" w:sz="0" w:space="0" w:color="auto"/>
      </w:divBdr>
    </w:div>
    <w:div w:id="2101219376">
      <w:bodyDiv w:val="1"/>
      <w:marLeft w:val="0"/>
      <w:marRight w:val="0"/>
      <w:marTop w:val="0"/>
      <w:marBottom w:val="0"/>
      <w:divBdr>
        <w:top w:val="none" w:sz="0" w:space="0" w:color="auto"/>
        <w:left w:val="none" w:sz="0" w:space="0" w:color="auto"/>
        <w:bottom w:val="none" w:sz="0" w:space="0" w:color="auto"/>
        <w:right w:val="none" w:sz="0" w:space="0" w:color="auto"/>
      </w:divBdr>
    </w:div>
    <w:div w:id="2134201977">
      <w:bodyDiv w:val="1"/>
      <w:marLeft w:val="0"/>
      <w:marRight w:val="0"/>
      <w:marTop w:val="0"/>
      <w:marBottom w:val="0"/>
      <w:divBdr>
        <w:top w:val="none" w:sz="0" w:space="0" w:color="auto"/>
        <w:left w:val="none" w:sz="0" w:space="0" w:color="auto"/>
        <w:bottom w:val="none" w:sz="0" w:space="0" w:color="auto"/>
        <w:right w:val="none" w:sz="0" w:space="0" w:color="auto"/>
      </w:divBdr>
    </w:div>
    <w:div w:id="213617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ocuments\Ordi%20Cra\Perso\I3N\RDP\2016%202017\Donn&#233;es%20sous%20secteur%20RDP\DIF\r&#233;alisationbudget201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ocuments\Ordi%20Cra\Perso\I3N\RDP\2016%202017\Donn&#233;es%20sous%20secteur%20RDP\DIF\r&#233;alisationbudget2016.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Ordi%20Cra\Perso\I3N\RDP\2016%202017\Donn&#233;es%20sous%20secteur%20RDP\DIF\r&#233;alisationbudget20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Feuille_de_calcul_Microsoft_Excel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Feuille_de_calcul_Microsoft_Excel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Feuille_de_calcul_Microsoft_Excel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Feuille_de_calcul_Microsoft_Excel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Feuille_de_calcul_Microsoft_Excel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Feuille_de_calcul_Microsoft_Excel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1" u="none" strike="noStrike" kern="1200" baseline="0">
                <a:solidFill>
                  <a:schemeClr val="dk1">
                    <a:lumMod val="65000"/>
                    <a:lumOff val="35000"/>
                  </a:schemeClr>
                </a:solidFill>
                <a:effectLst/>
                <a:latin typeface="+mn-lt"/>
                <a:ea typeface="+mn-ea"/>
                <a:cs typeface="+mn-cs"/>
              </a:defRPr>
            </a:pPr>
            <a:r>
              <a:rPr lang="fr-FR" sz="1200" i="1"/>
              <a:t>Taux d'exécution : 38%</a:t>
            </a:r>
          </a:p>
        </c:rich>
      </c:tx>
      <c:overlay val="0"/>
      <c:spPr>
        <a:noFill/>
        <a:ln>
          <a:noFill/>
        </a:ln>
        <a:effectLst/>
      </c:spPr>
      <c:txPr>
        <a:bodyPr rot="0" spcFirstLastPara="1" vertOverflow="ellipsis" vert="horz" wrap="square" anchor="ctr" anchorCtr="1"/>
        <a:lstStyle/>
        <a:p>
          <a:pPr>
            <a:defRPr sz="1200" b="0" i="1" u="none" strike="noStrike" kern="1200" baseline="0">
              <a:solidFill>
                <a:schemeClr val="dk1">
                  <a:lumMod val="65000"/>
                  <a:lumOff val="35000"/>
                </a:schemeClr>
              </a:solidFill>
              <a:effectLst/>
              <a:latin typeface="+mn-lt"/>
              <a:ea typeface="+mn-ea"/>
              <a:cs typeface="+mn-cs"/>
            </a:defRPr>
          </a:pPr>
          <a:endParaRPr lang="fr-FR"/>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Feuil5!$C$4:$D$4</c:f>
              <c:strCache>
                <c:ptCount val="2"/>
                <c:pt idx="0">
                  <c:v>Prévision</c:v>
                </c:pt>
                <c:pt idx="1">
                  <c:v>Exécution</c:v>
                </c:pt>
              </c:strCache>
            </c:strRef>
          </c:cat>
          <c:val>
            <c:numRef>
              <c:f>Feuil5!$C$5:$D$5</c:f>
              <c:numCache>
                <c:formatCode>#,##0</c:formatCode>
                <c:ptCount val="2"/>
                <c:pt idx="0">
                  <c:v>163255774243</c:v>
                </c:pt>
                <c:pt idx="1">
                  <c:v>61333954935</c:v>
                </c:pt>
              </c:numCache>
            </c:numRef>
          </c:val>
        </c:ser>
        <c:dLbls>
          <c:dLblPos val="inEnd"/>
          <c:showLegendKey val="0"/>
          <c:showVal val="1"/>
          <c:showCatName val="0"/>
          <c:showSerName val="0"/>
          <c:showPercent val="0"/>
          <c:showBubbleSize val="0"/>
        </c:dLbls>
        <c:gapWidth val="41"/>
        <c:axId val="-1742496016"/>
        <c:axId val="-1742494928"/>
      </c:barChart>
      <c:catAx>
        <c:axId val="-1742496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fr-FR"/>
          </a:p>
        </c:txPr>
        <c:crossAx val="-1742494928"/>
        <c:crosses val="autoZero"/>
        <c:auto val="1"/>
        <c:lblAlgn val="ctr"/>
        <c:lblOffset val="100"/>
        <c:noMultiLvlLbl val="0"/>
      </c:catAx>
      <c:valAx>
        <c:axId val="-1742494928"/>
        <c:scaling>
          <c:orientation val="minMax"/>
        </c:scaling>
        <c:delete val="1"/>
        <c:axPos val="l"/>
        <c:numFmt formatCode="#,##0" sourceLinked="1"/>
        <c:majorTickMark val="none"/>
        <c:minorTickMark val="none"/>
        <c:tickLblPos val="nextTo"/>
        <c:crossAx val="-174249601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fr-FR"/>
              <a:t>Taux d'exécution du budget d'investissement MAG</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spPr>
            <a:solidFill>
              <a:schemeClr val="accent1"/>
            </a:solidFill>
            <a:ln>
              <a:noFill/>
            </a:ln>
            <a:effectLst/>
          </c:spPr>
          <c:invertIfNegative val="0"/>
          <c:dPt>
            <c:idx val="21"/>
            <c:invertIfNegative val="0"/>
            <c:bubble3D val="0"/>
            <c:spPr>
              <a:solidFill>
                <a:schemeClr val="accent1"/>
              </a:solidFill>
              <a:ln>
                <a:noFill/>
              </a:ln>
              <a:effectLst/>
            </c:spPr>
          </c:dPt>
          <c:dPt>
            <c:idx val="26"/>
            <c:invertIfNegative val="0"/>
            <c:bubble3D val="0"/>
            <c:spPr>
              <a:solidFill>
                <a:schemeClr val="accent6"/>
              </a:solidFill>
              <a:ln>
                <a:noFill/>
              </a:ln>
              <a:effectLst/>
            </c:spPr>
          </c:dPt>
          <c:dPt>
            <c:idx val="27"/>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 MAG'!$A$23:$A$50</c:f>
              <c:strCache>
                <c:ptCount val="28"/>
                <c:pt idx="0">
                  <c:v>PROGRAMME D'AMELIORATION DE LA PRODUCTIVITE AGRICOLE DES PETITS EXPLOITANTS (APAPE)</c:v>
                </c:pt>
                <c:pt idx="1">
                  <c:v>PROGRAMME D'APPUI AU DEVELOPPEMENT AGRICOLE DURABLE DANS LA REGION DE DOSSO</c:v>
                </c:pt>
                <c:pt idx="2">
                  <c:v>PROGRAMME DE DEVELOPPEMENT DE L'AGRICULTURE FAMILIALE (PRODAF) DANS LES REGIONS DE MARADI, TAHOUA ET ZINDER</c:v>
                </c:pt>
                <c:pt idx="3">
                  <c:v>PROJET D'ACCES AUX MARCHES ET D'INFRASTRUCTURES RURALES DANS LA REGION DE TAHOUA (PAMIRTA)</c:v>
                </c:pt>
                <c:pt idx="4">
                  <c:v>PROJET D'APPUI AU PROGRAMME SPECIAL DE SECURITE ALIMENTAIRE</c:v>
                </c:pt>
                <c:pt idx="5">
                  <c:v>PROJET PILOTE D'AMENAGEMENT ET DE MISE EN VALEUR DES PERIMETRES IRRIGUES DANS LA VALLEE ET LA PLAINE DU TAMESNA</c:v>
                </c:pt>
                <c:pt idx="6">
                  <c:v>PROGRAMME DE RENFORCEMENT DE RESILIENCE A L'INSECURITE ALIMENTAIRE ET NURITIONNELLE AU SAHEL</c:v>
                </c:pt>
                <c:pt idx="7">
                  <c:v>AMELIORATION DE LA PRODUCTIVITE AGRICOLE DANS LA SOUS REGION EN AFRIQUE DE L'OUEST</c:v>
                </c:pt>
                <c:pt idx="8">
                  <c:v>PROGRAMME D'AMELIORATION DE LA PRODUCTIVITE AGRICOLE DES PETITS EXPLOITANTS</c:v>
                </c:pt>
                <c:pt idx="9">
                  <c:v>PROJET DE MOBILISATION ET DE VALORISATION DES RESSOURCES EN EAU (PROMOVARE)</c:v>
                </c:pt>
                <c:pt idx="10">
                  <c:v>PROGRAMME D'APPUI AU DEVELOPPEMENT AGRICOLE DE L'IRHAZER, DU TAMESNA ET DE L'AIR</c:v>
                </c:pt>
                <c:pt idx="11">
                  <c:v>CABINET</c:v>
                </c:pt>
                <c:pt idx="12">
                  <c:v>PROGRAMME DE REHABILITATION DE PERIMETRES IRRIGUES PUBLICS  (PRIP) - KFW</c:v>
                </c:pt>
                <c:pt idx="13">
                  <c:v>PROJET D'APPUI AU DEVELOPPEMENT LOCAL DANS LA REGION DE DIFFA (PADL) PHASE II</c:v>
                </c:pt>
                <c:pt idx="14">
                  <c:v>PROGRAMME DE SOUTIEN A LA CAMPAGNE AGRICOLE</c:v>
                </c:pt>
                <c:pt idx="15">
                  <c:v>AMENAGEMENT DE NOUVELLES TERRES DE 741 HA</c:v>
                </c:pt>
                <c:pt idx="16">
                  <c:v>PROGRAMME PETITE IRRIGATION ET SECURITE ALIMENTAIRE (PISA)</c:v>
                </c:pt>
                <c:pt idx="17">
                  <c:v>ACTIVITES DE LA MAISON DU PAYSAN</c:v>
                </c:pt>
                <c:pt idx="18">
                  <c:v>MINI BARRAGES, SEUILS ET AHA</c:v>
                </c:pt>
                <c:pt idx="19">
                  <c:v>PROJET D'INTENSIFICATION DE PRODUCTION AGRICOLE POUR LA SECURITE ALIMENTAIRE TAHOUA-TILLABERI</c:v>
                </c:pt>
                <c:pt idx="20">
                  <c:v>PROJET DE MOBILISATION DES EAUX POUR LE RENFORCEMENT DE LA SECURITE ALIMENTAIRE MARADI-TAHOUA-ZINDER</c:v>
                </c:pt>
                <c:pt idx="21">
                  <c:v>PROG. VULGARISATION DES CULTURES IRRIGUES.</c:v>
                </c:pt>
                <c:pt idx="22">
                  <c:v>PROJET D'APPUI A LA SECURITE ALIMENTAIRE POUR LE DEVELOPPEMENT DE LA REGION DE MARADI</c:v>
                </c:pt>
                <c:pt idx="23">
                  <c:v>PROJET "PETITES IRRIGATIONS RUWANMU"</c:v>
                </c:pt>
                <c:pt idx="24">
                  <c:v>PROJET DE DEVELOPPEMENT DES EXPORTATIONS ET DES MARCHES AGRO-SYLVO-PASTORAUX (PRODEX)</c:v>
                </c:pt>
                <c:pt idx="25">
                  <c:v>PROGRAMME D'ACTIONS COMMUNAUTAIRES PAC III</c:v>
                </c:pt>
                <c:pt idx="26">
                  <c:v>PROJET D'APPUI AU DEVELOPPEMENT DU SECTEUR RURAL DOSSO-ZINDER</c:v>
                </c:pt>
                <c:pt idx="27">
                  <c:v>TOTAL</c:v>
                </c:pt>
              </c:strCache>
            </c:strRef>
          </c:cat>
          <c:val>
            <c:numRef>
              <c:f>'INV MAG'!$D$23:$D$50</c:f>
              <c:numCache>
                <c:formatCode>0%</c:formatCode>
                <c:ptCount val="28"/>
                <c:pt idx="0">
                  <c:v>0</c:v>
                </c:pt>
                <c:pt idx="1">
                  <c:v>0</c:v>
                </c:pt>
                <c:pt idx="2">
                  <c:v>0</c:v>
                </c:pt>
                <c:pt idx="3">
                  <c:v>0</c:v>
                </c:pt>
                <c:pt idx="4">
                  <c:v>0</c:v>
                </c:pt>
                <c:pt idx="5">
                  <c:v>0</c:v>
                </c:pt>
                <c:pt idx="6">
                  <c:v>1.1804213737061926E-2</c:v>
                </c:pt>
                <c:pt idx="7">
                  <c:v>3.8544056294587237E-2</c:v>
                </c:pt>
                <c:pt idx="8">
                  <c:v>6.1875704377830437E-2</c:v>
                </c:pt>
                <c:pt idx="9">
                  <c:v>0.1067976645909901</c:v>
                </c:pt>
                <c:pt idx="10">
                  <c:v>0.15</c:v>
                </c:pt>
                <c:pt idx="11">
                  <c:v>0.15489244748613151</c:v>
                </c:pt>
                <c:pt idx="12">
                  <c:v>0.1678070925981221</c:v>
                </c:pt>
                <c:pt idx="13">
                  <c:v>0.214</c:v>
                </c:pt>
                <c:pt idx="14">
                  <c:v>0.21440000000000001</c:v>
                </c:pt>
                <c:pt idx="15">
                  <c:v>0.25221901099999999</c:v>
                </c:pt>
                <c:pt idx="16">
                  <c:v>0.25843690391857127</c:v>
                </c:pt>
                <c:pt idx="17">
                  <c:v>0.25955209666666668</c:v>
                </c:pt>
                <c:pt idx="18">
                  <c:v>0.27397335985135529</c:v>
                </c:pt>
                <c:pt idx="19">
                  <c:v>0.31548799696064561</c:v>
                </c:pt>
                <c:pt idx="20">
                  <c:v>0.49496248584235325</c:v>
                </c:pt>
                <c:pt idx="21">
                  <c:v>0.49979157000000002</c:v>
                </c:pt>
                <c:pt idx="22">
                  <c:v>0.5406652315187741</c:v>
                </c:pt>
                <c:pt idx="23">
                  <c:v>0.54273834721680614</c:v>
                </c:pt>
                <c:pt idx="24">
                  <c:v>0.6424257271596957</c:v>
                </c:pt>
                <c:pt idx="25">
                  <c:v>0.82185444739828284</c:v>
                </c:pt>
                <c:pt idx="26">
                  <c:v>1.390264582788421</c:v>
                </c:pt>
                <c:pt idx="27">
                  <c:v>0.28198310469567084</c:v>
                </c:pt>
              </c:numCache>
            </c:numRef>
          </c:val>
        </c:ser>
        <c:dLbls>
          <c:showLegendKey val="0"/>
          <c:showVal val="1"/>
          <c:showCatName val="0"/>
          <c:showSerName val="0"/>
          <c:showPercent val="0"/>
          <c:showBubbleSize val="0"/>
        </c:dLbls>
        <c:gapWidth val="150"/>
        <c:overlap val="-25"/>
        <c:axId val="-1742518864"/>
        <c:axId val="-1742506352"/>
      </c:barChart>
      <c:catAx>
        <c:axId val="-174251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1742506352"/>
        <c:crosses val="autoZero"/>
        <c:auto val="1"/>
        <c:lblAlgn val="l"/>
        <c:lblOffset val="100"/>
        <c:noMultiLvlLbl val="0"/>
      </c:catAx>
      <c:valAx>
        <c:axId val="-1742506352"/>
        <c:scaling>
          <c:orientation val="minMax"/>
        </c:scaling>
        <c:delete val="1"/>
        <c:axPos val="b"/>
        <c:numFmt formatCode="0%" sourceLinked="1"/>
        <c:majorTickMark val="none"/>
        <c:minorTickMark val="none"/>
        <c:tickLblPos val="nextTo"/>
        <c:crossAx val="-174251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fr-FR" sz="1000" b="0" i="0" u="none" strike="noStrike" baseline="0">
                <a:effectLst/>
              </a:rPr>
              <a:t>Taux d'exécution du budget d'investissement MEDD</a:t>
            </a:r>
            <a:endParaRPr lang="fr-FR"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spPr>
            <a:solidFill>
              <a:schemeClr val="accent1"/>
            </a:solidFill>
            <a:ln>
              <a:noFill/>
            </a:ln>
            <a:effectLst/>
          </c:spPr>
          <c:invertIfNegative val="0"/>
          <c:dPt>
            <c:idx val="14"/>
            <c:invertIfNegative val="0"/>
            <c:bubble3D val="0"/>
            <c:spPr>
              <a:solidFill>
                <a:schemeClr val="accent2"/>
              </a:solidFill>
              <a:ln>
                <a:noFill/>
              </a:ln>
              <a:effectLst/>
            </c:spPr>
          </c:dPt>
          <c:dLbls>
            <c:dLbl>
              <c:idx val="1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 MEDD'!$A$2:$A$16</c:f>
              <c:strCache>
                <c:ptCount val="15"/>
                <c:pt idx="0">
                  <c:v>GESTION INTEGRE ECO-SYST.VERSANTS NIGER-NIGERIA</c:v>
                </c:pt>
                <c:pt idx="1">
                  <c:v>LOCAL NIGER</c:v>
                </c:pt>
                <c:pt idx="2">
                  <c:v>PROGRAMME APPUI AUX PARCS DE L'ENTENTE</c:v>
                </c:pt>
                <c:pt idx="3">
                  <c:v>PROJET AMENAGEMENT 1000 HA DE BAFONDS</c:v>
                </c:pt>
                <c:pt idx="4">
                  <c:v>PROJET DE LUTTE CONTRE L'ENSABLEMENT DES CUVETTES OASIENNES DIFFA-ZINDER (PLECO)</c:v>
                </c:pt>
                <c:pt idx="5">
                  <c:v>PROGRAMME UN VILLAGE UN BOIS</c:v>
                </c:pt>
                <c:pt idx="6">
                  <c:v>PROJET DE GESTION INTEGREE DES ECOSYSTEMES DES BASSINS VERSANTS PARTAGES ENTRE LE NIGER-NIGERIA</c:v>
                </c:pt>
                <c:pt idx="7">
                  <c:v>CABINET</c:v>
                </c:pt>
                <c:pt idx="8">
                  <c:v>CORRIDOR NATUREL BIODIVERSITE SAHARA ET DU SAHEL</c:v>
                </c:pt>
                <c:pt idx="9">
                  <c:v>PROGRAMME GRANDE MURAILLE VERTE</c:v>
                </c:pt>
                <c:pt idx="10">
                  <c:v>PROGRAMME GOMMIER</c:v>
                </c:pt>
                <c:pt idx="11">
                  <c:v>PROJET D'AMENAGEMENT DE GESTION DURABLE DE LA VALLEE DE BADAGUICHIRI</c:v>
                </c:pt>
                <c:pt idx="12">
                  <c:v>RESTAURATION  DES TERRES DEGRADEES</c:v>
                </c:pt>
                <c:pt idx="13">
                  <c:v>PROGRAMME DE LUTTE CONTRE L'ENSABLEMENT DANS LE BASSIN DU FLEUVE NIGER PHASE II</c:v>
                </c:pt>
                <c:pt idx="14">
                  <c:v>TOTAL</c:v>
                </c:pt>
              </c:strCache>
            </c:strRef>
          </c:cat>
          <c:val>
            <c:numRef>
              <c:f>'INV MEDD'!$D$2:$D$16</c:f>
              <c:numCache>
                <c:formatCode>0%</c:formatCode>
                <c:ptCount val="15"/>
                <c:pt idx="0">
                  <c:v>0</c:v>
                </c:pt>
                <c:pt idx="1">
                  <c:v>0</c:v>
                </c:pt>
                <c:pt idx="2">
                  <c:v>0</c:v>
                </c:pt>
                <c:pt idx="3">
                  <c:v>0</c:v>
                </c:pt>
                <c:pt idx="4">
                  <c:v>0</c:v>
                </c:pt>
                <c:pt idx="5">
                  <c:v>1.999014E-2</c:v>
                </c:pt>
                <c:pt idx="6">
                  <c:v>2.7552285219836093E-2</c:v>
                </c:pt>
                <c:pt idx="7">
                  <c:v>4.8336985293690071E-2</c:v>
                </c:pt>
                <c:pt idx="8">
                  <c:v>5.2204085870239829E-2</c:v>
                </c:pt>
                <c:pt idx="9">
                  <c:v>0.14738929348694943</c:v>
                </c:pt>
                <c:pt idx="10">
                  <c:v>0.17453905454545454</c:v>
                </c:pt>
                <c:pt idx="11">
                  <c:v>0.27906526245072066</c:v>
                </c:pt>
                <c:pt idx="12">
                  <c:v>0.31478843820224717</c:v>
                </c:pt>
                <c:pt idx="13">
                  <c:v>0.48637888888888892</c:v>
                </c:pt>
                <c:pt idx="14">
                  <c:v>0.12797354714870798</c:v>
                </c:pt>
              </c:numCache>
            </c:numRef>
          </c:val>
        </c:ser>
        <c:dLbls>
          <c:showLegendKey val="0"/>
          <c:showVal val="0"/>
          <c:showCatName val="0"/>
          <c:showSerName val="0"/>
          <c:showPercent val="0"/>
          <c:showBubbleSize val="0"/>
        </c:dLbls>
        <c:gapWidth val="182"/>
        <c:axId val="-1742511248"/>
        <c:axId val="-1742517232"/>
      </c:barChart>
      <c:catAx>
        <c:axId val="-174251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1742517232"/>
        <c:crosses val="autoZero"/>
        <c:auto val="1"/>
        <c:lblAlgn val="ctr"/>
        <c:lblOffset val="100"/>
        <c:noMultiLvlLbl val="0"/>
      </c:catAx>
      <c:valAx>
        <c:axId val="-1742517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4251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'INV MAG'!$E$86</c:f>
              <c:strCache>
                <c:ptCount val="1"/>
                <c:pt idx="0">
                  <c:v>Importance relative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 MAG'!$A$87:$A$90</c:f>
              <c:strCache>
                <c:ptCount val="4"/>
                <c:pt idx="0">
                  <c:v>EMPRUNT</c:v>
                </c:pt>
                <c:pt idx="1">
                  <c:v>ANR</c:v>
                </c:pt>
                <c:pt idx="2">
                  <c:v>Tresor(FC)</c:v>
                </c:pt>
                <c:pt idx="3">
                  <c:v>Trésor</c:v>
                </c:pt>
              </c:strCache>
            </c:strRef>
          </c:cat>
          <c:val>
            <c:numRef>
              <c:f>'INV MAG'!$E$87:$E$90</c:f>
              <c:numCache>
                <c:formatCode>0%</c:formatCode>
                <c:ptCount val="4"/>
                <c:pt idx="0">
                  <c:v>0.50615608721100591</c:v>
                </c:pt>
                <c:pt idx="1">
                  <c:v>0.24474188913522421</c:v>
                </c:pt>
                <c:pt idx="2">
                  <c:v>4.4465446434725246E-3</c:v>
                </c:pt>
                <c:pt idx="3">
                  <c:v>0.24465547901029736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Feuil1!$C$31:$C$32</c:f>
              <c:strCache>
                <c:ptCount val="2"/>
                <c:pt idx="0">
                  <c:v>       ETAT</c:v>
                </c:pt>
                <c:pt idx="1">
                  <c:v>        PTF</c:v>
                </c:pt>
              </c:strCache>
            </c:strRef>
          </c:cat>
          <c:val>
            <c:numRef>
              <c:f>Feuil1!$D$31:$D$32</c:f>
              <c:numCache>
                <c:formatCode>#,##0</c:formatCode>
                <c:ptCount val="2"/>
                <c:pt idx="0">
                  <c:v>4575205602</c:v>
                </c:pt>
                <c:pt idx="1">
                  <c:v>58011783315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780600251055576"/>
          <c:y val="0.7666942947920985"/>
          <c:w val="0.2154074305068302"/>
          <c:h val="0.1683657963807155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Feuil1!$B$3</c:f>
              <c:strCache>
                <c:ptCount val="1"/>
                <c:pt idx="0">
                  <c:v>Crédits votés</c:v>
                </c:pt>
              </c:strCache>
            </c:strRef>
          </c:tx>
          <c:spPr>
            <a:solidFill>
              <a:schemeClr val="accent1"/>
            </a:solidFill>
            <a:ln>
              <a:noFill/>
            </a:ln>
            <a:effectLst/>
          </c:spPr>
          <c:invertIfNegative val="0"/>
          <c:cat>
            <c:strRef>
              <c:f>Feuil1!$A$4:$A$7</c:f>
              <c:strCache>
                <c:ptCount val="4"/>
                <c:pt idx="0">
                  <c:v>Fonctionnement</c:v>
                </c:pt>
                <c:pt idx="1">
                  <c:v>Transferts &amp; Sub.</c:v>
                </c:pt>
                <c:pt idx="2">
                  <c:v>Investissement (A)</c:v>
                </c:pt>
                <c:pt idx="3">
                  <c:v>Totaux</c:v>
                </c:pt>
              </c:strCache>
            </c:strRef>
          </c:cat>
          <c:val>
            <c:numRef>
              <c:f>Feuil1!$B$4:$B$7</c:f>
            </c:numRef>
          </c:val>
        </c:ser>
        <c:ser>
          <c:idx val="1"/>
          <c:order val="1"/>
          <c:tx>
            <c:strRef>
              <c:f>Feuil1!$C$3</c:f>
              <c:strCache>
                <c:ptCount val="1"/>
                <c:pt idx="0">
                  <c:v>Crédits libérés</c:v>
                </c:pt>
              </c:strCache>
            </c:strRef>
          </c:tx>
          <c:spPr>
            <a:solidFill>
              <a:schemeClr val="accent2"/>
            </a:solidFill>
            <a:ln>
              <a:noFill/>
            </a:ln>
            <a:effectLst/>
          </c:spPr>
          <c:invertIfNegative val="0"/>
          <c:cat>
            <c:strRef>
              <c:f>Feuil1!$A$4:$A$7</c:f>
              <c:strCache>
                <c:ptCount val="4"/>
                <c:pt idx="0">
                  <c:v>Fonctionnement</c:v>
                </c:pt>
                <c:pt idx="1">
                  <c:v>Transferts &amp; Sub.</c:v>
                </c:pt>
                <c:pt idx="2">
                  <c:v>Investissement (A)</c:v>
                </c:pt>
                <c:pt idx="3">
                  <c:v>Totaux</c:v>
                </c:pt>
              </c:strCache>
            </c:strRef>
          </c:cat>
          <c:val>
            <c:numRef>
              <c:f>Feuil1!$C$4:$C$7</c:f>
              <c:numCache>
                <c:formatCode>#,##0</c:formatCode>
                <c:ptCount val="4"/>
                <c:pt idx="0">
                  <c:v>282186886</c:v>
                </c:pt>
                <c:pt idx="1">
                  <c:v>13642232</c:v>
                </c:pt>
                <c:pt idx="2">
                  <c:v>196227399</c:v>
                </c:pt>
                <c:pt idx="3">
                  <c:v>492056517</c:v>
                </c:pt>
              </c:numCache>
            </c:numRef>
          </c:val>
        </c:ser>
        <c:ser>
          <c:idx val="2"/>
          <c:order val="2"/>
          <c:tx>
            <c:strRef>
              <c:f>Feuil1!$D$3</c:f>
              <c:strCache>
                <c:ptCount val="1"/>
                <c:pt idx="0">
                  <c:v>Crédits consommés</c:v>
                </c:pt>
              </c:strCache>
            </c:strRef>
          </c:tx>
          <c:spPr>
            <a:solidFill>
              <a:schemeClr val="accent3"/>
            </a:solidFill>
            <a:ln>
              <a:noFill/>
            </a:ln>
            <a:effectLst/>
          </c:spPr>
          <c:invertIfNegative val="0"/>
          <c:cat>
            <c:strRef>
              <c:f>Feuil1!$A$4:$A$7</c:f>
              <c:strCache>
                <c:ptCount val="4"/>
                <c:pt idx="0">
                  <c:v>Fonctionnement</c:v>
                </c:pt>
                <c:pt idx="1">
                  <c:v>Transferts &amp; Sub.</c:v>
                </c:pt>
                <c:pt idx="2">
                  <c:v>Investissement (A)</c:v>
                </c:pt>
                <c:pt idx="3">
                  <c:v>Totaux</c:v>
                </c:pt>
              </c:strCache>
            </c:strRef>
          </c:cat>
          <c:val>
            <c:numRef>
              <c:f>Feuil1!$D$4:$D$7</c:f>
              <c:numCache>
                <c:formatCode>#,##0</c:formatCode>
                <c:ptCount val="4"/>
                <c:pt idx="0">
                  <c:v>277694562</c:v>
                </c:pt>
                <c:pt idx="1">
                  <c:v>12690777</c:v>
                </c:pt>
                <c:pt idx="2">
                  <c:v>120690350</c:v>
                </c:pt>
                <c:pt idx="3">
                  <c:v>411075689</c:v>
                </c:pt>
              </c:numCache>
            </c:numRef>
          </c:val>
        </c:ser>
        <c:dLbls>
          <c:showLegendKey val="0"/>
          <c:showVal val="0"/>
          <c:showCatName val="0"/>
          <c:showSerName val="0"/>
          <c:showPercent val="0"/>
          <c:showBubbleSize val="0"/>
        </c:dLbls>
        <c:gapWidth val="219"/>
        <c:overlap val="-27"/>
        <c:axId val="-1742498192"/>
        <c:axId val="-1742523216"/>
      </c:barChart>
      <c:catAx>
        <c:axId val="-174249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742523216"/>
        <c:crosses val="autoZero"/>
        <c:auto val="1"/>
        <c:lblAlgn val="ctr"/>
        <c:lblOffset val="100"/>
        <c:noMultiLvlLbl val="0"/>
      </c:catAx>
      <c:valAx>
        <c:axId val="-1742523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74249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Feuil1!$C$31:$C$32</c:f>
              <c:strCache>
                <c:ptCount val="2"/>
                <c:pt idx="0">
                  <c:v>       ETAT</c:v>
                </c:pt>
                <c:pt idx="1">
                  <c:v>        PTF</c:v>
                </c:pt>
              </c:strCache>
            </c:strRef>
          </c:cat>
          <c:val>
            <c:numRef>
              <c:f>Feuil1!$D$31:$D$32</c:f>
              <c:numCache>
                <c:formatCode>#,##0</c:formatCode>
                <c:ptCount val="2"/>
                <c:pt idx="0">
                  <c:v>4575205602</c:v>
                </c:pt>
                <c:pt idx="1">
                  <c:v>58011783315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368912219305918"/>
          <c:y val="0.12043224326688894"/>
          <c:w val="0.40986107797131421"/>
          <c:h val="0.73110354448937132"/>
        </c:manualLayout>
      </c:layout>
      <c:pieChart>
        <c:varyColors val="1"/>
        <c:ser>
          <c:idx val="0"/>
          <c:order val="0"/>
          <c:tx>
            <c:strRef>
              <c:f>Feuil1!$B$11</c:f>
              <c:strCache>
                <c:ptCount val="1"/>
                <c:pt idx="0">
                  <c:v>MONTANT</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Feuil1!$A$12:$A$14</c:f>
              <c:strCache>
                <c:ptCount val="3"/>
                <c:pt idx="0">
                  <c:v>ETAT</c:v>
                </c:pt>
                <c:pt idx="1">
                  <c:v>EXPLOITATION</c:v>
                </c:pt>
                <c:pt idx="2">
                  <c:v>JAPON</c:v>
                </c:pt>
              </c:strCache>
            </c:strRef>
          </c:cat>
          <c:val>
            <c:numRef>
              <c:f>Feuil1!$B$12:$B$14</c:f>
              <c:numCache>
                <c:formatCode>#,##0</c:formatCode>
                <c:ptCount val="3"/>
                <c:pt idx="0">
                  <c:v>8450000000</c:v>
                </c:pt>
                <c:pt idx="1">
                  <c:v>6757445344</c:v>
                </c:pt>
                <c:pt idx="2">
                  <c:v>142330000</c:v>
                </c:pt>
              </c:numCache>
            </c:numRef>
          </c:val>
        </c:ser>
        <c:ser>
          <c:idx val="1"/>
          <c:order val="1"/>
          <c:tx>
            <c:strRef>
              <c:f>Feuil1!$C$11</c:f>
              <c:strCache>
                <c:ptCount val="1"/>
                <c:pt idx="0">
                  <c:v>TAUX</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Feuil1!$A$12:$A$14</c:f>
              <c:strCache>
                <c:ptCount val="3"/>
                <c:pt idx="0">
                  <c:v>ETAT</c:v>
                </c:pt>
                <c:pt idx="1">
                  <c:v>EXPLOITATION</c:v>
                </c:pt>
                <c:pt idx="2">
                  <c:v>JAPON</c:v>
                </c:pt>
              </c:strCache>
            </c:strRef>
          </c:cat>
          <c:val>
            <c:numRef>
              <c:f>Feuil1!$C$12:$C$14</c:f>
              <c:numCache>
                <c:formatCode>0%</c:formatCode>
                <c:ptCount val="3"/>
                <c:pt idx="0">
                  <c:v>0.55049665618089838</c:v>
                </c:pt>
                <c:pt idx="1">
                  <c:v>0.44023089540795041</c:v>
                </c:pt>
                <c:pt idx="2">
                  <c:v>9.2724484111511574E-3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Feuil1!$D$15</c:f>
              <c:strCache>
                <c:ptCount val="1"/>
                <c:pt idx="0">
                  <c:v>MONTANT</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1.5554072690066284E-2"/>
                  <c:y val="0.120580927384077"/>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fr-FR"/>
                </a:p>
              </c:txPr>
              <c:dLblPos val="bestFit"/>
              <c:showLegendKey val="0"/>
              <c:showVal val="0"/>
              <c:showCatName val="0"/>
              <c:showSerName val="0"/>
              <c:showPercent val="1"/>
              <c:showBubbleSize val="0"/>
              <c:extLst>
                <c:ext xmlns:c15="http://schemas.microsoft.com/office/drawing/2012/chart" uri="{CE6537A1-D6FC-4f65-9D91-7224C49458BB}"/>
              </c:extLst>
            </c:dLbl>
            <c:dLbl>
              <c:idx val="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dLbl>
            <c:dLbl>
              <c:idx val="2"/>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Feuil1!$C$16:$C$18</c:f>
              <c:strCache>
                <c:ptCount val="3"/>
                <c:pt idx="0">
                  <c:v>ETAT</c:v>
                </c:pt>
                <c:pt idx="1">
                  <c:v>PTF FCD</c:v>
                </c:pt>
                <c:pt idx="2">
                  <c:v>PTF HORS FCD</c:v>
                </c:pt>
              </c:strCache>
            </c:strRef>
          </c:cat>
          <c:val>
            <c:numRef>
              <c:f>Feuil1!$D$16:$D$18</c:f>
              <c:numCache>
                <c:formatCode>#,##0</c:formatCode>
                <c:ptCount val="3"/>
                <c:pt idx="0">
                  <c:v>253454550</c:v>
                </c:pt>
                <c:pt idx="1">
                  <c:v>10287504284</c:v>
                </c:pt>
                <c:pt idx="2">
                  <c:v>1059713300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484971158266218"/>
          <c:y val="0.41229841061533973"/>
          <c:w val="0.28255141836084047"/>
          <c:h val="0.2216991105278506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'CANEVAS PROGRAMMATION 2016'!$C$360</c:f>
              <c:strCache>
                <c:ptCount val="1"/>
                <c:pt idx="0">
                  <c:v>Mobilisations</c:v>
                </c:pt>
              </c:strCache>
            </c:strRef>
          </c:tx>
          <c:spPr>
            <a:solidFill>
              <a:schemeClr val="accent1"/>
            </a:solidFill>
            <a:ln>
              <a:noFill/>
            </a:ln>
            <a:effectLst/>
          </c:spPr>
          <c:invertIfNegative val="0"/>
          <c:cat>
            <c:strRef>
              <c:f>'CANEVAS PROGRAMMATION 2016'!$B$361:$B$364</c:f>
              <c:strCache>
                <c:ptCount val="4"/>
                <c:pt idx="0">
                  <c:v>Inv</c:v>
                </c:pt>
                <c:pt idx="1">
                  <c:v>Fonc</c:v>
                </c:pt>
                <c:pt idx="2">
                  <c:v>For</c:v>
                </c:pt>
                <c:pt idx="3">
                  <c:v>Total</c:v>
                </c:pt>
              </c:strCache>
            </c:strRef>
          </c:cat>
          <c:val>
            <c:numRef>
              <c:f>'CANEVAS PROGRAMMATION 2016'!$C$361:$C$364</c:f>
              <c:numCache>
                <c:formatCode>_-* #,##0\ _F_-;\-* #,##0\ _F_-;_-* "-"??\ _F_-;_-@_-</c:formatCode>
                <c:ptCount val="4"/>
                <c:pt idx="0">
                  <c:v>132000000</c:v>
                </c:pt>
                <c:pt idx="1">
                  <c:v>841937561</c:v>
                </c:pt>
                <c:pt idx="2">
                  <c:v>42635800</c:v>
                </c:pt>
                <c:pt idx="3">
                  <c:v>1016573361</c:v>
                </c:pt>
              </c:numCache>
            </c:numRef>
          </c:val>
        </c:ser>
        <c:ser>
          <c:idx val="1"/>
          <c:order val="1"/>
          <c:tx>
            <c:strRef>
              <c:f>'CANEVAS PROGRAMMATION 2016'!$D$360</c:f>
              <c:strCache>
                <c:ptCount val="1"/>
                <c:pt idx="0">
                  <c:v>Consommations</c:v>
                </c:pt>
              </c:strCache>
            </c:strRef>
          </c:tx>
          <c:spPr>
            <a:solidFill>
              <a:schemeClr val="accent2"/>
            </a:solidFill>
            <a:ln>
              <a:noFill/>
            </a:ln>
            <a:effectLst/>
          </c:spPr>
          <c:invertIfNegative val="0"/>
          <c:cat>
            <c:strRef>
              <c:f>'CANEVAS PROGRAMMATION 2016'!$B$361:$B$364</c:f>
              <c:strCache>
                <c:ptCount val="4"/>
                <c:pt idx="0">
                  <c:v>Inv</c:v>
                </c:pt>
                <c:pt idx="1">
                  <c:v>Fonc</c:v>
                </c:pt>
                <c:pt idx="2">
                  <c:v>For</c:v>
                </c:pt>
                <c:pt idx="3">
                  <c:v>Total</c:v>
                </c:pt>
              </c:strCache>
            </c:strRef>
          </c:cat>
          <c:val>
            <c:numRef>
              <c:f>'CANEVAS PROGRAMMATION 2016'!$D$361:$D$364</c:f>
              <c:numCache>
                <c:formatCode>_-* #,##0\ _F_-;\-* #,##0\ _F_-;_-* "-"??\ _F_-;_-@_-</c:formatCode>
                <c:ptCount val="4"/>
                <c:pt idx="0">
                  <c:v>132000000</c:v>
                </c:pt>
                <c:pt idx="1">
                  <c:v>741937561</c:v>
                </c:pt>
                <c:pt idx="2">
                  <c:v>40635800</c:v>
                </c:pt>
                <c:pt idx="3">
                  <c:v>914573361</c:v>
                </c:pt>
              </c:numCache>
            </c:numRef>
          </c:val>
        </c:ser>
        <c:dLbls>
          <c:showLegendKey val="0"/>
          <c:showVal val="0"/>
          <c:showCatName val="0"/>
          <c:showSerName val="0"/>
          <c:showPercent val="0"/>
          <c:showBubbleSize val="0"/>
        </c:dLbls>
        <c:gapWidth val="219"/>
        <c:overlap val="-27"/>
        <c:axId val="-1742502544"/>
        <c:axId val="-1742503632"/>
      </c:barChart>
      <c:catAx>
        <c:axId val="-174250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742503632"/>
        <c:crosses val="autoZero"/>
        <c:auto val="1"/>
        <c:lblAlgn val="ctr"/>
        <c:lblOffset val="100"/>
        <c:noMultiLvlLbl val="0"/>
      </c:catAx>
      <c:valAx>
        <c:axId val="-1742503632"/>
        <c:scaling>
          <c:orientation val="minMax"/>
        </c:scaling>
        <c:delete val="0"/>
        <c:axPos val="l"/>
        <c:majorGridlines>
          <c:spPr>
            <a:ln w="9525" cap="flat" cmpd="sng" algn="ctr">
              <a:solidFill>
                <a:schemeClr val="tx1">
                  <a:lumMod val="15000"/>
                  <a:lumOff val="85000"/>
                </a:schemeClr>
              </a:solidFill>
              <a:round/>
            </a:ln>
            <a:effectLst/>
          </c:spPr>
        </c:majorGridlines>
        <c:numFmt formatCode="_-* #,##0\ _F_-;\-* #,##0\ _F_-;_-* &quot;-&quot;??\ _F_-;_-@_-"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74250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Feuil2!$B$14</c:f>
              <c:strCache>
                <c:ptCount val="1"/>
                <c:pt idx="0">
                  <c:v>MONTANT</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Feuil2!$A$15:$A$16</c:f>
              <c:strCache>
                <c:ptCount val="2"/>
                <c:pt idx="0">
                  <c:v>INTERNE</c:v>
                </c:pt>
                <c:pt idx="1">
                  <c:v>EXTERNE</c:v>
                </c:pt>
              </c:strCache>
            </c:strRef>
          </c:cat>
          <c:val>
            <c:numRef>
              <c:f>Feuil2!$B$15:$B$16</c:f>
              <c:numCache>
                <c:formatCode>#,##0</c:formatCode>
                <c:ptCount val="2"/>
                <c:pt idx="0">
                  <c:v>567500000</c:v>
                </c:pt>
                <c:pt idx="1">
                  <c:v>855573361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CED0CEA0-DFF2-415E-9CC0-6931F665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83</Pages>
  <Words>28333</Words>
  <Characters>155832</Characters>
  <Application>Microsoft Office Word</Application>
  <DocSecurity>0</DocSecurity>
  <Lines>1298</Lines>
  <Paragraphs>367</Paragraphs>
  <ScaleCrop>false</ScaleCrop>
  <HeadingPairs>
    <vt:vector size="2" baseType="variant">
      <vt:variant>
        <vt:lpstr>Titre</vt:lpstr>
      </vt:variant>
      <vt:variant>
        <vt:i4>1</vt:i4>
      </vt:variant>
    </vt:vector>
  </HeadingPairs>
  <TitlesOfParts>
    <vt:vector size="1" baseType="lpstr">
      <vt:lpstr/>
    </vt:vector>
  </TitlesOfParts>
  <Company>World Food Programme</Company>
  <LinksUpToDate>false</LinksUpToDate>
  <CharactersWithSpaces>183798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Hewlett-Packard Company</cp:lastModifiedBy>
  <cp:revision>21</cp:revision>
  <cp:lastPrinted>2018-11-07T08:04:00Z</cp:lastPrinted>
  <dcterms:created xsi:type="dcterms:W3CDTF">2018-11-06T19:21:00Z</dcterms:created>
  <dcterms:modified xsi:type="dcterms:W3CDTF">2018-11-07T08:05:00Z</dcterms:modified>
</cp:coreProperties>
</file>