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sz w:val="28"/>
          <w:szCs w:val="28"/>
        </w:rPr>
        <w:id w:val="-1572114542"/>
        <w:docPartObj>
          <w:docPartGallery w:val="Cover Pages"/>
          <w:docPartUnique/>
        </w:docPartObj>
      </w:sdtPr>
      <w:sdtEndPr>
        <w:rPr>
          <w:noProof/>
          <w:lang w:eastAsia="fr-FR"/>
        </w:rPr>
      </w:sdtEndPr>
      <w:sdtContent>
        <w:p w:rsidR="00C00240" w:rsidRPr="006866D3" w:rsidRDefault="00B75B75" w:rsidP="009E015B">
          <w:pPr>
            <w:rPr>
              <w:sz w:val="28"/>
              <w:szCs w:val="28"/>
            </w:rPr>
          </w:pPr>
          <w:r w:rsidRPr="006866D3">
            <w:rPr>
              <w:rFonts w:ascii="Calibri" w:hAnsi="Calibri"/>
              <w:noProof/>
              <w:sz w:val="28"/>
              <w:szCs w:val="28"/>
              <w:lang w:eastAsia="fr-FR"/>
            </w:rPr>
            <w:drawing>
              <wp:anchor distT="0" distB="0" distL="114300" distR="114300" simplePos="0" relativeHeight="251929600" behindDoc="0" locked="0" layoutInCell="1" allowOverlap="1">
                <wp:simplePos x="0" y="0"/>
                <wp:positionH relativeFrom="margin">
                  <wp:align>right</wp:align>
                </wp:positionH>
                <wp:positionV relativeFrom="paragraph">
                  <wp:posOffset>-163915</wp:posOffset>
                </wp:positionV>
                <wp:extent cx="942975" cy="878205"/>
                <wp:effectExtent l="0" t="0" r="0" b="0"/>
                <wp:wrapNone/>
                <wp:docPr id="83" name="Picture 8" descr="WFPlogo-english-emblem-white.gif"/>
                <wp:cNvGraphicFramePr/>
                <a:graphic xmlns:a="http://schemas.openxmlformats.org/drawingml/2006/main">
                  <a:graphicData uri="http://schemas.openxmlformats.org/drawingml/2006/picture">
                    <pic:pic xmlns:pic="http://schemas.openxmlformats.org/drawingml/2006/picture">
                      <pic:nvPicPr>
                        <pic:cNvPr id="32" name="Picture 8" descr="WFPlogo-english-emblem-white.gif"/>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942975" cy="878205"/>
                        </a:xfrm>
                        <a:prstGeom prst="rect">
                          <a:avLst/>
                        </a:prstGeom>
                      </pic:spPr>
                    </pic:pic>
                  </a:graphicData>
                </a:graphic>
              </wp:anchor>
            </w:drawing>
          </w:r>
          <w:r w:rsidR="00C00240" w:rsidRPr="006866D3">
            <w:rPr>
              <w:noProof/>
              <w:sz w:val="28"/>
              <w:szCs w:val="28"/>
              <w:lang w:eastAsia="fr-FR"/>
            </w:rPr>
            <w:drawing>
              <wp:inline distT="0" distB="0" distL="0" distR="0">
                <wp:extent cx="992825" cy="67021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4023" cy="677778"/>
                        </a:xfrm>
                        <a:prstGeom prst="rect">
                          <a:avLst/>
                        </a:prstGeom>
                        <a:noFill/>
                        <a:ln>
                          <a:noFill/>
                        </a:ln>
                      </pic:spPr>
                    </pic:pic>
                  </a:graphicData>
                </a:graphic>
              </wp:inline>
            </w:drawing>
          </w:r>
        </w:p>
        <w:p w:rsidR="00C00240" w:rsidRPr="006866D3" w:rsidRDefault="00C00240" w:rsidP="00C00240">
          <w:pPr>
            <w:jc w:val="center"/>
            <w:rPr>
              <w:rFonts w:ascii="Vivaldi" w:hAnsi="Vivaldi" w:cs="Vivaldi"/>
              <w:b/>
              <w:bCs/>
              <w:sz w:val="28"/>
              <w:szCs w:val="28"/>
            </w:rPr>
          </w:pPr>
          <w:r w:rsidRPr="006866D3">
            <w:rPr>
              <w:rFonts w:ascii="Vivaldi" w:hAnsi="Vivaldi" w:cs="Vivaldi"/>
              <w:b/>
              <w:bCs/>
              <w:sz w:val="28"/>
              <w:szCs w:val="28"/>
            </w:rPr>
            <w:t>République du Niger</w:t>
          </w:r>
        </w:p>
        <w:p w:rsidR="00C00240" w:rsidRPr="006866D3" w:rsidRDefault="00146983" w:rsidP="004C119C">
          <w:pPr>
            <w:spacing w:line="240" w:lineRule="auto"/>
            <w:jc w:val="center"/>
            <w:rPr>
              <w:sz w:val="28"/>
              <w:szCs w:val="28"/>
            </w:rPr>
          </w:pPr>
          <w:r>
            <w:rPr>
              <w:noProof/>
              <w:sz w:val="28"/>
              <w:szCs w:val="28"/>
              <w:lang w:eastAsia="fr-FR"/>
            </w:rPr>
            <mc:AlternateContent>
              <mc:Choice Requires="wpg">
                <w:drawing>
                  <wp:anchor distT="0" distB="0" distL="114300" distR="114300" simplePos="0" relativeHeight="251855872" behindDoc="1" locked="0" layoutInCell="1" allowOverlap="1" wp14:anchorId="1A36A646">
                    <wp:simplePos x="0" y="0"/>
                    <wp:positionH relativeFrom="page">
                      <wp:posOffset>375285</wp:posOffset>
                    </wp:positionH>
                    <wp:positionV relativeFrom="page">
                      <wp:posOffset>3118485</wp:posOffset>
                    </wp:positionV>
                    <wp:extent cx="7089140" cy="6196330"/>
                    <wp:effectExtent l="0" t="0" r="0" b="0"/>
                    <wp:wrapNone/>
                    <wp:docPr id="119" name="Groupe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9140" cy="6196330"/>
                              <a:chOff x="-23751" y="2576427"/>
                              <a:chExt cx="7089569" cy="6196269"/>
                            </a:xfrm>
                          </wpg:grpSpPr>
                          <wps:wsp>
                            <wps:cNvPr id="120" name="Rectangle 120"/>
                            <wps:cNvSpPr/>
                            <wps:spPr>
                              <a:xfrm>
                                <a:off x="0" y="7315200"/>
                                <a:ext cx="6858000" cy="2359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23751" y="7564546"/>
                                <a:ext cx="6858000" cy="12081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lang w:val="en-US"/>
                                    </w:rPr>
                                    <w:alias w:val="Auteur"/>
                                    <w:tag w:val=""/>
                                    <w:id w:val="619959277"/>
                                    <w:dataBinding w:prefixMappings="xmlns:ns0='http://purl.org/dc/elements/1.1/' xmlns:ns1='http://schemas.openxmlformats.org/package/2006/metadata/core-properties' " w:xpath="/ns1:coreProperties[1]/ns0:creator[1]" w:storeItemID="{6C3C8BC8-F283-45AE-878A-BAB7291924A1}"/>
                                    <w:text/>
                                  </w:sdtPr>
                                  <w:sdtEndPr/>
                                  <w:sdtContent>
                                    <w:p w:rsidR="00146325" w:rsidRPr="00F93D68" w:rsidRDefault="00146325">
                                      <w:pPr>
                                        <w:pStyle w:val="Sansinterligne"/>
                                        <w:rPr>
                                          <w:color w:val="FFFFFF" w:themeColor="background1"/>
                                          <w:sz w:val="24"/>
                                          <w:szCs w:val="24"/>
                                          <w:lang w:val="en-US"/>
                                        </w:rPr>
                                      </w:pPr>
                                      <w:r w:rsidRPr="00F93D68">
                                        <w:rPr>
                                          <w:color w:val="FFFFFF" w:themeColor="background1"/>
                                          <w:sz w:val="24"/>
                                          <w:szCs w:val="24"/>
                                          <w:lang w:val="en-US"/>
                                        </w:rPr>
                                        <w:t>Mohamadou Magha, Barkiré Bourahima, Hamid Ahmed</w:t>
                                      </w:r>
                                    </w:p>
                                  </w:sdtContent>
                                </w:sdt>
                                <w:p w:rsidR="00146325" w:rsidRPr="009E015B" w:rsidRDefault="00C73EE5">
                                  <w:pPr>
                                    <w:pStyle w:val="Sansinterligne"/>
                                    <w:rPr>
                                      <w:b/>
                                      <w:caps/>
                                      <w:color w:val="FFFFFF" w:themeColor="background1"/>
                                      <w:sz w:val="36"/>
                                      <w:szCs w:val="36"/>
                                      <w:lang w:val="en-US"/>
                                    </w:rPr>
                                  </w:pPr>
                                  <w:sdt>
                                    <w:sdtPr>
                                      <w:rPr>
                                        <w:b/>
                                        <w:caps/>
                                        <w:color w:val="FFFFFF" w:themeColor="background1"/>
                                        <w:sz w:val="36"/>
                                        <w:szCs w:val="36"/>
                                        <w:lang w:val="en-US"/>
                                      </w:rPr>
                                      <w:alias w:val="Société"/>
                                      <w:tag w:val=""/>
                                      <w:id w:val="-1680798040"/>
                                      <w:dataBinding w:prefixMappings="xmlns:ns0='http://schemas.openxmlformats.org/officeDocument/2006/extended-properties' " w:xpath="/ns0:Properties[1]/ns0:Company[1]" w:storeItemID="{6668398D-A668-4E3E-A5EB-62B293D839F1}"/>
                                      <w:text/>
                                    </w:sdtPr>
                                    <w:sdtEndPr/>
                                    <w:sdtContent>
                                      <w:r w:rsidR="00146983">
                                        <w:rPr>
                                          <w:b/>
                                          <w:caps/>
                                          <w:color w:val="FFFFFF" w:themeColor="background1"/>
                                          <w:sz w:val="36"/>
                                          <w:szCs w:val="36"/>
                                          <w:lang/>
                                        </w:rPr>
                                        <w:t>CABINET REDES</w:t>
                                      </w:r>
                                    </w:sdtContent>
                                  </w:sdt>
                                  <w:sdt>
                                    <w:sdtPr>
                                      <w:rPr>
                                        <w:b/>
                                        <w:caps/>
                                        <w:color w:val="FFFFFF" w:themeColor="background1"/>
                                        <w:sz w:val="36"/>
                                        <w:szCs w:val="36"/>
                                        <w:lang w:val="en-US"/>
                                      </w:rPr>
                                      <w:alias w:val="Adresse"/>
                                      <w:tag w:val=""/>
                                      <w:id w:val="-1820420239"/>
                                      <w:dataBinding w:prefixMappings="xmlns:ns0='http://schemas.microsoft.com/office/2006/coverPageProps' " w:xpath="/ns0:CoverPageProperties[1]/ns0:CompanyAddress[1]" w:storeItemID="{55AF091B-3C7A-41E3-B477-F2FDAA23CFDA}"/>
                                      <w:text/>
                                    </w:sdtPr>
                                    <w:sdtEndPr/>
                                    <w:sdtContent>
                                      <w:r w:rsidR="00146325" w:rsidRPr="009E015B">
                                        <w:rPr>
                                          <w:b/>
                                          <w:caps/>
                                          <w:color w:val="FFFFFF" w:themeColor="background1"/>
                                          <w:sz w:val="36"/>
                                          <w:szCs w:val="36"/>
                                          <w:lang w:val="en-US"/>
                                        </w:rPr>
                                        <w:t>nIAMEY</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Zone de texte 122"/>
                            <wps:cNvSpPr txBox="1"/>
                            <wps:spPr>
                              <a:xfrm>
                                <a:off x="0" y="2576427"/>
                                <a:ext cx="7065818" cy="34441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olor w:val="595959" w:themeColor="text1" w:themeTint="A6"/>
                                      <w:sz w:val="72"/>
                                      <w:szCs w:val="72"/>
                                    </w:rPr>
                                    <w:alias w:val="Titre"/>
                                    <w:tag w:val=""/>
                                    <w:id w:val="552199641"/>
                                    <w:dataBinding w:prefixMappings="xmlns:ns0='http://purl.org/dc/elements/1.1/' xmlns:ns1='http://schemas.openxmlformats.org/package/2006/metadata/core-properties' " w:xpath="/ns1:coreProperties[1]/ns0:title[1]" w:storeItemID="{6C3C8BC8-F283-45AE-878A-BAB7291924A1}"/>
                                    <w:text/>
                                  </w:sdtPr>
                                  <w:sdtEndPr/>
                                  <w:sdtContent>
                                    <w:p w:rsidR="00146325" w:rsidRPr="00C00240" w:rsidRDefault="00146325" w:rsidP="00C00240">
                                      <w:pPr>
                                        <w:pStyle w:val="Sansinterligne"/>
                                        <w:pBdr>
                                          <w:bottom w:val="single" w:sz="6" w:space="4" w:color="7F7F7F" w:themeColor="text1" w:themeTint="80"/>
                                        </w:pBdr>
                                        <w:jc w:val="center"/>
                                        <w:rPr>
                                          <w:rFonts w:asciiTheme="majorHAnsi" w:eastAsiaTheme="majorEastAsia" w:hAnsiTheme="majorHAnsi" w:cstheme="majorBidi"/>
                                          <w:b/>
                                          <w:color w:val="595959" w:themeColor="text1" w:themeTint="A6"/>
                                          <w:sz w:val="72"/>
                                          <w:szCs w:val="72"/>
                                        </w:rPr>
                                      </w:pPr>
                                      <w:r w:rsidRPr="00C00240">
                                        <w:rPr>
                                          <w:rFonts w:asciiTheme="majorHAnsi" w:eastAsiaTheme="majorEastAsia" w:hAnsiTheme="majorHAnsi" w:cstheme="majorBidi"/>
                                          <w:b/>
                                          <w:color w:val="595959" w:themeColor="text1" w:themeTint="A6"/>
                                          <w:sz w:val="72"/>
                                          <w:szCs w:val="72"/>
                                        </w:rPr>
                                        <w:t>REVUE STRATEGIQUE NATIONALE FAIM ZERO DU NIGER</w:t>
                                      </w:r>
                                    </w:p>
                                  </w:sdtContent>
                                </w:sdt>
                                <w:sdt>
                                  <w:sdtPr>
                                    <w:rPr>
                                      <w:caps/>
                                      <w:color w:val="455F51" w:themeColor="text2"/>
                                      <w:sz w:val="36"/>
                                      <w:szCs w:val="36"/>
                                    </w:rPr>
                                    <w:alias w:val="Sous-titre"/>
                                    <w:tag w:val=""/>
                                    <w:id w:val="699285338"/>
                                    <w:dataBinding w:prefixMappings="xmlns:ns0='http://purl.org/dc/elements/1.1/' xmlns:ns1='http://schemas.openxmlformats.org/package/2006/metadata/core-properties' " w:xpath="/ns1:coreProperties[1]/ns0:subject[1]" w:storeItemID="{6C3C8BC8-F283-45AE-878A-BAB7291924A1}"/>
                                    <w:text/>
                                  </w:sdtPr>
                                  <w:sdtEndPr/>
                                  <w:sdtContent>
                                    <w:p w:rsidR="00146325" w:rsidRDefault="00146325" w:rsidP="00C00240">
                                      <w:pPr>
                                        <w:pStyle w:val="Sansinterligne"/>
                                        <w:spacing w:before="240"/>
                                        <w:jc w:val="center"/>
                                        <w:rPr>
                                          <w:caps/>
                                          <w:color w:val="455F51" w:themeColor="text2"/>
                                          <w:sz w:val="36"/>
                                          <w:szCs w:val="36"/>
                                        </w:rPr>
                                      </w:pPr>
                                      <w:r>
                                        <w:rPr>
                                          <w:caps/>
                                          <w:color w:val="455F51" w:themeColor="text2"/>
                                          <w:sz w:val="36"/>
                                          <w:szCs w:val="36"/>
                                        </w:rPr>
                                        <w:t>Rapport définitif du 01/10/2018</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36A646" id="Groupe 119" o:spid="_x0000_s1026" style="position:absolute;left:0;text-align:left;margin-left:29.55pt;margin-top:245.55pt;width:558.2pt;height:487.9pt;z-index:-251460608;mso-position-horizontal-relative:page;mso-position-vertical-relative:page" coordorigin="-237,25764" coordsize="70895,6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">
                    <v:rect id="Rectangle 120" o:spid="_x0000_s1027" style="position:absolute;top:73152;width:68580;height:2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549e39 [3204]" stroked="f" strokeweight="1pt"/>
                    <v:rect id="Rectangle 121" o:spid="_x0000_s1028" style="position:absolute;left:-237;top:75645;width:68579;height:120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8ab833 [3205]" stroked="f" strokeweight="1pt">
                      <v:textbox inset="36pt,14.4pt,36pt,36pt">
                        <w:txbxContent>
                          <w:sdt>
                            <w:sdtPr>
                              <w:rPr>
                                <w:color w:val="FFFFFF" w:themeColor="background1"/>
                                <w:sz w:val="24"/>
                                <w:szCs w:val="24"/>
                                <w:lang w:val="en-US"/>
                              </w:rPr>
                              <w:alias w:val="Auteur"/>
                              <w:tag w:val=""/>
                              <w:id w:val="619959277"/>
                              <w:dataBinding w:prefixMappings="xmlns:ns0='http://purl.org/dc/elements/1.1/' xmlns:ns1='http://schemas.openxmlformats.org/package/2006/metadata/core-properties' " w:xpath="/ns1:coreProperties[1]/ns0:creator[1]" w:storeItemID="{6C3C8BC8-F283-45AE-878A-BAB7291924A1}"/>
                              <w:text/>
                            </w:sdtPr>
                            <w:sdtEndPr/>
                            <w:sdtContent>
                              <w:p w:rsidR="00146325" w:rsidRPr="00F93D68" w:rsidRDefault="00146325">
                                <w:pPr>
                                  <w:pStyle w:val="Sansinterligne"/>
                                  <w:rPr>
                                    <w:color w:val="FFFFFF" w:themeColor="background1"/>
                                    <w:sz w:val="24"/>
                                    <w:szCs w:val="24"/>
                                    <w:lang w:val="en-US"/>
                                  </w:rPr>
                                </w:pPr>
                                <w:r w:rsidRPr="00F93D68">
                                  <w:rPr>
                                    <w:color w:val="FFFFFF" w:themeColor="background1"/>
                                    <w:sz w:val="24"/>
                                    <w:szCs w:val="24"/>
                                    <w:lang w:val="en-US"/>
                                  </w:rPr>
                                  <w:t>Mohamadou Magha, Barkiré Bourahima, Hamid Ahmed</w:t>
                                </w:r>
                              </w:p>
                            </w:sdtContent>
                          </w:sdt>
                          <w:p w:rsidR="00146325" w:rsidRPr="009E015B" w:rsidRDefault="00C73EE5">
                            <w:pPr>
                              <w:pStyle w:val="Sansinterligne"/>
                              <w:rPr>
                                <w:b/>
                                <w:caps/>
                                <w:color w:val="FFFFFF" w:themeColor="background1"/>
                                <w:sz w:val="36"/>
                                <w:szCs w:val="36"/>
                                <w:lang w:val="en-US"/>
                              </w:rPr>
                            </w:pPr>
                            <w:sdt>
                              <w:sdtPr>
                                <w:rPr>
                                  <w:b/>
                                  <w:caps/>
                                  <w:color w:val="FFFFFF" w:themeColor="background1"/>
                                  <w:sz w:val="36"/>
                                  <w:szCs w:val="36"/>
                                  <w:lang w:val="en-US"/>
                                </w:rPr>
                                <w:alias w:val="Société"/>
                                <w:tag w:val=""/>
                                <w:id w:val="-1680798040"/>
                                <w:dataBinding w:prefixMappings="xmlns:ns0='http://schemas.openxmlformats.org/officeDocument/2006/extended-properties' " w:xpath="/ns0:Properties[1]/ns0:Company[1]" w:storeItemID="{6668398D-A668-4E3E-A5EB-62B293D839F1}"/>
                                <w:text/>
                              </w:sdtPr>
                              <w:sdtEndPr/>
                              <w:sdtContent>
                                <w:r w:rsidR="00146983">
                                  <w:rPr>
                                    <w:b/>
                                    <w:caps/>
                                    <w:color w:val="FFFFFF" w:themeColor="background1"/>
                                    <w:sz w:val="36"/>
                                    <w:szCs w:val="36"/>
                                    <w:lang/>
                                  </w:rPr>
                                  <w:t>CABINET REDES</w:t>
                                </w:r>
                              </w:sdtContent>
                            </w:sdt>
                            <w:sdt>
                              <w:sdtPr>
                                <w:rPr>
                                  <w:b/>
                                  <w:caps/>
                                  <w:color w:val="FFFFFF" w:themeColor="background1"/>
                                  <w:sz w:val="36"/>
                                  <w:szCs w:val="36"/>
                                  <w:lang w:val="en-US"/>
                                </w:rPr>
                                <w:alias w:val="Adresse"/>
                                <w:tag w:val=""/>
                                <w:id w:val="-1820420239"/>
                                <w:dataBinding w:prefixMappings="xmlns:ns0='http://schemas.microsoft.com/office/2006/coverPageProps' " w:xpath="/ns0:CoverPageProperties[1]/ns0:CompanyAddress[1]" w:storeItemID="{55AF091B-3C7A-41E3-B477-F2FDAA23CFDA}"/>
                                <w:text/>
                              </w:sdtPr>
                              <w:sdtEndPr/>
                              <w:sdtContent>
                                <w:r w:rsidR="00146325" w:rsidRPr="009E015B">
                                  <w:rPr>
                                    <w:b/>
                                    <w:caps/>
                                    <w:color w:val="FFFFFF" w:themeColor="background1"/>
                                    <w:sz w:val="36"/>
                                    <w:szCs w:val="36"/>
                                    <w:lang w:val="en-US"/>
                                  </w:rPr>
                                  <w:t>nIAMEY</w:t>
                                </w:r>
                              </w:sdtContent>
                            </w:sdt>
                          </w:p>
                        </w:txbxContent>
                      </v:textbox>
                    </v:rect>
                    <v:shapetype id="_x0000_t202" coordsize="21600,21600" o:spt="202" path="m,l,21600r21600,l21600,xe">
                      <v:stroke joinstyle="miter"/>
                      <v:path gradientshapeok="t" o:connecttype="rect"/>
                    </v:shapetype>
                    <v:shape id="Zone de texte 122" o:spid="_x0000_s1029" type="#_x0000_t202" style="position:absolute;top:25764;width:70658;height:34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heme="majorHAnsi" w:eastAsiaTheme="majorEastAsia" w:hAnsiTheme="majorHAnsi" w:cstheme="majorBidi"/>
                                <w:b/>
                                <w:color w:val="595959" w:themeColor="text1" w:themeTint="A6"/>
                                <w:sz w:val="72"/>
                                <w:szCs w:val="72"/>
                              </w:rPr>
                              <w:alias w:val="Titre"/>
                              <w:tag w:val=""/>
                              <w:id w:val="552199641"/>
                              <w:dataBinding w:prefixMappings="xmlns:ns0='http://purl.org/dc/elements/1.1/' xmlns:ns1='http://schemas.openxmlformats.org/package/2006/metadata/core-properties' " w:xpath="/ns1:coreProperties[1]/ns0:title[1]" w:storeItemID="{6C3C8BC8-F283-45AE-878A-BAB7291924A1}"/>
                              <w:text/>
                            </w:sdtPr>
                            <w:sdtEndPr/>
                            <w:sdtContent>
                              <w:p w:rsidR="00146325" w:rsidRPr="00C00240" w:rsidRDefault="00146325" w:rsidP="00C00240">
                                <w:pPr>
                                  <w:pStyle w:val="Sansinterligne"/>
                                  <w:pBdr>
                                    <w:bottom w:val="single" w:sz="6" w:space="4" w:color="7F7F7F" w:themeColor="text1" w:themeTint="80"/>
                                  </w:pBdr>
                                  <w:jc w:val="center"/>
                                  <w:rPr>
                                    <w:rFonts w:asciiTheme="majorHAnsi" w:eastAsiaTheme="majorEastAsia" w:hAnsiTheme="majorHAnsi" w:cstheme="majorBidi"/>
                                    <w:b/>
                                    <w:color w:val="595959" w:themeColor="text1" w:themeTint="A6"/>
                                    <w:sz w:val="72"/>
                                    <w:szCs w:val="72"/>
                                  </w:rPr>
                                </w:pPr>
                                <w:r w:rsidRPr="00C00240">
                                  <w:rPr>
                                    <w:rFonts w:asciiTheme="majorHAnsi" w:eastAsiaTheme="majorEastAsia" w:hAnsiTheme="majorHAnsi" w:cstheme="majorBidi"/>
                                    <w:b/>
                                    <w:color w:val="595959" w:themeColor="text1" w:themeTint="A6"/>
                                    <w:sz w:val="72"/>
                                    <w:szCs w:val="72"/>
                                  </w:rPr>
                                  <w:t>REVUE STRATEGIQUE NATIONALE FAIM ZERO DU NIGER</w:t>
                                </w:r>
                              </w:p>
                            </w:sdtContent>
                          </w:sdt>
                          <w:sdt>
                            <w:sdtPr>
                              <w:rPr>
                                <w:caps/>
                                <w:color w:val="455F51" w:themeColor="text2"/>
                                <w:sz w:val="36"/>
                                <w:szCs w:val="36"/>
                              </w:rPr>
                              <w:alias w:val="Sous-titre"/>
                              <w:tag w:val=""/>
                              <w:id w:val="699285338"/>
                              <w:dataBinding w:prefixMappings="xmlns:ns0='http://purl.org/dc/elements/1.1/' xmlns:ns1='http://schemas.openxmlformats.org/package/2006/metadata/core-properties' " w:xpath="/ns1:coreProperties[1]/ns0:subject[1]" w:storeItemID="{6C3C8BC8-F283-45AE-878A-BAB7291924A1}"/>
                              <w:text/>
                            </w:sdtPr>
                            <w:sdtEndPr/>
                            <w:sdtContent>
                              <w:p w:rsidR="00146325" w:rsidRDefault="00146325" w:rsidP="00C00240">
                                <w:pPr>
                                  <w:pStyle w:val="Sansinterligne"/>
                                  <w:spacing w:before="240"/>
                                  <w:jc w:val="center"/>
                                  <w:rPr>
                                    <w:caps/>
                                    <w:color w:val="455F51" w:themeColor="text2"/>
                                    <w:sz w:val="36"/>
                                    <w:szCs w:val="36"/>
                                  </w:rPr>
                                </w:pPr>
                                <w:r>
                                  <w:rPr>
                                    <w:caps/>
                                    <w:color w:val="455F51" w:themeColor="text2"/>
                                    <w:sz w:val="36"/>
                                    <w:szCs w:val="36"/>
                                  </w:rPr>
                                  <w:t>Rapport définitif du 01/10/2018</w:t>
                                </w:r>
                              </w:p>
                            </w:sdtContent>
                          </w:sdt>
                        </w:txbxContent>
                      </v:textbox>
                    </v:shape>
                    <w10:wrap anchorx="page" anchory="page"/>
                  </v:group>
                </w:pict>
              </mc:Fallback>
            </mc:AlternateContent>
          </w:r>
          <w:r w:rsidR="00C00240" w:rsidRPr="006866D3">
            <w:rPr>
              <w:sz w:val="28"/>
              <w:szCs w:val="28"/>
            </w:rPr>
            <w:t>Ministère du Développement Communautaire et de l’Aménagement du Territoire</w:t>
          </w:r>
        </w:p>
        <w:p w:rsidR="00C00240" w:rsidRPr="006866D3" w:rsidRDefault="003F63E7" w:rsidP="00141D20">
          <w:pPr>
            <w:tabs>
              <w:tab w:val="left" w:pos="8152"/>
            </w:tabs>
            <w:rPr>
              <w:sz w:val="28"/>
              <w:szCs w:val="28"/>
            </w:rPr>
          </w:pPr>
          <w:r>
            <w:rPr>
              <w:sz w:val="28"/>
              <w:szCs w:val="28"/>
            </w:rPr>
            <w:tab/>
          </w:r>
        </w:p>
        <w:p w:rsidR="00AB3B84" w:rsidRPr="006866D3" w:rsidRDefault="00AB3B84">
          <w:pPr>
            <w:rPr>
              <w:noProof/>
              <w:sz w:val="28"/>
              <w:szCs w:val="28"/>
              <w:lang w:eastAsia="fr-FR"/>
            </w:rPr>
          </w:pPr>
          <w:r w:rsidRPr="006866D3">
            <w:rPr>
              <w:noProof/>
              <w:sz w:val="28"/>
              <w:szCs w:val="28"/>
              <w:lang w:eastAsia="fr-FR"/>
            </w:rPr>
            <w:br w:type="page"/>
          </w:r>
        </w:p>
        <w:p w:rsidR="00F64E61" w:rsidRPr="006866D3" w:rsidRDefault="00F64E61" w:rsidP="00924A56">
          <w:pPr>
            <w:jc w:val="both"/>
            <w:rPr>
              <w:rFonts w:ascii="Nyala" w:hAnsi="Nyala"/>
              <w:sz w:val="28"/>
              <w:szCs w:val="28"/>
            </w:rPr>
          </w:pPr>
        </w:p>
        <w:p w:rsidR="00AB3B84" w:rsidRPr="006866D3" w:rsidRDefault="00AB3B84" w:rsidP="00924A56">
          <w:pPr>
            <w:pStyle w:val="Titre1"/>
            <w:rPr>
              <w:sz w:val="28"/>
              <w:szCs w:val="28"/>
            </w:rPr>
          </w:pPr>
          <w:bookmarkStart w:id="1" w:name="_Toc526119960"/>
          <w:r w:rsidRPr="006866D3">
            <w:rPr>
              <w:sz w:val="28"/>
              <w:szCs w:val="28"/>
            </w:rPr>
            <w:t>AvantPropos</w:t>
          </w:r>
          <w:bookmarkEnd w:id="1"/>
        </w:p>
        <w:p w:rsidR="00AB3B84" w:rsidRPr="006866D3" w:rsidRDefault="00AB3B84" w:rsidP="00F93D68">
          <w:pPr>
            <w:rPr>
              <w:sz w:val="28"/>
              <w:szCs w:val="28"/>
              <w:lang w:eastAsia="fr-FR"/>
            </w:rPr>
          </w:pPr>
        </w:p>
        <w:p w:rsidR="00F92A45" w:rsidRPr="006866D3" w:rsidRDefault="00F92A45" w:rsidP="00F92A45">
          <w:pPr>
            <w:jc w:val="both"/>
            <w:rPr>
              <w:rFonts w:ascii="Nyala" w:hAnsi="Nyala"/>
              <w:color w:val="000000"/>
              <w:sz w:val="28"/>
              <w:szCs w:val="28"/>
            </w:rPr>
          </w:pPr>
          <w:r w:rsidRPr="006866D3">
            <w:rPr>
              <w:rFonts w:ascii="Nyala" w:hAnsi="Nyala"/>
              <w:sz w:val="28"/>
              <w:szCs w:val="28"/>
            </w:rPr>
            <w:t>Avec ses 1 267 000 km², le Niger est l’un des pays les plus vastes de l’Afrique. C’est un pays enclavé ; Il est situé à plus de 700 km du port maritime le plus proche. Les trois quarts du territoire national sont désertiques. Le Niger partage ses frontières avec des pays à dominante arabophone (Algérie, Lybie), anglophone (Nigeria) et francophone (</w:t>
          </w:r>
          <w:r w:rsidR="00795AD5" w:rsidRPr="006866D3">
            <w:rPr>
              <w:rFonts w:ascii="Nyala" w:hAnsi="Nyala"/>
              <w:sz w:val="28"/>
              <w:szCs w:val="28"/>
            </w:rPr>
            <w:t>Mali, Burkina</w:t>
          </w:r>
          <w:r w:rsidRPr="006866D3">
            <w:rPr>
              <w:rFonts w:ascii="Nyala" w:hAnsi="Nyala"/>
              <w:sz w:val="28"/>
              <w:szCs w:val="28"/>
            </w:rPr>
            <w:t xml:space="preserve"> Faso, Bénin, et Tchad). Situé entre le Sahel et le Sahara, le Niger a une faible pluviosité </w:t>
          </w:r>
          <w:r w:rsidRPr="006866D3">
            <w:rPr>
              <w:rFonts w:ascii="Nyala" w:hAnsi="Nyala"/>
              <w:color w:val="000000"/>
              <w:sz w:val="28"/>
              <w:szCs w:val="28"/>
            </w:rPr>
            <w:t xml:space="preserve">(de 0 à 900 mm /an). En se fondant sur le régime pluviométrique et les caractéristiques </w:t>
          </w:r>
          <w:r w:rsidR="00795AD5" w:rsidRPr="006866D3">
            <w:rPr>
              <w:rFonts w:ascii="Nyala" w:hAnsi="Nyala"/>
              <w:color w:val="000000"/>
              <w:sz w:val="28"/>
              <w:szCs w:val="28"/>
            </w:rPr>
            <w:t>écologiques, le</w:t>
          </w:r>
          <w:r w:rsidRPr="006866D3">
            <w:rPr>
              <w:rFonts w:ascii="Nyala" w:hAnsi="Nyala"/>
              <w:color w:val="000000"/>
              <w:sz w:val="28"/>
              <w:szCs w:val="28"/>
            </w:rPr>
            <w:t xml:space="preserve"> pays est </w:t>
          </w:r>
          <w:r w:rsidR="00795AD5" w:rsidRPr="006866D3">
            <w:rPr>
              <w:rFonts w:ascii="Nyala" w:hAnsi="Nyala"/>
              <w:color w:val="000000"/>
              <w:sz w:val="28"/>
              <w:szCs w:val="28"/>
            </w:rPr>
            <w:t>subdivisé</w:t>
          </w:r>
          <w:r w:rsidRPr="006866D3">
            <w:rPr>
              <w:rFonts w:ascii="Nyala" w:hAnsi="Nyala"/>
              <w:color w:val="000000"/>
              <w:sz w:val="28"/>
              <w:szCs w:val="28"/>
            </w:rPr>
            <w:t xml:space="preserve"> en (4) grandes zones </w:t>
          </w:r>
          <w:r w:rsidR="00795AD5" w:rsidRPr="006866D3">
            <w:rPr>
              <w:rFonts w:ascii="Nyala" w:hAnsi="Nyala"/>
              <w:color w:val="000000"/>
              <w:sz w:val="28"/>
              <w:szCs w:val="28"/>
            </w:rPr>
            <w:t>bioclimatiques :</w:t>
          </w:r>
          <w:r w:rsidRPr="006866D3">
            <w:rPr>
              <w:rFonts w:ascii="Nyala" w:hAnsi="Nyala"/>
              <w:color w:val="000000"/>
              <w:sz w:val="28"/>
              <w:szCs w:val="28"/>
            </w:rPr>
            <w:t xml:space="preserve"> (i) la zone soudanienne, (ii) la zone sahélo-soudanienne et sahélienne, (iii) la zone sahélo-saharienne, (iv) la zone saharienne désertique, représentant respectivement environ 1%, 10%, 12% et 77% de la superficie totale du territoire</w:t>
          </w:r>
          <w:r w:rsidRPr="006866D3">
            <w:rPr>
              <w:rFonts w:ascii="Nyala" w:hAnsi="Nyala"/>
              <w:sz w:val="28"/>
              <w:szCs w:val="28"/>
            </w:rPr>
            <w:t xml:space="preserve">. </w:t>
          </w:r>
          <w:r w:rsidRPr="006866D3">
            <w:rPr>
              <w:rFonts w:ascii="Nyala" w:hAnsi="Nyala"/>
              <w:color w:val="000000"/>
              <w:sz w:val="28"/>
              <w:szCs w:val="28"/>
            </w:rPr>
            <w:t xml:space="preserve">Le Niger est un pays de faible pluviosité situé en plein cœur du Sahel et en lisière du Sahara.  </w:t>
          </w:r>
        </w:p>
        <w:p w:rsidR="00160D28" w:rsidRPr="006866D3" w:rsidRDefault="00AB3B84" w:rsidP="00AB3B84">
          <w:pPr>
            <w:jc w:val="both"/>
            <w:rPr>
              <w:rFonts w:ascii="Nyala" w:hAnsi="Nyala"/>
              <w:sz w:val="28"/>
              <w:szCs w:val="28"/>
            </w:rPr>
          </w:pPr>
          <w:r w:rsidRPr="006866D3">
            <w:rPr>
              <w:rFonts w:ascii="Nyala" w:hAnsi="Nyala"/>
              <w:sz w:val="28"/>
              <w:szCs w:val="28"/>
            </w:rPr>
            <w:t xml:space="preserve">Le </w:t>
          </w:r>
          <w:r w:rsidR="00795AD5">
            <w:rPr>
              <w:rFonts w:ascii="Nyala" w:hAnsi="Nyala"/>
              <w:sz w:val="28"/>
              <w:szCs w:val="28"/>
            </w:rPr>
            <w:t>P</w:t>
          </w:r>
          <w:r w:rsidRPr="006866D3">
            <w:rPr>
              <w:rFonts w:ascii="Nyala" w:hAnsi="Nyala"/>
              <w:sz w:val="28"/>
              <w:szCs w:val="28"/>
            </w:rPr>
            <w:t xml:space="preserve">résident de la République a fait de la sécurité alimentaire, de la nutrition et du développement agricole durable une de ses priorités majeures. </w:t>
          </w:r>
          <w:r w:rsidR="00160D28" w:rsidRPr="006866D3">
            <w:rPr>
              <w:rFonts w:ascii="Nyala" w:hAnsi="Nyala"/>
              <w:sz w:val="28"/>
              <w:szCs w:val="28"/>
            </w:rPr>
            <w:t xml:space="preserve">Le Président de la </w:t>
          </w:r>
          <w:r w:rsidR="00795AD5" w:rsidRPr="006866D3">
            <w:rPr>
              <w:rFonts w:ascii="Nyala" w:hAnsi="Nyala"/>
              <w:sz w:val="28"/>
              <w:szCs w:val="28"/>
            </w:rPr>
            <w:t>République entend concilier</w:t>
          </w:r>
          <w:r w:rsidRPr="006866D3">
            <w:rPr>
              <w:rFonts w:ascii="Nyala" w:hAnsi="Nyala"/>
              <w:sz w:val="28"/>
              <w:szCs w:val="28"/>
            </w:rPr>
            <w:t xml:space="preserve"> les réponses appropriées aux crises alimentaires conjoncturelles, la construction d’une agriculture diversifiée qui assure directement ou indirectement l’alimentation de la population et la prise en compte du développement du capital productif (gestion durable des ressources naturelles). Cet engagement présidentiel a été traduit </w:t>
          </w:r>
          <w:r w:rsidR="00160D28" w:rsidRPr="006866D3">
            <w:rPr>
              <w:rFonts w:ascii="Nyala" w:hAnsi="Nyala"/>
              <w:sz w:val="28"/>
              <w:szCs w:val="28"/>
            </w:rPr>
            <w:t xml:space="preserve">par </w:t>
          </w:r>
          <w:r w:rsidRPr="006866D3">
            <w:rPr>
              <w:rFonts w:ascii="Nyala" w:hAnsi="Nyala"/>
              <w:sz w:val="28"/>
              <w:szCs w:val="28"/>
            </w:rPr>
            <w:t xml:space="preserve">la Stratégie de Sécurité Alimentaire et Nutritionnelle et de Développement Agricole Durable (SANDAD), adoptée </w:t>
          </w:r>
          <w:r w:rsidR="00160D28" w:rsidRPr="006866D3">
            <w:rPr>
              <w:rFonts w:ascii="Nyala" w:hAnsi="Nyala"/>
              <w:sz w:val="28"/>
              <w:szCs w:val="28"/>
            </w:rPr>
            <w:t xml:space="preserve">en 2012 </w:t>
          </w:r>
          <w:r w:rsidRPr="006866D3">
            <w:rPr>
              <w:rFonts w:ascii="Nyala" w:hAnsi="Nyala"/>
              <w:sz w:val="28"/>
              <w:szCs w:val="28"/>
            </w:rPr>
            <w:t xml:space="preserve">(décret N°2012-139/PRN du 18 avril 2012). Cette </w:t>
          </w:r>
          <w:r w:rsidR="00160D28" w:rsidRPr="006866D3">
            <w:rPr>
              <w:rFonts w:ascii="Nyala" w:hAnsi="Nyala"/>
              <w:sz w:val="28"/>
              <w:szCs w:val="28"/>
            </w:rPr>
            <w:t xml:space="preserve">stratégie connue sous son appellation « Initiative 3n » </w:t>
          </w:r>
          <w:r w:rsidRPr="006866D3">
            <w:rPr>
              <w:rFonts w:ascii="Nyala" w:hAnsi="Nyala"/>
              <w:sz w:val="28"/>
              <w:szCs w:val="28"/>
            </w:rPr>
            <w:t xml:space="preserve">constitue un volet important de la Stratégie de Développement Durable et de Croissance Inclusive qui trace la vision du Niger à l’horizon 2035. </w:t>
          </w:r>
        </w:p>
        <w:p w:rsidR="00222BCF" w:rsidRPr="006866D3" w:rsidRDefault="00160D28" w:rsidP="00AB3B84">
          <w:pPr>
            <w:jc w:val="both"/>
            <w:rPr>
              <w:rFonts w:ascii="Nyala" w:hAnsi="Nyala"/>
              <w:sz w:val="28"/>
              <w:szCs w:val="28"/>
            </w:rPr>
          </w:pPr>
          <w:r w:rsidRPr="006866D3">
            <w:rPr>
              <w:rFonts w:ascii="Nyala" w:hAnsi="Nyala"/>
              <w:sz w:val="28"/>
              <w:szCs w:val="28"/>
            </w:rPr>
            <w:t>L’</w:t>
          </w:r>
          <w:r w:rsidR="00AB3B84" w:rsidRPr="006866D3">
            <w:rPr>
              <w:rFonts w:ascii="Nyala" w:hAnsi="Nyala"/>
              <w:sz w:val="28"/>
              <w:szCs w:val="28"/>
            </w:rPr>
            <w:t xml:space="preserve">originalité </w:t>
          </w:r>
          <w:r w:rsidRPr="006866D3">
            <w:rPr>
              <w:rFonts w:ascii="Nyala" w:hAnsi="Nyala"/>
              <w:sz w:val="28"/>
              <w:szCs w:val="28"/>
            </w:rPr>
            <w:t>de l’</w:t>
          </w:r>
          <w:r w:rsidR="006866D3">
            <w:rPr>
              <w:rFonts w:ascii="Nyala" w:hAnsi="Nyala"/>
              <w:sz w:val="28"/>
              <w:szCs w:val="28"/>
            </w:rPr>
            <w:t xml:space="preserve">I3N </w:t>
          </w:r>
          <w:r w:rsidRPr="006866D3">
            <w:rPr>
              <w:rFonts w:ascii="Nyala" w:hAnsi="Nyala"/>
              <w:sz w:val="28"/>
              <w:szCs w:val="28"/>
            </w:rPr>
            <w:t xml:space="preserve">se trouve dans son approche multisectorielle et le caractère participatif et inclusif aux différentes étapes de son élaboration, de sa mise en œuvre et de son évaluation. </w:t>
          </w:r>
          <w:r w:rsidR="006866D3">
            <w:rPr>
              <w:rFonts w:ascii="Nyala" w:hAnsi="Nyala"/>
              <w:sz w:val="28"/>
              <w:szCs w:val="28"/>
            </w:rPr>
            <w:t>L’I3N</w:t>
          </w:r>
          <w:r w:rsidRPr="006866D3">
            <w:rPr>
              <w:rFonts w:ascii="Nyala" w:hAnsi="Nyala"/>
              <w:sz w:val="28"/>
              <w:szCs w:val="28"/>
            </w:rPr>
            <w:t xml:space="preserve"> est un des engagements majeurs du Programme de Renaissance (Actes 1 et 2) du Président de la République. Pour lui donner, le cachet qui lui sied, le Pré</w:t>
          </w:r>
          <w:r w:rsidR="00795AD5">
            <w:rPr>
              <w:rFonts w:ascii="Nyala" w:hAnsi="Nyala"/>
              <w:sz w:val="28"/>
              <w:szCs w:val="28"/>
            </w:rPr>
            <w:t>sident de la République préside</w:t>
          </w:r>
          <w:r w:rsidRPr="006866D3">
            <w:rPr>
              <w:rFonts w:ascii="Nyala" w:hAnsi="Nyala"/>
              <w:sz w:val="28"/>
              <w:szCs w:val="28"/>
            </w:rPr>
            <w:t xml:space="preserve"> lui-même, le Comité Interministériel d’Orientation (CIO) qui est l’organe de </w:t>
          </w:r>
          <w:r w:rsidRPr="006866D3">
            <w:rPr>
              <w:rFonts w:ascii="Nyala" w:hAnsi="Nyala"/>
              <w:sz w:val="28"/>
              <w:szCs w:val="28"/>
            </w:rPr>
            <w:lastRenderedPageBreak/>
            <w:t xml:space="preserve">gouvernance et a créé </w:t>
          </w:r>
          <w:r w:rsidR="00222BCF" w:rsidRPr="006866D3">
            <w:rPr>
              <w:rFonts w:ascii="Nyala" w:hAnsi="Nyala"/>
              <w:sz w:val="28"/>
              <w:szCs w:val="28"/>
            </w:rPr>
            <w:t xml:space="preserve">le Haut-Commissariat à </w:t>
          </w:r>
          <w:r w:rsidR="006866D3">
            <w:rPr>
              <w:rFonts w:ascii="Nyala" w:hAnsi="Nyala"/>
              <w:sz w:val="28"/>
              <w:szCs w:val="28"/>
            </w:rPr>
            <w:t>l’I3N</w:t>
          </w:r>
          <w:r w:rsidR="00222BCF" w:rsidRPr="006866D3">
            <w:rPr>
              <w:rFonts w:ascii="Nyala" w:hAnsi="Nyala"/>
              <w:sz w:val="28"/>
              <w:szCs w:val="28"/>
            </w:rPr>
            <w:t xml:space="preserve"> (HC3N) directement rattaché à son Cabinet.</w:t>
          </w:r>
        </w:p>
        <w:p w:rsidR="00AB3B84" w:rsidRPr="006866D3" w:rsidRDefault="00222BCF" w:rsidP="00AB3B84">
          <w:pPr>
            <w:jc w:val="both"/>
            <w:rPr>
              <w:rFonts w:ascii="Nyala" w:hAnsi="Nyala"/>
              <w:sz w:val="28"/>
              <w:szCs w:val="28"/>
            </w:rPr>
          </w:pPr>
          <w:r w:rsidRPr="006866D3">
            <w:rPr>
              <w:rFonts w:ascii="Nyala" w:hAnsi="Nyala"/>
              <w:sz w:val="28"/>
              <w:szCs w:val="28"/>
            </w:rPr>
            <w:t>La mise en œuvre de la SANDAD se fait à travers des plans d’investissement déclinés en programmes et projets. Le premier plan exécuté de 2011 à 2015</w:t>
          </w:r>
          <w:r w:rsidR="00DE03DC" w:rsidRPr="006866D3">
            <w:rPr>
              <w:rFonts w:ascii="Nyala" w:hAnsi="Nyala"/>
              <w:sz w:val="28"/>
              <w:szCs w:val="28"/>
            </w:rPr>
            <w:t>,</w:t>
          </w:r>
          <w:r w:rsidRPr="006866D3">
            <w:rPr>
              <w:rFonts w:ascii="Nyala" w:hAnsi="Nyala"/>
              <w:sz w:val="28"/>
              <w:szCs w:val="28"/>
            </w:rPr>
            <w:t xml:space="preserve"> a fait l’objet d’un </w:t>
          </w:r>
          <w:r w:rsidR="00AB3B84" w:rsidRPr="006866D3">
            <w:rPr>
              <w:rFonts w:ascii="Nyala" w:hAnsi="Nyala"/>
              <w:sz w:val="28"/>
              <w:szCs w:val="28"/>
            </w:rPr>
            <w:t xml:space="preserve">bilan </w:t>
          </w:r>
          <w:r w:rsidRPr="006866D3">
            <w:rPr>
              <w:rFonts w:ascii="Nyala" w:hAnsi="Nyala"/>
              <w:sz w:val="28"/>
              <w:szCs w:val="28"/>
            </w:rPr>
            <w:t>d’exécution</w:t>
          </w:r>
          <w:r w:rsidR="00E924CD">
            <w:rPr>
              <w:rFonts w:ascii="Nyala" w:hAnsi="Nyala"/>
              <w:sz w:val="28"/>
              <w:szCs w:val="28"/>
            </w:rPr>
            <w:t>.</w:t>
          </w:r>
          <w:r w:rsidR="00AB3B84" w:rsidRPr="006866D3">
            <w:rPr>
              <w:rFonts w:ascii="Nyala" w:hAnsi="Nyala"/>
              <w:sz w:val="28"/>
              <w:szCs w:val="28"/>
            </w:rPr>
            <w:t xml:space="preserve">Au cours de la période 2011-2015, le Niger avait mobilisé près de 1820 millions USD dont plus de la moitié sur ressources internes pour soutenir la mise en œuvre de la SANDAD. Pour la période 2016-2020, le Niger prévoit d’injecter 2812 millions USD pour des travaux de mobilisation de ressources, de développement des filières agricoles et animales, de renforcement de la résilience des ménages face à l’insécurité alimentaire et de création de conditions idoines pour une modernisation effective du secteur agricole. </w:t>
          </w:r>
        </w:p>
        <w:p w:rsidR="00AB3B84" w:rsidRPr="006866D3" w:rsidRDefault="00AB3B84" w:rsidP="00AB3B84">
          <w:pPr>
            <w:jc w:val="both"/>
            <w:rPr>
              <w:rFonts w:ascii="Nyala" w:hAnsi="Nyala"/>
              <w:sz w:val="28"/>
              <w:szCs w:val="28"/>
            </w:rPr>
          </w:pPr>
          <w:r w:rsidRPr="006866D3">
            <w:rPr>
              <w:rFonts w:ascii="Nyala" w:hAnsi="Nyala"/>
              <w:sz w:val="28"/>
              <w:szCs w:val="28"/>
            </w:rPr>
            <w:t>La présente Revue, vient confirmer, si besoin est que la SANDAD est la Stratégie Faim Zéro du Niger ; mais elle doit être revisitée pour mieux intégrer les cibles et indicateurs de l’Agenda 2030 adopté en 2015 par les pays membres de l’Organisations des Nations Unies dont le Niger.</w:t>
          </w:r>
        </w:p>
        <w:p w:rsidR="00AB3B84" w:rsidRPr="006866D3" w:rsidRDefault="00AB3B84" w:rsidP="00F93D68">
          <w:pPr>
            <w:ind w:left="2124"/>
            <w:jc w:val="center"/>
            <w:rPr>
              <w:rFonts w:ascii="Nyala" w:hAnsi="Nyala"/>
              <w:noProof/>
              <w:sz w:val="28"/>
              <w:szCs w:val="28"/>
              <w:lang w:eastAsia="fr-FR"/>
            </w:rPr>
          </w:pPr>
          <w:r w:rsidRPr="006866D3">
            <w:rPr>
              <w:rFonts w:ascii="Nyala" w:hAnsi="Nyala"/>
              <w:noProof/>
              <w:sz w:val="28"/>
              <w:szCs w:val="28"/>
              <w:lang w:eastAsia="fr-FR"/>
            </w:rPr>
            <w:t>Le Ministre d’Etat, Ministre de l’Agriculture et de l’Elevage</w:t>
          </w:r>
        </w:p>
        <w:p w:rsidR="00AB3B84" w:rsidRPr="006866D3" w:rsidRDefault="00AB3B84" w:rsidP="00F93D68">
          <w:pPr>
            <w:ind w:left="2124"/>
            <w:jc w:val="center"/>
            <w:rPr>
              <w:rFonts w:ascii="Nyala" w:hAnsi="Nyala"/>
              <w:noProof/>
              <w:sz w:val="28"/>
              <w:szCs w:val="28"/>
              <w:lang w:eastAsia="fr-FR"/>
            </w:rPr>
          </w:pPr>
          <w:r w:rsidRPr="006866D3">
            <w:rPr>
              <w:rFonts w:ascii="Nyala" w:hAnsi="Nyala"/>
              <w:noProof/>
              <w:sz w:val="28"/>
              <w:szCs w:val="28"/>
              <w:lang w:eastAsia="fr-FR"/>
            </w:rPr>
            <w:t xml:space="preserve">Président du Comité Inter-ministériel de la Revue </w:t>
          </w:r>
          <w:r w:rsidR="006866D3" w:rsidRPr="006866D3">
            <w:rPr>
              <w:rFonts w:ascii="Nyala" w:hAnsi="Nyala"/>
              <w:noProof/>
              <w:sz w:val="28"/>
              <w:szCs w:val="28"/>
              <w:lang w:eastAsia="fr-FR"/>
            </w:rPr>
            <w:t>St</w:t>
          </w:r>
          <w:r w:rsidR="006866D3">
            <w:rPr>
              <w:rFonts w:ascii="Nyala" w:hAnsi="Nyala"/>
              <w:noProof/>
              <w:sz w:val="28"/>
              <w:szCs w:val="28"/>
              <w:lang w:eastAsia="fr-FR"/>
            </w:rPr>
            <w:t>ra</w:t>
          </w:r>
          <w:r w:rsidR="006866D3" w:rsidRPr="006866D3">
            <w:rPr>
              <w:rFonts w:ascii="Nyala" w:hAnsi="Nyala"/>
              <w:noProof/>
              <w:sz w:val="28"/>
              <w:szCs w:val="28"/>
              <w:lang w:eastAsia="fr-FR"/>
            </w:rPr>
            <w:t xml:space="preserve">tégique </w:t>
          </w:r>
          <w:r w:rsidRPr="006866D3">
            <w:rPr>
              <w:rFonts w:ascii="Nyala" w:hAnsi="Nyala"/>
              <w:noProof/>
              <w:sz w:val="28"/>
              <w:szCs w:val="28"/>
              <w:lang w:eastAsia="fr-FR"/>
            </w:rPr>
            <w:t>Nationale Faim Zéro.</w:t>
          </w:r>
        </w:p>
        <w:p w:rsidR="00C00240" w:rsidRPr="006866D3" w:rsidRDefault="00C00240">
          <w:pPr>
            <w:rPr>
              <w:noProof/>
              <w:sz w:val="28"/>
              <w:szCs w:val="28"/>
              <w:lang w:eastAsia="fr-FR"/>
            </w:rPr>
          </w:pPr>
          <w:r w:rsidRPr="006866D3">
            <w:rPr>
              <w:noProof/>
              <w:sz w:val="28"/>
              <w:szCs w:val="28"/>
              <w:lang w:eastAsia="fr-FR"/>
            </w:rPr>
            <w:br w:type="page"/>
          </w:r>
        </w:p>
      </w:sdtContent>
    </w:sdt>
    <w:sdt>
      <w:sdtPr>
        <w:rPr>
          <w:caps w:val="0"/>
          <w:color w:val="auto"/>
          <w:spacing w:val="0"/>
          <w:sz w:val="28"/>
          <w:szCs w:val="28"/>
        </w:rPr>
        <w:id w:val="488912079"/>
        <w:docPartObj>
          <w:docPartGallery w:val="Table of Contents"/>
          <w:docPartUnique/>
        </w:docPartObj>
      </w:sdtPr>
      <w:sdtEndPr>
        <w:rPr>
          <w:b/>
          <w:bCs/>
        </w:rPr>
      </w:sdtEndPr>
      <w:sdtContent>
        <w:p w:rsidR="00D71749" w:rsidRPr="006866D3" w:rsidRDefault="00D71749">
          <w:pPr>
            <w:pStyle w:val="En-ttedetabledesmatires"/>
            <w:rPr>
              <w:sz w:val="28"/>
              <w:szCs w:val="28"/>
            </w:rPr>
          </w:pPr>
          <w:r w:rsidRPr="006866D3">
            <w:rPr>
              <w:sz w:val="28"/>
              <w:szCs w:val="28"/>
            </w:rPr>
            <w:t>Table des matières</w:t>
          </w:r>
        </w:p>
        <w:p w:rsidR="00EA2B43" w:rsidRDefault="00D639F2">
          <w:pPr>
            <w:pStyle w:val="TM1"/>
            <w:tabs>
              <w:tab w:val="right" w:leader="dot" w:pos="9062"/>
            </w:tabs>
            <w:rPr>
              <w:rFonts w:eastAsiaTheme="minorEastAsia"/>
              <w:noProof/>
              <w:sz w:val="22"/>
              <w:szCs w:val="22"/>
              <w:lang w:eastAsia="fr-FR"/>
            </w:rPr>
          </w:pPr>
          <w:r w:rsidRPr="006866D3">
            <w:rPr>
              <w:sz w:val="28"/>
              <w:szCs w:val="28"/>
            </w:rPr>
            <w:fldChar w:fldCharType="begin"/>
          </w:r>
          <w:r w:rsidR="00D71749" w:rsidRPr="006866D3">
            <w:rPr>
              <w:sz w:val="28"/>
              <w:szCs w:val="28"/>
            </w:rPr>
            <w:instrText xml:space="preserve"> TOC \o "1-3" \h \z \u </w:instrText>
          </w:r>
          <w:r w:rsidRPr="006866D3">
            <w:rPr>
              <w:sz w:val="28"/>
              <w:szCs w:val="28"/>
            </w:rPr>
            <w:fldChar w:fldCharType="separate"/>
          </w:r>
          <w:hyperlink w:anchor="_Toc526119960" w:history="1">
            <w:r w:rsidR="00EA2B43" w:rsidRPr="00CD10DB">
              <w:rPr>
                <w:rStyle w:val="Lienhypertexte"/>
                <w:noProof/>
              </w:rPr>
              <w:t>Avant Propos</w:t>
            </w:r>
            <w:r w:rsidR="00EA2B43">
              <w:rPr>
                <w:noProof/>
                <w:webHidden/>
              </w:rPr>
              <w:tab/>
            </w:r>
            <w:r>
              <w:rPr>
                <w:noProof/>
                <w:webHidden/>
              </w:rPr>
              <w:fldChar w:fldCharType="begin"/>
            </w:r>
            <w:r w:rsidR="00EA2B43">
              <w:rPr>
                <w:noProof/>
                <w:webHidden/>
              </w:rPr>
              <w:instrText xml:space="preserve"> PAGEREF _Toc526119960 \h </w:instrText>
            </w:r>
            <w:r>
              <w:rPr>
                <w:noProof/>
                <w:webHidden/>
              </w:rPr>
            </w:r>
            <w:r>
              <w:rPr>
                <w:noProof/>
                <w:webHidden/>
              </w:rPr>
              <w:fldChar w:fldCharType="separate"/>
            </w:r>
            <w:r w:rsidR="00EA2B43">
              <w:rPr>
                <w:noProof/>
                <w:webHidden/>
              </w:rPr>
              <w:t>1</w:t>
            </w:r>
            <w:r>
              <w:rPr>
                <w:noProof/>
                <w:webHidden/>
              </w:rPr>
              <w:fldChar w:fldCharType="end"/>
            </w:r>
          </w:hyperlink>
        </w:p>
        <w:p w:rsidR="00EA2B43" w:rsidRDefault="00C73EE5">
          <w:pPr>
            <w:pStyle w:val="TM1"/>
            <w:tabs>
              <w:tab w:val="right" w:leader="dot" w:pos="9062"/>
            </w:tabs>
            <w:rPr>
              <w:rFonts w:eastAsiaTheme="minorEastAsia"/>
              <w:noProof/>
              <w:sz w:val="22"/>
              <w:szCs w:val="22"/>
              <w:lang w:eastAsia="fr-FR"/>
            </w:rPr>
          </w:pPr>
          <w:hyperlink w:anchor="_Toc526119961" w:history="1">
            <w:r w:rsidR="00EA2B43" w:rsidRPr="00CD10DB">
              <w:rPr>
                <w:rStyle w:val="Lienhypertexte"/>
                <w:noProof/>
              </w:rPr>
              <w:t>Liste des sigles et acronymes</w:t>
            </w:r>
            <w:r w:rsidR="00EA2B43">
              <w:rPr>
                <w:noProof/>
                <w:webHidden/>
              </w:rPr>
              <w:tab/>
            </w:r>
            <w:r w:rsidR="00D639F2">
              <w:rPr>
                <w:noProof/>
                <w:webHidden/>
              </w:rPr>
              <w:fldChar w:fldCharType="begin"/>
            </w:r>
            <w:r w:rsidR="00EA2B43">
              <w:rPr>
                <w:noProof/>
                <w:webHidden/>
              </w:rPr>
              <w:instrText xml:space="preserve"> PAGEREF _Toc526119961 \h </w:instrText>
            </w:r>
            <w:r w:rsidR="00D639F2">
              <w:rPr>
                <w:noProof/>
                <w:webHidden/>
              </w:rPr>
            </w:r>
            <w:r w:rsidR="00D639F2">
              <w:rPr>
                <w:noProof/>
                <w:webHidden/>
              </w:rPr>
              <w:fldChar w:fldCharType="separate"/>
            </w:r>
            <w:r w:rsidR="00EA2B43">
              <w:rPr>
                <w:noProof/>
                <w:webHidden/>
              </w:rPr>
              <w:t>5</w:t>
            </w:r>
            <w:r w:rsidR="00D639F2">
              <w:rPr>
                <w:noProof/>
                <w:webHidden/>
              </w:rPr>
              <w:fldChar w:fldCharType="end"/>
            </w:r>
          </w:hyperlink>
        </w:p>
        <w:p w:rsidR="00EA2B43" w:rsidRDefault="00C73EE5">
          <w:pPr>
            <w:pStyle w:val="TM1"/>
            <w:tabs>
              <w:tab w:val="right" w:leader="dot" w:pos="9062"/>
            </w:tabs>
            <w:rPr>
              <w:rFonts w:eastAsiaTheme="minorEastAsia"/>
              <w:noProof/>
              <w:sz w:val="22"/>
              <w:szCs w:val="22"/>
              <w:lang w:eastAsia="fr-FR"/>
            </w:rPr>
          </w:pPr>
          <w:hyperlink w:anchor="_Toc526119962" w:history="1">
            <w:r w:rsidR="00EA2B43" w:rsidRPr="00CD10DB">
              <w:rPr>
                <w:rStyle w:val="Lienhypertexte"/>
                <w:noProof/>
              </w:rPr>
              <w:t>Liste des illustrations</w:t>
            </w:r>
            <w:r w:rsidR="00EA2B43">
              <w:rPr>
                <w:noProof/>
                <w:webHidden/>
              </w:rPr>
              <w:tab/>
            </w:r>
            <w:r w:rsidR="00D639F2">
              <w:rPr>
                <w:noProof/>
                <w:webHidden/>
              </w:rPr>
              <w:fldChar w:fldCharType="begin"/>
            </w:r>
            <w:r w:rsidR="00EA2B43">
              <w:rPr>
                <w:noProof/>
                <w:webHidden/>
              </w:rPr>
              <w:instrText xml:space="preserve"> PAGEREF _Toc526119962 \h </w:instrText>
            </w:r>
            <w:r w:rsidR="00D639F2">
              <w:rPr>
                <w:noProof/>
                <w:webHidden/>
              </w:rPr>
            </w:r>
            <w:r w:rsidR="00D639F2">
              <w:rPr>
                <w:noProof/>
                <w:webHidden/>
              </w:rPr>
              <w:fldChar w:fldCharType="separate"/>
            </w:r>
            <w:r w:rsidR="00EA2B43">
              <w:rPr>
                <w:noProof/>
                <w:webHidden/>
              </w:rPr>
              <w:t>6</w:t>
            </w:r>
            <w:r w:rsidR="00D639F2">
              <w:rPr>
                <w:noProof/>
                <w:webHidden/>
              </w:rPr>
              <w:fldChar w:fldCharType="end"/>
            </w:r>
          </w:hyperlink>
        </w:p>
        <w:p w:rsidR="00EA2B43" w:rsidRDefault="00C73EE5">
          <w:pPr>
            <w:pStyle w:val="TM1"/>
            <w:tabs>
              <w:tab w:val="right" w:leader="dot" w:pos="9062"/>
            </w:tabs>
            <w:rPr>
              <w:rFonts w:eastAsiaTheme="minorEastAsia"/>
              <w:noProof/>
              <w:sz w:val="22"/>
              <w:szCs w:val="22"/>
              <w:lang w:eastAsia="fr-FR"/>
            </w:rPr>
          </w:pPr>
          <w:hyperlink w:anchor="_Toc526119963" w:history="1">
            <w:r w:rsidR="00EA2B43" w:rsidRPr="00CD10DB">
              <w:rPr>
                <w:rStyle w:val="Lienhypertexte"/>
                <w:noProof/>
              </w:rPr>
              <w:t>Liste des tableaux</w:t>
            </w:r>
            <w:r w:rsidR="00EA2B43">
              <w:rPr>
                <w:noProof/>
                <w:webHidden/>
              </w:rPr>
              <w:tab/>
            </w:r>
            <w:r w:rsidR="00D639F2">
              <w:rPr>
                <w:noProof/>
                <w:webHidden/>
              </w:rPr>
              <w:fldChar w:fldCharType="begin"/>
            </w:r>
            <w:r w:rsidR="00EA2B43">
              <w:rPr>
                <w:noProof/>
                <w:webHidden/>
              </w:rPr>
              <w:instrText xml:space="preserve"> PAGEREF _Toc526119963 \h </w:instrText>
            </w:r>
            <w:r w:rsidR="00D639F2">
              <w:rPr>
                <w:noProof/>
                <w:webHidden/>
              </w:rPr>
            </w:r>
            <w:r w:rsidR="00D639F2">
              <w:rPr>
                <w:noProof/>
                <w:webHidden/>
              </w:rPr>
              <w:fldChar w:fldCharType="separate"/>
            </w:r>
            <w:r w:rsidR="00EA2B43">
              <w:rPr>
                <w:noProof/>
                <w:webHidden/>
              </w:rPr>
              <w:t>7</w:t>
            </w:r>
            <w:r w:rsidR="00D639F2">
              <w:rPr>
                <w:noProof/>
                <w:webHidden/>
              </w:rPr>
              <w:fldChar w:fldCharType="end"/>
            </w:r>
          </w:hyperlink>
        </w:p>
        <w:p w:rsidR="00EA2B43" w:rsidRDefault="00C73EE5">
          <w:pPr>
            <w:pStyle w:val="TM1"/>
            <w:tabs>
              <w:tab w:val="right" w:leader="dot" w:pos="9062"/>
            </w:tabs>
            <w:rPr>
              <w:rFonts w:eastAsiaTheme="minorEastAsia"/>
              <w:noProof/>
              <w:sz w:val="22"/>
              <w:szCs w:val="22"/>
              <w:lang w:eastAsia="fr-FR"/>
            </w:rPr>
          </w:pPr>
          <w:hyperlink w:anchor="_Toc526119964" w:history="1">
            <w:r w:rsidR="00EA2B43" w:rsidRPr="00CD10DB">
              <w:rPr>
                <w:rStyle w:val="Lienhypertexte"/>
                <w:noProof/>
              </w:rPr>
              <w:t>Résumé exécutif</w:t>
            </w:r>
            <w:r w:rsidR="00EA2B43">
              <w:rPr>
                <w:noProof/>
                <w:webHidden/>
              </w:rPr>
              <w:tab/>
            </w:r>
            <w:r w:rsidR="00D639F2">
              <w:rPr>
                <w:noProof/>
                <w:webHidden/>
              </w:rPr>
              <w:fldChar w:fldCharType="begin"/>
            </w:r>
            <w:r w:rsidR="00EA2B43">
              <w:rPr>
                <w:noProof/>
                <w:webHidden/>
              </w:rPr>
              <w:instrText xml:space="preserve"> PAGEREF _Toc526119964 \h </w:instrText>
            </w:r>
            <w:r w:rsidR="00D639F2">
              <w:rPr>
                <w:noProof/>
                <w:webHidden/>
              </w:rPr>
            </w:r>
            <w:r w:rsidR="00D639F2">
              <w:rPr>
                <w:noProof/>
                <w:webHidden/>
              </w:rPr>
              <w:fldChar w:fldCharType="separate"/>
            </w:r>
            <w:r w:rsidR="00EA2B43">
              <w:rPr>
                <w:noProof/>
                <w:webHidden/>
              </w:rPr>
              <w:t>8</w:t>
            </w:r>
            <w:r w:rsidR="00D639F2">
              <w:rPr>
                <w:noProof/>
                <w:webHidden/>
              </w:rPr>
              <w:fldChar w:fldCharType="end"/>
            </w:r>
          </w:hyperlink>
        </w:p>
        <w:p w:rsidR="00EA2B43" w:rsidRDefault="00C73EE5">
          <w:pPr>
            <w:pStyle w:val="TM1"/>
            <w:tabs>
              <w:tab w:val="right" w:leader="dot" w:pos="9062"/>
            </w:tabs>
            <w:rPr>
              <w:rFonts w:eastAsiaTheme="minorEastAsia"/>
              <w:noProof/>
              <w:sz w:val="22"/>
              <w:szCs w:val="22"/>
              <w:lang w:eastAsia="fr-FR"/>
            </w:rPr>
          </w:pPr>
          <w:hyperlink w:anchor="_Toc526119965" w:history="1">
            <w:r w:rsidR="00EA2B43" w:rsidRPr="00CD10DB">
              <w:rPr>
                <w:rStyle w:val="Lienhypertexte"/>
                <w:noProof/>
              </w:rPr>
              <w:t>Introduction</w:t>
            </w:r>
            <w:r w:rsidR="00EA2B43">
              <w:rPr>
                <w:noProof/>
                <w:webHidden/>
              </w:rPr>
              <w:tab/>
            </w:r>
            <w:r w:rsidR="00D639F2">
              <w:rPr>
                <w:noProof/>
                <w:webHidden/>
              </w:rPr>
              <w:fldChar w:fldCharType="begin"/>
            </w:r>
            <w:r w:rsidR="00EA2B43">
              <w:rPr>
                <w:noProof/>
                <w:webHidden/>
              </w:rPr>
              <w:instrText xml:space="preserve"> PAGEREF _Toc526119965 \h </w:instrText>
            </w:r>
            <w:r w:rsidR="00D639F2">
              <w:rPr>
                <w:noProof/>
                <w:webHidden/>
              </w:rPr>
            </w:r>
            <w:r w:rsidR="00D639F2">
              <w:rPr>
                <w:noProof/>
                <w:webHidden/>
              </w:rPr>
              <w:fldChar w:fldCharType="separate"/>
            </w:r>
            <w:r w:rsidR="00EA2B43">
              <w:rPr>
                <w:noProof/>
                <w:webHidden/>
              </w:rPr>
              <w:t>12</w:t>
            </w:r>
            <w:r w:rsidR="00D639F2">
              <w:rPr>
                <w:noProof/>
                <w:webHidden/>
              </w:rPr>
              <w:fldChar w:fldCharType="end"/>
            </w:r>
          </w:hyperlink>
        </w:p>
        <w:p w:rsidR="00EA2B43" w:rsidRDefault="00C73EE5">
          <w:pPr>
            <w:pStyle w:val="TM1"/>
            <w:tabs>
              <w:tab w:val="left" w:pos="400"/>
              <w:tab w:val="right" w:leader="dot" w:pos="9062"/>
            </w:tabs>
            <w:rPr>
              <w:rFonts w:eastAsiaTheme="minorEastAsia"/>
              <w:noProof/>
              <w:sz w:val="22"/>
              <w:szCs w:val="22"/>
              <w:lang w:eastAsia="fr-FR"/>
            </w:rPr>
          </w:pPr>
          <w:hyperlink w:anchor="_Toc526119966" w:history="1">
            <w:r w:rsidR="00EA2B43" w:rsidRPr="00CD10DB">
              <w:rPr>
                <w:rStyle w:val="Lienhypertexte"/>
                <w:noProof/>
              </w:rPr>
              <w:t>1.</w:t>
            </w:r>
            <w:r w:rsidR="00EA2B43">
              <w:rPr>
                <w:rFonts w:eastAsiaTheme="minorEastAsia"/>
                <w:noProof/>
                <w:sz w:val="22"/>
                <w:szCs w:val="22"/>
                <w:lang w:eastAsia="fr-FR"/>
              </w:rPr>
              <w:tab/>
            </w:r>
            <w:r w:rsidR="00EA2B43" w:rsidRPr="00CD10DB">
              <w:rPr>
                <w:rStyle w:val="Lienhypertexte"/>
                <w:noProof/>
              </w:rPr>
              <w:t>Contexte</w:t>
            </w:r>
            <w:r w:rsidR="00EA2B43">
              <w:rPr>
                <w:noProof/>
                <w:webHidden/>
              </w:rPr>
              <w:tab/>
            </w:r>
            <w:r w:rsidR="00D639F2">
              <w:rPr>
                <w:noProof/>
                <w:webHidden/>
              </w:rPr>
              <w:fldChar w:fldCharType="begin"/>
            </w:r>
            <w:r w:rsidR="00EA2B43">
              <w:rPr>
                <w:noProof/>
                <w:webHidden/>
              </w:rPr>
              <w:instrText xml:space="preserve"> PAGEREF _Toc526119966 \h </w:instrText>
            </w:r>
            <w:r w:rsidR="00D639F2">
              <w:rPr>
                <w:noProof/>
                <w:webHidden/>
              </w:rPr>
            </w:r>
            <w:r w:rsidR="00D639F2">
              <w:rPr>
                <w:noProof/>
                <w:webHidden/>
              </w:rPr>
              <w:fldChar w:fldCharType="separate"/>
            </w:r>
            <w:r w:rsidR="00EA2B43">
              <w:rPr>
                <w:noProof/>
                <w:webHidden/>
              </w:rPr>
              <w:t>13</w:t>
            </w:r>
            <w:r w:rsidR="00D639F2">
              <w:rPr>
                <w:noProof/>
                <w:webHidden/>
              </w:rPr>
              <w:fldChar w:fldCharType="end"/>
            </w:r>
          </w:hyperlink>
        </w:p>
        <w:p w:rsidR="00EA2B43" w:rsidRDefault="00C73EE5">
          <w:pPr>
            <w:pStyle w:val="TM1"/>
            <w:tabs>
              <w:tab w:val="left" w:pos="400"/>
              <w:tab w:val="right" w:leader="dot" w:pos="9062"/>
            </w:tabs>
            <w:rPr>
              <w:rFonts w:eastAsiaTheme="minorEastAsia"/>
              <w:noProof/>
              <w:sz w:val="22"/>
              <w:szCs w:val="22"/>
              <w:lang w:eastAsia="fr-FR"/>
            </w:rPr>
          </w:pPr>
          <w:hyperlink w:anchor="_Toc526119967" w:history="1">
            <w:r w:rsidR="00EA2B43" w:rsidRPr="00CD10DB">
              <w:rPr>
                <w:rStyle w:val="Lienhypertexte"/>
                <w:noProof/>
              </w:rPr>
              <w:t>2.</w:t>
            </w:r>
            <w:r w:rsidR="00EA2B43">
              <w:rPr>
                <w:rFonts w:eastAsiaTheme="minorEastAsia"/>
                <w:noProof/>
                <w:sz w:val="22"/>
                <w:szCs w:val="22"/>
                <w:lang w:eastAsia="fr-FR"/>
              </w:rPr>
              <w:tab/>
            </w:r>
            <w:r w:rsidR="00EA2B43" w:rsidRPr="00CD10DB">
              <w:rPr>
                <w:rStyle w:val="Lienhypertexte"/>
                <w:noProof/>
              </w:rPr>
              <w:t>Etat des lieux et analyse tendancielle selon les indicateurs de l’ODD2</w:t>
            </w:r>
            <w:r w:rsidR="00EA2B43">
              <w:rPr>
                <w:noProof/>
                <w:webHidden/>
              </w:rPr>
              <w:tab/>
            </w:r>
            <w:r w:rsidR="00D639F2">
              <w:rPr>
                <w:noProof/>
                <w:webHidden/>
              </w:rPr>
              <w:fldChar w:fldCharType="begin"/>
            </w:r>
            <w:r w:rsidR="00EA2B43">
              <w:rPr>
                <w:noProof/>
                <w:webHidden/>
              </w:rPr>
              <w:instrText xml:space="preserve"> PAGEREF _Toc526119967 \h </w:instrText>
            </w:r>
            <w:r w:rsidR="00D639F2">
              <w:rPr>
                <w:noProof/>
                <w:webHidden/>
              </w:rPr>
            </w:r>
            <w:r w:rsidR="00D639F2">
              <w:rPr>
                <w:noProof/>
                <w:webHidden/>
              </w:rPr>
              <w:fldChar w:fldCharType="separate"/>
            </w:r>
            <w:r w:rsidR="00EA2B43">
              <w:rPr>
                <w:noProof/>
                <w:webHidden/>
              </w:rPr>
              <w:t>20</w:t>
            </w:r>
            <w:r w:rsidR="00D639F2">
              <w:rPr>
                <w:noProof/>
                <w:webHidden/>
              </w:rPr>
              <w:fldChar w:fldCharType="end"/>
            </w:r>
          </w:hyperlink>
        </w:p>
        <w:p w:rsidR="00EA2B43" w:rsidRDefault="00C73EE5">
          <w:pPr>
            <w:pStyle w:val="TM2"/>
            <w:tabs>
              <w:tab w:val="left" w:pos="880"/>
              <w:tab w:val="right" w:leader="dot" w:pos="9062"/>
            </w:tabs>
            <w:rPr>
              <w:rFonts w:eastAsiaTheme="minorEastAsia"/>
              <w:noProof/>
              <w:sz w:val="22"/>
              <w:szCs w:val="22"/>
              <w:lang w:eastAsia="fr-FR"/>
            </w:rPr>
          </w:pPr>
          <w:hyperlink w:anchor="_Toc526119968" w:history="1">
            <w:r w:rsidR="00EA2B43" w:rsidRPr="00CD10DB">
              <w:rPr>
                <w:rStyle w:val="Lienhypertexte"/>
                <w:noProof/>
              </w:rPr>
              <w:t>2.1.</w:t>
            </w:r>
            <w:r w:rsidR="00EA2B43">
              <w:rPr>
                <w:rFonts w:eastAsiaTheme="minorEastAsia"/>
                <w:noProof/>
                <w:sz w:val="22"/>
                <w:szCs w:val="22"/>
                <w:lang w:eastAsia="fr-FR"/>
              </w:rPr>
              <w:tab/>
            </w:r>
            <w:r w:rsidR="00EA2B43" w:rsidRPr="00CD10DB">
              <w:rPr>
                <w:rStyle w:val="Lienhypertexte"/>
                <w:noProof/>
              </w:rPr>
              <w:t>état des lieux sur la réduction de la sous-alimentation</w:t>
            </w:r>
            <w:r w:rsidR="00EA2B43">
              <w:rPr>
                <w:noProof/>
                <w:webHidden/>
              </w:rPr>
              <w:tab/>
            </w:r>
            <w:r w:rsidR="00D639F2">
              <w:rPr>
                <w:noProof/>
                <w:webHidden/>
              </w:rPr>
              <w:fldChar w:fldCharType="begin"/>
            </w:r>
            <w:r w:rsidR="00EA2B43">
              <w:rPr>
                <w:noProof/>
                <w:webHidden/>
              </w:rPr>
              <w:instrText xml:space="preserve"> PAGEREF _Toc526119968 \h </w:instrText>
            </w:r>
            <w:r w:rsidR="00D639F2">
              <w:rPr>
                <w:noProof/>
                <w:webHidden/>
              </w:rPr>
            </w:r>
            <w:r w:rsidR="00D639F2">
              <w:rPr>
                <w:noProof/>
                <w:webHidden/>
              </w:rPr>
              <w:fldChar w:fldCharType="separate"/>
            </w:r>
            <w:r w:rsidR="00EA2B43">
              <w:rPr>
                <w:noProof/>
                <w:webHidden/>
              </w:rPr>
              <w:t>21</w:t>
            </w:r>
            <w:r w:rsidR="00D639F2">
              <w:rPr>
                <w:noProof/>
                <w:webHidden/>
              </w:rPr>
              <w:fldChar w:fldCharType="end"/>
            </w:r>
          </w:hyperlink>
        </w:p>
        <w:p w:rsidR="00EA2B43" w:rsidRDefault="00C73EE5">
          <w:pPr>
            <w:pStyle w:val="TM3"/>
            <w:tabs>
              <w:tab w:val="left" w:pos="1100"/>
              <w:tab w:val="right" w:leader="dot" w:pos="9062"/>
            </w:tabs>
            <w:rPr>
              <w:rFonts w:eastAsiaTheme="minorEastAsia"/>
              <w:noProof/>
              <w:sz w:val="22"/>
              <w:szCs w:val="22"/>
              <w:lang w:eastAsia="fr-FR"/>
            </w:rPr>
          </w:pPr>
          <w:hyperlink w:anchor="_Toc526119969" w:history="1">
            <w:r w:rsidR="00EA2B43" w:rsidRPr="00CD10DB">
              <w:rPr>
                <w:rStyle w:val="Lienhypertexte"/>
                <w:noProof/>
              </w:rPr>
              <w:t>2.1.1.</w:t>
            </w:r>
            <w:r w:rsidR="00EA2B43">
              <w:rPr>
                <w:rFonts w:eastAsiaTheme="minorEastAsia"/>
                <w:noProof/>
                <w:sz w:val="22"/>
                <w:szCs w:val="22"/>
                <w:lang w:eastAsia="fr-FR"/>
              </w:rPr>
              <w:tab/>
            </w:r>
            <w:r w:rsidR="00EA2B43" w:rsidRPr="00CD10DB">
              <w:rPr>
                <w:rStyle w:val="Lienhypertexte"/>
                <w:noProof/>
              </w:rPr>
              <w:t>indicateurs de mesure de la sous-alimentation</w:t>
            </w:r>
            <w:r w:rsidR="00EA2B43">
              <w:rPr>
                <w:noProof/>
                <w:webHidden/>
              </w:rPr>
              <w:tab/>
            </w:r>
            <w:r w:rsidR="00D639F2">
              <w:rPr>
                <w:noProof/>
                <w:webHidden/>
              </w:rPr>
              <w:fldChar w:fldCharType="begin"/>
            </w:r>
            <w:r w:rsidR="00EA2B43">
              <w:rPr>
                <w:noProof/>
                <w:webHidden/>
              </w:rPr>
              <w:instrText xml:space="preserve"> PAGEREF _Toc526119969 \h </w:instrText>
            </w:r>
            <w:r w:rsidR="00D639F2">
              <w:rPr>
                <w:noProof/>
                <w:webHidden/>
              </w:rPr>
            </w:r>
            <w:r w:rsidR="00D639F2">
              <w:rPr>
                <w:noProof/>
                <w:webHidden/>
              </w:rPr>
              <w:fldChar w:fldCharType="separate"/>
            </w:r>
            <w:r w:rsidR="00EA2B43">
              <w:rPr>
                <w:noProof/>
                <w:webHidden/>
              </w:rPr>
              <w:t>21</w:t>
            </w:r>
            <w:r w:rsidR="00D639F2">
              <w:rPr>
                <w:noProof/>
                <w:webHidden/>
              </w:rPr>
              <w:fldChar w:fldCharType="end"/>
            </w:r>
          </w:hyperlink>
        </w:p>
        <w:p w:rsidR="00EA2B43" w:rsidRDefault="00C73EE5">
          <w:pPr>
            <w:pStyle w:val="TM3"/>
            <w:tabs>
              <w:tab w:val="left" w:pos="1100"/>
              <w:tab w:val="right" w:leader="dot" w:pos="9062"/>
            </w:tabs>
            <w:rPr>
              <w:rFonts w:eastAsiaTheme="minorEastAsia"/>
              <w:noProof/>
              <w:sz w:val="22"/>
              <w:szCs w:val="22"/>
              <w:lang w:eastAsia="fr-FR"/>
            </w:rPr>
          </w:pPr>
          <w:hyperlink w:anchor="_Toc526119970" w:history="1">
            <w:r w:rsidR="00EA2B43" w:rsidRPr="00CD10DB">
              <w:rPr>
                <w:rStyle w:val="Lienhypertexte"/>
                <w:noProof/>
              </w:rPr>
              <w:t>2.1.2.</w:t>
            </w:r>
            <w:r w:rsidR="00EA2B43">
              <w:rPr>
                <w:rFonts w:eastAsiaTheme="minorEastAsia"/>
                <w:noProof/>
                <w:sz w:val="22"/>
                <w:szCs w:val="22"/>
                <w:lang w:eastAsia="fr-FR"/>
              </w:rPr>
              <w:tab/>
            </w:r>
            <w:r w:rsidR="00EA2B43" w:rsidRPr="00CD10DB">
              <w:rPr>
                <w:rStyle w:val="Lienhypertexte"/>
                <w:noProof/>
              </w:rPr>
              <w:t>prévalence de l’insécurité alimentaire</w:t>
            </w:r>
            <w:r w:rsidR="00EA2B43">
              <w:rPr>
                <w:noProof/>
                <w:webHidden/>
              </w:rPr>
              <w:tab/>
            </w:r>
            <w:r w:rsidR="00D639F2">
              <w:rPr>
                <w:noProof/>
                <w:webHidden/>
              </w:rPr>
              <w:fldChar w:fldCharType="begin"/>
            </w:r>
            <w:r w:rsidR="00EA2B43">
              <w:rPr>
                <w:noProof/>
                <w:webHidden/>
              </w:rPr>
              <w:instrText xml:space="preserve"> PAGEREF _Toc526119970 \h </w:instrText>
            </w:r>
            <w:r w:rsidR="00D639F2">
              <w:rPr>
                <w:noProof/>
                <w:webHidden/>
              </w:rPr>
            </w:r>
            <w:r w:rsidR="00D639F2">
              <w:rPr>
                <w:noProof/>
                <w:webHidden/>
              </w:rPr>
              <w:fldChar w:fldCharType="separate"/>
            </w:r>
            <w:r w:rsidR="00EA2B43">
              <w:rPr>
                <w:noProof/>
                <w:webHidden/>
              </w:rPr>
              <w:t>29</w:t>
            </w:r>
            <w:r w:rsidR="00D639F2">
              <w:rPr>
                <w:noProof/>
                <w:webHidden/>
              </w:rPr>
              <w:fldChar w:fldCharType="end"/>
            </w:r>
          </w:hyperlink>
        </w:p>
        <w:p w:rsidR="00EA2B43" w:rsidRDefault="00C73EE5">
          <w:pPr>
            <w:pStyle w:val="TM3"/>
            <w:tabs>
              <w:tab w:val="left" w:pos="1100"/>
              <w:tab w:val="right" w:leader="dot" w:pos="9062"/>
            </w:tabs>
            <w:rPr>
              <w:rFonts w:eastAsiaTheme="minorEastAsia"/>
              <w:noProof/>
              <w:sz w:val="22"/>
              <w:szCs w:val="22"/>
              <w:lang w:eastAsia="fr-FR"/>
            </w:rPr>
          </w:pPr>
          <w:hyperlink w:anchor="_Toc526119971" w:history="1">
            <w:r w:rsidR="00EA2B43" w:rsidRPr="00CD10DB">
              <w:rPr>
                <w:rStyle w:val="Lienhypertexte"/>
                <w:noProof/>
              </w:rPr>
              <w:t>2.1.3.</w:t>
            </w:r>
            <w:r w:rsidR="00EA2B43">
              <w:rPr>
                <w:rFonts w:eastAsiaTheme="minorEastAsia"/>
                <w:noProof/>
                <w:sz w:val="22"/>
                <w:szCs w:val="22"/>
                <w:lang w:eastAsia="fr-FR"/>
              </w:rPr>
              <w:tab/>
            </w:r>
            <w:r w:rsidR="00EA2B43" w:rsidRPr="00CD10DB">
              <w:rPr>
                <w:rStyle w:val="Lienhypertexte"/>
                <w:noProof/>
              </w:rPr>
              <w:t>Enjeux et défis de la réduction de la sous-alimentation</w:t>
            </w:r>
            <w:r w:rsidR="00EA2B43">
              <w:rPr>
                <w:noProof/>
                <w:webHidden/>
              </w:rPr>
              <w:tab/>
            </w:r>
            <w:r w:rsidR="00D639F2">
              <w:rPr>
                <w:noProof/>
                <w:webHidden/>
              </w:rPr>
              <w:fldChar w:fldCharType="begin"/>
            </w:r>
            <w:r w:rsidR="00EA2B43">
              <w:rPr>
                <w:noProof/>
                <w:webHidden/>
              </w:rPr>
              <w:instrText xml:space="preserve"> PAGEREF _Toc526119971 \h </w:instrText>
            </w:r>
            <w:r w:rsidR="00D639F2">
              <w:rPr>
                <w:noProof/>
                <w:webHidden/>
              </w:rPr>
            </w:r>
            <w:r w:rsidR="00D639F2">
              <w:rPr>
                <w:noProof/>
                <w:webHidden/>
              </w:rPr>
              <w:fldChar w:fldCharType="separate"/>
            </w:r>
            <w:r w:rsidR="00EA2B43">
              <w:rPr>
                <w:noProof/>
                <w:webHidden/>
              </w:rPr>
              <w:t>34</w:t>
            </w:r>
            <w:r w:rsidR="00D639F2">
              <w:rPr>
                <w:noProof/>
                <w:webHidden/>
              </w:rPr>
              <w:fldChar w:fldCharType="end"/>
            </w:r>
          </w:hyperlink>
        </w:p>
        <w:p w:rsidR="00EA2B43" w:rsidRDefault="00C73EE5">
          <w:pPr>
            <w:pStyle w:val="TM2"/>
            <w:tabs>
              <w:tab w:val="left" w:pos="880"/>
              <w:tab w:val="right" w:leader="dot" w:pos="9062"/>
            </w:tabs>
            <w:rPr>
              <w:rFonts w:eastAsiaTheme="minorEastAsia"/>
              <w:noProof/>
              <w:sz w:val="22"/>
              <w:szCs w:val="22"/>
              <w:lang w:eastAsia="fr-FR"/>
            </w:rPr>
          </w:pPr>
          <w:hyperlink w:anchor="_Toc526119972" w:history="1">
            <w:r w:rsidR="00EA2B43" w:rsidRPr="00CD10DB">
              <w:rPr>
                <w:rStyle w:val="Lienhypertexte"/>
                <w:noProof/>
              </w:rPr>
              <w:t>2.2.</w:t>
            </w:r>
            <w:r w:rsidR="00EA2B43">
              <w:rPr>
                <w:rFonts w:eastAsiaTheme="minorEastAsia"/>
                <w:noProof/>
                <w:sz w:val="22"/>
                <w:szCs w:val="22"/>
                <w:lang w:eastAsia="fr-FR"/>
              </w:rPr>
              <w:tab/>
            </w:r>
            <w:r w:rsidR="00EA2B43" w:rsidRPr="00CD10DB">
              <w:rPr>
                <w:rStyle w:val="Lienhypertexte"/>
                <w:noProof/>
              </w:rPr>
              <w:t>Analyse de la prévalence de la malnutrition</w:t>
            </w:r>
            <w:r w:rsidR="00EA2B43">
              <w:rPr>
                <w:noProof/>
                <w:webHidden/>
              </w:rPr>
              <w:tab/>
            </w:r>
            <w:r w:rsidR="00D639F2">
              <w:rPr>
                <w:noProof/>
                <w:webHidden/>
              </w:rPr>
              <w:fldChar w:fldCharType="begin"/>
            </w:r>
            <w:r w:rsidR="00EA2B43">
              <w:rPr>
                <w:noProof/>
                <w:webHidden/>
              </w:rPr>
              <w:instrText xml:space="preserve"> PAGEREF _Toc526119972 \h </w:instrText>
            </w:r>
            <w:r w:rsidR="00D639F2">
              <w:rPr>
                <w:noProof/>
                <w:webHidden/>
              </w:rPr>
            </w:r>
            <w:r w:rsidR="00D639F2">
              <w:rPr>
                <w:noProof/>
                <w:webHidden/>
              </w:rPr>
              <w:fldChar w:fldCharType="separate"/>
            </w:r>
            <w:r w:rsidR="00EA2B43">
              <w:rPr>
                <w:noProof/>
                <w:webHidden/>
              </w:rPr>
              <w:t>38</w:t>
            </w:r>
            <w:r w:rsidR="00D639F2">
              <w:rPr>
                <w:noProof/>
                <w:webHidden/>
              </w:rPr>
              <w:fldChar w:fldCharType="end"/>
            </w:r>
          </w:hyperlink>
        </w:p>
        <w:p w:rsidR="00EA2B43" w:rsidRDefault="00C73EE5">
          <w:pPr>
            <w:pStyle w:val="TM3"/>
            <w:tabs>
              <w:tab w:val="left" w:pos="1100"/>
              <w:tab w:val="right" w:leader="dot" w:pos="9062"/>
            </w:tabs>
            <w:rPr>
              <w:rFonts w:eastAsiaTheme="minorEastAsia"/>
              <w:noProof/>
              <w:sz w:val="22"/>
              <w:szCs w:val="22"/>
              <w:lang w:eastAsia="fr-FR"/>
            </w:rPr>
          </w:pPr>
          <w:hyperlink w:anchor="_Toc526119973" w:history="1">
            <w:r w:rsidR="00EA2B43" w:rsidRPr="00CD10DB">
              <w:rPr>
                <w:rStyle w:val="Lienhypertexte"/>
                <w:noProof/>
              </w:rPr>
              <w:t>2.2.1.</w:t>
            </w:r>
            <w:r w:rsidR="00EA2B43">
              <w:rPr>
                <w:rFonts w:eastAsiaTheme="minorEastAsia"/>
                <w:noProof/>
                <w:sz w:val="22"/>
                <w:szCs w:val="22"/>
                <w:lang w:eastAsia="fr-FR"/>
              </w:rPr>
              <w:tab/>
            </w:r>
            <w:r w:rsidR="00EA2B43" w:rsidRPr="00CD10DB">
              <w:rPr>
                <w:rStyle w:val="Lienhypertexte"/>
                <w:noProof/>
              </w:rPr>
              <w:t>Indicateurs de mesure de la malnutrition</w:t>
            </w:r>
            <w:r w:rsidR="00EA2B43">
              <w:rPr>
                <w:noProof/>
                <w:webHidden/>
              </w:rPr>
              <w:tab/>
            </w:r>
            <w:r w:rsidR="00D639F2">
              <w:rPr>
                <w:noProof/>
                <w:webHidden/>
              </w:rPr>
              <w:fldChar w:fldCharType="begin"/>
            </w:r>
            <w:r w:rsidR="00EA2B43">
              <w:rPr>
                <w:noProof/>
                <w:webHidden/>
              </w:rPr>
              <w:instrText xml:space="preserve"> PAGEREF _Toc526119973 \h </w:instrText>
            </w:r>
            <w:r w:rsidR="00D639F2">
              <w:rPr>
                <w:noProof/>
                <w:webHidden/>
              </w:rPr>
            </w:r>
            <w:r w:rsidR="00D639F2">
              <w:rPr>
                <w:noProof/>
                <w:webHidden/>
              </w:rPr>
              <w:fldChar w:fldCharType="separate"/>
            </w:r>
            <w:r w:rsidR="00EA2B43">
              <w:rPr>
                <w:noProof/>
                <w:webHidden/>
              </w:rPr>
              <w:t>39</w:t>
            </w:r>
            <w:r w:rsidR="00D639F2">
              <w:rPr>
                <w:noProof/>
                <w:webHidden/>
              </w:rPr>
              <w:fldChar w:fldCharType="end"/>
            </w:r>
          </w:hyperlink>
        </w:p>
        <w:p w:rsidR="00EA2B43" w:rsidRDefault="00C73EE5">
          <w:pPr>
            <w:pStyle w:val="TM3"/>
            <w:tabs>
              <w:tab w:val="left" w:pos="1100"/>
              <w:tab w:val="right" w:leader="dot" w:pos="9062"/>
            </w:tabs>
            <w:rPr>
              <w:rFonts w:eastAsiaTheme="minorEastAsia"/>
              <w:noProof/>
              <w:sz w:val="22"/>
              <w:szCs w:val="22"/>
              <w:lang w:eastAsia="fr-FR"/>
            </w:rPr>
          </w:pPr>
          <w:hyperlink w:anchor="_Toc526119974" w:history="1">
            <w:r w:rsidR="00EA2B43" w:rsidRPr="00CD10DB">
              <w:rPr>
                <w:rStyle w:val="Lienhypertexte"/>
                <w:noProof/>
              </w:rPr>
              <w:t>2.2.2.</w:t>
            </w:r>
            <w:r w:rsidR="00EA2B43">
              <w:rPr>
                <w:rFonts w:eastAsiaTheme="minorEastAsia"/>
                <w:noProof/>
                <w:sz w:val="22"/>
                <w:szCs w:val="22"/>
                <w:lang w:eastAsia="fr-FR"/>
              </w:rPr>
              <w:tab/>
            </w:r>
            <w:r w:rsidR="00EA2B43" w:rsidRPr="00CD10DB">
              <w:rPr>
                <w:rStyle w:val="Lienhypertexte"/>
                <w:noProof/>
              </w:rPr>
              <w:t>Prévalence et cartographie de la malnutrition</w:t>
            </w:r>
            <w:r w:rsidR="00EA2B43">
              <w:rPr>
                <w:noProof/>
                <w:webHidden/>
              </w:rPr>
              <w:tab/>
            </w:r>
            <w:r w:rsidR="00D639F2">
              <w:rPr>
                <w:noProof/>
                <w:webHidden/>
              </w:rPr>
              <w:fldChar w:fldCharType="begin"/>
            </w:r>
            <w:r w:rsidR="00EA2B43">
              <w:rPr>
                <w:noProof/>
                <w:webHidden/>
              </w:rPr>
              <w:instrText xml:space="preserve"> PAGEREF _Toc526119974 \h </w:instrText>
            </w:r>
            <w:r w:rsidR="00D639F2">
              <w:rPr>
                <w:noProof/>
                <w:webHidden/>
              </w:rPr>
            </w:r>
            <w:r w:rsidR="00D639F2">
              <w:rPr>
                <w:noProof/>
                <w:webHidden/>
              </w:rPr>
              <w:fldChar w:fldCharType="separate"/>
            </w:r>
            <w:r w:rsidR="00EA2B43">
              <w:rPr>
                <w:noProof/>
                <w:webHidden/>
              </w:rPr>
              <w:t>39</w:t>
            </w:r>
            <w:r w:rsidR="00D639F2">
              <w:rPr>
                <w:noProof/>
                <w:webHidden/>
              </w:rPr>
              <w:fldChar w:fldCharType="end"/>
            </w:r>
          </w:hyperlink>
        </w:p>
        <w:p w:rsidR="00EA2B43" w:rsidRDefault="00C73EE5">
          <w:pPr>
            <w:pStyle w:val="TM3"/>
            <w:tabs>
              <w:tab w:val="left" w:pos="1100"/>
              <w:tab w:val="right" w:leader="dot" w:pos="9062"/>
            </w:tabs>
            <w:rPr>
              <w:rFonts w:eastAsiaTheme="minorEastAsia"/>
              <w:noProof/>
              <w:sz w:val="22"/>
              <w:szCs w:val="22"/>
              <w:lang w:eastAsia="fr-FR"/>
            </w:rPr>
          </w:pPr>
          <w:hyperlink w:anchor="_Toc526119975" w:history="1">
            <w:r w:rsidR="00EA2B43" w:rsidRPr="00CD10DB">
              <w:rPr>
                <w:rStyle w:val="Lienhypertexte"/>
                <w:noProof/>
              </w:rPr>
              <w:t>2.2.3.</w:t>
            </w:r>
            <w:r w:rsidR="00EA2B43">
              <w:rPr>
                <w:rFonts w:eastAsiaTheme="minorEastAsia"/>
                <w:noProof/>
                <w:sz w:val="22"/>
                <w:szCs w:val="22"/>
                <w:lang w:eastAsia="fr-FR"/>
              </w:rPr>
              <w:tab/>
            </w:r>
            <w:r w:rsidR="00EA2B43" w:rsidRPr="00CD10DB">
              <w:rPr>
                <w:rStyle w:val="Lienhypertexte"/>
                <w:noProof/>
              </w:rPr>
              <w:t>Genre et malnutrition</w:t>
            </w:r>
            <w:r w:rsidR="00EA2B43">
              <w:rPr>
                <w:noProof/>
                <w:webHidden/>
              </w:rPr>
              <w:tab/>
            </w:r>
            <w:r w:rsidR="00D639F2">
              <w:rPr>
                <w:noProof/>
                <w:webHidden/>
              </w:rPr>
              <w:fldChar w:fldCharType="begin"/>
            </w:r>
            <w:r w:rsidR="00EA2B43">
              <w:rPr>
                <w:noProof/>
                <w:webHidden/>
              </w:rPr>
              <w:instrText xml:space="preserve"> PAGEREF _Toc526119975 \h </w:instrText>
            </w:r>
            <w:r w:rsidR="00D639F2">
              <w:rPr>
                <w:noProof/>
                <w:webHidden/>
              </w:rPr>
            </w:r>
            <w:r w:rsidR="00D639F2">
              <w:rPr>
                <w:noProof/>
                <w:webHidden/>
              </w:rPr>
              <w:fldChar w:fldCharType="separate"/>
            </w:r>
            <w:r w:rsidR="00EA2B43">
              <w:rPr>
                <w:noProof/>
                <w:webHidden/>
              </w:rPr>
              <w:t>41</w:t>
            </w:r>
            <w:r w:rsidR="00D639F2">
              <w:rPr>
                <w:noProof/>
                <w:webHidden/>
              </w:rPr>
              <w:fldChar w:fldCharType="end"/>
            </w:r>
          </w:hyperlink>
        </w:p>
        <w:p w:rsidR="00EA2B43" w:rsidRDefault="00C73EE5">
          <w:pPr>
            <w:pStyle w:val="TM3"/>
            <w:tabs>
              <w:tab w:val="left" w:pos="1100"/>
              <w:tab w:val="right" w:leader="dot" w:pos="9062"/>
            </w:tabs>
            <w:rPr>
              <w:rFonts w:eastAsiaTheme="minorEastAsia"/>
              <w:noProof/>
              <w:sz w:val="22"/>
              <w:szCs w:val="22"/>
              <w:lang w:eastAsia="fr-FR"/>
            </w:rPr>
          </w:pPr>
          <w:hyperlink w:anchor="_Toc526119976" w:history="1">
            <w:r w:rsidR="00EA2B43" w:rsidRPr="00CD10DB">
              <w:rPr>
                <w:rStyle w:val="Lienhypertexte"/>
                <w:noProof/>
              </w:rPr>
              <w:t>2.2.4.</w:t>
            </w:r>
            <w:r w:rsidR="00EA2B43">
              <w:rPr>
                <w:rFonts w:eastAsiaTheme="minorEastAsia"/>
                <w:noProof/>
                <w:sz w:val="22"/>
                <w:szCs w:val="22"/>
                <w:lang w:eastAsia="fr-FR"/>
              </w:rPr>
              <w:tab/>
            </w:r>
            <w:r w:rsidR="00EA2B43" w:rsidRPr="00CD10DB">
              <w:rPr>
                <w:rStyle w:val="Lienhypertexte"/>
                <w:noProof/>
              </w:rPr>
              <w:t>Enjeux et défis pour l’atteinte de la cible 2.2</w:t>
            </w:r>
            <w:r w:rsidR="00EA2B43">
              <w:rPr>
                <w:noProof/>
                <w:webHidden/>
              </w:rPr>
              <w:tab/>
            </w:r>
            <w:r w:rsidR="00D639F2">
              <w:rPr>
                <w:noProof/>
                <w:webHidden/>
              </w:rPr>
              <w:fldChar w:fldCharType="begin"/>
            </w:r>
            <w:r w:rsidR="00EA2B43">
              <w:rPr>
                <w:noProof/>
                <w:webHidden/>
              </w:rPr>
              <w:instrText xml:space="preserve"> PAGEREF _Toc526119976 \h </w:instrText>
            </w:r>
            <w:r w:rsidR="00D639F2">
              <w:rPr>
                <w:noProof/>
                <w:webHidden/>
              </w:rPr>
            </w:r>
            <w:r w:rsidR="00D639F2">
              <w:rPr>
                <w:noProof/>
                <w:webHidden/>
              </w:rPr>
              <w:fldChar w:fldCharType="separate"/>
            </w:r>
            <w:r w:rsidR="00EA2B43">
              <w:rPr>
                <w:noProof/>
                <w:webHidden/>
              </w:rPr>
              <w:t>43</w:t>
            </w:r>
            <w:r w:rsidR="00D639F2">
              <w:rPr>
                <w:noProof/>
                <w:webHidden/>
              </w:rPr>
              <w:fldChar w:fldCharType="end"/>
            </w:r>
          </w:hyperlink>
        </w:p>
        <w:p w:rsidR="00EA2B43" w:rsidRDefault="00C73EE5">
          <w:pPr>
            <w:pStyle w:val="TM2"/>
            <w:tabs>
              <w:tab w:val="left" w:pos="880"/>
              <w:tab w:val="right" w:leader="dot" w:pos="9062"/>
            </w:tabs>
            <w:rPr>
              <w:rFonts w:eastAsiaTheme="minorEastAsia"/>
              <w:noProof/>
              <w:sz w:val="22"/>
              <w:szCs w:val="22"/>
              <w:lang w:eastAsia="fr-FR"/>
            </w:rPr>
          </w:pPr>
          <w:hyperlink w:anchor="_Toc526119977" w:history="1">
            <w:r w:rsidR="00EA2B43" w:rsidRPr="00CD10DB">
              <w:rPr>
                <w:rStyle w:val="Lienhypertexte"/>
                <w:noProof/>
              </w:rPr>
              <w:t>2.3.</w:t>
            </w:r>
            <w:r w:rsidR="00EA2B43">
              <w:rPr>
                <w:rFonts w:eastAsiaTheme="minorEastAsia"/>
                <w:noProof/>
                <w:sz w:val="22"/>
                <w:szCs w:val="22"/>
                <w:lang w:eastAsia="fr-FR"/>
              </w:rPr>
              <w:tab/>
            </w:r>
            <w:r w:rsidR="00EA2B43" w:rsidRPr="00CD10DB">
              <w:rPr>
                <w:rStyle w:val="Lienhypertexte"/>
                <w:noProof/>
              </w:rPr>
              <w:t>Etat des lieux sur la disponibilité alimentaire et la productivité agricole</w:t>
            </w:r>
            <w:r w:rsidR="00EA2B43">
              <w:rPr>
                <w:noProof/>
                <w:webHidden/>
              </w:rPr>
              <w:tab/>
            </w:r>
            <w:r w:rsidR="00D639F2">
              <w:rPr>
                <w:noProof/>
                <w:webHidden/>
              </w:rPr>
              <w:fldChar w:fldCharType="begin"/>
            </w:r>
            <w:r w:rsidR="00EA2B43">
              <w:rPr>
                <w:noProof/>
                <w:webHidden/>
              </w:rPr>
              <w:instrText xml:space="preserve"> PAGEREF _Toc526119977 \h </w:instrText>
            </w:r>
            <w:r w:rsidR="00D639F2">
              <w:rPr>
                <w:noProof/>
                <w:webHidden/>
              </w:rPr>
            </w:r>
            <w:r w:rsidR="00D639F2">
              <w:rPr>
                <w:noProof/>
                <w:webHidden/>
              </w:rPr>
              <w:fldChar w:fldCharType="separate"/>
            </w:r>
            <w:r w:rsidR="00EA2B43">
              <w:rPr>
                <w:noProof/>
                <w:webHidden/>
              </w:rPr>
              <w:t>48</w:t>
            </w:r>
            <w:r w:rsidR="00D639F2">
              <w:rPr>
                <w:noProof/>
                <w:webHidden/>
              </w:rPr>
              <w:fldChar w:fldCharType="end"/>
            </w:r>
          </w:hyperlink>
        </w:p>
        <w:p w:rsidR="00EA2B43" w:rsidRDefault="00C73EE5">
          <w:pPr>
            <w:pStyle w:val="TM3"/>
            <w:tabs>
              <w:tab w:val="left" w:pos="1100"/>
              <w:tab w:val="right" w:leader="dot" w:pos="9062"/>
            </w:tabs>
            <w:rPr>
              <w:rFonts w:eastAsiaTheme="minorEastAsia"/>
              <w:noProof/>
              <w:sz w:val="22"/>
              <w:szCs w:val="22"/>
              <w:lang w:eastAsia="fr-FR"/>
            </w:rPr>
          </w:pPr>
          <w:hyperlink w:anchor="_Toc526119978" w:history="1">
            <w:r w:rsidR="00EA2B43" w:rsidRPr="00CD10DB">
              <w:rPr>
                <w:rStyle w:val="Lienhypertexte"/>
                <w:noProof/>
              </w:rPr>
              <w:t>2.3.1.</w:t>
            </w:r>
            <w:r w:rsidR="00EA2B43">
              <w:rPr>
                <w:rFonts w:eastAsiaTheme="minorEastAsia"/>
                <w:noProof/>
                <w:sz w:val="22"/>
                <w:szCs w:val="22"/>
                <w:lang w:eastAsia="fr-FR"/>
              </w:rPr>
              <w:tab/>
            </w:r>
            <w:r w:rsidR="00EA2B43" w:rsidRPr="00CD10DB">
              <w:rPr>
                <w:rStyle w:val="Lienhypertexte"/>
                <w:noProof/>
              </w:rPr>
              <w:t>etat des lieux sur la disponibilité alimentaire</w:t>
            </w:r>
            <w:r w:rsidR="00EA2B43">
              <w:rPr>
                <w:noProof/>
                <w:webHidden/>
              </w:rPr>
              <w:tab/>
            </w:r>
            <w:r w:rsidR="00D639F2">
              <w:rPr>
                <w:noProof/>
                <w:webHidden/>
              </w:rPr>
              <w:fldChar w:fldCharType="begin"/>
            </w:r>
            <w:r w:rsidR="00EA2B43">
              <w:rPr>
                <w:noProof/>
                <w:webHidden/>
              </w:rPr>
              <w:instrText xml:space="preserve"> PAGEREF _Toc526119978 \h </w:instrText>
            </w:r>
            <w:r w:rsidR="00D639F2">
              <w:rPr>
                <w:noProof/>
                <w:webHidden/>
              </w:rPr>
            </w:r>
            <w:r w:rsidR="00D639F2">
              <w:rPr>
                <w:noProof/>
                <w:webHidden/>
              </w:rPr>
              <w:fldChar w:fldCharType="separate"/>
            </w:r>
            <w:r w:rsidR="00EA2B43">
              <w:rPr>
                <w:noProof/>
                <w:webHidden/>
              </w:rPr>
              <w:t>48</w:t>
            </w:r>
            <w:r w:rsidR="00D639F2">
              <w:rPr>
                <w:noProof/>
                <w:webHidden/>
              </w:rPr>
              <w:fldChar w:fldCharType="end"/>
            </w:r>
          </w:hyperlink>
        </w:p>
        <w:p w:rsidR="00EA2B43" w:rsidRDefault="00C73EE5">
          <w:pPr>
            <w:pStyle w:val="TM3"/>
            <w:tabs>
              <w:tab w:val="left" w:pos="1100"/>
              <w:tab w:val="right" w:leader="dot" w:pos="9062"/>
            </w:tabs>
            <w:rPr>
              <w:rFonts w:eastAsiaTheme="minorEastAsia"/>
              <w:noProof/>
              <w:sz w:val="22"/>
              <w:szCs w:val="22"/>
              <w:lang w:eastAsia="fr-FR"/>
            </w:rPr>
          </w:pPr>
          <w:hyperlink w:anchor="_Toc526119979" w:history="1">
            <w:r w:rsidR="00EA2B43" w:rsidRPr="00CD10DB">
              <w:rPr>
                <w:rStyle w:val="Lienhypertexte"/>
                <w:rFonts w:ascii="Nyala" w:hAnsi="Nyala"/>
                <w:noProof/>
              </w:rPr>
              <w:t>2.3.2.</w:t>
            </w:r>
            <w:r w:rsidR="00EA2B43">
              <w:rPr>
                <w:rFonts w:eastAsiaTheme="minorEastAsia"/>
                <w:noProof/>
                <w:sz w:val="22"/>
                <w:szCs w:val="22"/>
                <w:lang w:eastAsia="fr-FR"/>
              </w:rPr>
              <w:tab/>
            </w:r>
            <w:r w:rsidR="00EA2B43" w:rsidRPr="00CD10DB">
              <w:rPr>
                <w:rStyle w:val="Lienhypertexte"/>
                <w:rFonts w:ascii="Nyala" w:hAnsi="Nyala"/>
                <w:noProof/>
              </w:rPr>
              <w:t>Productivité et revenus des producteurs</w:t>
            </w:r>
            <w:r w:rsidR="00EA2B43">
              <w:rPr>
                <w:noProof/>
                <w:webHidden/>
              </w:rPr>
              <w:tab/>
            </w:r>
            <w:r w:rsidR="00D639F2">
              <w:rPr>
                <w:noProof/>
                <w:webHidden/>
              </w:rPr>
              <w:fldChar w:fldCharType="begin"/>
            </w:r>
            <w:r w:rsidR="00EA2B43">
              <w:rPr>
                <w:noProof/>
                <w:webHidden/>
              </w:rPr>
              <w:instrText xml:space="preserve"> PAGEREF _Toc526119979 \h </w:instrText>
            </w:r>
            <w:r w:rsidR="00D639F2">
              <w:rPr>
                <w:noProof/>
                <w:webHidden/>
              </w:rPr>
            </w:r>
            <w:r w:rsidR="00D639F2">
              <w:rPr>
                <w:noProof/>
                <w:webHidden/>
              </w:rPr>
              <w:fldChar w:fldCharType="separate"/>
            </w:r>
            <w:r w:rsidR="00EA2B43">
              <w:rPr>
                <w:noProof/>
                <w:webHidden/>
              </w:rPr>
              <w:t>51</w:t>
            </w:r>
            <w:r w:rsidR="00D639F2">
              <w:rPr>
                <w:noProof/>
                <w:webHidden/>
              </w:rPr>
              <w:fldChar w:fldCharType="end"/>
            </w:r>
          </w:hyperlink>
        </w:p>
        <w:p w:rsidR="00EA2B43" w:rsidRDefault="00C73EE5">
          <w:pPr>
            <w:pStyle w:val="TM3"/>
            <w:tabs>
              <w:tab w:val="left" w:pos="1100"/>
              <w:tab w:val="right" w:leader="dot" w:pos="9062"/>
            </w:tabs>
            <w:rPr>
              <w:rFonts w:eastAsiaTheme="minorEastAsia"/>
              <w:noProof/>
              <w:sz w:val="22"/>
              <w:szCs w:val="22"/>
              <w:lang w:eastAsia="fr-FR"/>
            </w:rPr>
          </w:pPr>
          <w:hyperlink w:anchor="_Toc526119980" w:history="1">
            <w:r w:rsidR="00EA2B43" w:rsidRPr="00CD10DB">
              <w:rPr>
                <w:rStyle w:val="Lienhypertexte"/>
                <w:noProof/>
              </w:rPr>
              <w:t>2.3.3.</w:t>
            </w:r>
            <w:r w:rsidR="00EA2B43">
              <w:rPr>
                <w:rFonts w:eastAsiaTheme="minorEastAsia"/>
                <w:noProof/>
                <w:sz w:val="22"/>
                <w:szCs w:val="22"/>
                <w:lang w:eastAsia="fr-FR"/>
              </w:rPr>
              <w:tab/>
            </w:r>
            <w:r w:rsidR="00EA2B43" w:rsidRPr="00CD10DB">
              <w:rPr>
                <w:rStyle w:val="Lienhypertexte"/>
                <w:noProof/>
              </w:rPr>
              <w:t>Développement Agricole durable</w:t>
            </w:r>
            <w:r w:rsidR="00EA2B43">
              <w:rPr>
                <w:noProof/>
                <w:webHidden/>
              </w:rPr>
              <w:tab/>
            </w:r>
            <w:r w:rsidR="00D639F2">
              <w:rPr>
                <w:noProof/>
                <w:webHidden/>
              </w:rPr>
              <w:fldChar w:fldCharType="begin"/>
            </w:r>
            <w:r w:rsidR="00EA2B43">
              <w:rPr>
                <w:noProof/>
                <w:webHidden/>
              </w:rPr>
              <w:instrText xml:space="preserve"> PAGEREF _Toc526119980 \h </w:instrText>
            </w:r>
            <w:r w:rsidR="00D639F2">
              <w:rPr>
                <w:noProof/>
                <w:webHidden/>
              </w:rPr>
            </w:r>
            <w:r w:rsidR="00D639F2">
              <w:rPr>
                <w:noProof/>
                <w:webHidden/>
              </w:rPr>
              <w:fldChar w:fldCharType="separate"/>
            </w:r>
            <w:r w:rsidR="00EA2B43">
              <w:rPr>
                <w:noProof/>
                <w:webHidden/>
              </w:rPr>
              <w:t>53</w:t>
            </w:r>
            <w:r w:rsidR="00D639F2">
              <w:rPr>
                <w:noProof/>
                <w:webHidden/>
              </w:rPr>
              <w:fldChar w:fldCharType="end"/>
            </w:r>
          </w:hyperlink>
        </w:p>
        <w:p w:rsidR="00EA2B43" w:rsidRDefault="00C73EE5">
          <w:pPr>
            <w:pStyle w:val="TM3"/>
            <w:tabs>
              <w:tab w:val="left" w:pos="1100"/>
              <w:tab w:val="right" w:leader="dot" w:pos="9062"/>
            </w:tabs>
            <w:rPr>
              <w:rFonts w:eastAsiaTheme="minorEastAsia"/>
              <w:noProof/>
              <w:sz w:val="22"/>
              <w:szCs w:val="22"/>
              <w:lang w:eastAsia="fr-FR"/>
            </w:rPr>
          </w:pPr>
          <w:hyperlink w:anchor="_Toc526119981" w:history="1">
            <w:r w:rsidR="00EA2B43" w:rsidRPr="00CD10DB">
              <w:rPr>
                <w:rStyle w:val="Lienhypertexte"/>
                <w:noProof/>
              </w:rPr>
              <w:t>2.3.4.</w:t>
            </w:r>
            <w:r w:rsidR="00EA2B43">
              <w:rPr>
                <w:rFonts w:eastAsiaTheme="minorEastAsia"/>
                <w:noProof/>
                <w:sz w:val="22"/>
                <w:szCs w:val="22"/>
                <w:lang w:eastAsia="fr-FR"/>
              </w:rPr>
              <w:tab/>
            </w:r>
            <w:r w:rsidR="00EA2B43" w:rsidRPr="00CD10DB">
              <w:rPr>
                <w:rStyle w:val="Lienhypertexte"/>
                <w:noProof/>
              </w:rPr>
              <w:t>Enjeux et défis de la productivité et de la durabilité en agriculture</w:t>
            </w:r>
            <w:r w:rsidR="00EA2B43">
              <w:rPr>
                <w:noProof/>
                <w:webHidden/>
              </w:rPr>
              <w:tab/>
            </w:r>
            <w:r w:rsidR="00D639F2">
              <w:rPr>
                <w:noProof/>
                <w:webHidden/>
              </w:rPr>
              <w:fldChar w:fldCharType="begin"/>
            </w:r>
            <w:r w:rsidR="00EA2B43">
              <w:rPr>
                <w:noProof/>
                <w:webHidden/>
              </w:rPr>
              <w:instrText xml:space="preserve"> PAGEREF _Toc526119981 \h </w:instrText>
            </w:r>
            <w:r w:rsidR="00D639F2">
              <w:rPr>
                <w:noProof/>
                <w:webHidden/>
              </w:rPr>
            </w:r>
            <w:r w:rsidR="00D639F2">
              <w:rPr>
                <w:noProof/>
                <w:webHidden/>
              </w:rPr>
              <w:fldChar w:fldCharType="separate"/>
            </w:r>
            <w:r w:rsidR="00EA2B43">
              <w:rPr>
                <w:noProof/>
                <w:webHidden/>
              </w:rPr>
              <w:t>60</w:t>
            </w:r>
            <w:r w:rsidR="00D639F2">
              <w:rPr>
                <w:noProof/>
                <w:webHidden/>
              </w:rPr>
              <w:fldChar w:fldCharType="end"/>
            </w:r>
          </w:hyperlink>
        </w:p>
        <w:p w:rsidR="00EA2B43" w:rsidRDefault="00C73EE5">
          <w:pPr>
            <w:pStyle w:val="TM3"/>
            <w:tabs>
              <w:tab w:val="left" w:pos="1100"/>
              <w:tab w:val="right" w:leader="dot" w:pos="9062"/>
            </w:tabs>
            <w:rPr>
              <w:rFonts w:eastAsiaTheme="minorEastAsia"/>
              <w:noProof/>
              <w:sz w:val="22"/>
              <w:szCs w:val="22"/>
              <w:lang w:eastAsia="fr-FR"/>
            </w:rPr>
          </w:pPr>
          <w:hyperlink w:anchor="_Toc526119982" w:history="1">
            <w:r w:rsidR="00EA2B43" w:rsidRPr="00CD10DB">
              <w:rPr>
                <w:rStyle w:val="Lienhypertexte"/>
                <w:noProof/>
              </w:rPr>
              <w:t>2.3.5.</w:t>
            </w:r>
            <w:r w:rsidR="00EA2B43">
              <w:rPr>
                <w:rFonts w:eastAsiaTheme="minorEastAsia"/>
                <w:noProof/>
                <w:sz w:val="22"/>
                <w:szCs w:val="22"/>
                <w:lang w:eastAsia="fr-FR"/>
              </w:rPr>
              <w:tab/>
            </w:r>
            <w:r w:rsidR="00EA2B43" w:rsidRPr="00CD10DB">
              <w:rPr>
                <w:rStyle w:val="Lienhypertexte"/>
                <w:noProof/>
              </w:rPr>
              <w:t>Faciliter l’accès aux intrants</w:t>
            </w:r>
            <w:r w:rsidR="00EA2B43">
              <w:rPr>
                <w:noProof/>
                <w:webHidden/>
              </w:rPr>
              <w:tab/>
            </w:r>
            <w:r w:rsidR="00D639F2">
              <w:rPr>
                <w:noProof/>
                <w:webHidden/>
              </w:rPr>
              <w:fldChar w:fldCharType="begin"/>
            </w:r>
            <w:r w:rsidR="00EA2B43">
              <w:rPr>
                <w:noProof/>
                <w:webHidden/>
              </w:rPr>
              <w:instrText xml:space="preserve"> PAGEREF _Toc526119982 \h </w:instrText>
            </w:r>
            <w:r w:rsidR="00D639F2">
              <w:rPr>
                <w:noProof/>
                <w:webHidden/>
              </w:rPr>
            </w:r>
            <w:r w:rsidR="00D639F2">
              <w:rPr>
                <w:noProof/>
                <w:webHidden/>
              </w:rPr>
              <w:fldChar w:fldCharType="separate"/>
            </w:r>
            <w:r w:rsidR="00EA2B43">
              <w:rPr>
                <w:noProof/>
                <w:webHidden/>
              </w:rPr>
              <w:t>64</w:t>
            </w:r>
            <w:r w:rsidR="00D639F2">
              <w:rPr>
                <w:noProof/>
                <w:webHidden/>
              </w:rPr>
              <w:fldChar w:fldCharType="end"/>
            </w:r>
          </w:hyperlink>
        </w:p>
        <w:p w:rsidR="00EA2B43" w:rsidRDefault="00C73EE5">
          <w:pPr>
            <w:pStyle w:val="TM2"/>
            <w:tabs>
              <w:tab w:val="left" w:pos="880"/>
              <w:tab w:val="right" w:leader="dot" w:pos="9062"/>
            </w:tabs>
            <w:rPr>
              <w:rFonts w:eastAsiaTheme="minorEastAsia"/>
              <w:noProof/>
              <w:sz w:val="22"/>
              <w:szCs w:val="22"/>
              <w:lang w:eastAsia="fr-FR"/>
            </w:rPr>
          </w:pPr>
          <w:hyperlink w:anchor="_Toc526119983" w:history="1">
            <w:r w:rsidR="00EA2B43" w:rsidRPr="00CD10DB">
              <w:rPr>
                <w:rStyle w:val="Lienhypertexte"/>
                <w:noProof/>
              </w:rPr>
              <w:t>2.4.</w:t>
            </w:r>
            <w:r w:rsidR="00EA2B43">
              <w:rPr>
                <w:rFonts w:eastAsiaTheme="minorEastAsia"/>
                <w:noProof/>
                <w:sz w:val="22"/>
                <w:szCs w:val="22"/>
                <w:lang w:eastAsia="fr-FR"/>
              </w:rPr>
              <w:tab/>
            </w:r>
            <w:r w:rsidR="00EA2B43" w:rsidRPr="00CD10DB">
              <w:rPr>
                <w:rStyle w:val="Lienhypertexte"/>
                <w:noProof/>
              </w:rPr>
              <w:t>Création de conditions favorables à l’atteinte des objectifs (2a, b et c)</w:t>
            </w:r>
            <w:r w:rsidR="00EA2B43">
              <w:rPr>
                <w:noProof/>
                <w:webHidden/>
              </w:rPr>
              <w:tab/>
            </w:r>
            <w:r w:rsidR="00D639F2">
              <w:rPr>
                <w:noProof/>
                <w:webHidden/>
              </w:rPr>
              <w:fldChar w:fldCharType="begin"/>
            </w:r>
            <w:r w:rsidR="00EA2B43">
              <w:rPr>
                <w:noProof/>
                <w:webHidden/>
              </w:rPr>
              <w:instrText xml:space="preserve"> PAGEREF _Toc526119983 \h </w:instrText>
            </w:r>
            <w:r w:rsidR="00D639F2">
              <w:rPr>
                <w:noProof/>
                <w:webHidden/>
              </w:rPr>
            </w:r>
            <w:r w:rsidR="00D639F2">
              <w:rPr>
                <w:noProof/>
                <w:webHidden/>
              </w:rPr>
              <w:fldChar w:fldCharType="separate"/>
            </w:r>
            <w:r w:rsidR="00EA2B43">
              <w:rPr>
                <w:noProof/>
                <w:webHidden/>
              </w:rPr>
              <w:t>67</w:t>
            </w:r>
            <w:r w:rsidR="00D639F2">
              <w:rPr>
                <w:noProof/>
                <w:webHidden/>
              </w:rPr>
              <w:fldChar w:fldCharType="end"/>
            </w:r>
          </w:hyperlink>
        </w:p>
        <w:p w:rsidR="00EA2B43" w:rsidRDefault="00C73EE5">
          <w:pPr>
            <w:pStyle w:val="TM3"/>
            <w:tabs>
              <w:tab w:val="left" w:pos="1100"/>
              <w:tab w:val="right" w:leader="dot" w:pos="9062"/>
            </w:tabs>
            <w:rPr>
              <w:rFonts w:eastAsiaTheme="minorEastAsia"/>
              <w:noProof/>
              <w:sz w:val="22"/>
              <w:szCs w:val="22"/>
              <w:lang w:eastAsia="fr-FR"/>
            </w:rPr>
          </w:pPr>
          <w:hyperlink w:anchor="_Toc526119984" w:history="1">
            <w:r w:rsidR="00EA2B43" w:rsidRPr="00CD10DB">
              <w:rPr>
                <w:rStyle w:val="Lienhypertexte"/>
                <w:noProof/>
              </w:rPr>
              <w:t>2.4.1.</w:t>
            </w:r>
            <w:r w:rsidR="00EA2B43">
              <w:rPr>
                <w:rFonts w:eastAsiaTheme="minorEastAsia"/>
                <w:noProof/>
                <w:sz w:val="22"/>
                <w:szCs w:val="22"/>
                <w:lang w:eastAsia="fr-FR"/>
              </w:rPr>
              <w:tab/>
            </w:r>
            <w:r w:rsidR="00EA2B43" w:rsidRPr="00CD10DB">
              <w:rPr>
                <w:rStyle w:val="Lienhypertexte"/>
                <w:noProof/>
              </w:rPr>
              <w:t>Efforts financiers en faveur de l’agriculture et de la recherche (2a)</w:t>
            </w:r>
            <w:r w:rsidR="00EA2B43">
              <w:rPr>
                <w:noProof/>
                <w:webHidden/>
              </w:rPr>
              <w:tab/>
            </w:r>
            <w:r w:rsidR="00D639F2">
              <w:rPr>
                <w:noProof/>
                <w:webHidden/>
              </w:rPr>
              <w:fldChar w:fldCharType="begin"/>
            </w:r>
            <w:r w:rsidR="00EA2B43">
              <w:rPr>
                <w:noProof/>
                <w:webHidden/>
              </w:rPr>
              <w:instrText xml:space="preserve"> PAGEREF _Toc526119984 \h </w:instrText>
            </w:r>
            <w:r w:rsidR="00D639F2">
              <w:rPr>
                <w:noProof/>
                <w:webHidden/>
              </w:rPr>
            </w:r>
            <w:r w:rsidR="00D639F2">
              <w:rPr>
                <w:noProof/>
                <w:webHidden/>
              </w:rPr>
              <w:fldChar w:fldCharType="separate"/>
            </w:r>
            <w:r w:rsidR="00EA2B43">
              <w:rPr>
                <w:noProof/>
                <w:webHidden/>
              </w:rPr>
              <w:t>68</w:t>
            </w:r>
            <w:r w:rsidR="00D639F2">
              <w:rPr>
                <w:noProof/>
                <w:webHidden/>
              </w:rPr>
              <w:fldChar w:fldCharType="end"/>
            </w:r>
          </w:hyperlink>
        </w:p>
        <w:p w:rsidR="00EA2B43" w:rsidRDefault="00C73EE5">
          <w:pPr>
            <w:pStyle w:val="TM3"/>
            <w:tabs>
              <w:tab w:val="left" w:pos="1100"/>
              <w:tab w:val="right" w:leader="dot" w:pos="9062"/>
            </w:tabs>
            <w:rPr>
              <w:rFonts w:eastAsiaTheme="minorEastAsia"/>
              <w:noProof/>
              <w:sz w:val="22"/>
              <w:szCs w:val="22"/>
              <w:lang w:eastAsia="fr-FR"/>
            </w:rPr>
          </w:pPr>
          <w:hyperlink w:anchor="_Toc526119985" w:history="1">
            <w:r w:rsidR="00EA2B43" w:rsidRPr="00CD10DB">
              <w:rPr>
                <w:rStyle w:val="Lienhypertexte"/>
                <w:noProof/>
              </w:rPr>
              <w:t>2.4.2.</w:t>
            </w:r>
            <w:r w:rsidR="00EA2B43">
              <w:rPr>
                <w:rFonts w:eastAsiaTheme="minorEastAsia"/>
                <w:noProof/>
                <w:sz w:val="22"/>
                <w:szCs w:val="22"/>
                <w:lang w:eastAsia="fr-FR"/>
              </w:rPr>
              <w:tab/>
            </w:r>
            <w:r w:rsidR="00EA2B43" w:rsidRPr="00CD10DB">
              <w:rPr>
                <w:rStyle w:val="Lienhypertexte"/>
                <w:noProof/>
              </w:rPr>
              <w:t>Fonctionnement des marchés</w:t>
            </w:r>
            <w:r w:rsidR="00EA2B43">
              <w:rPr>
                <w:noProof/>
                <w:webHidden/>
              </w:rPr>
              <w:tab/>
            </w:r>
            <w:r w:rsidR="00D639F2">
              <w:rPr>
                <w:noProof/>
                <w:webHidden/>
              </w:rPr>
              <w:fldChar w:fldCharType="begin"/>
            </w:r>
            <w:r w:rsidR="00EA2B43">
              <w:rPr>
                <w:noProof/>
                <w:webHidden/>
              </w:rPr>
              <w:instrText xml:space="preserve"> PAGEREF _Toc526119985 \h </w:instrText>
            </w:r>
            <w:r w:rsidR="00D639F2">
              <w:rPr>
                <w:noProof/>
                <w:webHidden/>
              </w:rPr>
            </w:r>
            <w:r w:rsidR="00D639F2">
              <w:rPr>
                <w:noProof/>
                <w:webHidden/>
              </w:rPr>
              <w:fldChar w:fldCharType="separate"/>
            </w:r>
            <w:r w:rsidR="00EA2B43">
              <w:rPr>
                <w:noProof/>
                <w:webHidden/>
              </w:rPr>
              <w:t>70</w:t>
            </w:r>
            <w:r w:rsidR="00D639F2">
              <w:rPr>
                <w:noProof/>
                <w:webHidden/>
              </w:rPr>
              <w:fldChar w:fldCharType="end"/>
            </w:r>
          </w:hyperlink>
        </w:p>
        <w:p w:rsidR="00EA2B43" w:rsidRDefault="00C73EE5">
          <w:pPr>
            <w:pStyle w:val="TM2"/>
            <w:tabs>
              <w:tab w:val="left" w:pos="880"/>
              <w:tab w:val="right" w:leader="dot" w:pos="9062"/>
            </w:tabs>
            <w:rPr>
              <w:rFonts w:eastAsiaTheme="minorEastAsia"/>
              <w:noProof/>
              <w:sz w:val="22"/>
              <w:szCs w:val="22"/>
              <w:lang w:eastAsia="fr-FR"/>
            </w:rPr>
          </w:pPr>
          <w:hyperlink w:anchor="_Toc526119986" w:history="1">
            <w:r w:rsidR="00EA2B43" w:rsidRPr="00CD10DB">
              <w:rPr>
                <w:rStyle w:val="Lienhypertexte"/>
                <w:noProof/>
              </w:rPr>
              <w:t>2.5.</w:t>
            </w:r>
            <w:r w:rsidR="00EA2B43">
              <w:rPr>
                <w:rFonts w:eastAsiaTheme="minorEastAsia"/>
                <w:noProof/>
                <w:sz w:val="22"/>
                <w:szCs w:val="22"/>
                <w:lang w:eastAsia="fr-FR"/>
              </w:rPr>
              <w:tab/>
            </w:r>
            <w:r w:rsidR="00EA2B43" w:rsidRPr="00CD10DB">
              <w:rPr>
                <w:rStyle w:val="Lienhypertexte"/>
                <w:noProof/>
              </w:rPr>
              <w:t>Conclusion partielle sur la mise en œuvre de l’ODD2</w:t>
            </w:r>
            <w:r w:rsidR="00EA2B43">
              <w:rPr>
                <w:noProof/>
                <w:webHidden/>
              </w:rPr>
              <w:tab/>
            </w:r>
            <w:r w:rsidR="00D639F2">
              <w:rPr>
                <w:noProof/>
                <w:webHidden/>
              </w:rPr>
              <w:fldChar w:fldCharType="begin"/>
            </w:r>
            <w:r w:rsidR="00EA2B43">
              <w:rPr>
                <w:noProof/>
                <w:webHidden/>
              </w:rPr>
              <w:instrText xml:space="preserve"> PAGEREF _Toc526119986 \h </w:instrText>
            </w:r>
            <w:r w:rsidR="00D639F2">
              <w:rPr>
                <w:noProof/>
                <w:webHidden/>
              </w:rPr>
            </w:r>
            <w:r w:rsidR="00D639F2">
              <w:rPr>
                <w:noProof/>
                <w:webHidden/>
              </w:rPr>
              <w:fldChar w:fldCharType="separate"/>
            </w:r>
            <w:r w:rsidR="00EA2B43">
              <w:rPr>
                <w:noProof/>
                <w:webHidden/>
              </w:rPr>
              <w:t>72</w:t>
            </w:r>
            <w:r w:rsidR="00D639F2">
              <w:rPr>
                <w:noProof/>
                <w:webHidden/>
              </w:rPr>
              <w:fldChar w:fldCharType="end"/>
            </w:r>
          </w:hyperlink>
        </w:p>
        <w:p w:rsidR="00EA2B43" w:rsidRDefault="00C73EE5">
          <w:pPr>
            <w:pStyle w:val="TM1"/>
            <w:tabs>
              <w:tab w:val="left" w:pos="400"/>
              <w:tab w:val="right" w:leader="dot" w:pos="9062"/>
            </w:tabs>
            <w:rPr>
              <w:rFonts w:eastAsiaTheme="minorEastAsia"/>
              <w:noProof/>
              <w:sz w:val="22"/>
              <w:szCs w:val="22"/>
              <w:lang w:eastAsia="fr-FR"/>
            </w:rPr>
          </w:pPr>
          <w:hyperlink w:anchor="_Toc526119987" w:history="1">
            <w:r w:rsidR="00EA2B43" w:rsidRPr="00CD10DB">
              <w:rPr>
                <w:rStyle w:val="Lienhypertexte"/>
                <w:noProof/>
              </w:rPr>
              <w:t>3.</w:t>
            </w:r>
            <w:r w:rsidR="00EA2B43">
              <w:rPr>
                <w:rFonts w:eastAsiaTheme="minorEastAsia"/>
                <w:noProof/>
                <w:sz w:val="22"/>
                <w:szCs w:val="22"/>
                <w:lang w:eastAsia="fr-FR"/>
              </w:rPr>
              <w:tab/>
            </w:r>
            <w:r w:rsidR="00EA2B43" w:rsidRPr="00CD10DB">
              <w:rPr>
                <w:rStyle w:val="Lienhypertexte"/>
                <w:noProof/>
              </w:rPr>
              <w:t>L’insécurité alimentaire et nutritionnelle dans les politiques publiques</w:t>
            </w:r>
            <w:r w:rsidR="00EA2B43">
              <w:rPr>
                <w:noProof/>
                <w:webHidden/>
              </w:rPr>
              <w:tab/>
            </w:r>
            <w:r w:rsidR="00D639F2">
              <w:rPr>
                <w:noProof/>
                <w:webHidden/>
              </w:rPr>
              <w:fldChar w:fldCharType="begin"/>
            </w:r>
            <w:r w:rsidR="00EA2B43">
              <w:rPr>
                <w:noProof/>
                <w:webHidden/>
              </w:rPr>
              <w:instrText xml:space="preserve"> PAGEREF _Toc526119987 \h </w:instrText>
            </w:r>
            <w:r w:rsidR="00D639F2">
              <w:rPr>
                <w:noProof/>
                <w:webHidden/>
              </w:rPr>
            </w:r>
            <w:r w:rsidR="00D639F2">
              <w:rPr>
                <w:noProof/>
                <w:webHidden/>
              </w:rPr>
              <w:fldChar w:fldCharType="separate"/>
            </w:r>
            <w:r w:rsidR="00EA2B43">
              <w:rPr>
                <w:noProof/>
                <w:webHidden/>
              </w:rPr>
              <w:t>74</w:t>
            </w:r>
            <w:r w:rsidR="00D639F2">
              <w:rPr>
                <w:noProof/>
                <w:webHidden/>
              </w:rPr>
              <w:fldChar w:fldCharType="end"/>
            </w:r>
          </w:hyperlink>
        </w:p>
        <w:p w:rsidR="00EA2B43" w:rsidRDefault="00C73EE5">
          <w:pPr>
            <w:pStyle w:val="TM2"/>
            <w:tabs>
              <w:tab w:val="left" w:pos="880"/>
              <w:tab w:val="right" w:leader="dot" w:pos="9062"/>
            </w:tabs>
            <w:rPr>
              <w:rFonts w:eastAsiaTheme="minorEastAsia"/>
              <w:noProof/>
              <w:sz w:val="22"/>
              <w:szCs w:val="22"/>
              <w:lang w:eastAsia="fr-FR"/>
            </w:rPr>
          </w:pPr>
          <w:hyperlink w:anchor="_Toc526119988" w:history="1">
            <w:r w:rsidR="00EA2B43" w:rsidRPr="00CD10DB">
              <w:rPr>
                <w:rStyle w:val="Lienhypertexte"/>
                <w:noProof/>
              </w:rPr>
              <w:t>3.1.</w:t>
            </w:r>
            <w:r w:rsidR="00EA2B43">
              <w:rPr>
                <w:rFonts w:eastAsiaTheme="minorEastAsia"/>
                <w:noProof/>
                <w:sz w:val="22"/>
                <w:szCs w:val="22"/>
                <w:lang w:eastAsia="fr-FR"/>
              </w:rPr>
              <w:tab/>
            </w:r>
            <w:r w:rsidR="00EA2B43" w:rsidRPr="00CD10DB">
              <w:rPr>
                <w:rStyle w:val="Lienhypertexte"/>
                <w:noProof/>
              </w:rPr>
              <w:t>Les documents d’orientation et de stratégie a long terme</w:t>
            </w:r>
            <w:r w:rsidR="00EA2B43">
              <w:rPr>
                <w:noProof/>
                <w:webHidden/>
              </w:rPr>
              <w:tab/>
            </w:r>
            <w:r w:rsidR="00D639F2">
              <w:rPr>
                <w:noProof/>
                <w:webHidden/>
              </w:rPr>
              <w:fldChar w:fldCharType="begin"/>
            </w:r>
            <w:r w:rsidR="00EA2B43">
              <w:rPr>
                <w:noProof/>
                <w:webHidden/>
              </w:rPr>
              <w:instrText xml:space="preserve"> PAGEREF _Toc526119988 \h </w:instrText>
            </w:r>
            <w:r w:rsidR="00D639F2">
              <w:rPr>
                <w:noProof/>
                <w:webHidden/>
              </w:rPr>
            </w:r>
            <w:r w:rsidR="00D639F2">
              <w:rPr>
                <w:noProof/>
                <w:webHidden/>
              </w:rPr>
              <w:fldChar w:fldCharType="separate"/>
            </w:r>
            <w:r w:rsidR="00EA2B43">
              <w:rPr>
                <w:noProof/>
                <w:webHidden/>
              </w:rPr>
              <w:t>74</w:t>
            </w:r>
            <w:r w:rsidR="00D639F2">
              <w:rPr>
                <w:noProof/>
                <w:webHidden/>
              </w:rPr>
              <w:fldChar w:fldCharType="end"/>
            </w:r>
          </w:hyperlink>
        </w:p>
        <w:p w:rsidR="00EA2B43" w:rsidRDefault="00C73EE5">
          <w:pPr>
            <w:pStyle w:val="TM2"/>
            <w:tabs>
              <w:tab w:val="left" w:pos="880"/>
              <w:tab w:val="right" w:leader="dot" w:pos="9062"/>
            </w:tabs>
            <w:rPr>
              <w:rFonts w:eastAsiaTheme="minorEastAsia"/>
              <w:noProof/>
              <w:sz w:val="22"/>
              <w:szCs w:val="22"/>
              <w:lang w:eastAsia="fr-FR"/>
            </w:rPr>
          </w:pPr>
          <w:hyperlink w:anchor="_Toc526119989" w:history="1">
            <w:r w:rsidR="00EA2B43" w:rsidRPr="00CD10DB">
              <w:rPr>
                <w:rStyle w:val="Lienhypertexte"/>
                <w:noProof/>
              </w:rPr>
              <w:t>3.2.</w:t>
            </w:r>
            <w:r w:rsidR="00EA2B43">
              <w:rPr>
                <w:rFonts w:eastAsiaTheme="minorEastAsia"/>
                <w:noProof/>
                <w:sz w:val="22"/>
                <w:szCs w:val="22"/>
                <w:lang w:eastAsia="fr-FR"/>
              </w:rPr>
              <w:tab/>
            </w:r>
            <w:r w:rsidR="00EA2B43" w:rsidRPr="00CD10DB">
              <w:rPr>
                <w:rStyle w:val="Lienhypertexte"/>
                <w:noProof/>
              </w:rPr>
              <w:t>Les plans  d’action a moyen terme</w:t>
            </w:r>
            <w:r w:rsidR="00EA2B43">
              <w:rPr>
                <w:noProof/>
                <w:webHidden/>
              </w:rPr>
              <w:tab/>
            </w:r>
            <w:r w:rsidR="00D639F2">
              <w:rPr>
                <w:noProof/>
                <w:webHidden/>
              </w:rPr>
              <w:fldChar w:fldCharType="begin"/>
            </w:r>
            <w:r w:rsidR="00EA2B43">
              <w:rPr>
                <w:noProof/>
                <w:webHidden/>
              </w:rPr>
              <w:instrText xml:space="preserve"> PAGEREF _Toc526119989 \h </w:instrText>
            </w:r>
            <w:r w:rsidR="00D639F2">
              <w:rPr>
                <w:noProof/>
                <w:webHidden/>
              </w:rPr>
            </w:r>
            <w:r w:rsidR="00D639F2">
              <w:rPr>
                <w:noProof/>
                <w:webHidden/>
              </w:rPr>
              <w:fldChar w:fldCharType="separate"/>
            </w:r>
            <w:r w:rsidR="00EA2B43">
              <w:rPr>
                <w:noProof/>
                <w:webHidden/>
              </w:rPr>
              <w:t>85</w:t>
            </w:r>
            <w:r w:rsidR="00D639F2">
              <w:rPr>
                <w:noProof/>
                <w:webHidden/>
              </w:rPr>
              <w:fldChar w:fldCharType="end"/>
            </w:r>
          </w:hyperlink>
        </w:p>
        <w:p w:rsidR="00EA2B43" w:rsidRDefault="00C73EE5">
          <w:pPr>
            <w:pStyle w:val="TM2"/>
            <w:tabs>
              <w:tab w:val="left" w:pos="880"/>
              <w:tab w:val="right" w:leader="dot" w:pos="9062"/>
            </w:tabs>
            <w:rPr>
              <w:rFonts w:eastAsiaTheme="minorEastAsia"/>
              <w:noProof/>
              <w:sz w:val="22"/>
              <w:szCs w:val="22"/>
              <w:lang w:eastAsia="fr-FR"/>
            </w:rPr>
          </w:pPr>
          <w:hyperlink w:anchor="_Toc526119990" w:history="1">
            <w:r w:rsidR="00EA2B43" w:rsidRPr="00CD10DB">
              <w:rPr>
                <w:rStyle w:val="Lienhypertexte"/>
                <w:noProof/>
              </w:rPr>
              <w:t>3.3.</w:t>
            </w:r>
            <w:r w:rsidR="00EA2B43">
              <w:rPr>
                <w:rFonts w:eastAsiaTheme="minorEastAsia"/>
                <w:noProof/>
                <w:sz w:val="22"/>
                <w:szCs w:val="22"/>
                <w:lang w:eastAsia="fr-FR"/>
              </w:rPr>
              <w:tab/>
            </w:r>
            <w:r w:rsidR="00EA2B43" w:rsidRPr="00CD10DB">
              <w:rPr>
                <w:rStyle w:val="Lienhypertexte"/>
                <w:noProof/>
              </w:rPr>
              <w:t>Les Programmes et projets en cours</w:t>
            </w:r>
            <w:r w:rsidR="00EA2B43">
              <w:rPr>
                <w:noProof/>
                <w:webHidden/>
              </w:rPr>
              <w:tab/>
            </w:r>
            <w:r w:rsidR="00D639F2">
              <w:rPr>
                <w:noProof/>
                <w:webHidden/>
              </w:rPr>
              <w:fldChar w:fldCharType="begin"/>
            </w:r>
            <w:r w:rsidR="00EA2B43">
              <w:rPr>
                <w:noProof/>
                <w:webHidden/>
              </w:rPr>
              <w:instrText xml:space="preserve"> PAGEREF _Toc526119990 \h </w:instrText>
            </w:r>
            <w:r w:rsidR="00D639F2">
              <w:rPr>
                <w:noProof/>
                <w:webHidden/>
              </w:rPr>
            </w:r>
            <w:r w:rsidR="00D639F2">
              <w:rPr>
                <w:noProof/>
                <w:webHidden/>
              </w:rPr>
              <w:fldChar w:fldCharType="separate"/>
            </w:r>
            <w:r w:rsidR="00EA2B43">
              <w:rPr>
                <w:noProof/>
                <w:webHidden/>
              </w:rPr>
              <w:t>89</w:t>
            </w:r>
            <w:r w:rsidR="00D639F2">
              <w:rPr>
                <w:noProof/>
                <w:webHidden/>
              </w:rPr>
              <w:fldChar w:fldCharType="end"/>
            </w:r>
          </w:hyperlink>
        </w:p>
        <w:p w:rsidR="00EA2B43" w:rsidRDefault="00C73EE5">
          <w:pPr>
            <w:pStyle w:val="TM2"/>
            <w:tabs>
              <w:tab w:val="left" w:pos="880"/>
              <w:tab w:val="right" w:leader="dot" w:pos="9062"/>
            </w:tabs>
            <w:rPr>
              <w:rFonts w:eastAsiaTheme="minorEastAsia"/>
              <w:noProof/>
              <w:sz w:val="22"/>
              <w:szCs w:val="22"/>
              <w:lang w:eastAsia="fr-FR"/>
            </w:rPr>
          </w:pPr>
          <w:hyperlink w:anchor="_Toc526119991" w:history="1">
            <w:r w:rsidR="00EA2B43" w:rsidRPr="00CD10DB">
              <w:rPr>
                <w:rStyle w:val="Lienhypertexte"/>
                <w:noProof/>
              </w:rPr>
              <w:t>3.4.</w:t>
            </w:r>
            <w:r w:rsidR="00EA2B43">
              <w:rPr>
                <w:rFonts w:eastAsiaTheme="minorEastAsia"/>
                <w:noProof/>
                <w:sz w:val="22"/>
                <w:szCs w:val="22"/>
                <w:lang w:eastAsia="fr-FR"/>
              </w:rPr>
              <w:tab/>
            </w:r>
            <w:r w:rsidR="00EA2B43" w:rsidRPr="00CD10DB">
              <w:rPr>
                <w:rStyle w:val="Lienhypertexte"/>
                <w:noProof/>
              </w:rPr>
              <w:t>Enjeux et défis relatifs aux politiques publiques</w:t>
            </w:r>
            <w:r w:rsidR="00EA2B43">
              <w:rPr>
                <w:noProof/>
                <w:webHidden/>
              </w:rPr>
              <w:tab/>
            </w:r>
            <w:r w:rsidR="00D639F2">
              <w:rPr>
                <w:noProof/>
                <w:webHidden/>
              </w:rPr>
              <w:fldChar w:fldCharType="begin"/>
            </w:r>
            <w:r w:rsidR="00EA2B43">
              <w:rPr>
                <w:noProof/>
                <w:webHidden/>
              </w:rPr>
              <w:instrText xml:space="preserve"> PAGEREF _Toc526119991 \h </w:instrText>
            </w:r>
            <w:r w:rsidR="00D639F2">
              <w:rPr>
                <w:noProof/>
                <w:webHidden/>
              </w:rPr>
            </w:r>
            <w:r w:rsidR="00D639F2">
              <w:rPr>
                <w:noProof/>
                <w:webHidden/>
              </w:rPr>
              <w:fldChar w:fldCharType="separate"/>
            </w:r>
            <w:r w:rsidR="00EA2B43">
              <w:rPr>
                <w:noProof/>
                <w:webHidden/>
              </w:rPr>
              <w:t>92</w:t>
            </w:r>
            <w:r w:rsidR="00D639F2">
              <w:rPr>
                <w:noProof/>
                <w:webHidden/>
              </w:rPr>
              <w:fldChar w:fldCharType="end"/>
            </w:r>
          </w:hyperlink>
        </w:p>
        <w:p w:rsidR="00EA2B43" w:rsidRDefault="00C73EE5">
          <w:pPr>
            <w:pStyle w:val="TM1"/>
            <w:tabs>
              <w:tab w:val="left" w:pos="400"/>
              <w:tab w:val="right" w:leader="dot" w:pos="9062"/>
            </w:tabs>
            <w:rPr>
              <w:rFonts w:eastAsiaTheme="minorEastAsia"/>
              <w:noProof/>
              <w:sz w:val="22"/>
              <w:szCs w:val="22"/>
              <w:lang w:eastAsia="fr-FR"/>
            </w:rPr>
          </w:pPr>
          <w:hyperlink w:anchor="_Toc526119992" w:history="1">
            <w:r w:rsidR="00EA2B43" w:rsidRPr="00CD10DB">
              <w:rPr>
                <w:rStyle w:val="Lienhypertexte"/>
                <w:noProof/>
              </w:rPr>
              <w:t>4.</w:t>
            </w:r>
            <w:r w:rsidR="00EA2B43">
              <w:rPr>
                <w:rFonts w:eastAsiaTheme="minorEastAsia"/>
                <w:noProof/>
                <w:sz w:val="22"/>
                <w:szCs w:val="22"/>
                <w:lang w:eastAsia="fr-FR"/>
              </w:rPr>
              <w:tab/>
            </w:r>
            <w:r w:rsidR="00EA2B43" w:rsidRPr="00CD10DB">
              <w:rPr>
                <w:rStyle w:val="Lienhypertexte"/>
                <w:noProof/>
              </w:rPr>
              <w:t>Autres déterminants pour l’atteinte de l’ODD2  (liens avec autres ODD)</w:t>
            </w:r>
            <w:r w:rsidR="00EA2B43">
              <w:rPr>
                <w:noProof/>
                <w:webHidden/>
              </w:rPr>
              <w:tab/>
            </w:r>
            <w:r w:rsidR="00D639F2">
              <w:rPr>
                <w:noProof/>
                <w:webHidden/>
              </w:rPr>
              <w:fldChar w:fldCharType="begin"/>
            </w:r>
            <w:r w:rsidR="00EA2B43">
              <w:rPr>
                <w:noProof/>
                <w:webHidden/>
              </w:rPr>
              <w:instrText xml:space="preserve"> PAGEREF _Toc526119992 \h </w:instrText>
            </w:r>
            <w:r w:rsidR="00D639F2">
              <w:rPr>
                <w:noProof/>
                <w:webHidden/>
              </w:rPr>
            </w:r>
            <w:r w:rsidR="00D639F2">
              <w:rPr>
                <w:noProof/>
                <w:webHidden/>
              </w:rPr>
              <w:fldChar w:fldCharType="separate"/>
            </w:r>
            <w:r w:rsidR="00EA2B43">
              <w:rPr>
                <w:noProof/>
                <w:webHidden/>
              </w:rPr>
              <w:t>96</w:t>
            </w:r>
            <w:r w:rsidR="00D639F2">
              <w:rPr>
                <w:noProof/>
                <w:webHidden/>
              </w:rPr>
              <w:fldChar w:fldCharType="end"/>
            </w:r>
          </w:hyperlink>
        </w:p>
        <w:p w:rsidR="00EA2B43" w:rsidRDefault="00C73EE5">
          <w:pPr>
            <w:pStyle w:val="TM2"/>
            <w:tabs>
              <w:tab w:val="left" w:pos="880"/>
              <w:tab w:val="right" w:leader="dot" w:pos="9062"/>
            </w:tabs>
            <w:rPr>
              <w:rFonts w:eastAsiaTheme="minorEastAsia"/>
              <w:noProof/>
              <w:sz w:val="22"/>
              <w:szCs w:val="22"/>
              <w:lang w:eastAsia="fr-FR"/>
            </w:rPr>
          </w:pPr>
          <w:hyperlink w:anchor="_Toc526119993" w:history="1">
            <w:r w:rsidR="00EA2B43" w:rsidRPr="00CD10DB">
              <w:rPr>
                <w:rStyle w:val="Lienhypertexte"/>
                <w:noProof/>
              </w:rPr>
              <w:t>4.1.</w:t>
            </w:r>
            <w:r w:rsidR="00EA2B43">
              <w:rPr>
                <w:rFonts w:eastAsiaTheme="minorEastAsia"/>
                <w:noProof/>
                <w:sz w:val="22"/>
                <w:szCs w:val="22"/>
                <w:lang w:eastAsia="fr-FR"/>
              </w:rPr>
              <w:tab/>
            </w:r>
            <w:r w:rsidR="00EA2B43" w:rsidRPr="00CD10DB">
              <w:rPr>
                <w:rStyle w:val="Lienhypertexte"/>
                <w:noProof/>
              </w:rPr>
              <w:t>Déterminants sociaux</w:t>
            </w:r>
            <w:r w:rsidR="00EA2B43">
              <w:rPr>
                <w:noProof/>
                <w:webHidden/>
              </w:rPr>
              <w:tab/>
            </w:r>
            <w:r w:rsidR="00D639F2">
              <w:rPr>
                <w:noProof/>
                <w:webHidden/>
              </w:rPr>
              <w:fldChar w:fldCharType="begin"/>
            </w:r>
            <w:r w:rsidR="00EA2B43">
              <w:rPr>
                <w:noProof/>
                <w:webHidden/>
              </w:rPr>
              <w:instrText xml:space="preserve"> PAGEREF _Toc526119993 \h </w:instrText>
            </w:r>
            <w:r w:rsidR="00D639F2">
              <w:rPr>
                <w:noProof/>
                <w:webHidden/>
              </w:rPr>
            </w:r>
            <w:r w:rsidR="00D639F2">
              <w:rPr>
                <w:noProof/>
                <w:webHidden/>
              </w:rPr>
              <w:fldChar w:fldCharType="separate"/>
            </w:r>
            <w:r w:rsidR="00EA2B43">
              <w:rPr>
                <w:noProof/>
                <w:webHidden/>
              </w:rPr>
              <w:t>96</w:t>
            </w:r>
            <w:r w:rsidR="00D639F2">
              <w:rPr>
                <w:noProof/>
                <w:webHidden/>
              </w:rPr>
              <w:fldChar w:fldCharType="end"/>
            </w:r>
          </w:hyperlink>
        </w:p>
        <w:p w:rsidR="00EA2B43" w:rsidRDefault="00C73EE5">
          <w:pPr>
            <w:pStyle w:val="TM2"/>
            <w:tabs>
              <w:tab w:val="left" w:pos="880"/>
              <w:tab w:val="right" w:leader="dot" w:pos="9062"/>
            </w:tabs>
            <w:rPr>
              <w:rFonts w:eastAsiaTheme="minorEastAsia"/>
              <w:noProof/>
              <w:sz w:val="22"/>
              <w:szCs w:val="22"/>
              <w:lang w:eastAsia="fr-FR"/>
            </w:rPr>
          </w:pPr>
          <w:hyperlink w:anchor="_Toc526119994" w:history="1">
            <w:r w:rsidR="00EA2B43" w:rsidRPr="00CD10DB">
              <w:rPr>
                <w:rStyle w:val="Lienhypertexte"/>
                <w:noProof/>
              </w:rPr>
              <w:t>4.2.</w:t>
            </w:r>
            <w:r w:rsidR="00EA2B43">
              <w:rPr>
                <w:rFonts w:eastAsiaTheme="minorEastAsia"/>
                <w:noProof/>
                <w:sz w:val="22"/>
                <w:szCs w:val="22"/>
                <w:lang w:eastAsia="fr-FR"/>
              </w:rPr>
              <w:tab/>
            </w:r>
            <w:r w:rsidR="00EA2B43" w:rsidRPr="00CD10DB">
              <w:rPr>
                <w:rStyle w:val="Lienhypertexte"/>
                <w:noProof/>
              </w:rPr>
              <w:t>Déterminants économiques</w:t>
            </w:r>
            <w:r w:rsidR="00EA2B43">
              <w:rPr>
                <w:noProof/>
                <w:webHidden/>
              </w:rPr>
              <w:tab/>
            </w:r>
            <w:r w:rsidR="00D639F2">
              <w:rPr>
                <w:noProof/>
                <w:webHidden/>
              </w:rPr>
              <w:fldChar w:fldCharType="begin"/>
            </w:r>
            <w:r w:rsidR="00EA2B43">
              <w:rPr>
                <w:noProof/>
                <w:webHidden/>
              </w:rPr>
              <w:instrText xml:space="preserve"> PAGEREF _Toc526119994 \h </w:instrText>
            </w:r>
            <w:r w:rsidR="00D639F2">
              <w:rPr>
                <w:noProof/>
                <w:webHidden/>
              </w:rPr>
            </w:r>
            <w:r w:rsidR="00D639F2">
              <w:rPr>
                <w:noProof/>
                <w:webHidden/>
              </w:rPr>
              <w:fldChar w:fldCharType="separate"/>
            </w:r>
            <w:r w:rsidR="00EA2B43">
              <w:rPr>
                <w:noProof/>
                <w:webHidden/>
              </w:rPr>
              <w:t>102</w:t>
            </w:r>
            <w:r w:rsidR="00D639F2">
              <w:rPr>
                <w:noProof/>
                <w:webHidden/>
              </w:rPr>
              <w:fldChar w:fldCharType="end"/>
            </w:r>
          </w:hyperlink>
        </w:p>
        <w:p w:rsidR="00EA2B43" w:rsidRDefault="00C73EE5">
          <w:pPr>
            <w:pStyle w:val="TM2"/>
            <w:tabs>
              <w:tab w:val="left" w:pos="880"/>
              <w:tab w:val="right" w:leader="dot" w:pos="9062"/>
            </w:tabs>
            <w:rPr>
              <w:rFonts w:eastAsiaTheme="minorEastAsia"/>
              <w:noProof/>
              <w:sz w:val="22"/>
              <w:szCs w:val="22"/>
              <w:lang w:eastAsia="fr-FR"/>
            </w:rPr>
          </w:pPr>
          <w:hyperlink w:anchor="_Toc526119995" w:history="1">
            <w:r w:rsidR="00EA2B43" w:rsidRPr="00CD10DB">
              <w:rPr>
                <w:rStyle w:val="Lienhypertexte"/>
                <w:noProof/>
              </w:rPr>
              <w:t>4.3.</w:t>
            </w:r>
            <w:r w:rsidR="00EA2B43">
              <w:rPr>
                <w:rFonts w:eastAsiaTheme="minorEastAsia"/>
                <w:noProof/>
                <w:sz w:val="22"/>
                <w:szCs w:val="22"/>
                <w:lang w:eastAsia="fr-FR"/>
              </w:rPr>
              <w:tab/>
            </w:r>
            <w:r w:rsidR="00EA2B43" w:rsidRPr="00CD10DB">
              <w:rPr>
                <w:rStyle w:val="Lienhypertexte"/>
                <w:noProof/>
              </w:rPr>
              <w:t>Déterminants liés à l’Environnement</w:t>
            </w:r>
            <w:r w:rsidR="00EA2B43">
              <w:rPr>
                <w:noProof/>
                <w:webHidden/>
              </w:rPr>
              <w:tab/>
            </w:r>
            <w:r w:rsidR="00D639F2">
              <w:rPr>
                <w:noProof/>
                <w:webHidden/>
              </w:rPr>
              <w:fldChar w:fldCharType="begin"/>
            </w:r>
            <w:r w:rsidR="00EA2B43">
              <w:rPr>
                <w:noProof/>
                <w:webHidden/>
              </w:rPr>
              <w:instrText xml:space="preserve"> PAGEREF _Toc526119995 \h </w:instrText>
            </w:r>
            <w:r w:rsidR="00D639F2">
              <w:rPr>
                <w:noProof/>
                <w:webHidden/>
              </w:rPr>
            </w:r>
            <w:r w:rsidR="00D639F2">
              <w:rPr>
                <w:noProof/>
                <w:webHidden/>
              </w:rPr>
              <w:fldChar w:fldCharType="separate"/>
            </w:r>
            <w:r w:rsidR="00EA2B43">
              <w:rPr>
                <w:noProof/>
                <w:webHidden/>
              </w:rPr>
              <w:t>105</w:t>
            </w:r>
            <w:r w:rsidR="00D639F2">
              <w:rPr>
                <w:noProof/>
                <w:webHidden/>
              </w:rPr>
              <w:fldChar w:fldCharType="end"/>
            </w:r>
          </w:hyperlink>
        </w:p>
        <w:p w:rsidR="00EA2B43" w:rsidRDefault="00C73EE5">
          <w:pPr>
            <w:pStyle w:val="TM1"/>
            <w:tabs>
              <w:tab w:val="left" w:pos="400"/>
              <w:tab w:val="right" w:leader="dot" w:pos="9062"/>
            </w:tabs>
            <w:rPr>
              <w:rFonts w:eastAsiaTheme="minorEastAsia"/>
              <w:noProof/>
              <w:sz w:val="22"/>
              <w:szCs w:val="22"/>
              <w:lang w:eastAsia="fr-FR"/>
            </w:rPr>
          </w:pPr>
          <w:hyperlink w:anchor="_Toc526119996" w:history="1">
            <w:r w:rsidR="00EA2B43" w:rsidRPr="00CD10DB">
              <w:rPr>
                <w:rStyle w:val="Lienhypertexte"/>
                <w:noProof/>
              </w:rPr>
              <w:t>5.</w:t>
            </w:r>
            <w:r w:rsidR="00EA2B43">
              <w:rPr>
                <w:rFonts w:eastAsiaTheme="minorEastAsia"/>
                <w:noProof/>
                <w:sz w:val="22"/>
                <w:szCs w:val="22"/>
                <w:lang w:eastAsia="fr-FR"/>
              </w:rPr>
              <w:tab/>
            </w:r>
            <w:r w:rsidR="00EA2B43" w:rsidRPr="00CD10DB">
              <w:rPr>
                <w:rStyle w:val="Lienhypertexte"/>
                <w:noProof/>
              </w:rPr>
              <w:t>recommandations pour la réalisation de l’oDD2</w:t>
            </w:r>
            <w:r w:rsidR="00EA2B43">
              <w:rPr>
                <w:noProof/>
                <w:webHidden/>
              </w:rPr>
              <w:tab/>
            </w:r>
            <w:r w:rsidR="00D639F2">
              <w:rPr>
                <w:noProof/>
                <w:webHidden/>
              </w:rPr>
              <w:fldChar w:fldCharType="begin"/>
            </w:r>
            <w:r w:rsidR="00EA2B43">
              <w:rPr>
                <w:noProof/>
                <w:webHidden/>
              </w:rPr>
              <w:instrText xml:space="preserve"> PAGEREF _Toc526119996 \h </w:instrText>
            </w:r>
            <w:r w:rsidR="00D639F2">
              <w:rPr>
                <w:noProof/>
                <w:webHidden/>
              </w:rPr>
            </w:r>
            <w:r w:rsidR="00D639F2">
              <w:rPr>
                <w:noProof/>
                <w:webHidden/>
              </w:rPr>
              <w:fldChar w:fldCharType="separate"/>
            </w:r>
            <w:r w:rsidR="00EA2B43">
              <w:rPr>
                <w:noProof/>
                <w:webHidden/>
              </w:rPr>
              <w:t>107</w:t>
            </w:r>
            <w:r w:rsidR="00D639F2">
              <w:rPr>
                <w:noProof/>
                <w:webHidden/>
              </w:rPr>
              <w:fldChar w:fldCharType="end"/>
            </w:r>
          </w:hyperlink>
        </w:p>
        <w:p w:rsidR="00EA2B43" w:rsidRDefault="00C73EE5">
          <w:pPr>
            <w:pStyle w:val="TM2"/>
            <w:tabs>
              <w:tab w:val="left" w:pos="880"/>
              <w:tab w:val="right" w:leader="dot" w:pos="9062"/>
            </w:tabs>
            <w:rPr>
              <w:rFonts w:eastAsiaTheme="minorEastAsia"/>
              <w:noProof/>
              <w:sz w:val="22"/>
              <w:szCs w:val="22"/>
              <w:lang w:eastAsia="fr-FR"/>
            </w:rPr>
          </w:pPr>
          <w:hyperlink w:anchor="_Toc526119997" w:history="1">
            <w:r w:rsidR="00EA2B43" w:rsidRPr="00CD10DB">
              <w:rPr>
                <w:rStyle w:val="Lienhypertexte"/>
                <w:noProof/>
              </w:rPr>
              <w:t>5.1.</w:t>
            </w:r>
            <w:r w:rsidR="00EA2B43">
              <w:rPr>
                <w:rFonts w:eastAsiaTheme="minorEastAsia"/>
                <w:noProof/>
                <w:sz w:val="22"/>
                <w:szCs w:val="22"/>
                <w:lang w:eastAsia="fr-FR"/>
              </w:rPr>
              <w:tab/>
            </w:r>
            <w:r w:rsidR="00EA2B43" w:rsidRPr="00CD10DB">
              <w:rPr>
                <w:rStyle w:val="Lienhypertexte"/>
                <w:noProof/>
              </w:rPr>
              <w:t>Eléments de synthèse de la revue</w:t>
            </w:r>
            <w:r w:rsidR="00EA2B43">
              <w:rPr>
                <w:noProof/>
                <w:webHidden/>
              </w:rPr>
              <w:tab/>
            </w:r>
            <w:r w:rsidR="00D639F2">
              <w:rPr>
                <w:noProof/>
                <w:webHidden/>
              </w:rPr>
              <w:fldChar w:fldCharType="begin"/>
            </w:r>
            <w:r w:rsidR="00EA2B43">
              <w:rPr>
                <w:noProof/>
                <w:webHidden/>
              </w:rPr>
              <w:instrText xml:space="preserve"> PAGEREF _Toc526119997 \h </w:instrText>
            </w:r>
            <w:r w:rsidR="00D639F2">
              <w:rPr>
                <w:noProof/>
                <w:webHidden/>
              </w:rPr>
            </w:r>
            <w:r w:rsidR="00D639F2">
              <w:rPr>
                <w:noProof/>
                <w:webHidden/>
              </w:rPr>
              <w:fldChar w:fldCharType="separate"/>
            </w:r>
            <w:r w:rsidR="00EA2B43">
              <w:rPr>
                <w:noProof/>
                <w:webHidden/>
              </w:rPr>
              <w:t>107</w:t>
            </w:r>
            <w:r w:rsidR="00D639F2">
              <w:rPr>
                <w:noProof/>
                <w:webHidden/>
              </w:rPr>
              <w:fldChar w:fldCharType="end"/>
            </w:r>
          </w:hyperlink>
        </w:p>
        <w:p w:rsidR="00EA2B43" w:rsidRDefault="00C73EE5">
          <w:pPr>
            <w:pStyle w:val="TM2"/>
            <w:tabs>
              <w:tab w:val="left" w:pos="880"/>
              <w:tab w:val="right" w:leader="dot" w:pos="9062"/>
            </w:tabs>
            <w:rPr>
              <w:rFonts w:eastAsiaTheme="minorEastAsia"/>
              <w:noProof/>
              <w:sz w:val="22"/>
              <w:szCs w:val="22"/>
              <w:lang w:eastAsia="fr-FR"/>
            </w:rPr>
          </w:pPr>
          <w:hyperlink w:anchor="_Toc526119998" w:history="1">
            <w:r w:rsidR="00EA2B43" w:rsidRPr="00CD10DB">
              <w:rPr>
                <w:rStyle w:val="Lienhypertexte"/>
                <w:noProof/>
              </w:rPr>
              <w:t>5.2.</w:t>
            </w:r>
            <w:r w:rsidR="00EA2B43">
              <w:rPr>
                <w:rFonts w:eastAsiaTheme="minorEastAsia"/>
                <w:noProof/>
                <w:sz w:val="22"/>
                <w:szCs w:val="22"/>
                <w:lang w:eastAsia="fr-FR"/>
              </w:rPr>
              <w:tab/>
            </w:r>
            <w:r w:rsidR="00EA2B43" w:rsidRPr="00CD10DB">
              <w:rPr>
                <w:rStyle w:val="Lienhypertexte"/>
                <w:noProof/>
              </w:rPr>
              <w:t>Recommandations générales</w:t>
            </w:r>
            <w:r w:rsidR="00EA2B43">
              <w:rPr>
                <w:noProof/>
                <w:webHidden/>
              </w:rPr>
              <w:tab/>
            </w:r>
            <w:r w:rsidR="00D639F2">
              <w:rPr>
                <w:noProof/>
                <w:webHidden/>
              </w:rPr>
              <w:fldChar w:fldCharType="begin"/>
            </w:r>
            <w:r w:rsidR="00EA2B43">
              <w:rPr>
                <w:noProof/>
                <w:webHidden/>
              </w:rPr>
              <w:instrText xml:space="preserve"> PAGEREF _Toc526119998 \h </w:instrText>
            </w:r>
            <w:r w:rsidR="00D639F2">
              <w:rPr>
                <w:noProof/>
                <w:webHidden/>
              </w:rPr>
            </w:r>
            <w:r w:rsidR="00D639F2">
              <w:rPr>
                <w:noProof/>
                <w:webHidden/>
              </w:rPr>
              <w:fldChar w:fldCharType="separate"/>
            </w:r>
            <w:r w:rsidR="00EA2B43">
              <w:rPr>
                <w:noProof/>
                <w:webHidden/>
              </w:rPr>
              <w:t>109</w:t>
            </w:r>
            <w:r w:rsidR="00D639F2">
              <w:rPr>
                <w:noProof/>
                <w:webHidden/>
              </w:rPr>
              <w:fldChar w:fldCharType="end"/>
            </w:r>
          </w:hyperlink>
        </w:p>
        <w:p w:rsidR="00EA2B43" w:rsidRDefault="00C73EE5">
          <w:pPr>
            <w:pStyle w:val="TM2"/>
            <w:tabs>
              <w:tab w:val="left" w:pos="880"/>
              <w:tab w:val="right" w:leader="dot" w:pos="9062"/>
            </w:tabs>
            <w:rPr>
              <w:rFonts w:eastAsiaTheme="minorEastAsia"/>
              <w:noProof/>
              <w:sz w:val="22"/>
              <w:szCs w:val="22"/>
              <w:lang w:eastAsia="fr-FR"/>
            </w:rPr>
          </w:pPr>
          <w:hyperlink w:anchor="_Toc526119999" w:history="1">
            <w:r w:rsidR="00EA2B43" w:rsidRPr="00CD10DB">
              <w:rPr>
                <w:rStyle w:val="Lienhypertexte"/>
                <w:noProof/>
              </w:rPr>
              <w:t>5.3.</w:t>
            </w:r>
            <w:r w:rsidR="00EA2B43">
              <w:rPr>
                <w:rFonts w:eastAsiaTheme="minorEastAsia"/>
                <w:noProof/>
                <w:sz w:val="22"/>
                <w:szCs w:val="22"/>
                <w:lang w:eastAsia="fr-FR"/>
              </w:rPr>
              <w:tab/>
            </w:r>
            <w:r w:rsidR="00EA2B43" w:rsidRPr="00CD10DB">
              <w:rPr>
                <w:rStyle w:val="Lienhypertexte"/>
                <w:noProof/>
              </w:rPr>
              <w:t>Recommandations issues des concertations régionales</w:t>
            </w:r>
            <w:r w:rsidR="00EA2B43">
              <w:rPr>
                <w:noProof/>
                <w:webHidden/>
              </w:rPr>
              <w:tab/>
            </w:r>
            <w:r w:rsidR="00D639F2">
              <w:rPr>
                <w:noProof/>
                <w:webHidden/>
              </w:rPr>
              <w:fldChar w:fldCharType="begin"/>
            </w:r>
            <w:r w:rsidR="00EA2B43">
              <w:rPr>
                <w:noProof/>
                <w:webHidden/>
              </w:rPr>
              <w:instrText xml:space="preserve"> PAGEREF _Toc526119999 \h </w:instrText>
            </w:r>
            <w:r w:rsidR="00D639F2">
              <w:rPr>
                <w:noProof/>
                <w:webHidden/>
              </w:rPr>
            </w:r>
            <w:r w:rsidR="00D639F2">
              <w:rPr>
                <w:noProof/>
                <w:webHidden/>
              </w:rPr>
              <w:fldChar w:fldCharType="separate"/>
            </w:r>
            <w:r w:rsidR="00EA2B43">
              <w:rPr>
                <w:noProof/>
                <w:webHidden/>
              </w:rPr>
              <w:t>115</w:t>
            </w:r>
            <w:r w:rsidR="00D639F2">
              <w:rPr>
                <w:noProof/>
                <w:webHidden/>
              </w:rPr>
              <w:fldChar w:fldCharType="end"/>
            </w:r>
          </w:hyperlink>
        </w:p>
        <w:p w:rsidR="00EA2B43" w:rsidRDefault="00C73EE5">
          <w:pPr>
            <w:pStyle w:val="TM1"/>
            <w:tabs>
              <w:tab w:val="right" w:leader="dot" w:pos="9062"/>
            </w:tabs>
            <w:rPr>
              <w:rFonts w:eastAsiaTheme="minorEastAsia"/>
              <w:noProof/>
              <w:sz w:val="22"/>
              <w:szCs w:val="22"/>
              <w:lang w:eastAsia="fr-FR"/>
            </w:rPr>
          </w:pPr>
          <w:hyperlink w:anchor="_Toc526120000" w:history="1">
            <w:r w:rsidR="00EA2B43" w:rsidRPr="00CD10DB">
              <w:rPr>
                <w:rStyle w:val="Lienhypertexte"/>
                <w:noProof/>
              </w:rPr>
              <w:t>conclusion</w:t>
            </w:r>
            <w:r w:rsidR="00EA2B43">
              <w:rPr>
                <w:noProof/>
                <w:webHidden/>
              </w:rPr>
              <w:tab/>
            </w:r>
            <w:r w:rsidR="00D639F2">
              <w:rPr>
                <w:noProof/>
                <w:webHidden/>
              </w:rPr>
              <w:fldChar w:fldCharType="begin"/>
            </w:r>
            <w:r w:rsidR="00EA2B43">
              <w:rPr>
                <w:noProof/>
                <w:webHidden/>
              </w:rPr>
              <w:instrText xml:space="preserve"> PAGEREF _Toc526120000 \h </w:instrText>
            </w:r>
            <w:r w:rsidR="00D639F2">
              <w:rPr>
                <w:noProof/>
                <w:webHidden/>
              </w:rPr>
            </w:r>
            <w:r w:rsidR="00D639F2">
              <w:rPr>
                <w:noProof/>
                <w:webHidden/>
              </w:rPr>
              <w:fldChar w:fldCharType="separate"/>
            </w:r>
            <w:r w:rsidR="00EA2B43">
              <w:rPr>
                <w:noProof/>
                <w:webHidden/>
              </w:rPr>
              <w:t>118</w:t>
            </w:r>
            <w:r w:rsidR="00D639F2">
              <w:rPr>
                <w:noProof/>
                <w:webHidden/>
              </w:rPr>
              <w:fldChar w:fldCharType="end"/>
            </w:r>
          </w:hyperlink>
        </w:p>
        <w:p w:rsidR="00EA2B43" w:rsidRDefault="00C73EE5">
          <w:pPr>
            <w:pStyle w:val="TM1"/>
            <w:tabs>
              <w:tab w:val="right" w:leader="dot" w:pos="9062"/>
            </w:tabs>
            <w:rPr>
              <w:rFonts w:eastAsiaTheme="minorEastAsia"/>
              <w:noProof/>
              <w:sz w:val="22"/>
              <w:szCs w:val="22"/>
              <w:lang w:eastAsia="fr-FR"/>
            </w:rPr>
          </w:pPr>
          <w:hyperlink w:anchor="_Toc526120001" w:history="1">
            <w:r w:rsidR="00EA2B43" w:rsidRPr="00CD10DB">
              <w:rPr>
                <w:rStyle w:val="Lienhypertexte"/>
                <w:noProof/>
              </w:rPr>
              <w:t>Annexes</w:t>
            </w:r>
            <w:r w:rsidR="00EA2B43">
              <w:rPr>
                <w:noProof/>
                <w:webHidden/>
              </w:rPr>
              <w:tab/>
            </w:r>
            <w:r w:rsidR="00D639F2">
              <w:rPr>
                <w:noProof/>
                <w:webHidden/>
              </w:rPr>
              <w:fldChar w:fldCharType="begin"/>
            </w:r>
            <w:r w:rsidR="00EA2B43">
              <w:rPr>
                <w:noProof/>
                <w:webHidden/>
              </w:rPr>
              <w:instrText xml:space="preserve"> PAGEREF _Toc526120001 \h </w:instrText>
            </w:r>
            <w:r w:rsidR="00D639F2">
              <w:rPr>
                <w:noProof/>
                <w:webHidden/>
              </w:rPr>
            </w:r>
            <w:r w:rsidR="00D639F2">
              <w:rPr>
                <w:noProof/>
                <w:webHidden/>
              </w:rPr>
              <w:fldChar w:fldCharType="separate"/>
            </w:r>
            <w:r w:rsidR="00EA2B43">
              <w:rPr>
                <w:noProof/>
                <w:webHidden/>
              </w:rPr>
              <w:t>120</w:t>
            </w:r>
            <w:r w:rsidR="00D639F2">
              <w:rPr>
                <w:noProof/>
                <w:webHidden/>
              </w:rPr>
              <w:fldChar w:fldCharType="end"/>
            </w:r>
          </w:hyperlink>
        </w:p>
        <w:p w:rsidR="00EA2B43" w:rsidRDefault="00C73EE5">
          <w:pPr>
            <w:pStyle w:val="TM2"/>
            <w:tabs>
              <w:tab w:val="right" w:leader="dot" w:pos="9062"/>
            </w:tabs>
            <w:rPr>
              <w:rFonts w:eastAsiaTheme="minorEastAsia"/>
              <w:noProof/>
              <w:sz w:val="22"/>
              <w:szCs w:val="22"/>
              <w:lang w:eastAsia="fr-FR"/>
            </w:rPr>
          </w:pPr>
          <w:hyperlink w:anchor="_Toc526120002" w:history="1">
            <w:r w:rsidR="00EA2B43" w:rsidRPr="00CD10DB">
              <w:rPr>
                <w:rStyle w:val="Lienhypertexte"/>
                <w:noProof/>
              </w:rPr>
              <w:t>Documentation consultée</w:t>
            </w:r>
            <w:r w:rsidR="00EA2B43">
              <w:rPr>
                <w:noProof/>
                <w:webHidden/>
              </w:rPr>
              <w:tab/>
            </w:r>
            <w:r w:rsidR="00D639F2">
              <w:rPr>
                <w:noProof/>
                <w:webHidden/>
              </w:rPr>
              <w:fldChar w:fldCharType="begin"/>
            </w:r>
            <w:r w:rsidR="00EA2B43">
              <w:rPr>
                <w:noProof/>
                <w:webHidden/>
              </w:rPr>
              <w:instrText xml:space="preserve"> PAGEREF _Toc526120002 \h </w:instrText>
            </w:r>
            <w:r w:rsidR="00D639F2">
              <w:rPr>
                <w:noProof/>
                <w:webHidden/>
              </w:rPr>
            </w:r>
            <w:r w:rsidR="00D639F2">
              <w:rPr>
                <w:noProof/>
                <w:webHidden/>
              </w:rPr>
              <w:fldChar w:fldCharType="separate"/>
            </w:r>
            <w:r w:rsidR="00EA2B43">
              <w:rPr>
                <w:noProof/>
                <w:webHidden/>
              </w:rPr>
              <w:t>120</w:t>
            </w:r>
            <w:r w:rsidR="00D639F2">
              <w:rPr>
                <w:noProof/>
                <w:webHidden/>
              </w:rPr>
              <w:fldChar w:fldCharType="end"/>
            </w:r>
          </w:hyperlink>
        </w:p>
        <w:p w:rsidR="00EA2B43" w:rsidRDefault="00C73EE5">
          <w:pPr>
            <w:pStyle w:val="TM2"/>
            <w:tabs>
              <w:tab w:val="right" w:leader="dot" w:pos="9062"/>
            </w:tabs>
            <w:rPr>
              <w:rFonts w:eastAsiaTheme="minorEastAsia"/>
              <w:noProof/>
              <w:sz w:val="22"/>
              <w:szCs w:val="22"/>
              <w:lang w:eastAsia="fr-FR"/>
            </w:rPr>
          </w:pPr>
          <w:hyperlink w:anchor="_Toc526120003" w:history="1">
            <w:r w:rsidR="00EA2B43" w:rsidRPr="00CD10DB">
              <w:rPr>
                <w:rStyle w:val="Lienhypertexte"/>
                <w:noProof/>
              </w:rPr>
              <w:t>Résumé des ateliers régionaux</w:t>
            </w:r>
            <w:r w:rsidR="00EA2B43">
              <w:rPr>
                <w:noProof/>
                <w:webHidden/>
              </w:rPr>
              <w:tab/>
            </w:r>
            <w:r w:rsidR="00D639F2">
              <w:rPr>
                <w:noProof/>
                <w:webHidden/>
              </w:rPr>
              <w:fldChar w:fldCharType="begin"/>
            </w:r>
            <w:r w:rsidR="00EA2B43">
              <w:rPr>
                <w:noProof/>
                <w:webHidden/>
              </w:rPr>
              <w:instrText xml:space="preserve"> PAGEREF _Toc526120003 \h </w:instrText>
            </w:r>
            <w:r w:rsidR="00D639F2">
              <w:rPr>
                <w:noProof/>
                <w:webHidden/>
              </w:rPr>
            </w:r>
            <w:r w:rsidR="00D639F2">
              <w:rPr>
                <w:noProof/>
                <w:webHidden/>
              </w:rPr>
              <w:fldChar w:fldCharType="separate"/>
            </w:r>
            <w:r w:rsidR="00EA2B43">
              <w:rPr>
                <w:noProof/>
                <w:webHidden/>
              </w:rPr>
              <w:t>123</w:t>
            </w:r>
            <w:r w:rsidR="00D639F2">
              <w:rPr>
                <w:noProof/>
                <w:webHidden/>
              </w:rPr>
              <w:fldChar w:fldCharType="end"/>
            </w:r>
          </w:hyperlink>
        </w:p>
        <w:p w:rsidR="00EA2B43" w:rsidRDefault="00C73EE5">
          <w:pPr>
            <w:pStyle w:val="TM2"/>
            <w:tabs>
              <w:tab w:val="right" w:leader="dot" w:pos="9062"/>
            </w:tabs>
            <w:rPr>
              <w:rFonts w:eastAsiaTheme="minorEastAsia"/>
              <w:noProof/>
              <w:sz w:val="22"/>
              <w:szCs w:val="22"/>
              <w:lang w:eastAsia="fr-FR"/>
            </w:rPr>
          </w:pPr>
          <w:hyperlink w:anchor="_Toc526120004" w:history="1">
            <w:r w:rsidR="00EA2B43" w:rsidRPr="00CD10DB">
              <w:rPr>
                <w:rStyle w:val="Lienhypertexte"/>
                <w:noProof/>
              </w:rPr>
              <w:t>Termes défissiant l’état nutritionnel</w:t>
            </w:r>
            <w:r w:rsidR="00EA2B43">
              <w:rPr>
                <w:noProof/>
                <w:webHidden/>
              </w:rPr>
              <w:tab/>
            </w:r>
            <w:r w:rsidR="00D639F2">
              <w:rPr>
                <w:noProof/>
                <w:webHidden/>
              </w:rPr>
              <w:fldChar w:fldCharType="begin"/>
            </w:r>
            <w:r w:rsidR="00EA2B43">
              <w:rPr>
                <w:noProof/>
                <w:webHidden/>
              </w:rPr>
              <w:instrText xml:space="preserve"> PAGEREF _Toc526120004 \h </w:instrText>
            </w:r>
            <w:r w:rsidR="00D639F2">
              <w:rPr>
                <w:noProof/>
                <w:webHidden/>
              </w:rPr>
            </w:r>
            <w:r w:rsidR="00D639F2">
              <w:rPr>
                <w:noProof/>
                <w:webHidden/>
              </w:rPr>
              <w:fldChar w:fldCharType="separate"/>
            </w:r>
            <w:r w:rsidR="00EA2B43">
              <w:rPr>
                <w:noProof/>
                <w:webHidden/>
              </w:rPr>
              <w:t>129</w:t>
            </w:r>
            <w:r w:rsidR="00D639F2">
              <w:rPr>
                <w:noProof/>
                <w:webHidden/>
              </w:rPr>
              <w:fldChar w:fldCharType="end"/>
            </w:r>
          </w:hyperlink>
        </w:p>
        <w:p w:rsidR="00EA2B43" w:rsidRDefault="00C73EE5">
          <w:pPr>
            <w:pStyle w:val="TM2"/>
            <w:tabs>
              <w:tab w:val="right" w:leader="dot" w:pos="9062"/>
            </w:tabs>
            <w:rPr>
              <w:rFonts w:eastAsiaTheme="minorEastAsia"/>
              <w:noProof/>
              <w:sz w:val="22"/>
              <w:szCs w:val="22"/>
              <w:lang w:eastAsia="fr-FR"/>
            </w:rPr>
          </w:pPr>
          <w:hyperlink w:anchor="_Toc526120005" w:history="1">
            <w:r w:rsidR="00EA2B43" w:rsidRPr="00CD10DB">
              <w:rPr>
                <w:rStyle w:val="Lienhypertexte"/>
                <w:noProof/>
              </w:rPr>
              <w:t>Types d’actions humanitaires</w:t>
            </w:r>
            <w:r w:rsidR="00EA2B43">
              <w:rPr>
                <w:noProof/>
                <w:webHidden/>
              </w:rPr>
              <w:tab/>
            </w:r>
            <w:r w:rsidR="00D639F2">
              <w:rPr>
                <w:noProof/>
                <w:webHidden/>
              </w:rPr>
              <w:fldChar w:fldCharType="begin"/>
            </w:r>
            <w:r w:rsidR="00EA2B43">
              <w:rPr>
                <w:noProof/>
                <w:webHidden/>
              </w:rPr>
              <w:instrText xml:space="preserve"> PAGEREF _Toc526120005 \h </w:instrText>
            </w:r>
            <w:r w:rsidR="00D639F2">
              <w:rPr>
                <w:noProof/>
                <w:webHidden/>
              </w:rPr>
            </w:r>
            <w:r w:rsidR="00D639F2">
              <w:rPr>
                <w:noProof/>
                <w:webHidden/>
              </w:rPr>
              <w:fldChar w:fldCharType="separate"/>
            </w:r>
            <w:r w:rsidR="00EA2B43">
              <w:rPr>
                <w:noProof/>
                <w:webHidden/>
              </w:rPr>
              <w:t>131</w:t>
            </w:r>
            <w:r w:rsidR="00D639F2">
              <w:rPr>
                <w:noProof/>
                <w:webHidden/>
              </w:rPr>
              <w:fldChar w:fldCharType="end"/>
            </w:r>
          </w:hyperlink>
        </w:p>
        <w:p w:rsidR="00EA2B43" w:rsidRDefault="00C73EE5">
          <w:pPr>
            <w:pStyle w:val="TM2"/>
            <w:tabs>
              <w:tab w:val="right" w:leader="dot" w:pos="9062"/>
            </w:tabs>
            <w:rPr>
              <w:rFonts w:eastAsiaTheme="minorEastAsia"/>
              <w:noProof/>
              <w:sz w:val="22"/>
              <w:szCs w:val="22"/>
              <w:lang w:eastAsia="fr-FR"/>
            </w:rPr>
          </w:pPr>
          <w:hyperlink w:anchor="_Toc526120006" w:history="1">
            <w:r w:rsidR="00EA2B43" w:rsidRPr="00CD10DB">
              <w:rPr>
                <w:rStyle w:val="Lienhypertexte"/>
                <w:noProof/>
              </w:rPr>
              <w:t>Termes de référence de la revue</w:t>
            </w:r>
            <w:r w:rsidR="00EA2B43">
              <w:rPr>
                <w:noProof/>
                <w:webHidden/>
              </w:rPr>
              <w:tab/>
            </w:r>
            <w:r w:rsidR="00D639F2">
              <w:rPr>
                <w:noProof/>
                <w:webHidden/>
              </w:rPr>
              <w:fldChar w:fldCharType="begin"/>
            </w:r>
            <w:r w:rsidR="00EA2B43">
              <w:rPr>
                <w:noProof/>
                <w:webHidden/>
              </w:rPr>
              <w:instrText xml:space="preserve"> PAGEREF _Toc526120006 \h </w:instrText>
            </w:r>
            <w:r w:rsidR="00D639F2">
              <w:rPr>
                <w:noProof/>
                <w:webHidden/>
              </w:rPr>
            </w:r>
            <w:r w:rsidR="00D639F2">
              <w:rPr>
                <w:noProof/>
                <w:webHidden/>
              </w:rPr>
              <w:fldChar w:fldCharType="separate"/>
            </w:r>
            <w:r w:rsidR="00EA2B43">
              <w:rPr>
                <w:noProof/>
                <w:webHidden/>
              </w:rPr>
              <w:t>140</w:t>
            </w:r>
            <w:r w:rsidR="00D639F2">
              <w:rPr>
                <w:noProof/>
                <w:webHidden/>
              </w:rPr>
              <w:fldChar w:fldCharType="end"/>
            </w:r>
          </w:hyperlink>
        </w:p>
        <w:p w:rsidR="00D71749" w:rsidRPr="006866D3" w:rsidRDefault="00D639F2">
          <w:pPr>
            <w:rPr>
              <w:sz w:val="28"/>
              <w:szCs w:val="28"/>
            </w:rPr>
          </w:pPr>
          <w:r w:rsidRPr="006866D3">
            <w:rPr>
              <w:b/>
              <w:bCs/>
              <w:sz w:val="28"/>
              <w:szCs w:val="28"/>
            </w:rPr>
            <w:fldChar w:fldCharType="end"/>
          </w:r>
        </w:p>
      </w:sdtContent>
    </w:sdt>
    <w:p w:rsidR="00503967" w:rsidRDefault="00503967">
      <w:pPr>
        <w:rPr>
          <w:rFonts w:ascii="Nyala" w:hAnsi="Nyala"/>
          <w:iCs/>
          <w:sz w:val="28"/>
          <w:szCs w:val="28"/>
        </w:rPr>
      </w:pPr>
      <w:r>
        <w:rPr>
          <w:rFonts w:ascii="Nyala" w:hAnsi="Nyala"/>
          <w:iCs/>
          <w:sz w:val="28"/>
          <w:szCs w:val="28"/>
        </w:rPr>
        <w:br w:type="page"/>
      </w:r>
    </w:p>
    <w:p w:rsidR="00D71749" w:rsidRDefault="00503967" w:rsidP="00503967">
      <w:pPr>
        <w:pStyle w:val="Titre1"/>
      </w:pPr>
      <w:bookmarkStart w:id="2" w:name="_Toc526119961"/>
      <w:r>
        <w:lastRenderedPageBreak/>
        <w:t>Liste des sigles et acronymes</w:t>
      </w:r>
      <w:bookmarkEnd w:id="2"/>
    </w:p>
    <w:p w:rsidR="00503967" w:rsidRDefault="00503967">
      <w:pPr>
        <w:rPr>
          <w:rFonts w:ascii="Nyala" w:hAnsi="Nyala"/>
          <w:iCs/>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9"/>
      </w:tblGrid>
      <w:tr w:rsidR="00052025" w:rsidRPr="00503967" w:rsidTr="00C97A1A">
        <w:tc>
          <w:tcPr>
            <w:tcW w:w="1413" w:type="dxa"/>
          </w:tcPr>
          <w:p w:rsidR="00052025" w:rsidRPr="000E19C4" w:rsidRDefault="00052025">
            <w:pPr>
              <w:rPr>
                <w:rFonts w:ascii="Nyala" w:hAnsi="Nyala"/>
                <w:b/>
                <w:iCs/>
                <w:sz w:val="18"/>
                <w:szCs w:val="18"/>
              </w:rPr>
            </w:pPr>
          </w:p>
        </w:tc>
        <w:tc>
          <w:tcPr>
            <w:tcW w:w="7649" w:type="dxa"/>
          </w:tcPr>
          <w:p w:rsidR="00052025" w:rsidRPr="000E19C4" w:rsidRDefault="00052025">
            <w:pPr>
              <w:rPr>
                <w:rFonts w:ascii="Nyala" w:hAnsi="Nyala"/>
                <w:iCs/>
                <w:sz w:val="18"/>
                <w:szCs w:val="18"/>
              </w:rPr>
            </w:pPr>
          </w:p>
        </w:tc>
      </w:tr>
      <w:tr w:rsidR="00052025" w:rsidRPr="00503967" w:rsidTr="00C97A1A">
        <w:tc>
          <w:tcPr>
            <w:tcW w:w="1413" w:type="dxa"/>
          </w:tcPr>
          <w:p w:rsidR="00052025" w:rsidRPr="000E19C4" w:rsidRDefault="00ED12A8">
            <w:pPr>
              <w:rPr>
                <w:rFonts w:ascii="Nyala" w:hAnsi="Nyala"/>
                <w:b/>
                <w:iCs/>
                <w:sz w:val="18"/>
                <w:szCs w:val="18"/>
              </w:rPr>
            </w:pPr>
            <w:r w:rsidRPr="000E19C4">
              <w:rPr>
                <w:rFonts w:ascii="Nyala" w:hAnsi="Nyala"/>
                <w:b/>
                <w:iCs/>
                <w:sz w:val="18"/>
                <w:szCs w:val="18"/>
              </w:rPr>
              <w:t>CAIMA</w:t>
            </w:r>
          </w:p>
        </w:tc>
        <w:tc>
          <w:tcPr>
            <w:tcW w:w="7649" w:type="dxa"/>
          </w:tcPr>
          <w:p w:rsidR="00052025" w:rsidRPr="000E19C4" w:rsidRDefault="00ED12A8">
            <w:pPr>
              <w:rPr>
                <w:rFonts w:ascii="Nyala" w:hAnsi="Nyala"/>
                <w:iCs/>
                <w:sz w:val="18"/>
                <w:szCs w:val="18"/>
              </w:rPr>
            </w:pPr>
            <w:r w:rsidRPr="000E19C4">
              <w:rPr>
                <w:rFonts w:ascii="Nyala" w:hAnsi="Nyala"/>
                <w:iCs/>
                <w:sz w:val="18"/>
                <w:szCs w:val="18"/>
              </w:rPr>
              <w:t>Centrale d’Approvisionnement en intrants et matériels agricoles</w:t>
            </w:r>
          </w:p>
        </w:tc>
      </w:tr>
      <w:tr w:rsidR="00052025" w:rsidRPr="00503967" w:rsidTr="00C97A1A">
        <w:tc>
          <w:tcPr>
            <w:tcW w:w="1413" w:type="dxa"/>
          </w:tcPr>
          <w:p w:rsidR="00052025" w:rsidRPr="000E19C4" w:rsidRDefault="00ED12A8">
            <w:pPr>
              <w:rPr>
                <w:rFonts w:ascii="Nyala" w:hAnsi="Nyala"/>
                <w:b/>
                <w:iCs/>
                <w:sz w:val="18"/>
                <w:szCs w:val="18"/>
              </w:rPr>
            </w:pPr>
            <w:r w:rsidRPr="000E19C4">
              <w:rPr>
                <w:rFonts w:ascii="Nyala" w:hAnsi="Nyala"/>
                <w:b/>
                <w:iCs/>
                <w:sz w:val="18"/>
                <w:szCs w:val="18"/>
              </w:rPr>
              <w:t>CDEAO</w:t>
            </w:r>
          </w:p>
        </w:tc>
        <w:tc>
          <w:tcPr>
            <w:tcW w:w="7649" w:type="dxa"/>
          </w:tcPr>
          <w:p w:rsidR="00052025" w:rsidRPr="000E19C4" w:rsidRDefault="00ED12A8">
            <w:pPr>
              <w:rPr>
                <w:rFonts w:ascii="Nyala" w:hAnsi="Nyala"/>
                <w:iCs/>
                <w:sz w:val="18"/>
                <w:szCs w:val="18"/>
              </w:rPr>
            </w:pPr>
            <w:r w:rsidRPr="000E19C4">
              <w:rPr>
                <w:rFonts w:ascii="Nyala" w:hAnsi="Nyala"/>
                <w:iCs/>
                <w:sz w:val="18"/>
                <w:szCs w:val="18"/>
              </w:rPr>
              <w:t>Communauté Economique de l’Afrique de l’Ouest</w:t>
            </w:r>
          </w:p>
        </w:tc>
      </w:tr>
      <w:tr w:rsidR="00503967" w:rsidRPr="00503967" w:rsidTr="00C97A1A">
        <w:tc>
          <w:tcPr>
            <w:tcW w:w="1413" w:type="dxa"/>
          </w:tcPr>
          <w:p w:rsidR="00503967" w:rsidRPr="000E19C4" w:rsidRDefault="00052025">
            <w:pPr>
              <w:rPr>
                <w:rFonts w:ascii="Nyala" w:hAnsi="Nyala"/>
                <w:b/>
                <w:iCs/>
                <w:sz w:val="18"/>
                <w:szCs w:val="18"/>
              </w:rPr>
            </w:pPr>
            <w:r w:rsidRPr="000E19C4">
              <w:rPr>
                <w:rFonts w:ascii="Nyala" w:hAnsi="Nyala"/>
                <w:b/>
                <w:iCs/>
                <w:sz w:val="18"/>
                <w:szCs w:val="18"/>
              </w:rPr>
              <w:t>CILSS</w:t>
            </w:r>
          </w:p>
        </w:tc>
        <w:tc>
          <w:tcPr>
            <w:tcW w:w="7649" w:type="dxa"/>
          </w:tcPr>
          <w:p w:rsidR="00503967" w:rsidRPr="000E19C4" w:rsidRDefault="00052025">
            <w:pPr>
              <w:rPr>
                <w:rFonts w:ascii="Nyala" w:hAnsi="Nyala"/>
                <w:iCs/>
                <w:sz w:val="18"/>
                <w:szCs w:val="18"/>
              </w:rPr>
            </w:pPr>
            <w:r w:rsidRPr="000E19C4">
              <w:rPr>
                <w:rFonts w:ascii="Nyala" w:hAnsi="Nyala"/>
                <w:iCs/>
                <w:sz w:val="18"/>
                <w:szCs w:val="18"/>
              </w:rPr>
              <w:t>Comité Inter-Etat de Lutte contre la Sécheresse au Sahel</w:t>
            </w:r>
          </w:p>
        </w:tc>
      </w:tr>
      <w:tr w:rsidR="005542BA" w:rsidRPr="00503967" w:rsidTr="00C97A1A">
        <w:tc>
          <w:tcPr>
            <w:tcW w:w="1413" w:type="dxa"/>
          </w:tcPr>
          <w:p w:rsidR="005542BA" w:rsidRPr="000E19C4" w:rsidRDefault="005542BA">
            <w:pPr>
              <w:rPr>
                <w:rFonts w:ascii="Nyala" w:hAnsi="Nyala"/>
                <w:b/>
                <w:sz w:val="18"/>
                <w:szCs w:val="18"/>
              </w:rPr>
            </w:pPr>
            <w:r w:rsidRPr="000E19C4">
              <w:rPr>
                <w:rFonts w:ascii="Nyala" w:hAnsi="Nyala"/>
                <w:b/>
                <w:sz w:val="18"/>
                <w:szCs w:val="18"/>
              </w:rPr>
              <w:t>CMPS</w:t>
            </w:r>
          </w:p>
        </w:tc>
        <w:tc>
          <w:tcPr>
            <w:tcW w:w="7649" w:type="dxa"/>
          </w:tcPr>
          <w:p w:rsidR="005542BA" w:rsidRPr="000E19C4" w:rsidRDefault="005542BA" w:rsidP="005542BA">
            <w:pPr>
              <w:tabs>
                <w:tab w:val="left" w:pos="2143"/>
              </w:tabs>
              <w:rPr>
                <w:rFonts w:ascii="Nyala" w:hAnsi="Nyala"/>
                <w:iCs/>
                <w:sz w:val="18"/>
                <w:szCs w:val="18"/>
              </w:rPr>
            </w:pPr>
            <w:r w:rsidRPr="000E19C4">
              <w:rPr>
                <w:rFonts w:ascii="Nyala" w:hAnsi="Nyala"/>
                <w:sz w:val="18"/>
                <w:szCs w:val="18"/>
              </w:rPr>
              <w:t>Comité de pilotage multisectoriel du Programme Stratégique</w:t>
            </w:r>
          </w:p>
        </w:tc>
      </w:tr>
      <w:tr w:rsidR="00B677BD" w:rsidRPr="00503967" w:rsidTr="00C97A1A">
        <w:tc>
          <w:tcPr>
            <w:tcW w:w="1413" w:type="dxa"/>
          </w:tcPr>
          <w:p w:rsidR="00B677BD" w:rsidRPr="000E19C4" w:rsidRDefault="00B677BD">
            <w:pPr>
              <w:rPr>
                <w:rFonts w:ascii="Nyala" w:hAnsi="Nyala"/>
                <w:b/>
                <w:iCs/>
                <w:sz w:val="18"/>
                <w:szCs w:val="18"/>
              </w:rPr>
            </w:pPr>
            <w:r w:rsidRPr="000E19C4">
              <w:rPr>
                <w:rFonts w:ascii="Nyala" w:hAnsi="Nyala"/>
                <w:b/>
                <w:sz w:val="18"/>
                <w:szCs w:val="18"/>
              </w:rPr>
              <w:t>CSIN-GDT</w:t>
            </w:r>
          </w:p>
        </w:tc>
        <w:tc>
          <w:tcPr>
            <w:tcW w:w="7649" w:type="dxa"/>
          </w:tcPr>
          <w:p w:rsidR="00B677BD" w:rsidRPr="000E19C4" w:rsidRDefault="00F95B3A">
            <w:pPr>
              <w:rPr>
                <w:rFonts w:ascii="Nyala" w:hAnsi="Nyala"/>
                <w:iCs/>
                <w:sz w:val="18"/>
                <w:szCs w:val="18"/>
              </w:rPr>
            </w:pPr>
            <w:r w:rsidRPr="000E19C4">
              <w:rPr>
                <w:rFonts w:ascii="Nyala" w:hAnsi="Nyala"/>
                <w:iCs/>
                <w:sz w:val="18"/>
                <w:szCs w:val="18"/>
              </w:rPr>
              <w:t>Cadre stratégique d’investissement national pour la gestion durable des terres</w:t>
            </w:r>
          </w:p>
        </w:tc>
      </w:tr>
      <w:tr w:rsidR="00B677BD" w:rsidRPr="00503967" w:rsidTr="00C97A1A">
        <w:tc>
          <w:tcPr>
            <w:tcW w:w="1413" w:type="dxa"/>
          </w:tcPr>
          <w:p w:rsidR="00B677BD" w:rsidRPr="000E19C4" w:rsidRDefault="005542BA">
            <w:pPr>
              <w:rPr>
                <w:rFonts w:ascii="Nyala" w:hAnsi="Nyala"/>
                <w:b/>
                <w:iCs/>
                <w:sz w:val="18"/>
                <w:szCs w:val="18"/>
              </w:rPr>
            </w:pPr>
            <w:r w:rsidRPr="000E19C4">
              <w:rPr>
                <w:rFonts w:ascii="Nyala" w:hAnsi="Nyala"/>
                <w:b/>
                <w:iCs/>
                <w:sz w:val="18"/>
                <w:szCs w:val="18"/>
              </w:rPr>
              <w:t>DNPGCA</w:t>
            </w:r>
          </w:p>
        </w:tc>
        <w:tc>
          <w:tcPr>
            <w:tcW w:w="7649" w:type="dxa"/>
          </w:tcPr>
          <w:p w:rsidR="00B677BD" w:rsidRPr="000E19C4" w:rsidRDefault="005542BA">
            <w:pPr>
              <w:rPr>
                <w:rFonts w:ascii="Nyala" w:hAnsi="Nyala"/>
                <w:iCs/>
                <w:sz w:val="18"/>
                <w:szCs w:val="18"/>
              </w:rPr>
            </w:pPr>
            <w:r w:rsidRPr="000E19C4">
              <w:rPr>
                <w:rFonts w:ascii="Nyala" w:hAnsi="Nyala"/>
                <w:iCs/>
                <w:sz w:val="18"/>
                <w:szCs w:val="18"/>
              </w:rPr>
              <w:t>Dispositif National de Prévention et de Gestion des Crises alimentaires</w:t>
            </w:r>
          </w:p>
        </w:tc>
      </w:tr>
      <w:tr w:rsidR="00503967" w:rsidRPr="00503967" w:rsidTr="00C97A1A">
        <w:tc>
          <w:tcPr>
            <w:tcW w:w="1413" w:type="dxa"/>
          </w:tcPr>
          <w:p w:rsidR="00503967" w:rsidRPr="000E19C4" w:rsidRDefault="00052025">
            <w:pPr>
              <w:rPr>
                <w:rFonts w:ascii="Nyala" w:hAnsi="Nyala"/>
                <w:b/>
                <w:iCs/>
                <w:sz w:val="18"/>
                <w:szCs w:val="18"/>
              </w:rPr>
            </w:pPr>
            <w:r w:rsidRPr="000E19C4">
              <w:rPr>
                <w:rFonts w:ascii="Nyala" w:hAnsi="Nyala"/>
                <w:b/>
                <w:iCs/>
                <w:sz w:val="18"/>
                <w:szCs w:val="18"/>
              </w:rPr>
              <w:t>ECVMA</w:t>
            </w:r>
          </w:p>
        </w:tc>
        <w:tc>
          <w:tcPr>
            <w:tcW w:w="7649" w:type="dxa"/>
          </w:tcPr>
          <w:p w:rsidR="00503967" w:rsidRPr="000E19C4" w:rsidRDefault="00052025">
            <w:pPr>
              <w:rPr>
                <w:rFonts w:ascii="Nyala" w:hAnsi="Nyala"/>
                <w:iCs/>
                <w:sz w:val="18"/>
                <w:szCs w:val="18"/>
              </w:rPr>
            </w:pPr>
            <w:r w:rsidRPr="000E19C4">
              <w:rPr>
                <w:rFonts w:ascii="Nyala" w:hAnsi="Nyala"/>
                <w:iCs/>
                <w:sz w:val="18"/>
                <w:szCs w:val="18"/>
              </w:rPr>
              <w:t>Enquête sur les conditions de vie des ménages et l’Agriculture</w:t>
            </w:r>
          </w:p>
        </w:tc>
      </w:tr>
      <w:tr w:rsidR="00B677BD" w:rsidRPr="00503967" w:rsidTr="00C97A1A">
        <w:tc>
          <w:tcPr>
            <w:tcW w:w="1413" w:type="dxa"/>
          </w:tcPr>
          <w:p w:rsidR="00B677BD" w:rsidRPr="000E19C4" w:rsidRDefault="00B677BD">
            <w:pPr>
              <w:rPr>
                <w:rFonts w:ascii="Nyala" w:hAnsi="Nyala"/>
                <w:b/>
                <w:iCs/>
                <w:sz w:val="18"/>
                <w:szCs w:val="18"/>
              </w:rPr>
            </w:pPr>
            <w:r w:rsidRPr="000E19C4">
              <w:rPr>
                <w:rFonts w:ascii="Nyala" w:hAnsi="Nyala"/>
                <w:b/>
                <w:iCs/>
                <w:sz w:val="18"/>
                <w:szCs w:val="18"/>
              </w:rPr>
              <w:t>EDSN</w:t>
            </w:r>
          </w:p>
        </w:tc>
        <w:tc>
          <w:tcPr>
            <w:tcW w:w="7649" w:type="dxa"/>
          </w:tcPr>
          <w:p w:rsidR="00B677BD" w:rsidRPr="000E19C4" w:rsidRDefault="00B677BD" w:rsidP="00B677BD">
            <w:pPr>
              <w:rPr>
                <w:rFonts w:ascii="Nyala" w:hAnsi="Nyala"/>
                <w:iCs/>
                <w:sz w:val="18"/>
                <w:szCs w:val="18"/>
              </w:rPr>
            </w:pPr>
            <w:r w:rsidRPr="000E19C4">
              <w:rPr>
                <w:rFonts w:ascii="Nyala" w:hAnsi="Nyala"/>
                <w:iCs/>
                <w:sz w:val="18"/>
                <w:szCs w:val="18"/>
              </w:rPr>
              <w:t xml:space="preserve">Enquête Démographique et de Santé Niger </w:t>
            </w:r>
          </w:p>
        </w:tc>
      </w:tr>
      <w:tr w:rsidR="00503967" w:rsidRPr="00503967" w:rsidTr="00C97A1A">
        <w:tc>
          <w:tcPr>
            <w:tcW w:w="1413" w:type="dxa"/>
          </w:tcPr>
          <w:p w:rsidR="00503967" w:rsidRPr="000E19C4" w:rsidRDefault="00052025">
            <w:pPr>
              <w:rPr>
                <w:rFonts w:ascii="Nyala" w:hAnsi="Nyala"/>
                <w:b/>
                <w:iCs/>
                <w:sz w:val="18"/>
                <w:szCs w:val="18"/>
              </w:rPr>
            </w:pPr>
            <w:r w:rsidRPr="000E19C4">
              <w:rPr>
                <w:rFonts w:ascii="Nyala" w:hAnsi="Nyala"/>
                <w:b/>
                <w:iCs/>
                <w:sz w:val="18"/>
                <w:szCs w:val="18"/>
              </w:rPr>
              <w:t>EVIAM</w:t>
            </w:r>
          </w:p>
        </w:tc>
        <w:tc>
          <w:tcPr>
            <w:tcW w:w="7649" w:type="dxa"/>
          </w:tcPr>
          <w:p w:rsidR="00503967" w:rsidRPr="000E19C4" w:rsidRDefault="00052025">
            <w:pPr>
              <w:rPr>
                <w:rFonts w:ascii="Nyala" w:hAnsi="Nyala"/>
                <w:iCs/>
                <w:sz w:val="18"/>
                <w:szCs w:val="18"/>
              </w:rPr>
            </w:pPr>
            <w:r w:rsidRPr="000E19C4">
              <w:rPr>
                <w:rFonts w:ascii="Nyala" w:hAnsi="Nyala"/>
                <w:iCs/>
                <w:sz w:val="18"/>
                <w:szCs w:val="18"/>
              </w:rPr>
              <w:t>Enquête sur la vulnérabilité à l’insécurité alimentaire et la malnutrition</w:t>
            </w:r>
          </w:p>
        </w:tc>
      </w:tr>
      <w:tr w:rsidR="00503967" w:rsidRPr="00503967" w:rsidTr="00C97A1A">
        <w:tc>
          <w:tcPr>
            <w:tcW w:w="1413" w:type="dxa"/>
          </w:tcPr>
          <w:p w:rsidR="00503967" w:rsidRPr="000E19C4" w:rsidRDefault="00503967">
            <w:pPr>
              <w:rPr>
                <w:rFonts w:ascii="Nyala" w:hAnsi="Nyala"/>
                <w:b/>
                <w:iCs/>
                <w:sz w:val="18"/>
                <w:szCs w:val="18"/>
              </w:rPr>
            </w:pPr>
            <w:r w:rsidRPr="000E19C4">
              <w:rPr>
                <w:rFonts w:ascii="Nyala" w:hAnsi="Nyala"/>
                <w:b/>
                <w:iCs/>
                <w:sz w:val="18"/>
                <w:szCs w:val="18"/>
              </w:rPr>
              <w:t>FAO</w:t>
            </w:r>
          </w:p>
        </w:tc>
        <w:tc>
          <w:tcPr>
            <w:tcW w:w="7649" w:type="dxa"/>
          </w:tcPr>
          <w:p w:rsidR="00503967" w:rsidRPr="000E19C4" w:rsidRDefault="00503967" w:rsidP="00503967">
            <w:pPr>
              <w:rPr>
                <w:rFonts w:ascii="Nyala" w:hAnsi="Nyala"/>
                <w:iCs/>
                <w:sz w:val="18"/>
                <w:szCs w:val="18"/>
              </w:rPr>
            </w:pPr>
            <w:r w:rsidRPr="000E19C4">
              <w:rPr>
                <w:rFonts w:ascii="Nyala" w:hAnsi="Nyala"/>
                <w:iCs/>
                <w:sz w:val="18"/>
                <w:szCs w:val="18"/>
              </w:rPr>
              <w:t xml:space="preserve">Organisation des Nations Unies pour l’Alimentation et l’Agriculture  </w:t>
            </w:r>
          </w:p>
        </w:tc>
      </w:tr>
      <w:tr w:rsidR="00ED12A8" w:rsidRPr="00503967" w:rsidTr="00C97A1A">
        <w:tc>
          <w:tcPr>
            <w:tcW w:w="1413" w:type="dxa"/>
          </w:tcPr>
          <w:p w:rsidR="00ED12A8" w:rsidRPr="000E19C4" w:rsidRDefault="00ED12A8">
            <w:pPr>
              <w:rPr>
                <w:rFonts w:ascii="Nyala" w:hAnsi="Nyala"/>
                <w:b/>
                <w:iCs/>
                <w:sz w:val="18"/>
                <w:szCs w:val="18"/>
              </w:rPr>
            </w:pPr>
            <w:r w:rsidRPr="000E19C4">
              <w:rPr>
                <w:rFonts w:ascii="Nyala" w:hAnsi="Nyala"/>
                <w:b/>
                <w:iCs/>
                <w:sz w:val="18"/>
                <w:szCs w:val="18"/>
              </w:rPr>
              <w:t>HC3N</w:t>
            </w:r>
          </w:p>
        </w:tc>
        <w:tc>
          <w:tcPr>
            <w:tcW w:w="7649" w:type="dxa"/>
          </w:tcPr>
          <w:p w:rsidR="00ED12A8" w:rsidRPr="000E19C4" w:rsidRDefault="00ED12A8">
            <w:pPr>
              <w:rPr>
                <w:rFonts w:ascii="Nyala" w:hAnsi="Nyala"/>
                <w:iCs/>
                <w:sz w:val="18"/>
                <w:szCs w:val="18"/>
              </w:rPr>
            </w:pPr>
            <w:r w:rsidRPr="000E19C4">
              <w:rPr>
                <w:rFonts w:ascii="Nyala" w:hAnsi="Nyala"/>
                <w:iCs/>
                <w:sz w:val="18"/>
                <w:szCs w:val="18"/>
              </w:rPr>
              <w:t>Haut-Commissariat à l’Initiative 3n</w:t>
            </w:r>
          </w:p>
        </w:tc>
      </w:tr>
      <w:tr w:rsidR="00ED12A8" w:rsidRPr="00503967" w:rsidTr="00C97A1A">
        <w:tc>
          <w:tcPr>
            <w:tcW w:w="1413" w:type="dxa"/>
          </w:tcPr>
          <w:p w:rsidR="00ED12A8" w:rsidRPr="000E19C4" w:rsidRDefault="00ED12A8" w:rsidP="00F95B3A">
            <w:pPr>
              <w:rPr>
                <w:rFonts w:ascii="Nyala" w:hAnsi="Nyala"/>
                <w:b/>
                <w:iCs/>
                <w:sz w:val="18"/>
                <w:szCs w:val="18"/>
              </w:rPr>
            </w:pPr>
            <w:r w:rsidRPr="000E19C4">
              <w:rPr>
                <w:rFonts w:ascii="Nyala" w:hAnsi="Nyala"/>
                <w:b/>
                <w:iCs/>
                <w:sz w:val="18"/>
                <w:szCs w:val="18"/>
              </w:rPr>
              <w:t>I3n</w:t>
            </w:r>
          </w:p>
        </w:tc>
        <w:tc>
          <w:tcPr>
            <w:tcW w:w="7649" w:type="dxa"/>
          </w:tcPr>
          <w:p w:rsidR="00ED12A8" w:rsidRPr="000E19C4" w:rsidRDefault="00ED12A8" w:rsidP="00F95B3A">
            <w:pPr>
              <w:rPr>
                <w:rFonts w:ascii="Nyala" w:hAnsi="Nyala"/>
                <w:iCs/>
                <w:sz w:val="18"/>
                <w:szCs w:val="18"/>
              </w:rPr>
            </w:pPr>
            <w:r w:rsidRPr="000E19C4">
              <w:rPr>
                <w:rFonts w:ascii="Nyala" w:hAnsi="Nyala"/>
                <w:iCs/>
                <w:sz w:val="18"/>
                <w:szCs w:val="18"/>
              </w:rPr>
              <w:t>Initiative « les nigériens nourrissent les nigériens »</w:t>
            </w:r>
          </w:p>
        </w:tc>
      </w:tr>
      <w:tr w:rsidR="00503967" w:rsidRPr="00503967" w:rsidTr="00C97A1A">
        <w:tc>
          <w:tcPr>
            <w:tcW w:w="1413" w:type="dxa"/>
          </w:tcPr>
          <w:p w:rsidR="00503967" w:rsidRPr="000E19C4" w:rsidRDefault="00052025">
            <w:pPr>
              <w:rPr>
                <w:rFonts w:ascii="Nyala" w:hAnsi="Nyala"/>
                <w:b/>
                <w:iCs/>
                <w:sz w:val="18"/>
                <w:szCs w:val="18"/>
              </w:rPr>
            </w:pPr>
            <w:r w:rsidRPr="000E19C4">
              <w:rPr>
                <w:rFonts w:ascii="Nyala" w:hAnsi="Nyala"/>
                <w:b/>
                <w:iCs/>
                <w:sz w:val="18"/>
                <w:szCs w:val="18"/>
              </w:rPr>
              <w:t>IAM</w:t>
            </w:r>
          </w:p>
        </w:tc>
        <w:tc>
          <w:tcPr>
            <w:tcW w:w="7649" w:type="dxa"/>
          </w:tcPr>
          <w:p w:rsidR="00503967" w:rsidRPr="000E19C4" w:rsidRDefault="00052025">
            <w:pPr>
              <w:rPr>
                <w:rFonts w:ascii="Nyala" w:hAnsi="Nyala"/>
                <w:iCs/>
                <w:sz w:val="18"/>
                <w:szCs w:val="18"/>
              </w:rPr>
            </w:pPr>
            <w:r w:rsidRPr="000E19C4">
              <w:rPr>
                <w:rFonts w:ascii="Nyala" w:hAnsi="Nyala"/>
                <w:iCs/>
                <w:sz w:val="18"/>
                <w:szCs w:val="18"/>
              </w:rPr>
              <w:t>Insécurité alimentaire modérée</w:t>
            </w:r>
          </w:p>
        </w:tc>
      </w:tr>
      <w:tr w:rsidR="00503967" w:rsidRPr="00503967" w:rsidTr="00C97A1A">
        <w:tc>
          <w:tcPr>
            <w:tcW w:w="1413" w:type="dxa"/>
          </w:tcPr>
          <w:p w:rsidR="00503967" w:rsidRPr="000E19C4" w:rsidRDefault="00052025">
            <w:pPr>
              <w:rPr>
                <w:rFonts w:ascii="Nyala" w:hAnsi="Nyala"/>
                <w:b/>
                <w:iCs/>
                <w:sz w:val="18"/>
                <w:szCs w:val="18"/>
              </w:rPr>
            </w:pPr>
            <w:r w:rsidRPr="000E19C4">
              <w:rPr>
                <w:rFonts w:ascii="Nyala" w:hAnsi="Nyala"/>
                <w:b/>
                <w:iCs/>
                <w:sz w:val="18"/>
                <w:szCs w:val="18"/>
              </w:rPr>
              <w:t>IAS</w:t>
            </w:r>
          </w:p>
        </w:tc>
        <w:tc>
          <w:tcPr>
            <w:tcW w:w="7649" w:type="dxa"/>
          </w:tcPr>
          <w:p w:rsidR="00503967" w:rsidRPr="000E19C4" w:rsidRDefault="00052025">
            <w:pPr>
              <w:rPr>
                <w:rFonts w:ascii="Nyala" w:hAnsi="Nyala"/>
                <w:iCs/>
                <w:sz w:val="18"/>
                <w:szCs w:val="18"/>
              </w:rPr>
            </w:pPr>
            <w:r w:rsidRPr="000E19C4">
              <w:rPr>
                <w:rFonts w:ascii="Nyala" w:hAnsi="Nyala"/>
                <w:iCs/>
                <w:sz w:val="18"/>
                <w:szCs w:val="18"/>
              </w:rPr>
              <w:t>Insécurité alimentaire sévère</w:t>
            </w:r>
          </w:p>
        </w:tc>
      </w:tr>
      <w:tr w:rsidR="00ED12A8" w:rsidRPr="00503967" w:rsidTr="00C97A1A">
        <w:tc>
          <w:tcPr>
            <w:tcW w:w="1413" w:type="dxa"/>
          </w:tcPr>
          <w:p w:rsidR="00ED12A8" w:rsidRPr="000E19C4" w:rsidRDefault="00ED12A8">
            <w:pPr>
              <w:rPr>
                <w:rFonts w:ascii="Nyala" w:hAnsi="Nyala"/>
                <w:b/>
                <w:iCs/>
                <w:sz w:val="18"/>
                <w:szCs w:val="18"/>
              </w:rPr>
            </w:pPr>
            <w:r w:rsidRPr="000E19C4">
              <w:rPr>
                <w:rFonts w:ascii="Nyala" w:hAnsi="Nyala"/>
                <w:b/>
                <w:iCs/>
                <w:sz w:val="18"/>
                <w:szCs w:val="18"/>
              </w:rPr>
              <w:t>INRAN</w:t>
            </w:r>
          </w:p>
        </w:tc>
        <w:tc>
          <w:tcPr>
            <w:tcW w:w="7649" w:type="dxa"/>
          </w:tcPr>
          <w:p w:rsidR="00ED12A8" w:rsidRPr="000E19C4" w:rsidRDefault="00ED12A8">
            <w:pPr>
              <w:rPr>
                <w:rFonts w:ascii="Nyala" w:hAnsi="Nyala"/>
                <w:iCs/>
                <w:sz w:val="18"/>
                <w:szCs w:val="18"/>
              </w:rPr>
            </w:pPr>
            <w:r w:rsidRPr="000E19C4">
              <w:rPr>
                <w:rFonts w:ascii="Nyala" w:hAnsi="Nyala"/>
                <w:iCs/>
                <w:sz w:val="18"/>
                <w:szCs w:val="18"/>
              </w:rPr>
              <w:t>Institut National de la Recherche Agronomique du Niger</w:t>
            </w:r>
          </w:p>
        </w:tc>
      </w:tr>
      <w:tr w:rsidR="00503967" w:rsidRPr="00503967" w:rsidTr="00C97A1A">
        <w:tc>
          <w:tcPr>
            <w:tcW w:w="1413" w:type="dxa"/>
          </w:tcPr>
          <w:p w:rsidR="00503967" w:rsidRPr="000E19C4" w:rsidRDefault="00052025">
            <w:pPr>
              <w:rPr>
                <w:rFonts w:ascii="Nyala" w:hAnsi="Nyala"/>
                <w:b/>
                <w:iCs/>
                <w:sz w:val="18"/>
                <w:szCs w:val="18"/>
              </w:rPr>
            </w:pPr>
            <w:r w:rsidRPr="000E19C4">
              <w:rPr>
                <w:rFonts w:ascii="Nyala" w:hAnsi="Nyala"/>
                <w:b/>
                <w:iCs/>
                <w:sz w:val="18"/>
                <w:szCs w:val="18"/>
              </w:rPr>
              <w:t>INS</w:t>
            </w:r>
          </w:p>
        </w:tc>
        <w:tc>
          <w:tcPr>
            <w:tcW w:w="7649" w:type="dxa"/>
          </w:tcPr>
          <w:p w:rsidR="00503967" w:rsidRPr="000E19C4" w:rsidRDefault="00052025">
            <w:pPr>
              <w:rPr>
                <w:rFonts w:ascii="Nyala" w:hAnsi="Nyala"/>
                <w:iCs/>
                <w:sz w:val="18"/>
                <w:szCs w:val="18"/>
              </w:rPr>
            </w:pPr>
            <w:r w:rsidRPr="000E19C4">
              <w:rPr>
                <w:rFonts w:ascii="Nyala" w:hAnsi="Nyala"/>
                <w:iCs/>
                <w:sz w:val="18"/>
                <w:szCs w:val="18"/>
              </w:rPr>
              <w:t>Institut National de la Statistique</w:t>
            </w:r>
          </w:p>
        </w:tc>
      </w:tr>
      <w:tr w:rsidR="00ED12A8" w:rsidRPr="00503967" w:rsidTr="00C97A1A">
        <w:tc>
          <w:tcPr>
            <w:tcW w:w="1413" w:type="dxa"/>
          </w:tcPr>
          <w:p w:rsidR="00ED12A8" w:rsidRPr="000E19C4" w:rsidRDefault="00ED12A8">
            <w:pPr>
              <w:rPr>
                <w:rFonts w:ascii="Nyala" w:hAnsi="Nyala"/>
                <w:b/>
                <w:iCs/>
                <w:sz w:val="18"/>
                <w:szCs w:val="18"/>
              </w:rPr>
            </w:pPr>
            <w:r w:rsidRPr="000E19C4">
              <w:rPr>
                <w:rFonts w:ascii="Nyala" w:hAnsi="Nyala"/>
                <w:b/>
                <w:iCs/>
                <w:sz w:val="18"/>
                <w:szCs w:val="18"/>
              </w:rPr>
              <w:t>IOA</w:t>
            </w:r>
          </w:p>
        </w:tc>
        <w:tc>
          <w:tcPr>
            <w:tcW w:w="7649" w:type="dxa"/>
          </w:tcPr>
          <w:p w:rsidR="00ED12A8" w:rsidRPr="000E19C4" w:rsidRDefault="00ED12A8">
            <w:pPr>
              <w:rPr>
                <w:rFonts w:ascii="Nyala" w:hAnsi="Nyala"/>
                <w:iCs/>
                <w:sz w:val="18"/>
                <w:szCs w:val="18"/>
              </w:rPr>
            </w:pPr>
            <w:r w:rsidRPr="000E19C4">
              <w:rPr>
                <w:rFonts w:ascii="Nyala" w:hAnsi="Nyala"/>
                <w:iCs/>
                <w:sz w:val="18"/>
                <w:szCs w:val="18"/>
              </w:rPr>
              <w:t>Indice d’orientation Agricole</w:t>
            </w:r>
          </w:p>
        </w:tc>
      </w:tr>
      <w:tr w:rsidR="00052025" w:rsidRPr="00503967" w:rsidTr="00C97A1A">
        <w:tc>
          <w:tcPr>
            <w:tcW w:w="1413" w:type="dxa"/>
          </w:tcPr>
          <w:p w:rsidR="00052025" w:rsidRPr="000E19C4" w:rsidRDefault="005542BA">
            <w:pPr>
              <w:rPr>
                <w:rFonts w:ascii="Nyala" w:hAnsi="Nyala"/>
                <w:b/>
                <w:iCs/>
                <w:sz w:val="18"/>
                <w:szCs w:val="18"/>
              </w:rPr>
            </w:pPr>
            <w:r w:rsidRPr="000E19C4">
              <w:rPr>
                <w:rFonts w:ascii="Nyala" w:hAnsi="Nyala"/>
                <w:b/>
                <w:iCs/>
                <w:sz w:val="18"/>
                <w:szCs w:val="18"/>
              </w:rPr>
              <w:t>MAGEL</w:t>
            </w:r>
          </w:p>
        </w:tc>
        <w:tc>
          <w:tcPr>
            <w:tcW w:w="7649" w:type="dxa"/>
          </w:tcPr>
          <w:p w:rsidR="00052025" w:rsidRPr="000E19C4" w:rsidRDefault="005542BA">
            <w:pPr>
              <w:rPr>
                <w:rFonts w:ascii="Nyala" w:hAnsi="Nyala"/>
                <w:iCs/>
                <w:sz w:val="18"/>
                <w:szCs w:val="18"/>
              </w:rPr>
            </w:pPr>
            <w:r w:rsidRPr="000E19C4">
              <w:rPr>
                <w:rFonts w:ascii="Nyala" w:hAnsi="Nyala"/>
                <w:iCs/>
                <w:sz w:val="18"/>
                <w:szCs w:val="18"/>
              </w:rPr>
              <w:t>Ministère de l’Agriculture et de l’Elevage</w:t>
            </w:r>
          </w:p>
        </w:tc>
      </w:tr>
      <w:tr w:rsidR="00052025" w:rsidRPr="00503967" w:rsidTr="00C97A1A">
        <w:tc>
          <w:tcPr>
            <w:tcW w:w="1413" w:type="dxa"/>
          </w:tcPr>
          <w:p w:rsidR="00052025" w:rsidRPr="000E19C4" w:rsidRDefault="00ED12A8">
            <w:pPr>
              <w:rPr>
                <w:rFonts w:ascii="Nyala" w:hAnsi="Nyala"/>
                <w:b/>
                <w:iCs/>
                <w:sz w:val="18"/>
                <w:szCs w:val="18"/>
              </w:rPr>
            </w:pPr>
            <w:r w:rsidRPr="000E19C4">
              <w:rPr>
                <w:rFonts w:ascii="Nyala" w:hAnsi="Nyala"/>
                <w:b/>
                <w:iCs/>
                <w:sz w:val="18"/>
                <w:szCs w:val="18"/>
              </w:rPr>
              <w:t>MCC</w:t>
            </w:r>
          </w:p>
        </w:tc>
        <w:tc>
          <w:tcPr>
            <w:tcW w:w="7649" w:type="dxa"/>
          </w:tcPr>
          <w:p w:rsidR="00052025" w:rsidRPr="000E19C4" w:rsidRDefault="00ED12A8">
            <w:pPr>
              <w:rPr>
                <w:rFonts w:ascii="Nyala" w:hAnsi="Nyala"/>
                <w:iCs/>
                <w:sz w:val="18"/>
                <w:szCs w:val="18"/>
              </w:rPr>
            </w:pPr>
            <w:r w:rsidRPr="000E19C4">
              <w:rPr>
                <w:rFonts w:ascii="Nyala" w:hAnsi="Nyala"/>
                <w:iCs/>
                <w:sz w:val="18"/>
                <w:szCs w:val="18"/>
              </w:rPr>
              <w:t>Millenium Chalenge Corporation</w:t>
            </w:r>
          </w:p>
        </w:tc>
      </w:tr>
      <w:tr w:rsidR="005542BA" w:rsidRPr="00503967" w:rsidTr="00C97A1A">
        <w:tc>
          <w:tcPr>
            <w:tcW w:w="1413" w:type="dxa"/>
          </w:tcPr>
          <w:p w:rsidR="005542BA" w:rsidRPr="000E19C4" w:rsidRDefault="005542BA">
            <w:pPr>
              <w:rPr>
                <w:rFonts w:ascii="Nyala" w:hAnsi="Nyala"/>
                <w:b/>
                <w:iCs/>
                <w:sz w:val="18"/>
                <w:szCs w:val="18"/>
              </w:rPr>
            </w:pPr>
            <w:r w:rsidRPr="000E19C4">
              <w:rPr>
                <w:rFonts w:ascii="Nyala" w:hAnsi="Nyala"/>
                <w:b/>
                <w:iCs/>
                <w:sz w:val="18"/>
                <w:szCs w:val="18"/>
              </w:rPr>
              <w:t>MEDD</w:t>
            </w:r>
          </w:p>
        </w:tc>
        <w:tc>
          <w:tcPr>
            <w:tcW w:w="7649" w:type="dxa"/>
          </w:tcPr>
          <w:p w:rsidR="005542BA" w:rsidRPr="000E19C4" w:rsidRDefault="005542BA">
            <w:pPr>
              <w:rPr>
                <w:rFonts w:ascii="Nyala" w:hAnsi="Nyala"/>
                <w:iCs/>
                <w:sz w:val="18"/>
                <w:szCs w:val="18"/>
              </w:rPr>
            </w:pPr>
            <w:r w:rsidRPr="000E19C4">
              <w:rPr>
                <w:rFonts w:ascii="Nyala" w:hAnsi="Nyala"/>
                <w:iCs/>
                <w:sz w:val="18"/>
                <w:szCs w:val="18"/>
              </w:rPr>
              <w:t>Ministère de l’Environnement et du Développement Durable</w:t>
            </w:r>
          </w:p>
        </w:tc>
      </w:tr>
      <w:tr w:rsidR="005542BA" w:rsidRPr="00503967" w:rsidTr="00C97A1A">
        <w:tc>
          <w:tcPr>
            <w:tcW w:w="1413" w:type="dxa"/>
          </w:tcPr>
          <w:p w:rsidR="005542BA" w:rsidRPr="000E19C4" w:rsidRDefault="005542BA">
            <w:pPr>
              <w:rPr>
                <w:rFonts w:ascii="Nyala" w:hAnsi="Nyala"/>
                <w:b/>
                <w:iCs/>
                <w:sz w:val="18"/>
                <w:szCs w:val="18"/>
              </w:rPr>
            </w:pPr>
            <w:r w:rsidRPr="000E19C4">
              <w:rPr>
                <w:rFonts w:ascii="Nyala" w:hAnsi="Nyala"/>
                <w:b/>
                <w:iCs/>
                <w:sz w:val="18"/>
                <w:szCs w:val="18"/>
              </w:rPr>
              <w:t>MP</w:t>
            </w:r>
          </w:p>
        </w:tc>
        <w:tc>
          <w:tcPr>
            <w:tcW w:w="7649" w:type="dxa"/>
          </w:tcPr>
          <w:p w:rsidR="005542BA" w:rsidRPr="000E19C4" w:rsidRDefault="005542BA">
            <w:pPr>
              <w:rPr>
                <w:rFonts w:ascii="Nyala" w:hAnsi="Nyala"/>
                <w:iCs/>
                <w:sz w:val="18"/>
                <w:szCs w:val="18"/>
              </w:rPr>
            </w:pPr>
            <w:r w:rsidRPr="000E19C4">
              <w:rPr>
                <w:rFonts w:ascii="Nyala" w:hAnsi="Nyala"/>
                <w:iCs/>
                <w:sz w:val="18"/>
                <w:szCs w:val="18"/>
              </w:rPr>
              <w:t>Ministère du Plan</w:t>
            </w:r>
          </w:p>
        </w:tc>
      </w:tr>
      <w:tr w:rsidR="00503967" w:rsidRPr="00503967" w:rsidTr="00C97A1A">
        <w:tc>
          <w:tcPr>
            <w:tcW w:w="1413" w:type="dxa"/>
          </w:tcPr>
          <w:p w:rsidR="00503967" w:rsidRPr="000E19C4" w:rsidRDefault="00503967">
            <w:pPr>
              <w:rPr>
                <w:rFonts w:ascii="Nyala" w:hAnsi="Nyala"/>
                <w:b/>
                <w:iCs/>
                <w:sz w:val="18"/>
                <w:szCs w:val="18"/>
              </w:rPr>
            </w:pPr>
            <w:r w:rsidRPr="000E19C4">
              <w:rPr>
                <w:rFonts w:ascii="Nyala" w:hAnsi="Nyala"/>
                <w:b/>
                <w:iCs/>
                <w:sz w:val="18"/>
                <w:szCs w:val="18"/>
              </w:rPr>
              <w:t>ODD</w:t>
            </w:r>
          </w:p>
        </w:tc>
        <w:tc>
          <w:tcPr>
            <w:tcW w:w="7649" w:type="dxa"/>
          </w:tcPr>
          <w:p w:rsidR="00503967" w:rsidRPr="000E19C4" w:rsidRDefault="00503967">
            <w:pPr>
              <w:rPr>
                <w:rFonts w:ascii="Nyala" w:hAnsi="Nyala"/>
                <w:iCs/>
                <w:sz w:val="18"/>
                <w:szCs w:val="18"/>
              </w:rPr>
            </w:pPr>
            <w:r w:rsidRPr="000E19C4">
              <w:rPr>
                <w:rFonts w:ascii="Nyala" w:hAnsi="Nyala"/>
                <w:iCs/>
                <w:sz w:val="18"/>
                <w:szCs w:val="18"/>
              </w:rPr>
              <w:t>Objectif de développement durable</w:t>
            </w:r>
          </w:p>
        </w:tc>
      </w:tr>
      <w:tr w:rsidR="00052025" w:rsidRPr="00503967" w:rsidTr="00C97A1A">
        <w:tc>
          <w:tcPr>
            <w:tcW w:w="1413" w:type="dxa"/>
          </w:tcPr>
          <w:p w:rsidR="00052025" w:rsidRPr="000E19C4" w:rsidRDefault="005542BA">
            <w:pPr>
              <w:rPr>
                <w:rFonts w:ascii="Nyala" w:hAnsi="Nyala"/>
                <w:b/>
                <w:iCs/>
                <w:sz w:val="18"/>
                <w:szCs w:val="18"/>
              </w:rPr>
            </w:pPr>
            <w:r w:rsidRPr="000E19C4">
              <w:rPr>
                <w:rFonts w:ascii="Nyala" w:hAnsi="Nyala"/>
                <w:b/>
                <w:iCs/>
                <w:sz w:val="18"/>
                <w:szCs w:val="18"/>
              </w:rPr>
              <w:t>OH</w:t>
            </w:r>
          </w:p>
        </w:tc>
        <w:tc>
          <w:tcPr>
            <w:tcW w:w="7649" w:type="dxa"/>
          </w:tcPr>
          <w:p w:rsidR="00052025" w:rsidRPr="000E19C4" w:rsidRDefault="005542BA">
            <w:pPr>
              <w:rPr>
                <w:rFonts w:ascii="Nyala" w:hAnsi="Nyala"/>
                <w:iCs/>
                <w:sz w:val="18"/>
                <w:szCs w:val="18"/>
              </w:rPr>
            </w:pPr>
            <w:r w:rsidRPr="000E19C4">
              <w:rPr>
                <w:rFonts w:ascii="Nyala" w:hAnsi="Nyala"/>
                <w:iCs/>
                <w:sz w:val="18"/>
                <w:szCs w:val="18"/>
              </w:rPr>
              <w:t>Organisation humanitaire</w:t>
            </w:r>
          </w:p>
        </w:tc>
      </w:tr>
      <w:tr w:rsidR="00052025" w:rsidRPr="00503967" w:rsidTr="00C97A1A">
        <w:tc>
          <w:tcPr>
            <w:tcW w:w="1413" w:type="dxa"/>
          </w:tcPr>
          <w:p w:rsidR="00052025" w:rsidRPr="000E19C4" w:rsidRDefault="00052025">
            <w:pPr>
              <w:rPr>
                <w:rFonts w:ascii="Nyala" w:hAnsi="Nyala"/>
                <w:b/>
                <w:iCs/>
                <w:sz w:val="18"/>
                <w:szCs w:val="18"/>
              </w:rPr>
            </w:pPr>
            <w:r w:rsidRPr="000E19C4">
              <w:rPr>
                <w:rFonts w:ascii="Nyala" w:hAnsi="Nyala"/>
                <w:b/>
                <w:iCs/>
                <w:sz w:val="18"/>
                <w:szCs w:val="18"/>
              </w:rPr>
              <w:t>OIM</w:t>
            </w:r>
          </w:p>
        </w:tc>
        <w:tc>
          <w:tcPr>
            <w:tcW w:w="7649" w:type="dxa"/>
          </w:tcPr>
          <w:p w:rsidR="00052025" w:rsidRPr="000E19C4" w:rsidRDefault="00052025">
            <w:pPr>
              <w:rPr>
                <w:rFonts w:ascii="Nyala" w:hAnsi="Nyala"/>
                <w:iCs/>
                <w:sz w:val="18"/>
                <w:szCs w:val="18"/>
              </w:rPr>
            </w:pPr>
            <w:r w:rsidRPr="000E19C4">
              <w:rPr>
                <w:rFonts w:ascii="Nyala" w:hAnsi="Nyala"/>
                <w:iCs/>
                <w:sz w:val="18"/>
                <w:szCs w:val="18"/>
              </w:rPr>
              <w:t>Organisation Internationale de la Migration</w:t>
            </w:r>
          </w:p>
        </w:tc>
      </w:tr>
      <w:tr w:rsidR="00503967" w:rsidRPr="00503967" w:rsidTr="00C97A1A">
        <w:tc>
          <w:tcPr>
            <w:tcW w:w="1413" w:type="dxa"/>
          </w:tcPr>
          <w:p w:rsidR="00503967" w:rsidRPr="000E19C4" w:rsidRDefault="00503967">
            <w:pPr>
              <w:rPr>
                <w:rFonts w:ascii="Nyala" w:hAnsi="Nyala"/>
                <w:b/>
                <w:iCs/>
                <w:sz w:val="18"/>
                <w:szCs w:val="18"/>
              </w:rPr>
            </w:pPr>
            <w:r w:rsidRPr="000E19C4">
              <w:rPr>
                <w:rFonts w:ascii="Nyala" w:hAnsi="Nyala"/>
                <w:b/>
                <w:iCs/>
                <w:sz w:val="18"/>
                <w:szCs w:val="18"/>
              </w:rPr>
              <w:t>OMD</w:t>
            </w:r>
          </w:p>
        </w:tc>
        <w:tc>
          <w:tcPr>
            <w:tcW w:w="7649" w:type="dxa"/>
          </w:tcPr>
          <w:p w:rsidR="00503967" w:rsidRPr="000E19C4" w:rsidRDefault="00503967">
            <w:pPr>
              <w:rPr>
                <w:rFonts w:ascii="Nyala" w:hAnsi="Nyala"/>
                <w:iCs/>
                <w:sz w:val="18"/>
                <w:szCs w:val="18"/>
              </w:rPr>
            </w:pPr>
            <w:r w:rsidRPr="000E19C4">
              <w:rPr>
                <w:rFonts w:ascii="Nyala" w:hAnsi="Nyala"/>
                <w:iCs/>
                <w:sz w:val="18"/>
                <w:szCs w:val="18"/>
              </w:rPr>
              <w:t>Objectif du Millenium pour le Développement</w:t>
            </w:r>
          </w:p>
        </w:tc>
      </w:tr>
      <w:tr w:rsidR="00B677BD" w:rsidRPr="00503967" w:rsidTr="00C97A1A">
        <w:tc>
          <w:tcPr>
            <w:tcW w:w="1413" w:type="dxa"/>
          </w:tcPr>
          <w:p w:rsidR="00B677BD" w:rsidRPr="000E19C4" w:rsidRDefault="00B677BD">
            <w:pPr>
              <w:rPr>
                <w:rFonts w:ascii="Nyala" w:hAnsi="Nyala"/>
                <w:b/>
                <w:iCs/>
                <w:sz w:val="18"/>
                <w:szCs w:val="18"/>
              </w:rPr>
            </w:pPr>
            <w:r w:rsidRPr="000E19C4">
              <w:rPr>
                <w:rFonts w:ascii="Nyala" w:hAnsi="Nyala"/>
                <w:b/>
                <w:iCs/>
                <w:sz w:val="18"/>
                <w:szCs w:val="18"/>
              </w:rPr>
              <w:t>OMS</w:t>
            </w:r>
          </w:p>
        </w:tc>
        <w:tc>
          <w:tcPr>
            <w:tcW w:w="7649" w:type="dxa"/>
          </w:tcPr>
          <w:p w:rsidR="00B677BD" w:rsidRPr="000E19C4" w:rsidRDefault="00B677BD">
            <w:pPr>
              <w:rPr>
                <w:rFonts w:ascii="Nyala" w:hAnsi="Nyala"/>
                <w:iCs/>
                <w:sz w:val="18"/>
                <w:szCs w:val="18"/>
              </w:rPr>
            </w:pPr>
            <w:r w:rsidRPr="000E19C4">
              <w:rPr>
                <w:rFonts w:ascii="Nyala" w:hAnsi="Nyala"/>
                <w:iCs/>
                <w:sz w:val="18"/>
                <w:szCs w:val="18"/>
              </w:rPr>
              <w:t>Organisation Mondiale de la Santé</w:t>
            </w:r>
          </w:p>
        </w:tc>
      </w:tr>
      <w:tr w:rsidR="00503967" w:rsidRPr="00503967" w:rsidTr="00C97A1A">
        <w:tc>
          <w:tcPr>
            <w:tcW w:w="1413" w:type="dxa"/>
          </w:tcPr>
          <w:p w:rsidR="00503967" w:rsidRPr="000E19C4" w:rsidRDefault="00503967">
            <w:pPr>
              <w:rPr>
                <w:rFonts w:ascii="Nyala" w:hAnsi="Nyala"/>
                <w:b/>
                <w:iCs/>
                <w:sz w:val="18"/>
                <w:szCs w:val="18"/>
              </w:rPr>
            </w:pPr>
            <w:r w:rsidRPr="000E19C4">
              <w:rPr>
                <w:rFonts w:ascii="Nyala" w:hAnsi="Nyala"/>
                <w:b/>
                <w:iCs/>
                <w:sz w:val="18"/>
                <w:szCs w:val="18"/>
              </w:rPr>
              <w:t>ONG</w:t>
            </w:r>
          </w:p>
        </w:tc>
        <w:tc>
          <w:tcPr>
            <w:tcW w:w="7649" w:type="dxa"/>
          </w:tcPr>
          <w:p w:rsidR="00503967" w:rsidRPr="000E19C4" w:rsidRDefault="00503967">
            <w:pPr>
              <w:rPr>
                <w:rFonts w:ascii="Nyala" w:hAnsi="Nyala"/>
                <w:iCs/>
                <w:sz w:val="18"/>
                <w:szCs w:val="18"/>
              </w:rPr>
            </w:pPr>
            <w:r w:rsidRPr="000E19C4">
              <w:rPr>
                <w:rFonts w:ascii="Nyala" w:hAnsi="Nyala"/>
                <w:iCs/>
                <w:sz w:val="18"/>
                <w:szCs w:val="18"/>
              </w:rPr>
              <w:t>Organisation Non gouvernementale</w:t>
            </w:r>
          </w:p>
        </w:tc>
      </w:tr>
      <w:tr w:rsidR="00ED12A8" w:rsidRPr="00503967" w:rsidTr="00C97A1A">
        <w:tc>
          <w:tcPr>
            <w:tcW w:w="1413" w:type="dxa"/>
          </w:tcPr>
          <w:p w:rsidR="00ED12A8" w:rsidRPr="000E19C4" w:rsidRDefault="00F95B3A">
            <w:pPr>
              <w:rPr>
                <w:rFonts w:ascii="Nyala" w:hAnsi="Nyala"/>
                <w:b/>
                <w:iCs/>
                <w:sz w:val="18"/>
                <w:szCs w:val="18"/>
              </w:rPr>
            </w:pPr>
            <w:r w:rsidRPr="000E19C4">
              <w:rPr>
                <w:rFonts w:ascii="Nyala" w:hAnsi="Nyala"/>
                <w:b/>
                <w:iCs/>
                <w:sz w:val="18"/>
                <w:szCs w:val="18"/>
              </w:rPr>
              <w:t>OP</w:t>
            </w:r>
          </w:p>
        </w:tc>
        <w:tc>
          <w:tcPr>
            <w:tcW w:w="7649" w:type="dxa"/>
          </w:tcPr>
          <w:p w:rsidR="00ED12A8" w:rsidRPr="000E19C4" w:rsidRDefault="00F95B3A">
            <w:pPr>
              <w:rPr>
                <w:rFonts w:ascii="Nyala" w:hAnsi="Nyala"/>
                <w:iCs/>
                <w:sz w:val="18"/>
                <w:szCs w:val="18"/>
              </w:rPr>
            </w:pPr>
            <w:r w:rsidRPr="000E19C4">
              <w:rPr>
                <w:rFonts w:ascii="Nyala" w:hAnsi="Nyala"/>
                <w:iCs/>
                <w:sz w:val="18"/>
                <w:szCs w:val="18"/>
              </w:rPr>
              <w:t>Organisations Paysannes</w:t>
            </w:r>
          </w:p>
        </w:tc>
      </w:tr>
      <w:tr w:rsidR="00ED12A8" w:rsidRPr="00503967" w:rsidTr="00C97A1A">
        <w:tc>
          <w:tcPr>
            <w:tcW w:w="1413" w:type="dxa"/>
          </w:tcPr>
          <w:p w:rsidR="00ED12A8" w:rsidRPr="000E19C4" w:rsidRDefault="00ED12A8">
            <w:pPr>
              <w:rPr>
                <w:rFonts w:ascii="Nyala" w:hAnsi="Nyala"/>
                <w:b/>
                <w:iCs/>
                <w:sz w:val="18"/>
                <w:szCs w:val="18"/>
              </w:rPr>
            </w:pPr>
            <w:r w:rsidRPr="000E19C4">
              <w:rPr>
                <w:rFonts w:ascii="Nyala" w:hAnsi="Nyala"/>
                <w:b/>
                <w:iCs/>
                <w:sz w:val="18"/>
                <w:szCs w:val="18"/>
              </w:rPr>
              <w:t>PAGRA</w:t>
            </w:r>
          </w:p>
        </w:tc>
        <w:tc>
          <w:tcPr>
            <w:tcW w:w="7649" w:type="dxa"/>
          </w:tcPr>
          <w:p w:rsidR="00ED12A8" w:rsidRPr="000E19C4" w:rsidRDefault="00ED12A8">
            <w:pPr>
              <w:rPr>
                <w:rFonts w:ascii="Nyala" w:hAnsi="Nyala"/>
                <w:iCs/>
                <w:sz w:val="18"/>
                <w:szCs w:val="18"/>
              </w:rPr>
            </w:pPr>
            <w:r w:rsidRPr="000E19C4">
              <w:rPr>
                <w:rFonts w:ascii="Nyala" w:hAnsi="Nyala"/>
                <w:iCs/>
                <w:sz w:val="18"/>
                <w:szCs w:val="18"/>
              </w:rPr>
              <w:t>Plan d’Action de Gestion des Risques Agricoles</w:t>
            </w:r>
          </w:p>
        </w:tc>
      </w:tr>
      <w:tr w:rsidR="00ED12A8" w:rsidRPr="00503967" w:rsidTr="00C97A1A">
        <w:tc>
          <w:tcPr>
            <w:tcW w:w="1413" w:type="dxa"/>
          </w:tcPr>
          <w:p w:rsidR="00ED12A8" w:rsidRPr="000E19C4" w:rsidRDefault="00F95B3A">
            <w:pPr>
              <w:rPr>
                <w:rFonts w:ascii="Nyala" w:hAnsi="Nyala"/>
                <w:b/>
                <w:iCs/>
                <w:sz w:val="18"/>
                <w:szCs w:val="18"/>
              </w:rPr>
            </w:pPr>
            <w:r w:rsidRPr="000E19C4">
              <w:rPr>
                <w:rFonts w:ascii="Nyala" w:hAnsi="Nyala"/>
                <w:b/>
                <w:iCs/>
                <w:sz w:val="18"/>
                <w:szCs w:val="18"/>
              </w:rPr>
              <w:t>PAG</w:t>
            </w:r>
          </w:p>
        </w:tc>
        <w:tc>
          <w:tcPr>
            <w:tcW w:w="7649" w:type="dxa"/>
          </w:tcPr>
          <w:p w:rsidR="00ED12A8" w:rsidRPr="000E19C4" w:rsidRDefault="00F95B3A">
            <w:pPr>
              <w:rPr>
                <w:rFonts w:ascii="Nyala" w:hAnsi="Nyala"/>
                <w:iCs/>
                <w:sz w:val="18"/>
                <w:szCs w:val="18"/>
              </w:rPr>
            </w:pPr>
            <w:r w:rsidRPr="000E19C4">
              <w:rPr>
                <w:rFonts w:ascii="Nyala" w:hAnsi="Nyala"/>
                <w:iCs/>
                <w:sz w:val="18"/>
                <w:szCs w:val="18"/>
              </w:rPr>
              <w:t>Politique Agricole</w:t>
            </w:r>
          </w:p>
        </w:tc>
      </w:tr>
      <w:tr w:rsidR="00503967" w:rsidRPr="00503967" w:rsidTr="00C97A1A">
        <w:tc>
          <w:tcPr>
            <w:tcW w:w="1413" w:type="dxa"/>
          </w:tcPr>
          <w:p w:rsidR="00503967" w:rsidRPr="000E19C4" w:rsidRDefault="00503967">
            <w:pPr>
              <w:rPr>
                <w:rFonts w:ascii="Nyala" w:hAnsi="Nyala"/>
                <w:b/>
                <w:iCs/>
                <w:sz w:val="18"/>
                <w:szCs w:val="18"/>
              </w:rPr>
            </w:pPr>
            <w:r w:rsidRPr="000E19C4">
              <w:rPr>
                <w:rFonts w:ascii="Nyala" w:hAnsi="Nyala"/>
                <w:b/>
                <w:iCs/>
                <w:sz w:val="18"/>
                <w:szCs w:val="18"/>
              </w:rPr>
              <w:t>PAM</w:t>
            </w:r>
          </w:p>
        </w:tc>
        <w:tc>
          <w:tcPr>
            <w:tcW w:w="7649" w:type="dxa"/>
          </w:tcPr>
          <w:p w:rsidR="00503967" w:rsidRPr="000E19C4" w:rsidRDefault="00503967">
            <w:pPr>
              <w:rPr>
                <w:rFonts w:ascii="Nyala" w:hAnsi="Nyala"/>
                <w:iCs/>
                <w:sz w:val="18"/>
                <w:szCs w:val="18"/>
              </w:rPr>
            </w:pPr>
            <w:r w:rsidRPr="000E19C4">
              <w:rPr>
                <w:rFonts w:ascii="Nyala" w:hAnsi="Nyala"/>
                <w:iCs/>
                <w:sz w:val="18"/>
                <w:szCs w:val="18"/>
              </w:rPr>
              <w:t>Programme Alimentaire Mondial</w:t>
            </w:r>
          </w:p>
        </w:tc>
      </w:tr>
      <w:tr w:rsidR="00F95B3A" w:rsidRPr="00503967" w:rsidTr="00C97A1A">
        <w:tc>
          <w:tcPr>
            <w:tcW w:w="1413" w:type="dxa"/>
          </w:tcPr>
          <w:p w:rsidR="00F95B3A" w:rsidRPr="000E19C4" w:rsidRDefault="00F95B3A">
            <w:pPr>
              <w:rPr>
                <w:rFonts w:ascii="Nyala" w:hAnsi="Nyala"/>
                <w:b/>
                <w:iCs/>
                <w:sz w:val="18"/>
                <w:szCs w:val="18"/>
              </w:rPr>
            </w:pPr>
            <w:r w:rsidRPr="000E19C4">
              <w:rPr>
                <w:rFonts w:ascii="Nyala" w:hAnsi="Nyala"/>
                <w:b/>
                <w:iCs/>
                <w:sz w:val="18"/>
                <w:szCs w:val="18"/>
              </w:rPr>
              <w:t>PNPS</w:t>
            </w:r>
          </w:p>
        </w:tc>
        <w:tc>
          <w:tcPr>
            <w:tcW w:w="7649" w:type="dxa"/>
          </w:tcPr>
          <w:p w:rsidR="00F95B3A" w:rsidRPr="000E19C4" w:rsidRDefault="00F95B3A">
            <w:pPr>
              <w:rPr>
                <w:rFonts w:ascii="Nyala" w:hAnsi="Nyala" w:cs="Univers-Light"/>
                <w:sz w:val="18"/>
                <w:szCs w:val="18"/>
              </w:rPr>
            </w:pPr>
            <w:r w:rsidRPr="000E19C4">
              <w:rPr>
                <w:rFonts w:ascii="Nyala" w:hAnsi="Nyala" w:cs="Univers-Light"/>
                <w:sz w:val="18"/>
                <w:szCs w:val="18"/>
              </w:rPr>
              <w:t>Politique Nationale de Protection sociale</w:t>
            </w:r>
          </w:p>
        </w:tc>
      </w:tr>
      <w:tr w:rsidR="00F95B3A" w:rsidRPr="00503967" w:rsidTr="00C97A1A">
        <w:tc>
          <w:tcPr>
            <w:tcW w:w="1413" w:type="dxa"/>
          </w:tcPr>
          <w:p w:rsidR="00F95B3A" w:rsidRPr="000E19C4" w:rsidRDefault="005542BA">
            <w:pPr>
              <w:rPr>
                <w:rFonts w:ascii="Nyala" w:hAnsi="Nyala"/>
                <w:b/>
                <w:iCs/>
                <w:sz w:val="18"/>
                <w:szCs w:val="18"/>
              </w:rPr>
            </w:pPr>
            <w:r w:rsidRPr="000E19C4">
              <w:rPr>
                <w:rFonts w:ascii="Nyala" w:hAnsi="Nyala"/>
                <w:b/>
                <w:iCs/>
                <w:sz w:val="18"/>
                <w:szCs w:val="18"/>
              </w:rPr>
              <w:t>PNUD</w:t>
            </w:r>
          </w:p>
        </w:tc>
        <w:tc>
          <w:tcPr>
            <w:tcW w:w="7649" w:type="dxa"/>
          </w:tcPr>
          <w:p w:rsidR="00F95B3A" w:rsidRPr="000E19C4" w:rsidRDefault="005542BA">
            <w:pPr>
              <w:rPr>
                <w:rFonts w:ascii="Nyala" w:hAnsi="Nyala" w:cs="Univers-Light"/>
                <w:sz w:val="18"/>
                <w:szCs w:val="18"/>
              </w:rPr>
            </w:pPr>
            <w:r w:rsidRPr="000E19C4">
              <w:rPr>
                <w:rFonts w:ascii="Nyala" w:hAnsi="Nyala" w:cs="Univers-Light"/>
                <w:sz w:val="18"/>
                <w:szCs w:val="18"/>
              </w:rPr>
              <w:t>Programme des Nations Unies pour le Développement</w:t>
            </w:r>
          </w:p>
        </w:tc>
      </w:tr>
      <w:tr w:rsidR="00ED12A8" w:rsidRPr="00503967" w:rsidTr="00C97A1A">
        <w:tc>
          <w:tcPr>
            <w:tcW w:w="1413" w:type="dxa"/>
          </w:tcPr>
          <w:p w:rsidR="00ED12A8" w:rsidRPr="000E19C4" w:rsidRDefault="00ED12A8">
            <w:pPr>
              <w:rPr>
                <w:rFonts w:ascii="Nyala" w:hAnsi="Nyala"/>
                <w:b/>
                <w:iCs/>
                <w:sz w:val="18"/>
                <w:szCs w:val="18"/>
              </w:rPr>
            </w:pPr>
            <w:r w:rsidRPr="000E19C4">
              <w:rPr>
                <w:rFonts w:ascii="Nyala" w:hAnsi="Nyala"/>
                <w:b/>
                <w:iCs/>
                <w:sz w:val="18"/>
                <w:szCs w:val="18"/>
              </w:rPr>
              <w:t>PASEC</w:t>
            </w:r>
          </w:p>
        </w:tc>
        <w:tc>
          <w:tcPr>
            <w:tcW w:w="7649" w:type="dxa"/>
          </w:tcPr>
          <w:p w:rsidR="00ED12A8" w:rsidRPr="000E19C4" w:rsidRDefault="00ED12A8">
            <w:pPr>
              <w:rPr>
                <w:rFonts w:ascii="Nyala" w:hAnsi="Nyala"/>
                <w:iCs/>
                <w:sz w:val="18"/>
                <w:szCs w:val="18"/>
              </w:rPr>
            </w:pPr>
            <w:r w:rsidRPr="000E19C4">
              <w:rPr>
                <w:rFonts w:ascii="Nyala" w:hAnsi="Nyala" w:cs="Univers-Light"/>
                <w:sz w:val="18"/>
                <w:szCs w:val="18"/>
              </w:rPr>
              <w:t>Programme d’Appui à l’Agriculture sensible au risque climatique</w:t>
            </w:r>
          </w:p>
        </w:tc>
      </w:tr>
      <w:tr w:rsidR="00503967" w:rsidRPr="00503967" w:rsidTr="00C97A1A">
        <w:tc>
          <w:tcPr>
            <w:tcW w:w="1413" w:type="dxa"/>
          </w:tcPr>
          <w:p w:rsidR="00503967" w:rsidRPr="000E19C4" w:rsidRDefault="00052025">
            <w:pPr>
              <w:rPr>
                <w:rFonts w:ascii="Nyala" w:hAnsi="Nyala"/>
                <w:b/>
                <w:iCs/>
                <w:sz w:val="18"/>
                <w:szCs w:val="18"/>
              </w:rPr>
            </w:pPr>
            <w:r w:rsidRPr="000E19C4">
              <w:rPr>
                <w:rFonts w:ascii="Nyala" w:hAnsi="Nyala"/>
                <w:b/>
                <w:iCs/>
                <w:sz w:val="18"/>
                <w:szCs w:val="18"/>
              </w:rPr>
              <w:t>PDES</w:t>
            </w:r>
          </w:p>
        </w:tc>
        <w:tc>
          <w:tcPr>
            <w:tcW w:w="7649" w:type="dxa"/>
          </w:tcPr>
          <w:p w:rsidR="00503967" w:rsidRPr="000E19C4" w:rsidRDefault="00052025">
            <w:pPr>
              <w:rPr>
                <w:rFonts w:ascii="Nyala" w:hAnsi="Nyala"/>
                <w:iCs/>
                <w:sz w:val="18"/>
                <w:szCs w:val="18"/>
              </w:rPr>
            </w:pPr>
            <w:r w:rsidRPr="000E19C4">
              <w:rPr>
                <w:rFonts w:ascii="Nyala" w:hAnsi="Nyala"/>
                <w:iCs/>
                <w:sz w:val="18"/>
                <w:szCs w:val="18"/>
              </w:rPr>
              <w:t>Plan de Développement Economique et Social</w:t>
            </w:r>
          </w:p>
        </w:tc>
      </w:tr>
      <w:tr w:rsidR="00503967" w:rsidRPr="00503967" w:rsidTr="00C97A1A">
        <w:tc>
          <w:tcPr>
            <w:tcW w:w="1413" w:type="dxa"/>
          </w:tcPr>
          <w:p w:rsidR="00503967" w:rsidRPr="000E19C4" w:rsidRDefault="00052025">
            <w:pPr>
              <w:rPr>
                <w:rFonts w:ascii="Nyala" w:hAnsi="Nyala"/>
                <w:b/>
                <w:iCs/>
                <w:sz w:val="18"/>
                <w:szCs w:val="18"/>
              </w:rPr>
            </w:pPr>
            <w:r w:rsidRPr="000E19C4">
              <w:rPr>
                <w:rFonts w:ascii="Nyala" w:hAnsi="Nyala"/>
                <w:b/>
                <w:iCs/>
                <w:sz w:val="18"/>
                <w:szCs w:val="18"/>
              </w:rPr>
              <w:t>PIB</w:t>
            </w:r>
          </w:p>
        </w:tc>
        <w:tc>
          <w:tcPr>
            <w:tcW w:w="7649" w:type="dxa"/>
          </w:tcPr>
          <w:p w:rsidR="00503967" w:rsidRPr="000E19C4" w:rsidRDefault="00052025">
            <w:pPr>
              <w:rPr>
                <w:rFonts w:ascii="Nyala" w:hAnsi="Nyala"/>
                <w:iCs/>
                <w:sz w:val="18"/>
                <w:szCs w:val="18"/>
              </w:rPr>
            </w:pPr>
            <w:r w:rsidRPr="000E19C4">
              <w:rPr>
                <w:rFonts w:ascii="Nyala" w:hAnsi="Nyala"/>
                <w:iCs/>
                <w:sz w:val="18"/>
                <w:szCs w:val="18"/>
              </w:rPr>
              <w:t>Produit Intérieur Brut</w:t>
            </w:r>
          </w:p>
        </w:tc>
      </w:tr>
      <w:tr w:rsidR="00F95B3A" w:rsidRPr="00503967" w:rsidTr="00C97A1A">
        <w:tc>
          <w:tcPr>
            <w:tcW w:w="1413" w:type="dxa"/>
          </w:tcPr>
          <w:p w:rsidR="00F95B3A" w:rsidRPr="000E19C4" w:rsidRDefault="00F95B3A">
            <w:pPr>
              <w:rPr>
                <w:rFonts w:ascii="Nyala" w:hAnsi="Nyala"/>
                <w:b/>
                <w:iCs/>
                <w:sz w:val="18"/>
                <w:szCs w:val="18"/>
              </w:rPr>
            </w:pPr>
            <w:r w:rsidRPr="000E19C4">
              <w:rPr>
                <w:rFonts w:ascii="Nyala" w:hAnsi="Nyala"/>
                <w:b/>
                <w:iCs/>
                <w:sz w:val="18"/>
                <w:szCs w:val="18"/>
              </w:rPr>
              <w:t>PNEDD</w:t>
            </w:r>
          </w:p>
        </w:tc>
        <w:tc>
          <w:tcPr>
            <w:tcW w:w="7649" w:type="dxa"/>
          </w:tcPr>
          <w:p w:rsidR="00F95B3A" w:rsidRPr="000E19C4" w:rsidRDefault="00F95B3A" w:rsidP="00B677BD">
            <w:pPr>
              <w:rPr>
                <w:rFonts w:ascii="Nyala" w:hAnsi="Nyala"/>
                <w:iCs/>
                <w:sz w:val="18"/>
                <w:szCs w:val="18"/>
              </w:rPr>
            </w:pPr>
            <w:r w:rsidRPr="000E19C4">
              <w:rPr>
                <w:rFonts w:ascii="Nyala" w:hAnsi="Nyala"/>
                <w:iCs/>
                <w:sz w:val="18"/>
                <w:szCs w:val="18"/>
              </w:rPr>
              <w:t>Plan National de l’Environnement pour un Développement Durable</w:t>
            </w:r>
          </w:p>
        </w:tc>
      </w:tr>
      <w:tr w:rsidR="00F95B3A" w:rsidRPr="00503967" w:rsidTr="00C97A1A">
        <w:tc>
          <w:tcPr>
            <w:tcW w:w="1413" w:type="dxa"/>
          </w:tcPr>
          <w:p w:rsidR="00F95B3A" w:rsidRPr="000E19C4" w:rsidRDefault="00F95B3A">
            <w:pPr>
              <w:rPr>
                <w:rFonts w:ascii="Nyala" w:hAnsi="Nyala"/>
                <w:b/>
                <w:iCs/>
                <w:sz w:val="18"/>
                <w:szCs w:val="18"/>
              </w:rPr>
            </w:pPr>
            <w:r w:rsidRPr="000E19C4">
              <w:rPr>
                <w:rFonts w:ascii="Nyala" w:hAnsi="Nyala"/>
                <w:b/>
                <w:iCs/>
                <w:sz w:val="18"/>
                <w:szCs w:val="18"/>
              </w:rPr>
              <w:t>PNEDD</w:t>
            </w:r>
          </w:p>
        </w:tc>
        <w:tc>
          <w:tcPr>
            <w:tcW w:w="7649" w:type="dxa"/>
          </w:tcPr>
          <w:p w:rsidR="00F95B3A" w:rsidRPr="000E19C4" w:rsidRDefault="00F95B3A" w:rsidP="00B677BD">
            <w:pPr>
              <w:rPr>
                <w:rFonts w:ascii="Nyala" w:hAnsi="Nyala"/>
                <w:iCs/>
                <w:sz w:val="18"/>
                <w:szCs w:val="18"/>
              </w:rPr>
            </w:pPr>
            <w:r w:rsidRPr="000E19C4">
              <w:rPr>
                <w:rFonts w:ascii="Nyala" w:hAnsi="Nyala"/>
                <w:iCs/>
                <w:sz w:val="18"/>
                <w:szCs w:val="18"/>
              </w:rPr>
              <w:t>Politique Nationale de l’Environnement pour un Développement Durable</w:t>
            </w:r>
          </w:p>
        </w:tc>
      </w:tr>
      <w:tr w:rsidR="00F95B3A" w:rsidRPr="00503967" w:rsidTr="00C97A1A">
        <w:tc>
          <w:tcPr>
            <w:tcW w:w="1413" w:type="dxa"/>
          </w:tcPr>
          <w:p w:rsidR="00F95B3A" w:rsidRPr="000E19C4" w:rsidRDefault="00F95B3A">
            <w:pPr>
              <w:rPr>
                <w:rFonts w:ascii="Nyala" w:hAnsi="Nyala"/>
                <w:b/>
                <w:iCs/>
                <w:sz w:val="18"/>
                <w:szCs w:val="18"/>
              </w:rPr>
            </w:pPr>
            <w:r w:rsidRPr="000E19C4">
              <w:rPr>
                <w:rFonts w:ascii="Nyala" w:hAnsi="Nyala"/>
                <w:b/>
                <w:iCs/>
                <w:sz w:val="18"/>
                <w:szCs w:val="18"/>
              </w:rPr>
              <w:t>PNS</w:t>
            </w:r>
          </w:p>
        </w:tc>
        <w:tc>
          <w:tcPr>
            <w:tcW w:w="7649" w:type="dxa"/>
          </w:tcPr>
          <w:p w:rsidR="00F95B3A" w:rsidRPr="000E19C4" w:rsidRDefault="00F95B3A" w:rsidP="00B677BD">
            <w:pPr>
              <w:rPr>
                <w:rFonts w:ascii="Nyala" w:hAnsi="Nyala"/>
                <w:iCs/>
                <w:sz w:val="18"/>
                <w:szCs w:val="18"/>
              </w:rPr>
            </w:pPr>
            <w:r w:rsidRPr="000E19C4">
              <w:rPr>
                <w:rFonts w:ascii="Nyala" w:hAnsi="Nyala"/>
                <w:iCs/>
                <w:sz w:val="18"/>
                <w:szCs w:val="18"/>
              </w:rPr>
              <w:t>Politique Nationale de Santé</w:t>
            </w:r>
          </w:p>
        </w:tc>
      </w:tr>
      <w:tr w:rsidR="00F95B3A" w:rsidRPr="00503967" w:rsidTr="00C97A1A">
        <w:tc>
          <w:tcPr>
            <w:tcW w:w="1413" w:type="dxa"/>
          </w:tcPr>
          <w:p w:rsidR="00F95B3A" w:rsidRPr="000E19C4" w:rsidRDefault="00F95B3A">
            <w:pPr>
              <w:rPr>
                <w:rFonts w:ascii="Nyala" w:hAnsi="Nyala"/>
                <w:b/>
                <w:iCs/>
                <w:sz w:val="18"/>
                <w:szCs w:val="18"/>
              </w:rPr>
            </w:pPr>
            <w:r w:rsidRPr="000E19C4">
              <w:rPr>
                <w:rFonts w:ascii="Nyala" w:hAnsi="Nyala"/>
                <w:b/>
                <w:iCs/>
                <w:sz w:val="18"/>
                <w:szCs w:val="18"/>
              </w:rPr>
              <w:t>PNPS</w:t>
            </w:r>
          </w:p>
        </w:tc>
        <w:tc>
          <w:tcPr>
            <w:tcW w:w="7649" w:type="dxa"/>
          </w:tcPr>
          <w:p w:rsidR="00F95B3A" w:rsidRPr="000E19C4" w:rsidRDefault="00F95B3A" w:rsidP="00B677BD">
            <w:pPr>
              <w:rPr>
                <w:rFonts w:ascii="Nyala" w:hAnsi="Nyala"/>
                <w:iCs/>
                <w:sz w:val="18"/>
                <w:szCs w:val="18"/>
              </w:rPr>
            </w:pPr>
            <w:r w:rsidRPr="000E19C4">
              <w:rPr>
                <w:rFonts w:ascii="Nyala" w:hAnsi="Nyala"/>
                <w:iCs/>
                <w:sz w:val="18"/>
                <w:szCs w:val="18"/>
              </w:rPr>
              <w:t>Politique Nationale de Protection sociale</w:t>
            </w:r>
          </w:p>
        </w:tc>
      </w:tr>
      <w:tr w:rsidR="00503967" w:rsidRPr="00503967" w:rsidTr="00C97A1A">
        <w:tc>
          <w:tcPr>
            <w:tcW w:w="1413" w:type="dxa"/>
          </w:tcPr>
          <w:p w:rsidR="00503967" w:rsidRPr="000E19C4" w:rsidRDefault="00052025">
            <w:pPr>
              <w:rPr>
                <w:rFonts w:ascii="Nyala" w:hAnsi="Nyala"/>
                <w:b/>
                <w:iCs/>
                <w:sz w:val="18"/>
                <w:szCs w:val="18"/>
              </w:rPr>
            </w:pPr>
            <w:r w:rsidRPr="000E19C4">
              <w:rPr>
                <w:rFonts w:ascii="Nyala" w:hAnsi="Nyala"/>
                <w:b/>
                <w:iCs/>
                <w:sz w:val="18"/>
                <w:szCs w:val="18"/>
              </w:rPr>
              <w:t>PNSN</w:t>
            </w:r>
          </w:p>
        </w:tc>
        <w:tc>
          <w:tcPr>
            <w:tcW w:w="7649" w:type="dxa"/>
          </w:tcPr>
          <w:p w:rsidR="00503967" w:rsidRPr="000E19C4" w:rsidRDefault="00052025" w:rsidP="00B677BD">
            <w:pPr>
              <w:rPr>
                <w:rFonts w:ascii="Nyala" w:hAnsi="Nyala"/>
                <w:iCs/>
                <w:sz w:val="18"/>
                <w:szCs w:val="18"/>
              </w:rPr>
            </w:pPr>
            <w:r w:rsidRPr="000E19C4">
              <w:rPr>
                <w:rFonts w:ascii="Nyala" w:hAnsi="Nyala"/>
                <w:iCs/>
                <w:sz w:val="18"/>
                <w:szCs w:val="18"/>
              </w:rPr>
              <w:t>P</w:t>
            </w:r>
            <w:r w:rsidR="00B677BD" w:rsidRPr="000E19C4">
              <w:rPr>
                <w:rFonts w:ascii="Nyala" w:hAnsi="Nyala"/>
                <w:iCs/>
                <w:sz w:val="18"/>
                <w:szCs w:val="18"/>
              </w:rPr>
              <w:t xml:space="preserve">lan </w:t>
            </w:r>
            <w:r w:rsidRPr="000E19C4">
              <w:rPr>
                <w:rFonts w:ascii="Nyala" w:hAnsi="Nyala"/>
                <w:iCs/>
                <w:sz w:val="18"/>
                <w:szCs w:val="18"/>
              </w:rPr>
              <w:t>Nationale de Sécurité Nutritionnelle</w:t>
            </w:r>
          </w:p>
        </w:tc>
      </w:tr>
      <w:tr w:rsidR="00F95B3A" w:rsidRPr="00503967" w:rsidTr="00C97A1A">
        <w:tc>
          <w:tcPr>
            <w:tcW w:w="1413" w:type="dxa"/>
          </w:tcPr>
          <w:p w:rsidR="00F95B3A" w:rsidRPr="000E19C4" w:rsidRDefault="005542BA">
            <w:pPr>
              <w:rPr>
                <w:rFonts w:ascii="Nyala" w:hAnsi="Nyala"/>
                <w:b/>
                <w:iCs/>
                <w:sz w:val="18"/>
                <w:szCs w:val="18"/>
              </w:rPr>
            </w:pPr>
            <w:r w:rsidRPr="000E19C4">
              <w:rPr>
                <w:rFonts w:ascii="Nyala" w:hAnsi="Nyala"/>
                <w:b/>
                <w:iCs/>
                <w:sz w:val="18"/>
                <w:szCs w:val="18"/>
              </w:rPr>
              <w:t>PS</w:t>
            </w:r>
          </w:p>
        </w:tc>
        <w:tc>
          <w:tcPr>
            <w:tcW w:w="7649" w:type="dxa"/>
          </w:tcPr>
          <w:p w:rsidR="00F95B3A" w:rsidRPr="000E19C4" w:rsidRDefault="005542BA">
            <w:pPr>
              <w:rPr>
                <w:rFonts w:ascii="Nyala" w:hAnsi="Nyala"/>
                <w:iCs/>
                <w:sz w:val="18"/>
                <w:szCs w:val="18"/>
              </w:rPr>
            </w:pPr>
            <w:r w:rsidRPr="000E19C4">
              <w:rPr>
                <w:rFonts w:ascii="Nyala" w:hAnsi="Nyala"/>
                <w:iCs/>
                <w:sz w:val="18"/>
                <w:szCs w:val="18"/>
              </w:rPr>
              <w:t>Programme straté</w:t>
            </w:r>
            <w:r w:rsidR="000E19C4">
              <w:rPr>
                <w:rFonts w:ascii="Nyala" w:hAnsi="Nyala"/>
                <w:iCs/>
                <w:sz w:val="18"/>
                <w:szCs w:val="18"/>
              </w:rPr>
              <w:t>gi</w:t>
            </w:r>
            <w:r w:rsidRPr="000E19C4">
              <w:rPr>
                <w:rFonts w:ascii="Nyala" w:hAnsi="Nyala"/>
                <w:iCs/>
                <w:sz w:val="18"/>
                <w:szCs w:val="18"/>
              </w:rPr>
              <w:t>que</w:t>
            </w:r>
          </w:p>
        </w:tc>
      </w:tr>
      <w:tr w:rsidR="00F95B3A" w:rsidRPr="00503967" w:rsidTr="00C97A1A">
        <w:tc>
          <w:tcPr>
            <w:tcW w:w="1413" w:type="dxa"/>
          </w:tcPr>
          <w:p w:rsidR="00F95B3A" w:rsidRPr="000E19C4" w:rsidRDefault="00F95B3A">
            <w:pPr>
              <w:rPr>
                <w:rFonts w:ascii="Nyala" w:hAnsi="Nyala"/>
                <w:b/>
                <w:iCs/>
                <w:sz w:val="18"/>
                <w:szCs w:val="18"/>
              </w:rPr>
            </w:pPr>
            <w:r w:rsidRPr="000E19C4">
              <w:rPr>
                <w:rFonts w:ascii="Nyala" w:hAnsi="Nyala"/>
                <w:b/>
                <w:iCs/>
                <w:sz w:val="18"/>
                <w:szCs w:val="18"/>
              </w:rPr>
              <w:t>PTF</w:t>
            </w:r>
          </w:p>
        </w:tc>
        <w:tc>
          <w:tcPr>
            <w:tcW w:w="7649" w:type="dxa"/>
          </w:tcPr>
          <w:p w:rsidR="00F95B3A" w:rsidRPr="000E19C4" w:rsidRDefault="00F95B3A">
            <w:pPr>
              <w:rPr>
                <w:rFonts w:ascii="Nyala" w:hAnsi="Nyala"/>
                <w:iCs/>
                <w:sz w:val="18"/>
                <w:szCs w:val="18"/>
              </w:rPr>
            </w:pPr>
            <w:r w:rsidRPr="000E19C4">
              <w:rPr>
                <w:rFonts w:ascii="Nyala" w:hAnsi="Nyala"/>
                <w:iCs/>
                <w:sz w:val="18"/>
                <w:szCs w:val="18"/>
              </w:rPr>
              <w:t>Partenaires techniques et financiers</w:t>
            </w:r>
          </w:p>
        </w:tc>
      </w:tr>
      <w:tr w:rsidR="00503967" w:rsidRPr="00503967" w:rsidTr="00C97A1A">
        <w:tc>
          <w:tcPr>
            <w:tcW w:w="1413" w:type="dxa"/>
          </w:tcPr>
          <w:p w:rsidR="00503967" w:rsidRPr="000E19C4" w:rsidRDefault="00B677BD">
            <w:pPr>
              <w:rPr>
                <w:rFonts w:ascii="Nyala" w:hAnsi="Nyala"/>
                <w:b/>
                <w:iCs/>
                <w:sz w:val="18"/>
                <w:szCs w:val="18"/>
              </w:rPr>
            </w:pPr>
            <w:r w:rsidRPr="000E19C4">
              <w:rPr>
                <w:rFonts w:ascii="Nyala" w:hAnsi="Nyala"/>
                <w:b/>
                <w:iCs/>
                <w:sz w:val="18"/>
                <w:szCs w:val="18"/>
              </w:rPr>
              <w:t>RGAC</w:t>
            </w:r>
          </w:p>
        </w:tc>
        <w:tc>
          <w:tcPr>
            <w:tcW w:w="7649" w:type="dxa"/>
          </w:tcPr>
          <w:p w:rsidR="00503967" w:rsidRPr="000E19C4" w:rsidRDefault="00B677BD">
            <w:pPr>
              <w:rPr>
                <w:rFonts w:ascii="Nyala" w:hAnsi="Nyala"/>
                <w:iCs/>
                <w:sz w:val="18"/>
                <w:szCs w:val="18"/>
              </w:rPr>
            </w:pPr>
            <w:r w:rsidRPr="000E19C4">
              <w:rPr>
                <w:rFonts w:ascii="Nyala" w:hAnsi="Nyala"/>
                <w:iCs/>
                <w:sz w:val="18"/>
                <w:szCs w:val="18"/>
              </w:rPr>
              <w:t>Recensement Général de l’Agriculture et du Cheptel</w:t>
            </w:r>
          </w:p>
        </w:tc>
      </w:tr>
      <w:tr w:rsidR="00B677BD" w:rsidRPr="00503967" w:rsidTr="00C97A1A">
        <w:tc>
          <w:tcPr>
            <w:tcW w:w="1413" w:type="dxa"/>
          </w:tcPr>
          <w:p w:rsidR="00B677BD" w:rsidRPr="000E19C4" w:rsidRDefault="00B677BD">
            <w:pPr>
              <w:rPr>
                <w:rFonts w:ascii="Nyala" w:hAnsi="Nyala"/>
                <w:b/>
                <w:iCs/>
                <w:sz w:val="18"/>
                <w:szCs w:val="18"/>
              </w:rPr>
            </w:pPr>
            <w:r w:rsidRPr="000E19C4">
              <w:rPr>
                <w:rFonts w:ascii="Nyala" w:hAnsi="Nyala"/>
                <w:b/>
                <w:iCs/>
                <w:sz w:val="18"/>
                <w:szCs w:val="18"/>
              </w:rPr>
              <w:t>SANDAD</w:t>
            </w:r>
          </w:p>
        </w:tc>
        <w:tc>
          <w:tcPr>
            <w:tcW w:w="7649" w:type="dxa"/>
          </w:tcPr>
          <w:p w:rsidR="00B677BD" w:rsidRPr="000E19C4" w:rsidRDefault="00B677BD">
            <w:pPr>
              <w:rPr>
                <w:rFonts w:ascii="Nyala" w:hAnsi="Nyala"/>
                <w:iCs/>
                <w:sz w:val="18"/>
                <w:szCs w:val="18"/>
              </w:rPr>
            </w:pPr>
            <w:r w:rsidRPr="000E19C4">
              <w:rPr>
                <w:rFonts w:ascii="Nyala" w:hAnsi="Nyala"/>
                <w:iCs/>
                <w:sz w:val="18"/>
                <w:szCs w:val="18"/>
              </w:rPr>
              <w:t>Stratégie de Sécurité alimentaire et Nutritionnelle et de Développement agricole Durable.</w:t>
            </w:r>
          </w:p>
        </w:tc>
      </w:tr>
      <w:tr w:rsidR="00503967" w:rsidRPr="00503967" w:rsidTr="00C97A1A">
        <w:tc>
          <w:tcPr>
            <w:tcW w:w="1413" w:type="dxa"/>
          </w:tcPr>
          <w:p w:rsidR="00503967" w:rsidRPr="000E19C4" w:rsidRDefault="00052025">
            <w:pPr>
              <w:rPr>
                <w:rFonts w:ascii="Nyala" w:hAnsi="Nyala"/>
                <w:b/>
                <w:iCs/>
                <w:sz w:val="18"/>
                <w:szCs w:val="18"/>
              </w:rPr>
            </w:pPr>
            <w:r w:rsidRPr="000E19C4">
              <w:rPr>
                <w:rFonts w:ascii="Nyala" w:hAnsi="Nyala"/>
                <w:b/>
                <w:iCs/>
                <w:sz w:val="18"/>
                <w:szCs w:val="18"/>
              </w:rPr>
              <w:t>SCA</w:t>
            </w:r>
          </w:p>
        </w:tc>
        <w:tc>
          <w:tcPr>
            <w:tcW w:w="7649" w:type="dxa"/>
          </w:tcPr>
          <w:p w:rsidR="00503967" w:rsidRPr="000E19C4" w:rsidRDefault="00052025">
            <w:pPr>
              <w:rPr>
                <w:rFonts w:ascii="Nyala" w:hAnsi="Nyala"/>
                <w:iCs/>
                <w:sz w:val="18"/>
                <w:szCs w:val="18"/>
              </w:rPr>
            </w:pPr>
            <w:r w:rsidRPr="000E19C4">
              <w:rPr>
                <w:rFonts w:ascii="Nyala" w:hAnsi="Nyala"/>
                <w:iCs/>
                <w:sz w:val="18"/>
                <w:szCs w:val="18"/>
              </w:rPr>
              <w:t>Score de Consommation alimentaire</w:t>
            </w:r>
          </w:p>
        </w:tc>
      </w:tr>
      <w:tr w:rsidR="00503967" w:rsidRPr="00503967" w:rsidTr="00C97A1A">
        <w:tc>
          <w:tcPr>
            <w:tcW w:w="1413" w:type="dxa"/>
          </w:tcPr>
          <w:p w:rsidR="00503967" w:rsidRPr="000E19C4" w:rsidRDefault="00052025">
            <w:pPr>
              <w:rPr>
                <w:rFonts w:ascii="Nyala" w:hAnsi="Nyala"/>
                <w:b/>
                <w:iCs/>
                <w:sz w:val="18"/>
                <w:szCs w:val="18"/>
              </w:rPr>
            </w:pPr>
            <w:r w:rsidRPr="000E19C4">
              <w:rPr>
                <w:rFonts w:ascii="Nyala" w:hAnsi="Nyala"/>
                <w:b/>
                <w:iCs/>
                <w:sz w:val="18"/>
                <w:szCs w:val="18"/>
              </w:rPr>
              <w:t>SDA</w:t>
            </w:r>
          </w:p>
        </w:tc>
        <w:tc>
          <w:tcPr>
            <w:tcW w:w="7649" w:type="dxa"/>
          </w:tcPr>
          <w:p w:rsidR="00503967" w:rsidRPr="000E19C4" w:rsidRDefault="00052025">
            <w:pPr>
              <w:rPr>
                <w:rFonts w:ascii="Nyala" w:hAnsi="Nyala"/>
                <w:iCs/>
                <w:sz w:val="18"/>
                <w:szCs w:val="18"/>
              </w:rPr>
            </w:pPr>
            <w:r w:rsidRPr="000E19C4">
              <w:rPr>
                <w:rFonts w:ascii="Nyala" w:hAnsi="Nyala"/>
                <w:iCs/>
                <w:sz w:val="18"/>
                <w:szCs w:val="18"/>
              </w:rPr>
              <w:t>Score de Diversité Alimentaire</w:t>
            </w:r>
          </w:p>
        </w:tc>
      </w:tr>
      <w:tr w:rsidR="00503967" w:rsidRPr="00503967" w:rsidTr="00C97A1A">
        <w:tc>
          <w:tcPr>
            <w:tcW w:w="1413" w:type="dxa"/>
          </w:tcPr>
          <w:p w:rsidR="00503967" w:rsidRPr="000E19C4" w:rsidRDefault="00052025">
            <w:pPr>
              <w:rPr>
                <w:rFonts w:ascii="Nyala" w:hAnsi="Nyala"/>
                <w:b/>
                <w:iCs/>
                <w:sz w:val="18"/>
                <w:szCs w:val="18"/>
              </w:rPr>
            </w:pPr>
            <w:r w:rsidRPr="000E19C4">
              <w:rPr>
                <w:rFonts w:ascii="Nyala" w:hAnsi="Nyala"/>
                <w:b/>
                <w:iCs/>
                <w:sz w:val="18"/>
                <w:szCs w:val="18"/>
              </w:rPr>
              <w:t>SDDCI</w:t>
            </w:r>
          </w:p>
        </w:tc>
        <w:tc>
          <w:tcPr>
            <w:tcW w:w="7649" w:type="dxa"/>
          </w:tcPr>
          <w:p w:rsidR="00503967" w:rsidRPr="000E19C4" w:rsidRDefault="00052025">
            <w:pPr>
              <w:rPr>
                <w:rFonts w:ascii="Nyala" w:hAnsi="Nyala"/>
                <w:iCs/>
                <w:sz w:val="18"/>
                <w:szCs w:val="18"/>
              </w:rPr>
            </w:pPr>
            <w:r w:rsidRPr="000E19C4">
              <w:rPr>
                <w:rFonts w:ascii="Nyala" w:hAnsi="Nyala"/>
                <w:iCs/>
                <w:sz w:val="18"/>
                <w:szCs w:val="18"/>
              </w:rPr>
              <w:t>Stratégie de Développement Durable et de croissance inclusive</w:t>
            </w:r>
          </w:p>
        </w:tc>
      </w:tr>
      <w:tr w:rsidR="00F95B3A" w:rsidRPr="00503967" w:rsidTr="00C97A1A">
        <w:tc>
          <w:tcPr>
            <w:tcW w:w="1413" w:type="dxa"/>
          </w:tcPr>
          <w:p w:rsidR="00F95B3A" w:rsidRPr="000E19C4" w:rsidRDefault="00F95B3A">
            <w:pPr>
              <w:rPr>
                <w:rFonts w:ascii="Nyala" w:hAnsi="Nyala"/>
                <w:b/>
                <w:iCs/>
                <w:sz w:val="18"/>
                <w:szCs w:val="18"/>
              </w:rPr>
            </w:pPr>
            <w:r w:rsidRPr="000E19C4">
              <w:rPr>
                <w:rFonts w:ascii="Nyala" w:hAnsi="Nyala"/>
                <w:b/>
                <w:iCs/>
                <w:sz w:val="18"/>
                <w:szCs w:val="18"/>
              </w:rPr>
              <w:t>SDDEL</w:t>
            </w:r>
          </w:p>
        </w:tc>
        <w:tc>
          <w:tcPr>
            <w:tcW w:w="7649" w:type="dxa"/>
          </w:tcPr>
          <w:p w:rsidR="00F95B3A" w:rsidRPr="000E19C4" w:rsidRDefault="00F95B3A">
            <w:pPr>
              <w:rPr>
                <w:rFonts w:ascii="Nyala" w:hAnsi="Nyala"/>
                <w:iCs/>
                <w:sz w:val="18"/>
                <w:szCs w:val="18"/>
              </w:rPr>
            </w:pPr>
            <w:r w:rsidRPr="000E19C4">
              <w:rPr>
                <w:rFonts w:ascii="Nyala" w:hAnsi="Nyala"/>
                <w:iCs/>
                <w:sz w:val="18"/>
                <w:szCs w:val="18"/>
              </w:rPr>
              <w:t>Stratégie de Développement Durable de l’Elevage</w:t>
            </w:r>
          </w:p>
        </w:tc>
      </w:tr>
      <w:tr w:rsidR="005542BA" w:rsidRPr="00503967" w:rsidTr="00C97A1A">
        <w:tc>
          <w:tcPr>
            <w:tcW w:w="1413" w:type="dxa"/>
          </w:tcPr>
          <w:p w:rsidR="005542BA" w:rsidRPr="000E19C4" w:rsidRDefault="005542BA">
            <w:pPr>
              <w:rPr>
                <w:rFonts w:ascii="Nyala" w:hAnsi="Nyala"/>
                <w:b/>
                <w:iCs/>
                <w:sz w:val="18"/>
                <w:szCs w:val="18"/>
              </w:rPr>
            </w:pPr>
            <w:r w:rsidRPr="000E19C4">
              <w:rPr>
                <w:rFonts w:ascii="Nyala" w:hAnsi="Nyala"/>
                <w:b/>
                <w:iCs/>
                <w:sz w:val="18"/>
                <w:szCs w:val="18"/>
              </w:rPr>
              <w:t>SINUS-Niger</w:t>
            </w:r>
          </w:p>
        </w:tc>
        <w:tc>
          <w:tcPr>
            <w:tcW w:w="7649" w:type="dxa"/>
          </w:tcPr>
          <w:p w:rsidR="005542BA" w:rsidRPr="000E19C4" w:rsidRDefault="005542BA">
            <w:pPr>
              <w:rPr>
                <w:rFonts w:ascii="Nyala" w:hAnsi="Nyala"/>
                <w:iCs/>
                <w:sz w:val="18"/>
                <w:szCs w:val="18"/>
              </w:rPr>
            </w:pPr>
            <w:r w:rsidRPr="000E19C4">
              <w:rPr>
                <w:rFonts w:ascii="Nyala" w:hAnsi="Nyala"/>
                <w:bCs/>
                <w:color w:val="000000"/>
                <w:sz w:val="18"/>
                <w:szCs w:val="18"/>
                <w:lang w:eastAsia="fr-FR"/>
              </w:rPr>
              <w:t>Stratégie Intégrée des Nations- Unies pour le Sahel</w:t>
            </w:r>
          </w:p>
        </w:tc>
      </w:tr>
      <w:tr w:rsidR="00B677BD" w:rsidRPr="00503967" w:rsidTr="00C97A1A">
        <w:tc>
          <w:tcPr>
            <w:tcW w:w="1413" w:type="dxa"/>
          </w:tcPr>
          <w:p w:rsidR="00B677BD" w:rsidRPr="000E19C4" w:rsidRDefault="00ED12A8">
            <w:pPr>
              <w:rPr>
                <w:rFonts w:ascii="Nyala" w:hAnsi="Nyala"/>
                <w:b/>
                <w:iCs/>
                <w:sz w:val="18"/>
                <w:szCs w:val="18"/>
              </w:rPr>
            </w:pPr>
            <w:r w:rsidRPr="000E19C4">
              <w:rPr>
                <w:rFonts w:ascii="Nyala" w:hAnsi="Nyala"/>
                <w:b/>
                <w:iCs/>
                <w:sz w:val="18"/>
                <w:szCs w:val="18"/>
              </w:rPr>
              <w:t>SNRA</w:t>
            </w:r>
          </w:p>
        </w:tc>
        <w:tc>
          <w:tcPr>
            <w:tcW w:w="7649" w:type="dxa"/>
          </w:tcPr>
          <w:p w:rsidR="00B677BD" w:rsidRPr="000E19C4" w:rsidRDefault="00ED12A8">
            <w:pPr>
              <w:rPr>
                <w:rFonts w:ascii="Nyala" w:hAnsi="Nyala"/>
                <w:iCs/>
                <w:sz w:val="18"/>
                <w:szCs w:val="18"/>
              </w:rPr>
            </w:pPr>
            <w:r w:rsidRPr="000E19C4">
              <w:rPr>
                <w:rFonts w:ascii="Nyala" w:hAnsi="Nyala"/>
                <w:iCs/>
                <w:sz w:val="18"/>
                <w:szCs w:val="18"/>
              </w:rPr>
              <w:t>Système National de Recherche Agronomique</w:t>
            </w:r>
          </w:p>
        </w:tc>
      </w:tr>
      <w:tr w:rsidR="00F95B3A" w:rsidRPr="00503967" w:rsidTr="00C97A1A">
        <w:tc>
          <w:tcPr>
            <w:tcW w:w="1413" w:type="dxa"/>
          </w:tcPr>
          <w:p w:rsidR="00F95B3A" w:rsidRPr="000E19C4" w:rsidRDefault="00F95B3A">
            <w:pPr>
              <w:rPr>
                <w:rFonts w:ascii="Nyala" w:hAnsi="Nyala"/>
                <w:b/>
                <w:iCs/>
                <w:sz w:val="18"/>
                <w:szCs w:val="18"/>
              </w:rPr>
            </w:pPr>
            <w:r w:rsidRPr="000E19C4">
              <w:rPr>
                <w:rFonts w:ascii="Nyala" w:hAnsi="Nyala"/>
                <w:b/>
                <w:iCs/>
                <w:sz w:val="18"/>
                <w:szCs w:val="18"/>
              </w:rPr>
              <w:t>SN-PFLN</w:t>
            </w:r>
          </w:p>
        </w:tc>
        <w:tc>
          <w:tcPr>
            <w:tcW w:w="7649" w:type="dxa"/>
          </w:tcPr>
          <w:p w:rsidR="00F95B3A" w:rsidRPr="000E19C4" w:rsidRDefault="00F95B3A">
            <w:pPr>
              <w:rPr>
                <w:rFonts w:ascii="Nyala" w:hAnsi="Nyala"/>
                <w:iCs/>
                <w:sz w:val="18"/>
                <w:szCs w:val="18"/>
              </w:rPr>
            </w:pPr>
            <w:r w:rsidRPr="000E19C4">
              <w:rPr>
                <w:rFonts w:ascii="Nyala" w:hAnsi="Nyala" w:cs="Arial"/>
                <w:sz w:val="18"/>
                <w:szCs w:val="18"/>
              </w:rPr>
              <w:t xml:space="preserve">La stratégie nationale de promotion et de valorisation des produits forestiers Non </w:t>
            </w:r>
            <w:r w:rsidR="000E19C4">
              <w:rPr>
                <w:rFonts w:ascii="Nyala" w:hAnsi="Nyala" w:cs="Arial"/>
                <w:sz w:val="18"/>
                <w:szCs w:val="18"/>
              </w:rPr>
              <w:t>ligneux</w:t>
            </w:r>
          </w:p>
        </w:tc>
      </w:tr>
      <w:tr w:rsidR="00F95B3A" w:rsidRPr="00503967" w:rsidTr="00C97A1A">
        <w:tc>
          <w:tcPr>
            <w:tcW w:w="1413" w:type="dxa"/>
          </w:tcPr>
          <w:p w:rsidR="00F95B3A" w:rsidRPr="000E19C4" w:rsidRDefault="005542BA">
            <w:pPr>
              <w:rPr>
                <w:rFonts w:ascii="Nyala" w:hAnsi="Nyala"/>
                <w:b/>
                <w:iCs/>
                <w:sz w:val="18"/>
                <w:szCs w:val="18"/>
              </w:rPr>
            </w:pPr>
            <w:r w:rsidRPr="000E19C4">
              <w:rPr>
                <w:rFonts w:ascii="Nyala" w:hAnsi="Nyala"/>
                <w:b/>
                <w:iCs/>
                <w:sz w:val="18"/>
                <w:szCs w:val="18"/>
              </w:rPr>
              <w:t>SP/DNPGCA</w:t>
            </w:r>
          </w:p>
        </w:tc>
        <w:tc>
          <w:tcPr>
            <w:tcW w:w="7649" w:type="dxa"/>
          </w:tcPr>
          <w:p w:rsidR="00F95B3A" w:rsidRPr="000E19C4" w:rsidRDefault="005542BA">
            <w:pPr>
              <w:rPr>
                <w:rFonts w:ascii="Nyala" w:hAnsi="Nyala"/>
                <w:iCs/>
                <w:sz w:val="18"/>
                <w:szCs w:val="18"/>
              </w:rPr>
            </w:pPr>
            <w:r w:rsidRPr="000E19C4">
              <w:rPr>
                <w:rFonts w:ascii="Nyala" w:hAnsi="Nyala"/>
                <w:iCs/>
                <w:sz w:val="18"/>
                <w:szCs w:val="18"/>
              </w:rPr>
              <w:t>Secrétariat Permanent du DNPGCA</w:t>
            </w:r>
          </w:p>
        </w:tc>
      </w:tr>
      <w:tr w:rsidR="00B677BD" w:rsidRPr="00503967" w:rsidTr="00C97A1A">
        <w:tc>
          <w:tcPr>
            <w:tcW w:w="1413" w:type="dxa"/>
          </w:tcPr>
          <w:p w:rsidR="00B677BD" w:rsidRPr="000E19C4" w:rsidRDefault="00B677BD">
            <w:pPr>
              <w:rPr>
                <w:rFonts w:ascii="Nyala" w:hAnsi="Nyala"/>
                <w:b/>
                <w:iCs/>
                <w:sz w:val="18"/>
                <w:szCs w:val="18"/>
              </w:rPr>
            </w:pPr>
            <w:r w:rsidRPr="000E19C4">
              <w:rPr>
                <w:rFonts w:ascii="Nyala" w:hAnsi="Nyala"/>
                <w:b/>
                <w:iCs/>
                <w:sz w:val="18"/>
                <w:szCs w:val="18"/>
              </w:rPr>
              <w:t>UBT</w:t>
            </w:r>
          </w:p>
        </w:tc>
        <w:tc>
          <w:tcPr>
            <w:tcW w:w="7649" w:type="dxa"/>
          </w:tcPr>
          <w:p w:rsidR="00B677BD" w:rsidRPr="000E19C4" w:rsidRDefault="00B677BD">
            <w:pPr>
              <w:rPr>
                <w:rFonts w:ascii="Nyala" w:hAnsi="Nyala"/>
                <w:iCs/>
                <w:sz w:val="18"/>
                <w:szCs w:val="18"/>
              </w:rPr>
            </w:pPr>
            <w:r w:rsidRPr="000E19C4">
              <w:rPr>
                <w:rFonts w:ascii="Nyala" w:hAnsi="Nyala"/>
                <w:iCs/>
                <w:sz w:val="18"/>
                <w:szCs w:val="18"/>
              </w:rPr>
              <w:t>Unité de Bétail Tropical</w:t>
            </w:r>
          </w:p>
        </w:tc>
      </w:tr>
      <w:tr w:rsidR="00B677BD" w:rsidRPr="00503967" w:rsidTr="00C97A1A">
        <w:tc>
          <w:tcPr>
            <w:tcW w:w="1413" w:type="dxa"/>
          </w:tcPr>
          <w:p w:rsidR="00B677BD" w:rsidRPr="000E19C4" w:rsidRDefault="00ED12A8">
            <w:pPr>
              <w:rPr>
                <w:rFonts w:ascii="Nyala" w:hAnsi="Nyala"/>
                <w:b/>
                <w:iCs/>
                <w:sz w:val="18"/>
                <w:szCs w:val="18"/>
              </w:rPr>
            </w:pPr>
            <w:r w:rsidRPr="000E19C4">
              <w:rPr>
                <w:rFonts w:ascii="Nyala" w:hAnsi="Nyala"/>
                <w:b/>
                <w:iCs/>
                <w:sz w:val="18"/>
                <w:szCs w:val="18"/>
              </w:rPr>
              <w:t>UEMOA</w:t>
            </w:r>
          </w:p>
        </w:tc>
        <w:tc>
          <w:tcPr>
            <w:tcW w:w="7649" w:type="dxa"/>
          </w:tcPr>
          <w:p w:rsidR="00B677BD" w:rsidRPr="000E19C4" w:rsidRDefault="00ED12A8">
            <w:pPr>
              <w:rPr>
                <w:rFonts w:ascii="Nyala" w:hAnsi="Nyala"/>
                <w:iCs/>
                <w:sz w:val="18"/>
                <w:szCs w:val="18"/>
              </w:rPr>
            </w:pPr>
            <w:r w:rsidRPr="000E19C4">
              <w:rPr>
                <w:rFonts w:ascii="Nyala" w:hAnsi="Nyala"/>
                <w:iCs/>
                <w:sz w:val="18"/>
                <w:szCs w:val="18"/>
              </w:rPr>
              <w:t>Union Monétaire Ouest Africaine</w:t>
            </w:r>
          </w:p>
        </w:tc>
      </w:tr>
      <w:tr w:rsidR="00503967" w:rsidRPr="00503967" w:rsidTr="00C97A1A">
        <w:tc>
          <w:tcPr>
            <w:tcW w:w="1413" w:type="dxa"/>
          </w:tcPr>
          <w:p w:rsidR="00503967" w:rsidRPr="000E19C4" w:rsidRDefault="00503967">
            <w:pPr>
              <w:rPr>
                <w:rFonts w:ascii="Nyala" w:hAnsi="Nyala"/>
                <w:b/>
                <w:iCs/>
                <w:sz w:val="18"/>
                <w:szCs w:val="18"/>
              </w:rPr>
            </w:pPr>
            <w:r w:rsidRPr="000E19C4">
              <w:rPr>
                <w:rFonts w:ascii="Nyala" w:hAnsi="Nyala"/>
                <w:b/>
                <w:iCs/>
                <w:sz w:val="18"/>
                <w:szCs w:val="18"/>
              </w:rPr>
              <w:t>UNICEF</w:t>
            </w:r>
          </w:p>
        </w:tc>
        <w:tc>
          <w:tcPr>
            <w:tcW w:w="7649" w:type="dxa"/>
          </w:tcPr>
          <w:p w:rsidR="00503967" w:rsidRPr="000E19C4" w:rsidRDefault="00503967">
            <w:pPr>
              <w:rPr>
                <w:rFonts w:ascii="Nyala" w:hAnsi="Nyala"/>
                <w:iCs/>
                <w:sz w:val="18"/>
                <w:szCs w:val="18"/>
              </w:rPr>
            </w:pPr>
            <w:r w:rsidRPr="000E19C4">
              <w:rPr>
                <w:rFonts w:ascii="Nyala" w:hAnsi="Nyala"/>
                <w:iCs/>
                <w:sz w:val="18"/>
                <w:szCs w:val="18"/>
              </w:rPr>
              <w:t>United Nations Children Fund</w:t>
            </w:r>
          </w:p>
        </w:tc>
      </w:tr>
      <w:tr w:rsidR="00503967" w:rsidRPr="00D5664F" w:rsidTr="00C97A1A">
        <w:tc>
          <w:tcPr>
            <w:tcW w:w="1413" w:type="dxa"/>
          </w:tcPr>
          <w:p w:rsidR="00503967" w:rsidRPr="000E19C4" w:rsidRDefault="00B677BD">
            <w:pPr>
              <w:rPr>
                <w:rFonts w:ascii="Nyala" w:hAnsi="Nyala"/>
                <w:b/>
                <w:iCs/>
                <w:sz w:val="18"/>
                <w:szCs w:val="18"/>
              </w:rPr>
            </w:pPr>
            <w:r w:rsidRPr="000E19C4">
              <w:rPr>
                <w:rFonts w:ascii="Nyala" w:hAnsi="Nyala"/>
                <w:b/>
                <w:sz w:val="18"/>
                <w:szCs w:val="18"/>
              </w:rPr>
              <w:t>UNSCN</w:t>
            </w:r>
          </w:p>
        </w:tc>
        <w:tc>
          <w:tcPr>
            <w:tcW w:w="7649" w:type="dxa"/>
          </w:tcPr>
          <w:p w:rsidR="00503967" w:rsidRPr="00146325" w:rsidRDefault="00B677BD" w:rsidP="00B677BD">
            <w:pPr>
              <w:rPr>
                <w:rFonts w:ascii="Nyala" w:hAnsi="Nyala"/>
                <w:iCs/>
                <w:sz w:val="18"/>
                <w:szCs w:val="18"/>
                <w:lang w:val="en-US"/>
              </w:rPr>
            </w:pPr>
            <w:r w:rsidRPr="00146325">
              <w:rPr>
                <w:rFonts w:ascii="Nyala" w:hAnsi="Nyala"/>
                <w:sz w:val="18"/>
                <w:szCs w:val="18"/>
                <w:lang w:val="en-US"/>
              </w:rPr>
              <w:t>United Nations System/Standing Committee on Nutrition</w:t>
            </w:r>
          </w:p>
        </w:tc>
      </w:tr>
      <w:tr w:rsidR="00503967" w:rsidRPr="00D5664F" w:rsidTr="00C97A1A">
        <w:tc>
          <w:tcPr>
            <w:tcW w:w="1413" w:type="dxa"/>
          </w:tcPr>
          <w:p w:rsidR="00503967" w:rsidRPr="00146325" w:rsidRDefault="00503967">
            <w:pPr>
              <w:rPr>
                <w:rFonts w:ascii="Nyala" w:hAnsi="Nyala"/>
                <w:b/>
                <w:iCs/>
                <w:sz w:val="18"/>
                <w:szCs w:val="18"/>
                <w:lang w:val="en-US"/>
              </w:rPr>
            </w:pPr>
          </w:p>
        </w:tc>
        <w:tc>
          <w:tcPr>
            <w:tcW w:w="7649" w:type="dxa"/>
          </w:tcPr>
          <w:p w:rsidR="00503967" w:rsidRPr="00146325" w:rsidRDefault="00503967">
            <w:pPr>
              <w:rPr>
                <w:rFonts w:ascii="Nyala" w:hAnsi="Nyala"/>
                <w:iCs/>
                <w:sz w:val="18"/>
                <w:szCs w:val="18"/>
                <w:lang w:val="en-US"/>
              </w:rPr>
            </w:pPr>
          </w:p>
        </w:tc>
      </w:tr>
      <w:tr w:rsidR="00503967" w:rsidRPr="00D5664F" w:rsidTr="00C97A1A">
        <w:tc>
          <w:tcPr>
            <w:tcW w:w="1413" w:type="dxa"/>
          </w:tcPr>
          <w:p w:rsidR="00503967" w:rsidRPr="00146325" w:rsidRDefault="00503967">
            <w:pPr>
              <w:rPr>
                <w:rFonts w:ascii="Nyala" w:hAnsi="Nyala"/>
                <w:b/>
                <w:iCs/>
                <w:sz w:val="18"/>
                <w:szCs w:val="18"/>
                <w:lang w:val="en-US"/>
              </w:rPr>
            </w:pPr>
          </w:p>
        </w:tc>
        <w:tc>
          <w:tcPr>
            <w:tcW w:w="7649" w:type="dxa"/>
          </w:tcPr>
          <w:p w:rsidR="00503967" w:rsidRPr="00146325" w:rsidRDefault="00503967">
            <w:pPr>
              <w:rPr>
                <w:rFonts w:ascii="Nyala" w:hAnsi="Nyala"/>
                <w:iCs/>
                <w:sz w:val="18"/>
                <w:szCs w:val="18"/>
                <w:lang w:val="en-US"/>
              </w:rPr>
            </w:pPr>
          </w:p>
        </w:tc>
      </w:tr>
      <w:tr w:rsidR="00503967" w:rsidRPr="00D5664F" w:rsidTr="00C97A1A">
        <w:tc>
          <w:tcPr>
            <w:tcW w:w="1413" w:type="dxa"/>
          </w:tcPr>
          <w:p w:rsidR="00503967" w:rsidRPr="00146325" w:rsidRDefault="00503967">
            <w:pPr>
              <w:rPr>
                <w:rFonts w:ascii="Nyala" w:hAnsi="Nyala"/>
                <w:b/>
                <w:iCs/>
                <w:sz w:val="18"/>
                <w:szCs w:val="18"/>
                <w:lang w:val="en-US"/>
              </w:rPr>
            </w:pPr>
          </w:p>
        </w:tc>
        <w:tc>
          <w:tcPr>
            <w:tcW w:w="7649" w:type="dxa"/>
          </w:tcPr>
          <w:p w:rsidR="00503967" w:rsidRPr="00146325" w:rsidRDefault="00503967">
            <w:pPr>
              <w:rPr>
                <w:rFonts w:ascii="Nyala" w:hAnsi="Nyala"/>
                <w:iCs/>
                <w:sz w:val="18"/>
                <w:szCs w:val="18"/>
                <w:lang w:val="en-US"/>
              </w:rPr>
            </w:pPr>
          </w:p>
        </w:tc>
      </w:tr>
    </w:tbl>
    <w:p w:rsidR="00503967" w:rsidRPr="00146325" w:rsidRDefault="00503967">
      <w:pPr>
        <w:rPr>
          <w:rFonts w:ascii="Nyala" w:hAnsi="Nyala"/>
          <w:iCs/>
          <w:sz w:val="28"/>
          <w:szCs w:val="28"/>
          <w:lang w:val="en-US"/>
        </w:rPr>
      </w:pPr>
    </w:p>
    <w:p w:rsidR="00503967" w:rsidRPr="00146325" w:rsidRDefault="00503967">
      <w:pPr>
        <w:rPr>
          <w:rFonts w:ascii="Nyala" w:hAnsi="Nyala"/>
          <w:iCs/>
          <w:sz w:val="28"/>
          <w:szCs w:val="28"/>
          <w:lang w:val="en-US"/>
        </w:rPr>
      </w:pPr>
      <w:r w:rsidRPr="00146325">
        <w:rPr>
          <w:rFonts w:ascii="Nyala" w:hAnsi="Nyala"/>
          <w:iCs/>
          <w:sz w:val="28"/>
          <w:szCs w:val="28"/>
          <w:lang w:val="en-US"/>
        </w:rPr>
        <w:br w:type="page"/>
      </w:r>
    </w:p>
    <w:p w:rsidR="005B0DD7" w:rsidRPr="00146325" w:rsidRDefault="005B0DD7">
      <w:pPr>
        <w:rPr>
          <w:rFonts w:ascii="Nyala" w:hAnsi="Nyala"/>
          <w:iCs/>
          <w:sz w:val="28"/>
          <w:szCs w:val="28"/>
          <w:lang w:val="en-US"/>
        </w:rPr>
      </w:pPr>
    </w:p>
    <w:p w:rsidR="005B0DD7" w:rsidRPr="006866D3" w:rsidRDefault="005B0DD7" w:rsidP="005B0DD7">
      <w:pPr>
        <w:pStyle w:val="Titre1"/>
        <w:rPr>
          <w:sz w:val="28"/>
          <w:szCs w:val="28"/>
        </w:rPr>
      </w:pPr>
      <w:bookmarkStart w:id="3" w:name="_Toc526119962"/>
      <w:r w:rsidRPr="006866D3">
        <w:rPr>
          <w:sz w:val="28"/>
          <w:szCs w:val="28"/>
        </w:rPr>
        <w:t>Liste des illustrations</w:t>
      </w:r>
      <w:bookmarkEnd w:id="3"/>
    </w:p>
    <w:p w:rsidR="005B0DD7" w:rsidRPr="006866D3" w:rsidRDefault="005B0DD7" w:rsidP="005B0DD7">
      <w:pPr>
        <w:rPr>
          <w:sz w:val="28"/>
          <w:szCs w:val="28"/>
        </w:rPr>
      </w:pPr>
    </w:p>
    <w:p w:rsidR="00F27E2F" w:rsidRDefault="00D639F2">
      <w:pPr>
        <w:pStyle w:val="Tabledesillustrations"/>
        <w:tabs>
          <w:tab w:val="right" w:leader="dot" w:pos="9062"/>
        </w:tabs>
        <w:rPr>
          <w:rFonts w:eastAsiaTheme="minorEastAsia"/>
          <w:noProof/>
          <w:sz w:val="22"/>
          <w:szCs w:val="22"/>
          <w:lang w:eastAsia="fr-FR"/>
        </w:rPr>
      </w:pPr>
      <w:r w:rsidRPr="00503967">
        <w:rPr>
          <w:rFonts w:ascii="Nyala" w:hAnsi="Nyala"/>
          <w:iCs/>
        </w:rPr>
        <w:fldChar w:fldCharType="begin"/>
      </w:r>
      <w:r w:rsidR="00263477" w:rsidRPr="00503967">
        <w:rPr>
          <w:rFonts w:ascii="Nyala" w:hAnsi="Nyala"/>
          <w:iCs/>
        </w:rPr>
        <w:instrText xml:space="preserve"> TOC \h \z \c "Figure" </w:instrText>
      </w:r>
      <w:r w:rsidRPr="00503967">
        <w:rPr>
          <w:rFonts w:ascii="Nyala" w:hAnsi="Nyala"/>
          <w:iCs/>
        </w:rPr>
        <w:fldChar w:fldCharType="separate"/>
      </w:r>
      <w:hyperlink r:id="rId11" w:anchor="_Toc526120067" w:history="1">
        <w:r w:rsidR="00F27E2F" w:rsidRPr="00692B10">
          <w:rPr>
            <w:rStyle w:val="Lienhypertexte"/>
            <w:noProof/>
          </w:rPr>
          <w:t>Figure 1 - Cibles de l'ODD2</w:t>
        </w:r>
        <w:r w:rsidR="00F27E2F">
          <w:rPr>
            <w:noProof/>
            <w:webHidden/>
          </w:rPr>
          <w:tab/>
        </w:r>
        <w:r>
          <w:rPr>
            <w:noProof/>
            <w:webHidden/>
          </w:rPr>
          <w:fldChar w:fldCharType="begin"/>
        </w:r>
        <w:r w:rsidR="00F27E2F">
          <w:rPr>
            <w:noProof/>
            <w:webHidden/>
          </w:rPr>
          <w:instrText xml:space="preserve"> PAGEREF _Toc526120067 \h </w:instrText>
        </w:r>
        <w:r>
          <w:rPr>
            <w:noProof/>
            <w:webHidden/>
          </w:rPr>
        </w:r>
        <w:r>
          <w:rPr>
            <w:noProof/>
            <w:webHidden/>
          </w:rPr>
          <w:fldChar w:fldCharType="separate"/>
        </w:r>
        <w:r w:rsidR="00F27E2F">
          <w:rPr>
            <w:noProof/>
            <w:webHidden/>
          </w:rPr>
          <w:t>20</w:t>
        </w:r>
        <w:r>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12" w:anchor="_Toc526120068" w:history="1">
        <w:r w:rsidR="00F27E2F" w:rsidRPr="00692B10">
          <w:rPr>
            <w:rStyle w:val="Lienhypertexte"/>
            <w:noProof/>
          </w:rPr>
          <w:t>Figure 2 - ration calorique selon le genre et la taille du ménage</w:t>
        </w:r>
        <w:r w:rsidR="00F27E2F">
          <w:rPr>
            <w:noProof/>
            <w:webHidden/>
          </w:rPr>
          <w:tab/>
        </w:r>
        <w:r w:rsidR="00D639F2">
          <w:rPr>
            <w:noProof/>
            <w:webHidden/>
          </w:rPr>
          <w:fldChar w:fldCharType="begin"/>
        </w:r>
        <w:r w:rsidR="00F27E2F">
          <w:rPr>
            <w:noProof/>
            <w:webHidden/>
          </w:rPr>
          <w:instrText xml:space="preserve"> PAGEREF _Toc526120068 \h </w:instrText>
        </w:r>
        <w:r w:rsidR="00D639F2">
          <w:rPr>
            <w:noProof/>
            <w:webHidden/>
          </w:rPr>
        </w:r>
        <w:r w:rsidR="00D639F2">
          <w:rPr>
            <w:noProof/>
            <w:webHidden/>
          </w:rPr>
          <w:fldChar w:fldCharType="separate"/>
        </w:r>
        <w:r w:rsidR="00F27E2F">
          <w:rPr>
            <w:noProof/>
            <w:webHidden/>
          </w:rPr>
          <w:t>22</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13" w:anchor="_Toc526120069" w:history="1">
        <w:r w:rsidR="00F27E2F" w:rsidRPr="00692B10">
          <w:rPr>
            <w:rStyle w:val="Lienhypertexte"/>
            <w:noProof/>
          </w:rPr>
          <w:t>Figure 3 - consommation énergétique et insécurité alimentaire selon les régions</w:t>
        </w:r>
        <w:r w:rsidR="00F27E2F">
          <w:rPr>
            <w:noProof/>
            <w:webHidden/>
          </w:rPr>
          <w:tab/>
        </w:r>
        <w:r w:rsidR="00D639F2">
          <w:rPr>
            <w:noProof/>
            <w:webHidden/>
          </w:rPr>
          <w:fldChar w:fldCharType="begin"/>
        </w:r>
        <w:r w:rsidR="00F27E2F">
          <w:rPr>
            <w:noProof/>
            <w:webHidden/>
          </w:rPr>
          <w:instrText xml:space="preserve"> PAGEREF _Toc526120069 \h </w:instrText>
        </w:r>
        <w:r w:rsidR="00D639F2">
          <w:rPr>
            <w:noProof/>
            <w:webHidden/>
          </w:rPr>
        </w:r>
        <w:r w:rsidR="00D639F2">
          <w:rPr>
            <w:noProof/>
            <w:webHidden/>
          </w:rPr>
          <w:fldChar w:fldCharType="separate"/>
        </w:r>
        <w:r w:rsidR="00F27E2F">
          <w:rPr>
            <w:noProof/>
            <w:webHidden/>
          </w:rPr>
          <w:t>23</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14" w:anchor="_Toc526120070" w:history="1">
        <w:r w:rsidR="00F27E2F" w:rsidRPr="00692B10">
          <w:rPr>
            <w:rStyle w:val="Lienhypertexte"/>
            <w:noProof/>
          </w:rPr>
          <w:t>Figure 4 - consommation énergétique selon la classe de richesse</w:t>
        </w:r>
        <w:r w:rsidR="00F27E2F">
          <w:rPr>
            <w:noProof/>
            <w:webHidden/>
          </w:rPr>
          <w:tab/>
        </w:r>
        <w:r w:rsidR="00D639F2">
          <w:rPr>
            <w:noProof/>
            <w:webHidden/>
          </w:rPr>
          <w:fldChar w:fldCharType="begin"/>
        </w:r>
        <w:r w:rsidR="00F27E2F">
          <w:rPr>
            <w:noProof/>
            <w:webHidden/>
          </w:rPr>
          <w:instrText xml:space="preserve"> PAGEREF _Toc526120070 \h </w:instrText>
        </w:r>
        <w:r w:rsidR="00D639F2">
          <w:rPr>
            <w:noProof/>
            <w:webHidden/>
          </w:rPr>
        </w:r>
        <w:r w:rsidR="00D639F2">
          <w:rPr>
            <w:noProof/>
            <w:webHidden/>
          </w:rPr>
          <w:fldChar w:fldCharType="separate"/>
        </w:r>
        <w:r w:rsidR="00F27E2F">
          <w:rPr>
            <w:noProof/>
            <w:webHidden/>
          </w:rPr>
          <w:t>23</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15" w:anchor="_Toc526120071" w:history="1">
        <w:r w:rsidR="00F27E2F" w:rsidRPr="00692B10">
          <w:rPr>
            <w:rStyle w:val="Lienhypertexte"/>
            <w:noProof/>
          </w:rPr>
          <w:t>Figure 5 Ration calorique selon le niveau d'instruction</w:t>
        </w:r>
        <w:r w:rsidR="00F27E2F">
          <w:rPr>
            <w:noProof/>
            <w:webHidden/>
          </w:rPr>
          <w:tab/>
        </w:r>
        <w:r w:rsidR="00D639F2">
          <w:rPr>
            <w:noProof/>
            <w:webHidden/>
          </w:rPr>
          <w:fldChar w:fldCharType="begin"/>
        </w:r>
        <w:r w:rsidR="00F27E2F">
          <w:rPr>
            <w:noProof/>
            <w:webHidden/>
          </w:rPr>
          <w:instrText xml:space="preserve"> PAGEREF _Toc526120071 \h </w:instrText>
        </w:r>
        <w:r w:rsidR="00D639F2">
          <w:rPr>
            <w:noProof/>
            <w:webHidden/>
          </w:rPr>
        </w:r>
        <w:r w:rsidR="00D639F2">
          <w:rPr>
            <w:noProof/>
            <w:webHidden/>
          </w:rPr>
          <w:fldChar w:fldCharType="separate"/>
        </w:r>
        <w:r w:rsidR="00F27E2F">
          <w:rPr>
            <w:noProof/>
            <w:webHidden/>
          </w:rPr>
          <w:t>24</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16" w:anchor="_Toc526120072" w:history="1">
        <w:r w:rsidR="00F27E2F" w:rsidRPr="00692B10">
          <w:rPr>
            <w:rStyle w:val="Lienhypertexte"/>
            <w:noProof/>
          </w:rPr>
          <w:t>Figure 6 - score de consommation alimentaire selon la classe d'insécurité</w:t>
        </w:r>
        <w:r w:rsidR="00F27E2F">
          <w:rPr>
            <w:noProof/>
            <w:webHidden/>
          </w:rPr>
          <w:tab/>
        </w:r>
        <w:r w:rsidR="00D639F2">
          <w:rPr>
            <w:noProof/>
            <w:webHidden/>
          </w:rPr>
          <w:fldChar w:fldCharType="begin"/>
        </w:r>
        <w:r w:rsidR="00F27E2F">
          <w:rPr>
            <w:noProof/>
            <w:webHidden/>
          </w:rPr>
          <w:instrText xml:space="preserve"> PAGEREF _Toc526120072 \h </w:instrText>
        </w:r>
        <w:r w:rsidR="00D639F2">
          <w:rPr>
            <w:noProof/>
            <w:webHidden/>
          </w:rPr>
        </w:r>
        <w:r w:rsidR="00D639F2">
          <w:rPr>
            <w:noProof/>
            <w:webHidden/>
          </w:rPr>
          <w:fldChar w:fldCharType="separate"/>
        </w:r>
        <w:r w:rsidR="00F27E2F">
          <w:rPr>
            <w:noProof/>
            <w:webHidden/>
          </w:rPr>
          <w:t>24</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17" w:anchor="_Toc526120073" w:history="1">
        <w:r w:rsidR="00F27E2F" w:rsidRPr="00692B10">
          <w:rPr>
            <w:rStyle w:val="Lienhypertexte"/>
            <w:noProof/>
          </w:rPr>
          <w:t>Figure 7 - répartition des ménages selon la classe d'insécurité alimentaire et le régime alimentaire</w:t>
        </w:r>
        <w:r w:rsidR="00F27E2F">
          <w:rPr>
            <w:noProof/>
            <w:webHidden/>
          </w:rPr>
          <w:tab/>
        </w:r>
        <w:r w:rsidR="00D639F2">
          <w:rPr>
            <w:noProof/>
            <w:webHidden/>
          </w:rPr>
          <w:fldChar w:fldCharType="begin"/>
        </w:r>
        <w:r w:rsidR="00F27E2F">
          <w:rPr>
            <w:noProof/>
            <w:webHidden/>
          </w:rPr>
          <w:instrText xml:space="preserve"> PAGEREF _Toc526120073 \h </w:instrText>
        </w:r>
        <w:r w:rsidR="00D639F2">
          <w:rPr>
            <w:noProof/>
            <w:webHidden/>
          </w:rPr>
        </w:r>
        <w:r w:rsidR="00D639F2">
          <w:rPr>
            <w:noProof/>
            <w:webHidden/>
          </w:rPr>
          <w:fldChar w:fldCharType="separate"/>
        </w:r>
        <w:r w:rsidR="00F27E2F">
          <w:rPr>
            <w:noProof/>
            <w:webHidden/>
          </w:rPr>
          <w:t>25</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18" w:anchor="_Toc526120074" w:history="1">
        <w:r w:rsidR="00F27E2F" w:rsidRPr="00692B10">
          <w:rPr>
            <w:rStyle w:val="Lienhypertexte"/>
            <w:noProof/>
          </w:rPr>
          <w:t>Figure 8 - Pourcentage des ménages selon le régime alimentaire et selon les régions</w:t>
        </w:r>
        <w:r w:rsidR="00F27E2F">
          <w:rPr>
            <w:noProof/>
            <w:webHidden/>
          </w:rPr>
          <w:tab/>
        </w:r>
        <w:r w:rsidR="00D639F2">
          <w:rPr>
            <w:noProof/>
            <w:webHidden/>
          </w:rPr>
          <w:fldChar w:fldCharType="begin"/>
        </w:r>
        <w:r w:rsidR="00F27E2F">
          <w:rPr>
            <w:noProof/>
            <w:webHidden/>
          </w:rPr>
          <w:instrText xml:space="preserve"> PAGEREF _Toc526120074 \h </w:instrText>
        </w:r>
        <w:r w:rsidR="00D639F2">
          <w:rPr>
            <w:noProof/>
            <w:webHidden/>
          </w:rPr>
        </w:r>
        <w:r w:rsidR="00D639F2">
          <w:rPr>
            <w:noProof/>
            <w:webHidden/>
          </w:rPr>
          <w:fldChar w:fldCharType="separate"/>
        </w:r>
        <w:r w:rsidR="00F27E2F">
          <w:rPr>
            <w:noProof/>
            <w:webHidden/>
          </w:rPr>
          <w:t>25</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19" w:anchor="_Toc526120075" w:history="1">
        <w:r w:rsidR="00F27E2F" w:rsidRPr="00692B10">
          <w:rPr>
            <w:rStyle w:val="Lienhypertexte"/>
            <w:noProof/>
          </w:rPr>
          <w:t>Figure 9 - composante du SCA selon la classe d'insécurité alimentaire</w:t>
        </w:r>
        <w:r w:rsidR="00F27E2F">
          <w:rPr>
            <w:noProof/>
            <w:webHidden/>
          </w:rPr>
          <w:tab/>
        </w:r>
        <w:r w:rsidR="00D639F2">
          <w:rPr>
            <w:noProof/>
            <w:webHidden/>
          </w:rPr>
          <w:fldChar w:fldCharType="begin"/>
        </w:r>
        <w:r w:rsidR="00F27E2F">
          <w:rPr>
            <w:noProof/>
            <w:webHidden/>
          </w:rPr>
          <w:instrText xml:space="preserve"> PAGEREF _Toc526120075 \h </w:instrText>
        </w:r>
        <w:r w:rsidR="00D639F2">
          <w:rPr>
            <w:noProof/>
            <w:webHidden/>
          </w:rPr>
        </w:r>
        <w:r w:rsidR="00D639F2">
          <w:rPr>
            <w:noProof/>
            <w:webHidden/>
          </w:rPr>
          <w:fldChar w:fldCharType="separate"/>
        </w:r>
        <w:r w:rsidR="00F27E2F">
          <w:rPr>
            <w:noProof/>
            <w:webHidden/>
          </w:rPr>
          <w:t>26</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20" w:anchor="_Toc526120076" w:history="1">
        <w:r w:rsidR="00F27E2F" w:rsidRPr="00692B10">
          <w:rPr>
            <w:rStyle w:val="Lienhypertexte"/>
            <w:noProof/>
          </w:rPr>
          <w:t>Figure 10 - Répartition des ménages selon la classe de diversité alimentaire et selon les régions</w:t>
        </w:r>
        <w:r w:rsidR="00F27E2F">
          <w:rPr>
            <w:noProof/>
            <w:webHidden/>
          </w:rPr>
          <w:tab/>
        </w:r>
        <w:r w:rsidR="00D639F2">
          <w:rPr>
            <w:noProof/>
            <w:webHidden/>
          </w:rPr>
          <w:fldChar w:fldCharType="begin"/>
        </w:r>
        <w:r w:rsidR="00F27E2F">
          <w:rPr>
            <w:noProof/>
            <w:webHidden/>
          </w:rPr>
          <w:instrText xml:space="preserve"> PAGEREF _Toc526120076 \h </w:instrText>
        </w:r>
        <w:r w:rsidR="00D639F2">
          <w:rPr>
            <w:noProof/>
            <w:webHidden/>
          </w:rPr>
        </w:r>
        <w:r w:rsidR="00D639F2">
          <w:rPr>
            <w:noProof/>
            <w:webHidden/>
          </w:rPr>
          <w:fldChar w:fldCharType="separate"/>
        </w:r>
        <w:r w:rsidR="00F27E2F">
          <w:rPr>
            <w:noProof/>
            <w:webHidden/>
          </w:rPr>
          <w:t>27</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21" w:anchor="_Toc526120077" w:history="1">
        <w:r w:rsidR="00F27E2F" w:rsidRPr="00692B10">
          <w:rPr>
            <w:rStyle w:val="Lienhypertexte"/>
            <w:noProof/>
          </w:rPr>
          <w:t>Figure 11  proportion des ménages selon l'indice de richesse</w:t>
        </w:r>
        <w:r w:rsidR="00F27E2F">
          <w:rPr>
            <w:noProof/>
            <w:webHidden/>
          </w:rPr>
          <w:tab/>
        </w:r>
        <w:r w:rsidR="00D639F2">
          <w:rPr>
            <w:noProof/>
            <w:webHidden/>
          </w:rPr>
          <w:fldChar w:fldCharType="begin"/>
        </w:r>
        <w:r w:rsidR="00F27E2F">
          <w:rPr>
            <w:noProof/>
            <w:webHidden/>
          </w:rPr>
          <w:instrText xml:space="preserve"> PAGEREF _Toc526120077 \h </w:instrText>
        </w:r>
        <w:r w:rsidR="00D639F2">
          <w:rPr>
            <w:noProof/>
            <w:webHidden/>
          </w:rPr>
        </w:r>
        <w:r w:rsidR="00D639F2">
          <w:rPr>
            <w:noProof/>
            <w:webHidden/>
          </w:rPr>
          <w:fldChar w:fldCharType="separate"/>
        </w:r>
        <w:r w:rsidR="00F27E2F">
          <w:rPr>
            <w:noProof/>
            <w:webHidden/>
          </w:rPr>
          <w:t>28</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22" w:anchor="_Toc526120078" w:history="1">
        <w:r w:rsidR="00F27E2F" w:rsidRPr="00692B10">
          <w:rPr>
            <w:rStyle w:val="Lienhypertexte"/>
            <w:noProof/>
          </w:rPr>
          <w:t>Figure 12 - Proportion des enfants de 6 à 23 mois selon la classe de diversité alimentaire</w:t>
        </w:r>
        <w:r w:rsidR="00F27E2F">
          <w:rPr>
            <w:noProof/>
            <w:webHidden/>
          </w:rPr>
          <w:tab/>
        </w:r>
        <w:r w:rsidR="00D639F2">
          <w:rPr>
            <w:noProof/>
            <w:webHidden/>
          </w:rPr>
          <w:fldChar w:fldCharType="begin"/>
        </w:r>
        <w:r w:rsidR="00F27E2F">
          <w:rPr>
            <w:noProof/>
            <w:webHidden/>
          </w:rPr>
          <w:instrText xml:space="preserve"> PAGEREF _Toc526120078 \h </w:instrText>
        </w:r>
        <w:r w:rsidR="00D639F2">
          <w:rPr>
            <w:noProof/>
            <w:webHidden/>
          </w:rPr>
        </w:r>
        <w:r w:rsidR="00D639F2">
          <w:rPr>
            <w:noProof/>
            <w:webHidden/>
          </w:rPr>
          <w:fldChar w:fldCharType="separate"/>
        </w:r>
        <w:r w:rsidR="00F27E2F">
          <w:rPr>
            <w:noProof/>
            <w:webHidden/>
          </w:rPr>
          <w:t>29</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23" w:anchor="_Toc526120079" w:history="1">
        <w:r w:rsidR="00F27E2F" w:rsidRPr="00692B10">
          <w:rPr>
            <w:rStyle w:val="Lienhypertexte"/>
            <w:noProof/>
          </w:rPr>
          <w:t>Figure 13 - prévalence de l'insécurité alimentaire selon le sexe du chef de ménage</w:t>
        </w:r>
        <w:r w:rsidR="00F27E2F">
          <w:rPr>
            <w:noProof/>
            <w:webHidden/>
          </w:rPr>
          <w:tab/>
        </w:r>
        <w:r w:rsidR="00D639F2">
          <w:rPr>
            <w:noProof/>
            <w:webHidden/>
          </w:rPr>
          <w:fldChar w:fldCharType="begin"/>
        </w:r>
        <w:r w:rsidR="00F27E2F">
          <w:rPr>
            <w:noProof/>
            <w:webHidden/>
          </w:rPr>
          <w:instrText xml:space="preserve"> PAGEREF _Toc526120079 \h </w:instrText>
        </w:r>
        <w:r w:rsidR="00D639F2">
          <w:rPr>
            <w:noProof/>
            <w:webHidden/>
          </w:rPr>
        </w:r>
        <w:r w:rsidR="00D639F2">
          <w:rPr>
            <w:noProof/>
            <w:webHidden/>
          </w:rPr>
          <w:fldChar w:fldCharType="separate"/>
        </w:r>
        <w:r w:rsidR="00F27E2F">
          <w:rPr>
            <w:noProof/>
            <w:webHidden/>
          </w:rPr>
          <w:t>30</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24" w:anchor="_Toc526120080" w:history="1">
        <w:r w:rsidR="00F27E2F" w:rsidRPr="00692B10">
          <w:rPr>
            <w:rStyle w:val="Lienhypertexte"/>
            <w:noProof/>
          </w:rPr>
          <w:t>Figure 14 - comparaison de la prévalence de l'insécurité alimentaire selon le milieu de résidence</w:t>
        </w:r>
        <w:r w:rsidR="00F27E2F">
          <w:rPr>
            <w:noProof/>
            <w:webHidden/>
          </w:rPr>
          <w:tab/>
        </w:r>
        <w:r w:rsidR="00D639F2">
          <w:rPr>
            <w:noProof/>
            <w:webHidden/>
          </w:rPr>
          <w:fldChar w:fldCharType="begin"/>
        </w:r>
        <w:r w:rsidR="00F27E2F">
          <w:rPr>
            <w:noProof/>
            <w:webHidden/>
          </w:rPr>
          <w:instrText xml:space="preserve"> PAGEREF _Toc526120080 \h </w:instrText>
        </w:r>
        <w:r w:rsidR="00D639F2">
          <w:rPr>
            <w:noProof/>
            <w:webHidden/>
          </w:rPr>
        </w:r>
        <w:r w:rsidR="00D639F2">
          <w:rPr>
            <w:noProof/>
            <w:webHidden/>
          </w:rPr>
          <w:fldChar w:fldCharType="separate"/>
        </w:r>
        <w:r w:rsidR="00F27E2F">
          <w:rPr>
            <w:noProof/>
            <w:webHidden/>
          </w:rPr>
          <w:t>30</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25" w:anchor="_Toc526120081" w:history="1">
        <w:r w:rsidR="00F27E2F" w:rsidRPr="00692B10">
          <w:rPr>
            <w:rStyle w:val="Lienhypertexte"/>
            <w:noProof/>
          </w:rPr>
          <w:t>Figure 15 – Prévalence de l’insécurité alimentaire selon les régions du Niger</w:t>
        </w:r>
        <w:r w:rsidR="00F27E2F">
          <w:rPr>
            <w:noProof/>
            <w:webHidden/>
          </w:rPr>
          <w:tab/>
        </w:r>
        <w:r w:rsidR="00D639F2">
          <w:rPr>
            <w:noProof/>
            <w:webHidden/>
          </w:rPr>
          <w:fldChar w:fldCharType="begin"/>
        </w:r>
        <w:r w:rsidR="00F27E2F">
          <w:rPr>
            <w:noProof/>
            <w:webHidden/>
          </w:rPr>
          <w:instrText xml:space="preserve"> PAGEREF _Toc526120081 \h </w:instrText>
        </w:r>
        <w:r w:rsidR="00D639F2">
          <w:rPr>
            <w:noProof/>
            <w:webHidden/>
          </w:rPr>
        </w:r>
        <w:r w:rsidR="00D639F2">
          <w:rPr>
            <w:noProof/>
            <w:webHidden/>
          </w:rPr>
          <w:fldChar w:fldCharType="separate"/>
        </w:r>
        <w:r w:rsidR="00F27E2F">
          <w:rPr>
            <w:noProof/>
            <w:webHidden/>
          </w:rPr>
          <w:t>31</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26" w:anchor="_Toc526120082" w:history="1">
        <w:r w:rsidR="00F27E2F" w:rsidRPr="00692B10">
          <w:rPr>
            <w:rStyle w:val="Lienhypertexte"/>
            <w:noProof/>
          </w:rPr>
          <w:t>Figure 16 - Degré de vulnérabilité des départements administratifs à l'insécurité alimentaire</w:t>
        </w:r>
        <w:r w:rsidR="00F27E2F">
          <w:rPr>
            <w:noProof/>
            <w:webHidden/>
          </w:rPr>
          <w:tab/>
        </w:r>
        <w:r w:rsidR="00D639F2">
          <w:rPr>
            <w:noProof/>
            <w:webHidden/>
          </w:rPr>
          <w:fldChar w:fldCharType="begin"/>
        </w:r>
        <w:r w:rsidR="00F27E2F">
          <w:rPr>
            <w:noProof/>
            <w:webHidden/>
          </w:rPr>
          <w:instrText xml:space="preserve"> PAGEREF _Toc526120082 \h </w:instrText>
        </w:r>
        <w:r w:rsidR="00D639F2">
          <w:rPr>
            <w:noProof/>
            <w:webHidden/>
          </w:rPr>
        </w:r>
        <w:r w:rsidR="00D639F2">
          <w:rPr>
            <w:noProof/>
            <w:webHidden/>
          </w:rPr>
          <w:fldChar w:fldCharType="separate"/>
        </w:r>
        <w:r w:rsidR="00F27E2F">
          <w:rPr>
            <w:noProof/>
            <w:webHidden/>
          </w:rPr>
          <w:t>32</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27" w:anchor="_Toc526120083" w:history="1">
        <w:r w:rsidR="00F27E2F" w:rsidRPr="00692B10">
          <w:rPr>
            <w:rStyle w:val="Lienhypertexte"/>
            <w:noProof/>
          </w:rPr>
          <w:t>Figure 17 - Tendance évolutive du nombre de personnes en insécurité alimentaire</w:t>
        </w:r>
        <w:r w:rsidR="00F27E2F">
          <w:rPr>
            <w:noProof/>
            <w:webHidden/>
          </w:rPr>
          <w:tab/>
        </w:r>
        <w:r w:rsidR="00D639F2">
          <w:rPr>
            <w:noProof/>
            <w:webHidden/>
          </w:rPr>
          <w:fldChar w:fldCharType="begin"/>
        </w:r>
        <w:r w:rsidR="00F27E2F">
          <w:rPr>
            <w:noProof/>
            <w:webHidden/>
          </w:rPr>
          <w:instrText xml:space="preserve"> PAGEREF _Toc526120083 \h </w:instrText>
        </w:r>
        <w:r w:rsidR="00D639F2">
          <w:rPr>
            <w:noProof/>
            <w:webHidden/>
          </w:rPr>
        </w:r>
        <w:r w:rsidR="00D639F2">
          <w:rPr>
            <w:noProof/>
            <w:webHidden/>
          </w:rPr>
          <w:fldChar w:fldCharType="separate"/>
        </w:r>
        <w:r w:rsidR="00F27E2F">
          <w:rPr>
            <w:noProof/>
            <w:webHidden/>
          </w:rPr>
          <w:t>34</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28" w:anchor="_Toc526120084" w:history="1">
        <w:r w:rsidR="00F27E2F" w:rsidRPr="00692B10">
          <w:rPr>
            <w:rStyle w:val="Lienhypertexte"/>
            <w:noProof/>
          </w:rPr>
          <w:t>Figure 18 - prévalence de l'insécurité alimentaire selon le SCA et le SDA</w:t>
        </w:r>
        <w:r w:rsidR="00F27E2F">
          <w:rPr>
            <w:noProof/>
            <w:webHidden/>
          </w:rPr>
          <w:tab/>
        </w:r>
        <w:r w:rsidR="00D639F2">
          <w:rPr>
            <w:noProof/>
            <w:webHidden/>
          </w:rPr>
          <w:fldChar w:fldCharType="begin"/>
        </w:r>
        <w:r w:rsidR="00F27E2F">
          <w:rPr>
            <w:noProof/>
            <w:webHidden/>
          </w:rPr>
          <w:instrText xml:space="preserve"> PAGEREF _Toc526120084 \h </w:instrText>
        </w:r>
        <w:r w:rsidR="00D639F2">
          <w:rPr>
            <w:noProof/>
            <w:webHidden/>
          </w:rPr>
        </w:r>
        <w:r w:rsidR="00D639F2">
          <w:rPr>
            <w:noProof/>
            <w:webHidden/>
          </w:rPr>
          <w:fldChar w:fldCharType="separate"/>
        </w:r>
        <w:r w:rsidR="00F27E2F">
          <w:rPr>
            <w:noProof/>
            <w:webHidden/>
          </w:rPr>
          <w:t>36</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29" w:anchor="_Toc526120085" w:history="1">
        <w:r w:rsidR="00F27E2F" w:rsidRPr="00692B10">
          <w:rPr>
            <w:rStyle w:val="Lienhypertexte"/>
            <w:noProof/>
          </w:rPr>
          <w:t>Figure 19 - Prévalence de la sous-nutrition aigue globale selon les régions</w:t>
        </w:r>
        <w:r w:rsidR="00F27E2F">
          <w:rPr>
            <w:noProof/>
            <w:webHidden/>
          </w:rPr>
          <w:tab/>
        </w:r>
        <w:r w:rsidR="00D639F2">
          <w:rPr>
            <w:noProof/>
            <w:webHidden/>
          </w:rPr>
          <w:fldChar w:fldCharType="begin"/>
        </w:r>
        <w:r w:rsidR="00F27E2F">
          <w:rPr>
            <w:noProof/>
            <w:webHidden/>
          </w:rPr>
          <w:instrText xml:space="preserve"> PAGEREF _Toc526120085 \h </w:instrText>
        </w:r>
        <w:r w:rsidR="00D639F2">
          <w:rPr>
            <w:noProof/>
            <w:webHidden/>
          </w:rPr>
        </w:r>
        <w:r w:rsidR="00D639F2">
          <w:rPr>
            <w:noProof/>
            <w:webHidden/>
          </w:rPr>
          <w:fldChar w:fldCharType="separate"/>
        </w:r>
        <w:r w:rsidR="00F27E2F">
          <w:rPr>
            <w:noProof/>
            <w:webHidden/>
          </w:rPr>
          <w:t>40</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30" w:anchor="_Toc526120086" w:history="1">
        <w:r w:rsidR="00F27E2F" w:rsidRPr="00692B10">
          <w:rPr>
            <w:rStyle w:val="Lienhypertexte"/>
            <w:noProof/>
          </w:rPr>
          <w:t>Figure 20 - Prévalence de la malnutrition chronique selon les régions</w:t>
        </w:r>
        <w:r w:rsidR="00F27E2F">
          <w:rPr>
            <w:noProof/>
            <w:webHidden/>
          </w:rPr>
          <w:tab/>
        </w:r>
        <w:r w:rsidR="00D639F2">
          <w:rPr>
            <w:noProof/>
            <w:webHidden/>
          </w:rPr>
          <w:fldChar w:fldCharType="begin"/>
        </w:r>
        <w:r w:rsidR="00F27E2F">
          <w:rPr>
            <w:noProof/>
            <w:webHidden/>
          </w:rPr>
          <w:instrText xml:space="preserve"> PAGEREF _Toc526120086 \h </w:instrText>
        </w:r>
        <w:r w:rsidR="00D639F2">
          <w:rPr>
            <w:noProof/>
            <w:webHidden/>
          </w:rPr>
        </w:r>
        <w:r w:rsidR="00D639F2">
          <w:rPr>
            <w:noProof/>
            <w:webHidden/>
          </w:rPr>
          <w:fldChar w:fldCharType="separate"/>
        </w:r>
        <w:r w:rsidR="00F27E2F">
          <w:rPr>
            <w:noProof/>
            <w:webHidden/>
          </w:rPr>
          <w:t>40</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31" w:anchor="_Toc526120087" w:history="1">
        <w:r w:rsidR="00F27E2F" w:rsidRPr="00692B10">
          <w:rPr>
            <w:rStyle w:val="Lienhypertexte"/>
            <w:noProof/>
          </w:rPr>
          <w:t>Figure 21 - Tendance évolutive de la prévalence de la malnutrition selon le retard de croissance</w:t>
        </w:r>
        <w:r w:rsidR="00F27E2F">
          <w:rPr>
            <w:noProof/>
            <w:webHidden/>
          </w:rPr>
          <w:tab/>
        </w:r>
        <w:r w:rsidR="00D639F2">
          <w:rPr>
            <w:noProof/>
            <w:webHidden/>
          </w:rPr>
          <w:fldChar w:fldCharType="begin"/>
        </w:r>
        <w:r w:rsidR="00F27E2F">
          <w:rPr>
            <w:noProof/>
            <w:webHidden/>
          </w:rPr>
          <w:instrText xml:space="preserve"> PAGEREF _Toc526120087 \h </w:instrText>
        </w:r>
        <w:r w:rsidR="00D639F2">
          <w:rPr>
            <w:noProof/>
            <w:webHidden/>
          </w:rPr>
        </w:r>
        <w:r w:rsidR="00D639F2">
          <w:rPr>
            <w:noProof/>
            <w:webHidden/>
          </w:rPr>
          <w:fldChar w:fldCharType="separate"/>
        </w:r>
        <w:r w:rsidR="00F27E2F">
          <w:rPr>
            <w:noProof/>
            <w:webHidden/>
          </w:rPr>
          <w:t>43</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32" w:anchor="_Toc526120088" w:history="1">
        <w:r w:rsidR="00F27E2F" w:rsidRPr="00692B10">
          <w:rPr>
            <w:rStyle w:val="Lienhypertexte"/>
            <w:noProof/>
          </w:rPr>
          <w:t>Figure 22 - Tendance évolutive de la prévalence de la malnutrition selon l'insuffisance pondérale</w:t>
        </w:r>
        <w:r w:rsidR="00F27E2F">
          <w:rPr>
            <w:noProof/>
            <w:webHidden/>
          </w:rPr>
          <w:tab/>
        </w:r>
        <w:r w:rsidR="00D639F2">
          <w:rPr>
            <w:noProof/>
            <w:webHidden/>
          </w:rPr>
          <w:fldChar w:fldCharType="begin"/>
        </w:r>
        <w:r w:rsidR="00F27E2F">
          <w:rPr>
            <w:noProof/>
            <w:webHidden/>
          </w:rPr>
          <w:instrText xml:space="preserve"> PAGEREF _Toc526120088 \h </w:instrText>
        </w:r>
        <w:r w:rsidR="00D639F2">
          <w:rPr>
            <w:noProof/>
            <w:webHidden/>
          </w:rPr>
        </w:r>
        <w:r w:rsidR="00D639F2">
          <w:rPr>
            <w:noProof/>
            <w:webHidden/>
          </w:rPr>
          <w:fldChar w:fldCharType="separate"/>
        </w:r>
        <w:r w:rsidR="00F27E2F">
          <w:rPr>
            <w:noProof/>
            <w:webHidden/>
          </w:rPr>
          <w:t>44</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33" w:anchor="_Toc526120089" w:history="1">
        <w:r w:rsidR="00F27E2F" w:rsidRPr="00692B10">
          <w:rPr>
            <w:rStyle w:val="Lienhypertexte"/>
            <w:noProof/>
          </w:rPr>
          <w:t>Figure 23 - Scénario tendanciels pour une réduction de la malnutrition chronique et aigue</w:t>
        </w:r>
        <w:r w:rsidR="00F27E2F">
          <w:rPr>
            <w:noProof/>
            <w:webHidden/>
          </w:rPr>
          <w:tab/>
        </w:r>
        <w:r w:rsidR="00D639F2">
          <w:rPr>
            <w:noProof/>
            <w:webHidden/>
          </w:rPr>
          <w:fldChar w:fldCharType="begin"/>
        </w:r>
        <w:r w:rsidR="00F27E2F">
          <w:rPr>
            <w:noProof/>
            <w:webHidden/>
          </w:rPr>
          <w:instrText xml:space="preserve"> PAGEREF _Toc526120089 \h </w:instrText>
        </w:r>
        <w:r w:rsidR="00D639F2">
          <w:rPr>
            <w:noProof/>
            <w:webHidden/>
          </w:rPr>
        </w:r>
        <w:r w:rsidR="00D639F2">
          <w:rPr>
            <w:noProof/>
            <w:webHidden/>
          </w:rPr>
          <w:fldChar w:fldCharType="separate"/>
        </w:r>
        <w:r w:rsidR="00F27E2F">
          <w:rPr>
            <w:noProof/>
            <w:webHidden/>
          </w:rPr>
          <w:t>45</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34" w:anchor="_Toc526120090" w:history="1">
        <w:r w:rsidR="00F27E2F" w:rsidRPr="00692B10">
          <w:rPr>
            <w:rStyle w:val="Lienhypertexte"/>
            <w:noProof/>
          </w:rPr>
          <w:t>Figure 24 - Coût d'interventions pour une réduction de la malnutrition</w:t>
        </w:r>
        <w:r w:rsidR="00F27E2F">
          <w:rPr>
            <w:noProof/>
            <w:webHidden/>
          </w:rPr>
          <w:tab/>
        </w:r>
        <w:r w:rsidR="00D639F2">
          <w:rPr>
            <w:noProof/>
            <w:webHidden/>
          </w:rPr>
          <w:fldChar w:fldCharType="begin"/>
        </w:r>
        <w:r w:rsidR="00F27E2F">
          <w:rPr>
            <w:noProof/>
            <w:webHidden/>
          </w:rPr>
          <w:instrText xml:space="preserve"> PAGEREF _Toc526120090 \h </w:instrText>
        </w:r>
        <w:r w:rsidR="00D639F2">
          <w:rPr>
            <w:noProof/>
            <w:webHidden/>
          </w:rPr>
        </w:r>
        <w:r w:rsidR="00D639F2">
          <w:rPr>
            <w:noProof/>
            <w:webHidden/>
          </w:rPr>
          <w:fldChar w:fldCharType="separate"/>
        </w:r>
        <w:r w:rsidR="00F27E2F">
          <w:rPr>
            <w:noProof/>
            <w:webHidden/>
          </w:rPr>
          <w:t>47</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35" w:anchor="_Toc526120091" w:history="1">
        <w:r w:rsidR="00F27E2F" w:rsidRPr="00692B10">
          <w:rPr>
            <w:rStyle w:val="Lienhypertexte"/>
            <w:noProof/>
          </w:rPr>
          <w:t>Figure 25 - Evolution du déficit céréalier de 2007 à 2016</w:t>
        </w:r>
        <w:r w:rsidR="00F27E2F">
          <w:rPr>
            <w:noProof/>
            <w:webHidden/>
          </w:rPr>
          <w:tab/>
        </w:r>
        <w:r w:rsidR="00D639F2">
          <w:rPr>
            <w:noProof/>
            <w:webHidden/>
          </w:rPr>
          <w:fldChar w:fldCharType="begin"/>
        </w:r>
        <w:r w:rsidR="00F27E2F">
          <w:rPr>
            <w:noProof/>
            <w:webHidden/>
          </w:rPr>
          <w:instrText xml:space="preserve"> PAGEREF _Toc526120091 \h </w:instrText>
        </w:r>
        <w:r w:rsidR="00D639F2">
          <w:rPr>
            <w:noProof/>
            <w:webHidden/>
          </w:rPr>
        </w:r>
        <w:r w:rsidR="00D639F2">
          <w:rPr>
            <w:noProof/>
            <w:webHidden/>
          </w:rPr>
          <w:fldChar w:fldCharType="separate"/>
        </w:r>
        <w:r w:rsidR="00F27E2F">
          <w:rPr>
            <w:noProof/>
            <w:webHidden/>
          </w:rPr>
          <w:t>49</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36" w:anchor="_Toc526120092" w:history="1">
        <w:r w:rsidR="00F27E2F" w:rsidRPr="00692B10">
          <w:rPr>
            <w:rStyle w:val="Lienhypertexte"/>
            <w:noProof/>
          </w:rPr>
          <w:t>Figure 26 - évolution de la disponibilité alimentaire (autres produits végétaux)</w:t>
        </w:r>
        <w:r w:rsidR="00F27E2F">
          <w:rPr>
            <w:noProof/>
            <w:webHidden/>
          </w:rPr>
          <w:tab/>
        </w:r>
        <w:r w:rsidR="00D639F2">
          <w:rPr>
            <w:noProof/>
            <w:webHidden/>
          </w:rPr>
          <w:fldChar w:fldCharType="begin"/>
        </w:r>
        <w:r w:rsidR="00F27E2F">
          <w:rPr>
            <w:noProof/>
            <w:webHidden/>
          </w:rPr>
          <w:instrText xml:space="preserve"> PAGEREF _Toc526120092 \h </w:instrText>
        </w:r>
        <w:r w:rsidR="00D639F2">
          <w:rPr>
            <w:noProof/>
            <w:webHidden/>
          </w:rPr>
        </w:r>
        <w:r w:rsidR="00D639F2">
          <w:rPr>
            <w:noProof/>
            <w:webHidden/>
          </w:rPr>
          <w:fldChar w:fldCharType="separate"/>
        </w:r>
        <w:r w:rsidR="00F27E2F">
          <w:rPr>
            <w:noProof/>
            <w:webHidden/>
          </w:rPr>
          <w:t>50</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37" w:anchor="_Toc526120093" w:history="1">
        <w:r w:rsidR="00F27E2F" w:rsidRPr="00692B10">
          <w:rPr>
            <w:rStyle w:val="Lienhypertexte"/>
            <w:noProof/>
          </w:rPr>
          <w:t>Figure 27 - disponibilité en sous-produits animaux</w:t>
        </w:r>
        <w:r w:rsidR="00F27E2F">
          <w:rPr>
            <w:noProof/>
            <w:webHidden/>
          </w:rPr>
          <w:tab/>
        </w:r>
        <w:r w:rsidR="00D639F2">
          <w:rPr>
            <w:noProof/>
            <w:webHidden/>
          </w:rPr>
          <w:fldChar w:fldCharType="begin"/>
        </w:r>
        <w:r w:rsidR="00F27E2F">
          <w:rPr>
            <w:noProof/>
            <w:webHidden/>
          </w:rPr>
          <w:instrText xml:space="preserve"> PAGEREF _Toc526120093 \h </w:instrText>
        </w:r>
        <w:r w:rsidR="00D639F2">
          <w:rPr>
            <w:noProof/>
            <w:webHidden/>
          </w:rPr>
        </w:r>
        <w:r w:rsidR="00D639F2">
          <w:rPr>
            <w:noProof/>
            <w:webHidden/>
          </w:rPr>
          <w:fldChar w:fldCharType="separate"/>
        </w:r>
        <w:r w:rsidR="00F27E2F">
          <w:rPr>
            <w:noProof/>
            <w:webHidden/>
          </w:rPr>
          <w:t>51</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38" w:anchor="_Toc526120094" w:history="1">
        <w:r w:rsidR="00F27E2F" w:rsidRPr="00692B10">
          <w:rPr>
            <w:rStyle w:val="Lienhypertexte"/>
            <w:noProof/>
          </w:rPr>
          <w:t>Figure 28 - Tendance évolutive des superficies irriguées</w:t>
        </w:r>
        <w:r w:rsidR="00F27E2F">
          <w:rPr>
            <w:noProof/>
            <w:webHidden/>
          </w:rPr>
          <w:tab/>
        </w:r>
        <w:r w:rsidR="00D639F2">
          <w:rPr>
            <w:noProof/>
            <w:webHidden/>
          </w:rPr>
          <w:fldChar w:fldCharType="begin"/>
        </w:r>
        <w:r w:rsidR="00F27E2F">
          <w:rPr>
            <w:noProof/>
            <w:webHidden/>
          </w:rPr>
          <w:instrText xml:space="preserve"> PAGEREF _Toc526120094 \h </w:instrText>
        </w:r>
        <w:r w:rsidR="00D639F2">
          <w:rPr>
            <w:noProof/>
            <w:webHidden/>
          </w:rPr>
        </w:r>
        <w:r w:rsidR="00D639F2">
          <w:rPr>
            <w:noProof/>
            <w:webHidden/>
          </w:rPr>
          <w:fldChar w:fldCharType="separate"/>
        </w:r>
        <w:r w:rsidR="00F27E2F">
          <w:rPr>
            <w:noProof/>
            <w:webHidden/>
          </w:rPr>
          <w:t>55</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39" w:anchor="_Toc526120095" w:history="1">
        <w:r w:rsidR="00F27E2F" w:rsidRPr="00692B10">
          <w:rPr>
            <w:rStyle w:val="Lienhypertexte"/>
            <w:noProof/>
          </w:rPr>
          <w:t>Figure 29 Tendance évolutive de la récupération des terres dégradées</w:t>
        </w:r>
        <w:r w:rsidR="00F27E2F">
          <w:rPr>
            <w:noProof/>
            <w:webHidden/>
          </w:rPr>
          <w:tab/>
        </w:r>
        <w:r w:rsidR="00D639F2">
          <w:rPr>
            <w:noProof/>
            <w:webHidden/>
          </w:rPr>
          <w:fldChar w:fldCharType="begin"/>
        </w:r>
        <w:r w:rsidR="00F27E2F">
          <w:rPr>
            <w:noProof/>
            <w:webHidden/>
          </w:rPr>
          <w:instrText xml:space="preserve"> PAGEREF _Toc526120095 \h </w:instrText>
        </w:r>
        <w:r w:rsidR="00D639F2">
          <w:rPr>
            <w:noProof/>
            <w:webHidden/>
          </w:rPr>
        </w:r>
        <w:r w:rsidR="00D639F2">
          <w:rPr>
            <w:noProof/>
            <w:webHidden/>
          </w:rPr>
          <w:fldChar w:fldCharType="separate"/>
        </w:r>
        <w:r w:rsidR="00F27E2F">
          <w:rPr>
            <w:noProof/>
            <w:webHidden/>
          </w:rPr>
          <w:t>56</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40" w:anchor="_Toc526120096" w:history="1">
        <w:r w:rsidR="00F27E2F" w:rsidRPr="00692B10">
          <w:rPr>
            <w:rStyle w:val="Lienhypertexte"/>
            <w:noProof/>
          </w:rPr>
          <w:t>Figure 30 - tendance évolutive des rendements céréaliers</w:t>
        </w:r>
        <w:r w:rsidR="00F27E2F">
          <w:rPr>
            <w:noProof/>
            <w:webHidden/>
          </w:rPr>
          <w:tab/>
        </w:r>
        <w:r w:rsidR="00D639F2">
          <w:rPr>
            <w:noProof/>
            <w:webHidden/>
          </w:rPr>
          <w:fldChar w:fldCharType="begin"/>
        </w:r>
        <w:r w:rsidR="00F27E2F">
          <w:rPr>
            <w:noProof/>
            <w:webHidden/>
          </w:rPr>
          <w:instrText xml:space="preserve"> PAGEREF _Toc526120096 \h </w:instrText>
        </w:r>
        <w:r w:rsidR="00D639F2">
          <w:rPr>
            <w:noProof/>
            <w:webHidden/>
          </w:rPr>
        </w:r>
        <w:r w:rsidR="00D639F2">
          <w:rPr>
            <w:noProof/>
            <w:webHidden/>
          </w:rPr>
          <w:fldChar w:fldCharType="separate"/>
        </w:r>
        <w:r w:rsidR="00F27E2F">
          <w:rPr>
            <w:noProof/>
            <w:webHidden/>
          </w:rPr>
          <w:t>60</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41" w:anchor="_Toc526120097" w:history="1">
        <w:r w:rsidR="00F27E2F" w:rsidRPr="00692B10">
          <w:rPr>
            <w:rStyle w:val="Lienhypertexte"/>
            <w:noProof/>
          </w:rPr>
          <w:t>Figure 31 - Tendance évolutive des superficies céréalières selon la demande alimentaire</w:t>
        </w:r>
        <w:r w:rsidR="00F27E2F">
          <w:rPr>
            <w:noProof/>
            <w:webHidden/>
          </w:rPr>
          <w:tab/>
        </w:r>
        <w:r w:rsidR="00D639F2">
          <w:rPr>
            <w:noProof/>
            <w:webHidden/>
          </w:rPr>
          <w:fldChar w:fldCharType="begin"/>
        </w:r>
        <w:r w:rsidR="00F27E2F">
          <w:rPr>
            <w:noProof/>
            <w:webHidden/>
          </w:rPr>
          <w:instrText xml:space="preserve"> PAGEREF _Toc526120097 \h </w:instrText>
        </w:r>
        <w:r w:rsidR="00D639F2">
          <w:rPr>
            <w:noProof/>
            <w:webHidden/>
          </w:rPr>
        </w:r>
        <w:r w:rsidR="00D639F2">
          <w:rPr>
            <w:noProof/>
            <w:webHidden/>
          </w:rPr>
          <w:fldChar w:fldCharType="separate"/>
        </w:r>
        <w:r w:rsidR="00F27E2F">
          <w:rPr>
            <w:noProof/>
            <w:webHidden/>
          </w:rPr>
          <w:t>62</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42" w:anchor="_Toc526120098" w:history="1">
        <w:r w:rsidR="00F27E2F" w:rsidRPr="00692B10">
          <w:rPr>
            <w:rStyle w:val="Lienhypertexte"/>
            <w:noProof/>
          </w:rPr>
          <w:t>Figure 32 - Superficies autres cultures selon la demande alimentaire</w:t>
        </w:r>
        <w:r w:rsidR="00F27E2F">
          <w:rPr>
            <w:noProof/>
            <w:webHidden/>
          </w:rPr>
          <w:tab/>
        </w:r>
        <w:r w:rsidR="00D639F2">
          <w:rPr>
            <w:noProof/>
            <w:webHidden/>
          </w:rPr>
          <w:fldChar w:fldCharType="begin"/>
        </w:r>
        <w:r w:rsidR="00F27E2F">
          <w:rPr>
            <w:noProof/>
            <w:webHidden/>
          </w:rPr>
          <w:instrText xml:space="preserve"> PAGEREF _Toc526120098 \h </w:instrText>
        </w:r>
        <w:r w:rsidR="00D639F2">
          <w:rPr>
            <w:noProof/>
            <w:webHidden/>
          </w:rPr>
        </w:r>
        <w:r w:rsidR="00D639F2">
          <w:rPr>
            <w:noProof/>
            <w:webHidden/>
          </w:rPr>
          <w:fldChar w:fldCharType="separate"/>
        </w:r>
        <w:r w:rsidR="00F27E2F">
          <w:rPr>
            <w:noProof/>
            <w:webHidden/>
          </w:rPr>
          <w:t>62</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43" w:anchor="_Toc526120099" w:history="1">
        <w:r w:rsidR="00F27E2F" w:rsidRPr="00692B10">
          <w:rPr>
            <w:rStyle w:val="Lienhypertexte"/>
            <w:noProof/>
          </w:rPr>
          <w:t>Figure 33 - Evolution du bilan alimentaire (sous-produits animaux)</w:t>
        </w:r>
        <w:r w:rsidR="00F27E2F">
          <w:rPr>
            <w:noProof/>
            <w:webHidden/>
          </w:rPr>
          <w:tab/>
        </w:r>
        <w:r w:rsidR="00D639F2">
          <w:rPr>
            <w:noProof/>
            <w:webHidden/>
          </w:rPr>
          <w:fldChar w:fldCharType="begin"/>
        </w:r>
        <w:r w:rsidR="00F27E2F">
          <w:rPr>
            <w:noProof/>
            <w:webHidden/>
          </w:rPr>
          <w:instrText xml:space="preserve"> PAGEREF _Toc526120099 \h </w:instrText>
        </w:r>
        <w:r w:rsidR="00D639F2">
          <w:rPr>
            <w:noProof/>
            <w:webHidden/>
          </w:rPr>
        </w:r>
        <w:r w:rsidR="00D639F2">
          <w:rPr>
            <w:noProof/>
            <w:webHidden/>
          </w:rPr>
          <w:fldChar w:fldCharType="separate"/>
        </w:r>
        <w:r w:rsidR="00F27E2F">
          <w:rPr>
            <w:noProof/>
            <w:webHidden/>
          </w:rPr>
          <w:t>63</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44" w:anchor="_Toc526120100" w:history="1">
        <w:r w:rsidR="00F27E2F" w:rsidRPr="00692B10">
          <w:rPr>
            <w:rStyle w:val="Lienhypertexte"/>
            <w:noProof/>
          </w:rPr>
          <w:t>Figure 34 - Impact du plan de réforme sur la disponibilité des engrais</w:t>
        </w:r>
        <w:r w:rsidR="00F27E2F">
          <w:rPr>
            <w:noProof/>
            <w:webHidden/>
          </w:rPr>
          <w:tab/>
        </w:r>
        <w:r w:rsidR="00D639F2">
          <w:rPr>
            <w:noProof/>
            <w:webHidden/>
          </w:rPr>
          <w:fldChar w:fldCharType="begin"/>
        </w:r>
        <w:r w:rsidR="00F27E2F">
          <w:rPr>
            <w:noProof/>
            <w:webHidden/>
          </w:rPr>
          <w:instrText xml:space="preserve"> PAGEREF _Toc526120100 \h </w:instrText>
        </w:r>
        <w:r w:rsidR="00D639F2">
          <w:rPr>
            <w:noProof/>
            <w:webHidden/>
          </w:rPr>
        </w:r>
        <w:r w:rsidR="00D639F2">
          <w:rPr>
            <w:noProof/>
            <w:webHidden/>
          </w:rPr>
          <w:fldChar w:fldCharType="separate"/>
        </w:r>
        <w:r w:rsidR="00F27E2F">
          <w:rPr>
            <w:noProof/>
            <w:webHidden/>
          </w:rPr>
          <w:t>66</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45" w:anchor="_Toc526120101" w:history="1">
        <w:r w:rsidR="00F27E2F" w:rsidRPr="00692B10">
          <w:rPr>
            <w:rStyle w:val="Lienhypertexte"/>
            <w:noProof/>
          </w:rPr>
          <w:t>Figure 35 - Tendance évolutive de l'utilisation des semences sélectionnées</w:t>
        </w:r>
        <w:r w:rsidR="00F27E2F">
          <w:rPr>
            <w:noProof/>
            <w:webHidden/>
          </w:rPr>
          <w:tab/>
        </w:r>
        <w:r w:rsidR="00D639F2">
          <w:rPr>
            <w:noProof/>
            <w:webHidden/>
          </w:rPr>
          <w:fldChar w:fldCharType="begin"/>
        </w:r>
        <w:r w:rsidR="00F27E2F">
          <w:rPr>
            <w:noProof/>
            <w:webHidden/>
          </w:rPr>
          <w:instrText xml:space="preserve"> PAGEREF _Toc526120101 \h </w:instrText>
        </w:r>
        <w:r w:rsidR="00D639F2">
          <w:rPr>
            <w:noProof/>
            <w:webHidden/>
          </w:rPr>
        </w:r>
        <w:r w:rsidR="00D639F2">
          <w:rPr>
            <w:noProof/>
            <w:webHidden/>
          </w:rPr>
          <w:fldChar w:fldCharType="separate"/>
        </w:r>
        <w:r w:rsidR="00F27E2F">
          <w:rPr>
            <w:noProof/>
            <w:webHidden/>
          </w:rPr>
          <w:t>67</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46" w:anchor="_Toc526120102" w:history="1">
        <w:r w:rsidR="00F27E2F" w:rsidRPr="00692B10">
          <w:rPr>
            <w:rStyle w:val="Lienhypertexte"/>
            <w:noProof/>
          </w:rPr>
          <w:t>Figure 36 - Evolution de l'Indice d'orientation Agricole</w:t>
        </w:r>
        <w:r w:rsidR="00F27E2F">
          <w:rPr>
            <w:noProof/>
            <w:webHidden/>
          </w:rPr>
          <w:tab/>
        </w:r>
        <w:r w:rsidR="00D639F2">
          <w:rPr>
            <w:noProof/>
            <w:webHidden/>
          </w:rPr>
          <w:fldChar w:fldCharType="begin"/>
        </w:r>
        <w:r w:rsidR="00F27E2F">
          <w:rPr>
            <w:noProof/>
            <w:webHidden/>
          </w:rPr>
          <w:instrText xml:space="preserve"> PAGEREF _Toc526120102 \h </w:instrText>
        </w:r>
        <w:r w:rsidR="00D639F2">
          <w:rPr>
            <w:noProof/>
            <w:webHidden/>
          </w:rPr>
        </w:r>
        <w:r w:rsidR="00D639F2">
          <w:rPr>
            <w:noProof/>
            <w:webHidden/>
          </w:rPr>
          <w:fldChar w:fldCharType="separate"/>
        </w:r>
        <w:r w:rsidR="00F27E2F">
          <w:rPr>
            <w:noProof/>
            <w:webHidden/>
          </w:rPr>
          <w:t>68</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47" w:anchor="_Toc526120103" w:history="1">
        <w:r w:rsidR="00F27E2F" w:rsidRPr="00692B10">
          <w:rPr>
            <w:rStyle w:val="Lienhypertexte"/>
            <w:noProof/>
          </w:rPr>
          <w:t>Figure 37 - Evolution des dépenses de recherche en % du PIB</w:t>
        </w:r>
        <w:r w:rsidR="00F27E2F">
          <w:rPr>
            <w:noProof/>
            <w:webHidden/>
          </w:rPr>
          <w:tab/>
        </w:r>
        <w:r w:rsidR="00D639F2">
          <w:rPr>
            <w:noProof/>
            <w:webHidden/>
          </w:rPr>
          <w:fldChar w:fldCharType="begin"/>
        </w:r>
        <w:r w:rsidR="00F27E2F">
          <w:rPr>
            <w:noProof/>
            <w:webHidden/>
          </w:rPr>
          <w:instrText xml:space="preserve"> PAGEREF _Toc526120103 \h </w:instrText>
        </w:r>
        <w:r w:rsidR="00D639F2">
          <w:rPr>
            <w:noProof/>
            <w:webHidden/>
          </w:rPr>
        </w:r>
        <w:r w:rsidR="00D639F2">
          <w:rPr>
            <w:noProof/>
            <w:webHidden/>
          </w:rPr>
          <w:fldChar w:fldCharType="separate"/>
        </w:r>
        <w:r w:rsidR="00F27E2F">
          <w:rPr>
            <w:noProof/>
            <w:webHidden/>
          </w:rPr>
          <w:t>69</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48" w:anchor="_Toc526120104" w:history="1">
        <w:r w:rsidR="00F27E2F" w:rsidRPr="00692B10">
          <w:rPr>
            <w:rStyle w:val="Lienhypertexte"/>
            <w:noProof/>
          </w:rPr>
          <w:t>Figure 38 - Evolution du budget de l'INRAN</w:t>
        </w:r>
        <w:r w:rsidR="00F27E2F">
          <w:rPr>
            <w:noProof/>
            <w:webHidden/>
          </w:rPr>
          <w:tab/>
        </w:r>
        <w:r w:rsidR="00D639F2">
          <w:rPr>
            <w:noProof/>
            <w:webHidden/>
          </w:rPr>
          <w:fldChar w:fldCharType="begin"/>
        </w:r>
        <w:r w:rsidR="00F27E2F">
          <w:rPr>
            <w:noProof/>
            <w:webHidden/>
          </w:rPr>
          <w:instrText xml:space="preserve"> PAGEREF _Toc526120104 \h </w:instrText>
        </w:r>
        <w:r w:rsidR="00D639F2">
          <w:rPr>
            <w:noProof/>
            <w:webHidden/>
          </w:rPr>
        </w:r>
        <w:r w:rsidR="00D639F2">
          <w:rPr>
            <w:noProof/>
            <w:webHidden/>
          </w:rPr>
          <w:fldChar w:fldCharType="separate"/>
        </w:r>
        <w:r w:rsidR="00F27E2F">
          <w:rPr>
            <w:noProof/>
            <w:webHidden/>
          </w:rPr>
          <w:t>69</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49" w:anchor="_Toc526120105" w:history="1">
        <w:r w:rsidR="00F27E2F" w:rsidRPr="00692B10">
          <w:rPr>
            <w:rStyle w:val="Lienhypertexte"/>
            <w:noProof/>
          </w:rPr>
          <w:t>Figure 39 - répartition des projets selon les Ministères</w:t>
        </w:r>
        <w:r w:rsidR="00F27E2F">
          <w:rPr>
            <w:noProof/>
            <w:webHidden/>
          </w:rPr>
          <w:tab/>
        </w:r>
        <w:r w:rsidR="00D639F2">
          <w:rPr>
            <w:noProof/>
            <w:webHidden/>
          </w:rPr>
          <w:fldChar w:fldCharType="begin"/>
        </w:r>
        <w:r w:rsidR="00F27E2F">
          <w:rPr>
            <w:noProof/>
            <w:webHidden/>
          </w:rPr>
          <w:instrText xml:space="preserve"> PAGEREF _Toc526120105 \h </w:instrText>
        </w:r>
        <w:r w:rsidR="00D639F2">
          <w:rPr>
            <w:noProof/>
            <w:webHidden/>
          </w:rPr>
        </w:r>
        <w:r w:rsidR="00D639F2">
          <w:rPr>
            <w:noProof/>
            <w:webHidden/>
          </w:rPr>
          <w:fldChar w:fldCharType="separate"/>
        </w:r>
        <w:r w:rsidR="00F27E2F">
          <w:rPr>
            <w:noProof/>
            <w:webHidden/>
          </w:rPr>
          <w:t>90</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50" w:anchor="_Toc526120106" w:history="1">
        <w:r w:rsidR="00F27E2F" w:rsidRPr="00692B10">
          <w:rPr>
            <w:rStyle w:val="Lienhypertexte"/>
            <w:noProof/>
          </w:rPr>
          <w:t>Figure 40 - Nombre de projets selon les programmes d'investissements de l'Initiative 3N</w:t>
        </w:r>
        <w:r w:rsidR="00F27E2F">
          <w:rPr>
            <w:noProof/>
            <w:webHidden/>
          </w:rPr>
          <w:tab/>
        </w:r>
        <w:r w:rsidR="00D639F2">
          <w:rPr>
            <w:noProof/>
            <w:webHidden/>
          </w:rPr>
          <w:fldChar w:fldCharType="begin"/>
        </w:r>
        <w:r w:rsidR="00F27E2F">
          <w:rPr>
            <w:noProof/>
            <w:webHidden/>
          </w:rPr>
          <w:instrText xml:space="preserve"> PAGEREF _Toc526120106 \h </w:instrText>
        </w:r>
        <w:r w:rsidR="00D639F2">
          <w:rPr>
            <w:noProof/>
            <w:webHidden/>
          </w:rPr>
        </w:r>
        <w:r w:rsidR="00D639F2">
          <w:rPr>
            <w:noProof/>
            <w:webHidden/>
          </w:rPr>
          <w:fldChar w:fldCharType="separate"/>
        </w:r>
        <w:r w:rsidR="00F27E2F">
          <w:rPr>
            <w:noProof/>
            <w:webHidden/>
          </w:rPr>
          <w:t>90</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51" w:anchor="_Toc526120107" w:history="1">
        <w:r w:rsidR="00F27E2F" w:rsidRPr="00692B10">
          <w:rPr>
            <w:rStyle w:val="Lienhypertexte"/>
            <w:noProof/>
          </w:rPr>
          <w:t>Figure 41 – Types d’actions humanitaires</w:t>
        </w:r>
        <w:r w:rsidR="00F27E2F">
          <w:rPr>
            <w:noProof/>
            <w:webHidden/>
          </w:rPr>
          <w:tab/>
        </w:r>
        <w:r w:rsidR="00D639F2">
          <w:rPr>
            <w:noProof/>
            <w:webHidden/>
          </w:rPr>
          <w:fldChar w:fldCharType="begin"/>
        </w:r>
        <w:r w:rsidR="00F27E2F">
          <w:rPr>
            <w:noProof/>
            <w:webHidden/>
          </w:rPr>
          <w:instrText xml:space="preserve"> PAGEREF _Toc526120107 \h </w:instrText>
        </w:r>
        <w:r w:rsidR="00D639F2">
          <w:rPr>
            <w:noProof/>
            <w:webHidden/>
          </w:rPr>
        </w:r>
        <w:r w:rsidR="00D639F2">
          <w:rPr>
            <w:noProof/>
            <w:webHidden/>
          </w:rPr>
          <w:fldChar w:fldCharType="separate"/>
        </w:r>
        <w:r w:rsidR="00F27E2F">
          <w:rPr>
            <w:noProof/>
            <w:webHidden/>
          </w:rPr>
          <w:t>91</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52" w:anchor="_Toc526120108" w:history="1">
        <w:r w:rsidR="00F27E2F" w:rsidRPr="00692B10">
          <w:rPr>
            <w:rStyle w:val="Lienhypertexte"/>
            <w:noProof/>
          </w:rPr>
          <w:t>Figure 42 - Engagement des Organisations Humanitaires en réponse au plan de soutien 2018</w:t>
        </w:r>
        <w:r w:rsidR="00F27E2F">
          <w:rPr>
            <w:noProof/>
            <w:webHidden/>
          </w:rPr>
          <w:tab/>
        </w:r>
        <w:r w:rsidR="00D639F2">
          <w:rPr>
            <w:noProof/>
            <w:webHidden/>
          </w:rPr>
          <w:fldChar w:fldCharType="begin"/>
        </w:r>
        <w:r w:rsidR="00F27E2F">
          <w:rPr>
            <w:noProof/>
            <w:webHidden/>
          </w:rPr>
          <w:instrText xml:space="preserve"> PAGEREF _Toc526120108 \h </w:instrText>
        </w:r>
        <w:r w:rsidR="00D639F2">
          <w:rPr>
            <w:noProof/>
            <w:webHidden/>
          </w:rPr>
        </w:r>
        <w:r w:rsidR="00D639F2">
          <w:rPr>
            <w:noProof/>
            <w:webHidden/>
          </w:rPr>
          <w:fldChar w:fldCharType="separate"/>
        </w:r>
        <w:r w:rsidR="00F27E2F">
          <w:rPr>
            <w:noProof/>
            <w:webHidden/>
          </w:rPr>
          <w:t>92</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53" w:anchor="_Toc526120109" w:history="1">
        <w:r w:rsidR="00F27E2F" w:rsidRPr="00692B10">
          <w:rPr>
            <w:rStyle w:val="Lienhypertexte"/>
            <w:noProof/>
          </w:rPr>
          <w:t>Figure 43 - Rôles potentiels des acteurs pour  la mise en œuvre des cibles de l'ODD2</w:t>
        </w:r>
        <w:r w:rsidR="00F27E2F">
          <w:rPr>
            <w:noProof/>
            <w:webHidden/>
          </w:rPr>
          <w:tab/>
        </w:r>
        <w:r w:rsidR="00D639F2">
          <w:rPr>
            <w:noProof/>
            <w:webHidden/>
          </w:rPr>
          <w:fldChar w:fldCharType="begin"/>
        </w:r>
        <w:r w:rsidR="00F27E2F">
          <w:rPr>
            <w:noProof/>
            <w:webHidden/>
          </w:rPr>
          <w:instrText xml:space="preserve"> PAGEREF _Toc526120109 \h </w:instrText>
        </w:r>
        <w:r w:rsidR="00D639F2">
          <w:rPr>
            <w:noProof/>
            <w:webHidden/>
          </w:rPr>
        </w:r>
        <w:r w:rsidR="00D639F2">
          <w:rPr>
            <w:noProof/>
            <w:webHidden/>
          </w:rPr>
          <w:fldChar w:fldCharType="separate"/>
        </w:r>
        <w:r w:rsidR="00F27E2F">
          <w:rPr>
            <w:noProof/>
            <w:webHidden/>
          </w:rPr>
          <w:t>94</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54" w:anchor="_Toc526120110" w:history="1">
        <w:r w:rsidR="00F27E2F" w:rsidRPr="00692B10">
          <w:rPr>
            <w:rStyle w:val="Lienhypertexte"/>
            <w:noProof/>
          </w:rPr>
          <w:t>Figure 44 - Dispositif de suivi-évaluation de l'ODD2.</w:t>
        </w:r>
        <w:r w:rsidR="00F27E2F">
          <w:rPr>
            <w:noProof/>
            <w:webHidden/>
          </w:rPr>
          <w:tab/>
        </w:r>
        <w:r w:rsidR="00D639F2">
          <w:rPr>
            <w:noProof/>
            <w:webHidden/>
          </w:rPr>
          <w:fldChar w:fldCharType="begin"/>
        </w:r>
        <w:r w:rsidR="00F27E2F">
          <w:rPr>
            <w:noProof/>
            <w:webHidden/>
          </w:rPr>
          <w:instrText xml:space="preserve"> PAGEREF _Toc526120110 \h </w:instrText>
        </w:r>
        <w:r w:rsidR="00D639F2">
          <w:rPr>
            <w:noProof/>
            <w:webHidden/>
          </w:rPr>
        </w:r>
        <w:r w:rsidR="00D639F2">
          <w:rPr>
            <w:noProof/>
            <w:webHidden/>
          </w:rPr>
          <w:fldChar w:fldCharType="separate"/>
        </w:r>
        <w:r w:rsidR="00F27E2F">
          <w:rPr>
            <w:noProof/>
            <w:webHidden/>
          </w:rPr>
          <w:t>95</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55" w:anchor="_Toc526120111" w:history="1">
        <w:r w:rsidR="00F27E2F" w:rsidRPr="00692B10">
          <w:rPr>
            <w:rStyle w:val="Lienhypertexte"/>
            <w:noProof/>
          </w:rPr>
          <w:t>Figure 45 -revenu mensuel des ménages selon la classe d'insécurité alimentaire</w:t>
        </w:r>
        <w:r w:rsidR="00F27E2F">
          <w:rPr>
            <w:noProof/>
            <w:webHidden/>
          </w:rPr>
          <w:tab/>
        </w:r>
        <w:r w:rsidR="00D639F2">
          <w:rPr>
            <w:noProof/>
            <w:webHidden/>
          </w:rPr>
          <w:fldChar w:fldCharType="begin"/>
        </w:r>
        <w:r w:rsidR="00F27E2F">
          <w:rPr>
            <w:noProof/>
            <w:webHidden/>
          </w:rPr>
          <w:instrText xml:space="preserve"> PAGEREF _Toc526120111 \h </w:instrText>
        </w:r>
        <w:r w:rsidR="00D639F2">
          <w:rPr>
            <w:noProof/>
            <w:webHidden/>
          </w:rPr>
        </w:r>
        <w:r w:rsidR="00D639F2">
          <w:rPr>
            <w:noProof/>
            <w:webHidden/>
          </w:rPr>
          <w:fldChar w:fldCharType="separate"/>
        </w:r>
        <w:r w:rsidR="00F27E2F">
          <w:rPr>
            <w:noProof/>
            <w:webHidden/>
          </w:rPr>
          <w:t>96</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56" w:anchor="_Toc526120112" w:history="1">
        <w:r w:rsidR="00F27E2F" w:rsidRPr="00692B10">
          <w:rPr>
            <w:rStyle w:val="Lienhypertexte"/>
            <w:noProof/>
          </w:rPr>
          <w:t>Figure 46 - Tendance évolutive des inégalités selon l'Indice Gini</w:t>
        </w:r>
        <w:r w:rsidR="00F27E2F">
          <w:rPr>
            <w:noProof/>
            <w:webHidden/>
          </w:rPr>
          <w:tab/>
        </w:r>
        <w:r w:rsidR="00D639F2">
          <w:rPr>
            <w:noProof/>
            <w:webHidden/>
          </w:rPr>
          <w:fldChar w:fldCharType="begin"/>
        </w:r>
        <w:r w:rsidR="00F27E2F">
          <w:rPr>
            <w:noProof/>
            <w:webHidden/>
          </w:rPr>
          <w:instrText xml:space="preserve"> PAGEREF _Toc526120112 \h </w:instrText>
        </w:r>
        <w:r w:rsidR="00D639F2">
          <w:rPr>
            <w:noProof/>
            <w:webHidden/>
          </w:rPr>
        </w:r>
        <w:r w:rsidR="00D639F2">
          <w:rPr>
            <w:noProof/>
            <w:webHidden/>
          </w:rPr>
          <w:fldChar w:fldCharType="separate"/>
        </w:r>
        <w:r w:rsidR="00F27E2F">
          <w:rPr>
            <w:noProof/>
            <w:webHidden/>
          </w:rPr>
          <w:t>97</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57" w:anchor="_Toc526120113" w:history="1">
        <w:r w:rsidR="00F27E2F" w:rsidRPr="00692B10">
          <w:rPr>
            <w:rStyle w:val="Lienhypertexte"/>
            <w:noProof/>
          </w:rPr>
          <w:t>Figure 47 - prévalence de l'insécurité alimentaire selon le niveau d'éducation</w:t>
        </w:r>
        <w:r w:rsidR="00F27E2F">
          <w:rPr>
            <w:noProof/>
            <w:webHidden/>
          </w:rPr>
          <w:tab/>
        </w:r>
        <w:r w:rsidR="00D639F2">
          <w:rPr>
            <w:noProof/>
            <w:webHidden/>
          </w:rPr>
          <w:fldChar w:fldCharType="begin"/>
        </w:r>
        <w:r w:rsidR="00F27E2F">
          <w:rPr>
            <w:noProof/>
            <w:webHidden/>
          </w:rPr>
          <w:instrText xml:space="preserve"> PAGEREF _Toc526120113 \h </w:instrText>
        </w:r>
        <w:r w:rsidR="00D639F2">
          <w:rPr>
            <w:noProof/>
            <w:webHidden/>
          </w:rPr>
        </w:r>
        <w:r w:rsidR="00D639F2">
          <w:rPr>
            <w:noProof/>
            <w:webHidden/>
          </w:rPr>
          <w:fldChar w:fldCharType="separate"/>
        </w:r>
        <w:r w:rsidR="00F27E2F">
          <w:rPr>
            <w:noProof/>
            <w:webHidden/>
          </w:rPr>
          <w:t>101</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r:id="rId58" w:anchor="_Toc526120114" w:history="1">
        <w:r w:rsidR="00F27E2F" w:rsidRPr="00692B10">
          <w:rPr>
            <w:rStyle w:val="Lienhypertexte"/>
            <w:noProof/>
          </w:rPr>
          <w:t>Figure 48 - Prévalence de l'insécurité alimentaire selon l'activité du chef de ménage</w:t>
        </w:r>
        <w:r w:rsidR="00F27E2F">
          <w:rPr>
            <w:noProof/>
            <w:webHidden/>
          </w:rPr>
          <w:tab/>
        </w:r>
        <w:r w:rsidR="00D639F2">
          <w:rPr>
            <w:noProof/>
            <w:webHidden/>
          </w:rPr>
          <w:fldChar w:fldCharType="begin"/>
        </w:r>
        <w:r w:rsidR="00F27E2F">
          <w:rPr>
            <w:noProof/>
            <w:webHidden/>
          </w:rPr>
          <w:instrText xml:space="preserve"> PAGEREF _Toc526120114 \h </w:instrText>
        </w:r>
        <w:r w:rsidR="00D639F2">
          <w:rPr>
            <w:noProof/>
            <w:webHidden/>
          </w:rPr>
        </w:r>
        <w:r w:rsidR="00D639F2">
          <w:rPr>
            <w:noProof/>
            <w:webHidden/>
          </w:rPr>
          <w:fldChar w:fldCharType="separate"/>
        </w:r>
        <w:r w:rsidR="00F27E2F">
          <w:rPr>
            <w:noProof/>
            <w:webHidden/>
          </w:rPr>
          <w:t>104</w:t>
        </w:r>
        <w:r w:rsidR="00D639F2">
          <w:rPr>
            <w:noProof/>
            <w:webHidden/>
          </w:rPr>
          <w:fldChar w:fldCharType="end"/>
        </w:r>
      </w:hyperlink>
    </w:p>
    <w:p w:rsidR="009B11E1" w:rsidRPr="00503967" w:rsidRDefault="00D639F2">
      <w:pPr>
        <w:rPr>
          <w:rFonts w:ascii="Nyala" w:hAnsi="Nyala"/>
          <w:iCs/>
        </w:rPr>
      </w:pPr>
      <w:r w:rsidRPr="00503967">
        <w:rPr>
          <w:rFonts w:ascii="Nyala" w:hAnsi="Nyala"/>
          <w:iCs/>
        </w:rPr>
        <w:fldChar w:fldCharType="end"/>
      </w:r>
    </w:p>
    <w:p w:rsidR="009B11E1" w:rsidRDefault="009B11E1">
      <w:pPr>
        <w:rPr>
          <w:rFonts w:ascii="Nyala" w:hAnsi="Nyala"/>
          <w:iCs/>
          <w:sz w:val="28"/>
          <w:szCs w:val="28"/>
        </w:rPr>
      </w:pPr>
    </w:p>
    <w:p w:rsidR="009B11E1" w:rsidRDefault="009B11E1" w:rsidP="009B11E1">
      <w:pPr>
        <w:pStyle w:val="Titre1"/>
      </w:pPr>
      <w:bookmarkStart w:id="4" w:name="_Toc526119963"/>
      <w:r>
        <w:t>Liste des tableaux</w:t>
      </w:r>
      <w:bookmarkEnd w:id="4"/>
    </w:p>
    <w:p w:rsidR="009B11E1" w:rsidRDefault="009B11E1" w:rsidP="009B11E1"/>
    <w:p w:rsidR="00F27E2F" w:rsidRDefault="00D639F2">
      <w:pPr>
        <w:pStyle w:val="Tabledesillustrations"/>
        <w:tabs>
          <w:tab w:val="right" w:leader="dot" w:pos="9062"/>
        </w:tabs>
        <w:rPr>
          <w:rFonts w:eastAsiaTheme="minorEastAsia"/>
          <w:noProof/>
          <w:sz w:val="22"/>
          <w:szCs w:val="22"/>
          <w:lang w:eastAsia="fr-FR"/>
        </w:rPr>
      </w:pPr>
      <w:r>
        <w:fldChar w:fldCharType="begin"/>
      </w:r>
      <w:r w:rsidR="000F193C">
        <w:instrText xml:space="preserve"> TOC \h \z \c "Tableau" </w:instrText>
      </w:r>
      <w:r>
        <w:fldChar w:fldCharType="separate"/>
      </w:r>
      <w:hyperlink w:anchor="_Toc526120055" w:history="1">
        <w:r w:rsidR="00F27E2F" w:rsidRPr="0060294E">
          <w:rPr>
            <w:rStyle w:val="Lienhypertexte"/>
            <w:noProof/>
          </w:rPr>
          <w:t>Tableau 1 Zones AIC</w:t>
        </w:r>
        <w:r w:rsidR="00F27E2F">
          <w:rPr>
            <w:noProof/>
            <w:webHidden/>
          </w:rPr>
          <w:tab/>
        </w:r>
        <w:r>
          <w:rPr>
            <w:noProof/>
            <w:webHidden/>
          </w:rPr>
          <w:fldChar w:fldCharType="begin"/>
        </w:r>
        <w:r w:rsidR="00F27E2F">
          <w:rPr>
            <w:noProof/>
            <w:webHidden/>
          </w:rPr>
          <w:instrText xml:space="preserve"> PAGEREF _Toc526120055 \h </w:instrText>
        </w:r>
        <w:r>
          <w:rPr>
            <w:noProof/>
            <w:webHidden/>
          </w:rPr>
        </w:r>
        <w:r>
          <w:rPr>
            <w:noProof/>
            <w:webHidden/>
          </w:rPr>
          <w:fldChar w:fldCharType="separate"/>
        </w:r>
        <w:r w:rsidR="00F27E2F">
          <w:rPr>
            <w:noProof/>
            <w:webHidden/>
          </w:rPr>
          <w:t>33</w:t>
        </w:r>
        <w:r>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w:anchor="_Toc526120056" w:history="1">
        <w:r w:rsidR="00F27E2F" w:rsidRPr="0060294E">
          <w:rPr>
            <w:rStyle w:val="Lienhypertexte"/>
            <w:noProof/>
          </w:rPr>
          <w:t>Tableau 2 - Panier de la ménagère selon les différentes approches de mesure de la sécurité alimentaire</w:t>
        </w:r>
        <w:r w:rsidR="00F27E2F">
          <w:rPr>
            <w:noProof/>
            <w:webHidden/>
          </w:rPr>
          <w:tab/>
        </w:r>
        <w:r w:rsidR="00D639F2">
          <w:rPr>
            <w:noProof/>
            <w:webHidden/>
          </w:rPr>
          <w:fldChar w:fldCharType="begin"/>
        </w:r>
        <w:r w:rsidR="00F27E2F">
          <w:rPr>
            <w:noProof/>
            <w:webHidden/>
          </w:rPr>
          <w:instrText xml:space="preserve"> PAGEREF _Toc526120056 \h </w:instrText>
        </w:r>
        <w:r w:rsidR="00D639F2">
          <w:rPr>
            <w:noProof/>
            <w:webHidden/>
          </w:rPr>
        </w:r>
        <w:r w:rsidR="00D639F2">
          <w:rPr>
            <w:noProof/>
            <w:webHidden/>
          </w:rPr>
          <w:fldChar w:fldCharType="separate"/>
        </w:r>
        <w:r w:rsidR="00F27E2F">
          <w:rPr>
            <w:noProof/>
            <w:webHidden/>
          </w:rPr>
          <w:t>37</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w:anchor="_Toc526120057" w:history="1">
        <w:r w:rsidR="00F27E2F" w:rsidRPr="0060294E">
          <w:rPr>
            <w:rStyle w:val="Lienhypertexte"/>
            <w:noProof/>
          </w:rPr>
          <w:t>Tableau 3 - profil typique des ménages en insécurité alimentaire (source INS)</w:t>
        </w:r>
        <w:r w:rsidR="00F27E2F">
          <w:rPr>
            <w:noProof/>
            <w:webHidden/>
          </w:rPr>
          <w:tab/>
        </w:r>
        <w:r w:rsidR="00D639F2">
          <w:rPr>
            <w:noProof/>
            <w:webHidden/>
          </w:rPr>
          <w:fldChar w:fldCharType="begin"/>
        </w:r>
        <w:r w:rsidR="00F27E2F">
          <w:rPr>
            <w:noProof/>
            <w:webHidden/>
          </w:rPr>
          <w:instrText xml:space="preserve"> PAGEREF _Toc526120057 \h </w:instrText>
        </w:r>
        <w:r w:rsidR="00D639F2">
          <w:rPr>
            <w:noProof/>
            <w:webHidden/>
          </w:rPr>
        </w:r>
        <w:r w:rsidR="00D639F2">
          <w:rPr>
            <w:noProof/>
            <w:webHidden/>
          </w:rPr>
          <w:fldChar w:fldCharType="separate"/>
        </w:r>
        <w:r w:rsidR="00F27E2F">
          <w:rPr>
            <w:noProof/>
            <w:webHidden/>
          </w:rPr>
          <w:t>37</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w:anchor="_Toc526120058" w:history="1">
        <w:r w:rsidR="00F27E2F" w:rsidRPr="0060294E">
          <w:rPr>
            <w:rStyle w:val="Lienhypertexte"/>
            <w:noProof/>
          </w:rPr>
          <w:t>Tableau 4 - Prévalence de l'anémie en 2012 et 2017</w:t>
        </w:r>
        <w:r w:rsidR="00F27E2F">
          <w:rPr>
            <w:noProof/>
            <w:webHidden/>
          </w:rPr>
          <w:tab/>
        </w:r>
        <w:r w:rsidR="00D639F2">
          <w:rPr>
            <w:noProof/>
            <w:webHidden/>
          </w:rPr>
          <w:fldChar w:fldCharType="begin"/>
        </w:r>
        <w:r w:rsidR="00F27E2F">
          <w:rPr>
            <w:noProof/>
            <w:webHidden/>
          </w:rPr>
          <w:instrText xml:space="preserve"> PAGEREF _Toc526120058 \h </w:instrText>
        </w:r>
        <w:r w:rsidR="00D639F2">
          <w:rPr>
            <w:noProof/>
            <w:webHidden/>
          </w:rPr>
        </w:r>
        <w:r w:rsidR="00D639F2">
          <w:rPr>
            <w:noProof/>
            <w:webHidden/>
          </w:rPr>
          <w:fldChar w:fldCharType="separate"/>
        </w:r>
        <w:r w:rsidR="00F27E2F">
          <w:rPr>
            <w:noProof/>
            <w:webHidden/>
          </w:rPr>
          <w:t>42</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w:anchor="_Toc526120059" w:history="1">
        <w:r w:rsidR="00F27E2F" w:rsidRPr="0060294E">
          <w:rPr>
            <w:rStyle w:val="Lienhypertexte"/>
            <w:noProof/>
          </w:rPr>
          <w:t>Tableau 5 - prévalence de l'anémie selon le milieu de résidence</w:t>
        </w:r>
        <w:r w:rsidR="00F27E2F">
          <w:rPr>
            <w:noProof/>
            <w:webHidden/>
          </w:rPr>
          <w:tab/>
        </w:r>
        <w:r w:rsidR="00D639F2">
          <w:rPr>
            <w:noProof/>
            <w:webHidden/>
          </w:rPr>
          <w:fldChar w:fldCharType="begin"/>
        </w:r>
        <w:r w:rsidR="00F27E2F">
          <w:rPr>
            <w:noProof/>
            <w:webHidden/>
          </w:rPr>
          <w:instrText xml:space="preserve"> PAGEREF _Toc526120059 \h </w:instrText>
        </w:r>
        <w:r w:rsidR="00D639F2">
          <w:rPr>
            <w:noProof/>
            <w:webHidden/>
          </w:rPr>
        </w:r>
        <w:r w:rsidR="00D639F2">
          <w:rPr>
            <w:noProof/>
            <w:webHidden/>
          </w:rPr>
          <w:fldChar w:fldCharType="separate"/>
        </w:r>
        <w:r w:rsidR="00F27E2F">
          <w:rPr>
            <w:noProof/>
            <w:webHidden/>
          </w:rPr>
          <w:t>42</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w:anchor="_Toc526120060" w:history="1">
        <w:r w:rsidR="00F27E2F" w:rsidRPr="0060294E">
          <w:rPr>
            <w:rStyle w:val="Lienhypertexte"/>
            <w:noProof/>
          </w:rPr>
          <w:t>Tableau 6 - Evolution de la disponibilité en céréales au Niger</w:t>
        </w:r>
        <w:r w:rsidR="00F27E2F">
          <w:rPr>
            <w:noProof/>
            <w:webHidden/>
          </w:rPr>
          <w:tab/>
        </w:r>
        <w:r w:rsidR="00D639F2">
          <w:rPr>
            <w:noProof/>
            <w:webHidden/>
          </w:rPr>
          <w:fldChar w:fldCharType="begin"/>
        </w:r>
        <w:r w:rsidR="00F27E2F">
          <w:rPr>
            <w:noProof/>
            <w:webHidden/>
          </w:rPr>
          <w:instrText xml:space="preserve"> PAGEREF _Toc526120060 \h </w:instrText>
        </w:r>
        <w:r w:rsidR="00D639F2">
          <w:rPr>
            <w:noProof/>
            <w:webHidden/>
          </w:rPr>
        </w:r>
        <w:r w:rsidR="00D639F2">
          <w:rPr>
            <w:noProof/>
            <w:webHidden/>
          </w:rPr>
          <w:fldChar w:fldCharType="separate"/>
        </w:r>
        <w:r w:rsidR="00F27E2F">
          <w:rPr>
            <w:noProof/>
            <w:webHidden/>
          </w:rPr>
          <w:t>49</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w:anchor="_Toc526120061" w:history="1">
        <w:r w:rsidR="00F27E2F" w:rsidRPr="0060294E">
          <w:rPr>
            <w:rStyle w:val="Lienhypertexte"/>
            <w:noProof/>
          </w:rPr>
          <w:t>Tableau 7 - Evolution de la disponibilité des autres produits végétaux au Niger</w:t>
        </w:r>
        <w:r w:rsidR="00F27E2F">
          <w:rPr>
            <w:noProof/>
            <w:webHidden/>
          </w:rPr>
          <w:tab/>
        </w:r>
        <w:r w:rsidR="00D639F2">
          <w:rPr>
            <w:noProof/>
            <w:webHidden/>
          </w:rPr>
          <w:fldChar w:fldCharType="begin"/>
        </w:r>
        <w:r w:rsidR="00F27E2F">
          <w:rPr>
            <w:noProof/>
            <w:webHidden/>
          </w:rPr>
          <w:instrText xml:space="preserve"> PAGEREF _Toc526120061 \h </w:instrText>
        </w:r>
        <w:r w:rsidR="00D639F2">
          <w:rPr>
            <w:noProof/>
            <w:webHidden/>
          </w:rPr>
        </w:r>
        <w:r w:rsidR="00D639F2">
          <w:rPr>
            <w:noProof/>
            <w:webHidden/>
          </w:rPr>
          <w:fldChar w:fldCharType="separate"/>
        </w:r>
        <w:r w:rsidR="00F27E2F">
          <w:rPr>
            <w:noProof/>
            <w:webHidden/>
          </w:rPr>
          <w:t>50</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w:anchor="_Toc526120062" w:history="1">
        <w:r w:rsidR="00F27E2F" w:rsidRPr="0060294E">
          <w:rPr>
            <w:rStyle w:val="Lienhypertexte"/>
            <w:noProof/>
          </w:rPr>
          <w:t>Tableau 8 - Evolution de l'effectif du cheptel du Niger</w:t>
        </w:r>
        <w:r w:rsidR="00F27E2F">
          <w:rPr>
            <w:noProof/>
            <w:webHidden/>
          </w:rPr>
          <w:tab/>
        </w:r>
        <w:r w:rsidR="00D639F2">
          <w:rPr>
            <w:noProof/>
            <w:webHidden/>
          </w:rPr>
          <w:fldChar w:fldCharType="begin"/>
        </w:r>
        <w:r w:rsidR="00F27E2F">
          <w:rPr>
            <w:noProof/>
            <w:webHidden/>
          </w:rPr>
          <w:instrText xml:space="preserve"> PAGEREF _Toc526120062 \h </w:instrText>
        </w:r>
        <w:r w:rsidR="00D639F2">
          <w:rPr>
            <w:noProof/>
            <w:webHidden/>
          </w:rPr>
        </w:r>
        <w:r w:rsidR="00D639F2">
          <w:rPr>
            <w:noProof/>
            <w:webHidden/>
          </w:rPr>
          <w:fldChar w:fldCharType="separate"/>
        </w:r>
        <w:r w:rsidR="00F27E2F">
          <w:rPr>
            <w:noProof/>
            <w:webHidden/>
          </w:rPr>
          <w:t>51</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w:anchor="_Toc526120063" w:history="1">
        <w:r w:rsidR="00F27E2F" w:rsidRPr="0060294E">
          <w:rPr>
            <w:rStyle w:val="Lienhypertexte"/>
            <w:noProof/>
          </w:rPr>
          <w:t>Tableau 9 - Evolution du rendement des principales cultures du Niger</w:t>
        </w:r>
        <w:r w:rsidR="00F27E2F">
          <w:rPr>
            <w:noProof/>
            <w:webHidden/>
          </w:rPr>
          <w:tab/>
        </w:r>
        <w:r w:rsidR="00D639F2">
          <w:rPr>
            <w:noProof/>
            <w:webHidden/>
          </w:rPr>
          <w:fldChar w:fldCharType="begin"/>
        </w:r>
        <w:r w:rsidR="00F27E2F">
          <w:rPr>
            <w:noProof/>
            <w:webHidden/>
          </w:rPr>
          <w:instrText xml:space="preserve"> PAGEREF _Toc526120063 \h </w:instrText>
        </w:r>
        <w:r w:rsidR="00D639F2">
          <w:rPr>
            <w:noProof/>
            <w:webHidden/>
          </w:rPr>
        </w:r>
        <w:r w:rsidR="00D639F2">
          <w:rPr>
            <w:noProof/>
            <w:webHidden/>
          </w:rPr>
          <w:fldChar w:fldCharType="separate"/>
        </w:r>
        <w:r w:rsidR="00F27E2F">
          <w:rPr>
            <w:noProof/>
            <w:webHidden/>
          </w:rPr>
          <w:t>53</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w:anchor="_Toc526120064" w:history="1">
        <w:r w:rsidR="00F27E2F" w:rsidRPr="0060294E">
          <w:rPr>
            <w:rStyle w:val="Lienhypertexte"/>
            <w:noProof/>
          </w:rPr>
          <w:t>Tableau 10 Normes de consommation alimentaire dans les pays du CILSS (kg/an)</w:t>
        </w:r>
        <w:r w:rsidR="00F27E2F">
          <w:rPr>
            <w:noProof/>
            <w:webHidden/>
          </w:rPr>
          <w:tab/>
        </w:r>
        <w:r w:rsidR="00D639F2">
          <w:rPr>
            <w:noProof/>
            <w:webHidden/>
          </w:rPr>
          <w:fldChar w:fldCharType="begin"/>
        </w:r>
        <w:r w:rsidR="00F27E2F">
          <w:rPr>
            <w:noProof/>
            <w:webHidden/>
          </w:rPr>
          <w:instrText xml:space="preserve"> PAGEREF _Toc526120064 \h </w:instrText>
        </w:r>
        <w:r w:rsidR="00D639F2">
          <w:rPr>
            <w:noProof/>
            <w:webHidden/>
          </w:rPr>
        </w:r>
        <w:r w:rsidR="00D639F2">
          <w:rPr>
            <w:noProof/>
            <w:webHidden/>
          </w:rPr>
          <w:fldChar w:fldCharType="separate"/>
        </w:r>
        <w:r w:rsidR="00F27E2F">
          <w:rPr>
            <w:noProof/>
            <w:webHidden/>
          </w:rPr>
          <w:t>61</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w:anchor="_Toc526120065" w:history="1">
        <w:r w:rsidR="00F27E2F" w:rsidRPr="0060294E">
          <w:rPr>
            <w:rStyle w:val="Lienhypertexte"/>
            <w:noProof/>
          </w:rPr>
          <w:t>Tableau 11 - Evolution du bilan fourrager au Niger</w:t>
        </w:r>
        <w:r w:rsidR="00F27E2F">
          <w:rPr>
            <w:noProof/>
            <w:webHidden/>
          </w:rPr>
          <w:tab/>
        </w:r>
        <w:r w:rsidR="00D639F2">
          <w:rPr>
            <w:noProof/>
            <w:webHidden/>
          </w:rPr>
          <w:fldChar w:fldCharType="begin"/>
        </w:r>
        <w:r w:rsidR="00F27E2F">
          <w:rPr>
            <w:noProof/>
            <w:webHidden/>
          </w:rPr>
          <w:instrText xml:space="preserve"> PAGEREF _Toc526120065 \h </w:instrText>
        </w:r>
        <w:r w:rsidR="00D639F2">
          <w:rPr>
            <w:noProof/>
            <w:webHidden/>
          </w:rPr>
        </w:r>
        <w:r w:rsidR="00D639F2">
          <w:rPr>
            <w:noProof/>
            <w:webHidden/>
          </w:rPr>
          <w:fldChar w:fldCharType="separate"/>
        </w:r>
        <w:r w:rsidR="00F27E2F">
          <w:rPr>
            <w:noProof/>
            <w:webHidden/>
          </w:rPr>
          <w:t>64</w:t>
        </w:r>
        <w:r w:rsidR="00D639F2">
          <w:rPr>
            <w:noProof/>
            <w:webHidden/>
          </w:rPr>
          <w:fldChar w:fldCharType="end"/>
        </w:r>
      </w:hyperlink>
    </w:p>
    <w:p w:rsidR="00F27E2F" w:rsidRDefault="00C73EE5">
      <w:pPr>
        <w:pStyle w:val="Tabledesillustrations"/>
        <w:tabs>
          <w:tab w:val="right" w:leader="dot" w:pos="9062"/>
        </w:tabs>
        <w:rPr>
          <w:rFonts w:eastAsiaTheme="minorEastAsia"/>
          <w:noProof/>
          <w:sz w:val="22"/>
          <w:szCs w:val="22"/>
          <w:lang w:eastAsia="fr-FR"/>
        </w:rPr>
      </w:pPr>
      <w:hyperlink w:anchor="_Toc526120066" w:history="1">
        <w:r w:rsidR="00F27E2F" w:rsidRPr="0060294E">
          <w:rPr>
            <w:rStyle w:val="Lienhypertexte"/>
            <w:noProof/>
          </w:rPr>
          <w:t>Tableau 12 - Données de référence et résultats escomptés pour les indicateurs de l'ODD2</w:t>
        </w:r>
        <w:r w:rsidR="00F27E2F">
          <w:rPr>
            <w:noProof/>
            <w:webHidden/>
          </w:rPr>
          <w:tab/>
        </w:r>
        <w:r w:rsidR="00D639F2">
          <w:rPr>
            <w:noProof/>
            <w:webHidden/>
          </w:rPr>
          <w:fldChar w:fldCharType="begin"/>
        </w:r>
        <w:r w:rsidR="00F27E2F">
          <w:rPr>
            <w:noProof/>
            <w:webHidden/>
          </w:rPr>
          <w:instrText xml:space="preserve"> PAGEREF _Toc526120066 \h </w:instrText>
        </w:r>
        <w:r w:rsidR="00D639F2">
          <w:rPr>
            <w:noProof/>
            <w:webHidden/>
          </w:rPr>
        </w:r>
        <w:r w:rsidR="00D639F2">
          <w:rPr>
            <w:noProof/>
            <w:webHidden/>
          </w:rPr>
          <w:fldChar w:fldCharType="separate"/>
        </w:r>
        <w:r w:rsidR="00F27E2F">
          <w:rPr>
            <w:noProof/>
            <w:webHidden/>
          </w:rPr>
          <w:t>110</w:t>
        </w:r>
        <w:r w:rsidR="00D639F2">
          <w:rPr>
            <w:noProof/>
            <w:webHidden/>
          </w:rPr>
          <w:fldChar w:fldCharType="end"/>
        </w:r>
      </w:hyperlink>
    </w:p>
    <w:p w:rsidR="009B11E1" w:rsidRDefault="00D639F2" w:rsidP="009B11E1">
      <w:r>
        <w:fldChar w:fldCharType="end"/>
      </w:r>
    </w:p>
    <w:p w:rsidR="00503967" w:rsidRDefault="00503967">
      <w:r>
        <w:br w:type="page"/>
      </w:r>
    </w:p>
    <w:p w:rsidR="00503967" w:rsidRPr="009B11E1" w:rsidRDefault="00503967" w:rsidP="009B11E1"/>
    <w:p w:rsidR="00CB118D" w:rsidRPr="006866D3" w:rsidRDefault="00CB118D" w:rsidP="00CB118D">
      <w:pPr>
        <w:pStyle w:val="Titre1"/>
        <w:rPr>
          <w:sz w:val="28"/>
          <w:szCs w:val="28"/>
        </w:rPr>
      </w:pPr>
      <w:bookmarkStart w:id="5" w:name="_Toc526119964"/>
      <w:r w:rsidRPr="006866D3">
        <w:rPr>
          <w:sz w:val="28"/>
          <w:szCs w:val="28"/>
        </w:rPr>
        <w:t>Résumé exécutif</w:t>
      </w:r>
      <w:bookmarkEnd w:id="5"/>
    </w:p>
    <w:p w:rsidR="00924A56" w:rsidRPr="006866D3" w:rsidRDefault="00924A56">
      <w:pPr>
        <w:rPr>
          <w:rFonts w:ascii="Nyala" w:hAnsi="Nyala"/>
          <w:iCs/>
          <w:sz w:val="28"/>
          <w:szCs w:val="28"/>
        </w:rPr>
      </w:pPr>
    </w:p>
    <w:p w:rsidR="00924A56" w:rsidRPr="006866D3" w:rsidRDefault="00924A56" w:rsidP="00924A56">
      <w:pPr>
        <w:jc w:val="both"/>
        <w:rPr>
          <w:rFonts w:ascii="Nyala" w:hAnsi="Nyala"/>
          <w:b/>
          <w:sz w:val="28"/>
          <w:szCs w:val="28"/>
        </w:rPr>
      </w:pPr>
      <w:r w:rsidRPr="006866D3">
        <w:rPr>
          <w:rFonts w:ascii="Nyala" w:hAnsi="Nyala"/>
          <w:sz w:val="28"/>
          <w:szCs w:val="28"/>
        </w:rPr>
        <w:t xml:space="preserve">A l’instar de plusieurs autres pays membres des Nations Unies, le Niger avec l’appui du </w:t>
      </w:r>
      <w:r w:rsidR="00050A2C">
        <w:rPr>
          <w:rFonts w:ascii="Nyala" w:hAnsi="Nyala"/>
          <w:sz w:val="28"/>
          <w:szCs w:val="28"/>
        </w:rPr>
        <w:t>Programme Alimentaire Mondial (</w:t>
      </w:r>
      <w:r w:rsidRPr="006866D3">
        <w:rPr>
          <w:rFonts w:ascii="Nyala" w:hAnsi="Nyala"/>
          <w:sz w:val="28"/>
          <w:szCs w:val="28"/>
        </w:rPr>
        <w:t>PAM</w:t>
      </w:r>
      <w:r w:rsidR="00050A2C">
        <w:rPr>
          <w:rFonts w:ascii="Nyala" w:hAnsi="Nyala"/>
          <w:sz w:val="28"/>
          <w:szCs w:val="28"/>
        </w:rPr>
        <w:t>)</w:t>
      </w:r>
      <w:r w:rsidRPr="006866D3">
        <w:rPr>
          <w:rFonts w:ascii="Nyala" w:hAnsi="Nyala"/>
          <w:sz w:val="28"/>
          <w:szCs w:val="28"/>
        </w:rPr>
        <w:t>, s’est également lancé dans la revue de sa stratégie nationale « Faim Zéro » pour l’atteinte de l’ODD2 : « </w:t>
      </w:r>
      <w:r w:rsidRPr="006866D3">
        <w:rPr>
          <w:rFonts w:ascii="Nyala" w:hAnsi="Nyala"/>
          <w:i/>
          <w:sz w:val="28"/>
          <w:szCs w:val="28"/>
        </w:rPr>
        <w:t>Eliminer la faim, assurer la sécurité alimentaire, améliorer la nutrition et promouvoir l’agriculture durable</w:t>
      </w:r>
      <w:r w:rsidRPr="006866D3">
        <w:rPr>
          <w:rFonts w:ascii="Nyala" w:hAnsi="Nyala"/>
          <w:b/>
          <w:sz w:val="28"/>
          <w:szCs w:val="28"/>
        </w:rPr>
        <w:t xml:space="preserve"> ». </w:t>
      </w:r>
    </w:p>
    <w:p w:rsidR="00924A56" w:rsidRPr="006866D3" w:rsidRDefault="00924A56" w:rsidP="00924A56">
      <w:pPr>
        <w:jc w:val="both"/>
        <w:rPr>
          <w:rFonts w:ascii="Nyala" w:hAnsi="Nyala"/>
          <w:iCs/>
          <w:sz w:val="28"/>
          <w:szCs w:val="28"/>
        </w:rPr>
      </w:pPr>
      <w:r w:rsidRPr="006866D3">
        <w:rPr>
          <w:rFonts w:ascii="Nyala" w:hAnsi="Nyala"/>
          <w:sz w:val="28"/>
          <w:szCs w:val="28"/>
        </w:rPr>
        <w:t xml:space="preserve">La revue qui a été placée sous l’égide du Ministre d’Etat, Ministre de l’Agriculture et de l’Elevage a permis de : i) réaliser un état des lieux de la prévalence de l’insécurité alimentaire et nutritionnelle et leur tendances évolutives ii) analyser les liens entre l’ODD2 et la situation des autres ODD de l’Agenda 2030, iii) analyser </w:t>
      </w:r>
      <w:r w:rsidRPr="006866D3">
        <w:rPr>
          <w:rFonts w:ascii="Nyala" w:hAnsi="Nyala"/>
          <w:iCs/>
          <w:sz w:val="28"/>
          <w:szCs w:val="28"/>
        </w:rPr>
        <w:t>la prise en compte des cibles et indicateurs de l’ODD2 dans les politiques publiques, les plans d’actions et les projets d’investissement iv) les enjeux et défis à relever et v) tirer des leçons de la revue.</w:t>
      </w:r>
    </w:p>
    <w:p w:rsidR="00924A56" w:rsidRPr="006866D3" w:rsidRDefault="00924A56" w:rsidP="00924A56">
      <w:pPr>
        <w:jc w:val="both"/>
        <w:rPr>
          <w:rStyle w:val="Rfrenceintense"/>
          <w:sz w:val="28"/>
          <w:szCs w:val="28"/>
        </w:rPr>
      </w:pPr>
      <w:bookmarkStart w:id="6" w:name="_Toc518427706"/>
      <w:bookmarkStart w:id="7" w:name="_Toc518427707"/>
      <w:bookmarkStart w:id="8" w:name="_Toc518427709"/>
      <w:bookmarkStart w:id="9" w:name="_Toc518387154"/>
      <w:bookmarkStart w:id="10" w:name="_Toc518387413"/>
      <w:bookmarkStart w:id="11" w:name="_Toc518387753"/>
      <w:bookmarkStart w:id="12" w:name="_Toc518387967"/>
      <w:bookmarkStart w:id="13" w:name="_Toc518388032"/>
      <w:bookmarkStart w:id="14" w:name="_Toc518388123"/>
      <w:bookmarkStart w:id="15" w:name="_Toc518388407"/>
      <w:bookmarkStart w:id="16" w:name="_Toc518388790"/>
      <w:bookmarkStart w:id="17" w:name="_Toc518389163"/>
      <w:bookmarkStart w:id="18" w:name="_Toc518389639"/>
      <w:bookmarkStart w:id="19" w:name="_Toc518427710"/>
      <w:bookmarkStart w:id="20" w:name="_Toc518427711"/>
      <w:bookmarkStart w:id="21" w:name="_Toc518427721"/>
      <w:bookmarkStart w:id="22" w:name="_Toc518427722"/>
      <w:bookmarkStart w:id="23" w:name="_Toc518427723"/>
      <w:bookmarkStart w:id="24" w:name="_Toc518427725"/>
      <w:bookmarkStart w:id="25" w:name="_Toc518387170"/>
      <w:bookmarkStart w:id="26" w:name="_Toc518387429"/>
      <w:bookmarkStart w:id="27" w:name="_Toc518387769"/>
      <w:bookmarkStart w:id="28" w:name="_Toc518387983"/>
      <w:bookmarkStart w:id="29" w:name="_Toc518388048"/>
      <w:bookmarkStart w:id="30" w:name="_Toc518388139"/>
      <w:bookmarkStart w:id="31" w:name="_Toc518388423"/>
      <w:bookmarkStart w:id="32" w:name="_Toc518388806"/>
      <w:bookmarkStart w:id="33" w:name="_Toc518389179"/>
      <w:bookmarkStart w:id="34" w:name="_Toc518389655"/>
      <w:bookmarkStart w:id="35" w:name="_Toc518427726"/>
      <w:bookmarkStart w:id="36" w:name="_Toc518427732"/>
      <w:bookmarkStart w:id="37" w:name="_Toc518427734"/>
      <w:bookmarkStart w:id="38" w:name="_Toc518427735"/>
      <w:bookmarkStart w:id="39" w:name="_Toc518387180"/>
      <w:bookmarkStart w:id="40" w:name="_Toc518387439"/>
      <w:bookmarkStart w:id="41" w:name="_Toc518387779"/>
      <w:bookmarkStart w:id="42" w:name="_Toc518387993"/>
      <w:bookmarkStart w:id="43" w:name="_Toc518388058"/>
      <w:bookmarkStart w:id="44" w:name="_Toc518388149"/>
      <w:bookmarkStart w:id="45" w:name="_Toc518388433"/>
      <w:bookmarkStart w:id="46" w:name="_Toc518388816"/>
      <w:bookmarkStart w:id="47" w:name="_Toc518389189"/>
      <w:bookmarkStart w:id="48" w:name="_Toc518389665"/>
      <w:bookmarkStart w:id="49" w:name="_Toc518427736"/>
      <w:bookmarkStart w:id="50" w:name="_Toc518427737"/>
      <w:bookmarkStart w:id="51" w:name="_Toc518427738"/>
      <w:bookmarkStart w:id="52" w:name="_Toc518427739"/>
      <w:bookmarkStart w:id="53" w:name="_Toc51842774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6866D3">
        <w:rPr>
          <w:rStyle w:val="Rfrenceintense"/>
          <w:sz w:val="28"/>
          <w:szCs w:val="28"/>
        </w:rPr>
        <w:t>prévalence de l’insécurité alimentaire</w:t>
      </w:r>
      <w:bookmarkEnd w:id="53"/>
    </w:p>
    <w:p w:rsidR="00924A56" w:rsidRPr="006866D3" w:rsidRDefault="00924A56" w:rsidP="00924A56">
      <w:pPr>
        <w:jc w:val="both"/>
        <w:rPr>
          <w:rFonts w:ascii="Nyala" w:hAnsi="Nyala"/>
          <w:sz w:val="28"/>
          <w:szCs w:val="28"/>
        </w:rPr>
      </w:pPr>
      <w:r w:rsidRPr="006866D3">
        <w:rPr>
          <w:rFonts w:ascii="Nyala" w:hAnsi="Nyala"/>
          <w:sz w:val="28"/>
          <w:szCs w:val="28"/>
        </w:rPr>
        <w:t xml:space="preserve">Sur la période de 2008 à 2016, il a été recensé près de 4 millions de personnes/an en insécurité alimentaire (1,024 million en insécurité alimentaire sévère et 2,931 millions en insécurité modérée) avec de fortes variations d’une année à l’autre. Tous les départements administratifs sont vulnérables à un degré. </w:t>
      </w:r>
    </w:p>
    <w:p w:rsidR="00924A56" w:rsidRPr="006866D3" w:rsidRDefault="00924A56" w:rsidP="00924A56">
      <w:pPr>
        <w:jc w:val="both"/>
        <w:rPr>
          <w:rFonts w:ascii="Nyala" w:hAnsi="Nyala"/>
          <w:sz w:val="28"/>
          <w:szCs w:val="28"/>
        </w:rPr>
      </w:pPr>
      <w:r w:rsidRPr="006866D3">
        <w:rPr>
          <w:rFonts w:ascii="Nyala" w:hAnsi="Nyala"/>
          <w:sz w:val="28"/>
          <w:szCs w:val="28"/>
        </w:rPr>
        <w:t>Avec une croissance démographique de 3,6% par an, le Niger atteindrait</w:t>
      </w:r>
      <w:r w:rsidR="009A6926">
        <w:rPr>
          <w:rFonts w:ascii="Nyala" w:hAnsi="Nyala"/>
          <w:sz w:val="28"/>
          <w:szCs w:val="28"/>
        </w:rPr>
        <w:t xml:space="preserve"> en 2030</w:t>
      </w:r>
      <w:r w:rsidRPr="006866D3">
        <w:rPr>
          <w:rFonts w:ascii="Nyala" w:hAnsi="Nyala"/>
          <w:sz w:val="28"/>
          <w:szCs w:val="28"/>
        </w:rPr>
        <w:t xml:space="preserve"> plus de 34,2 millions d’habitants. Même en maintenant un niveau de prévalence de l’insécurité alimentaire sévère et modéré</w:t>
      </w:r>
      <w:r w:rsidR="00284AD2">
        <w:rPr>
          <w:rFonts w:ascii="Nyala" w:hAnsi="Nyala"/>
          <w:sz w:val="28"/>
          <w:szCs w:val="28"/>
        </w:rPr>
        <w:t>e</w:t>
      </w:r>
      <w:r w:rsidRPr="006866D3">
        <w:rPr>
          <w:rFonts w:ascii="Nyala" w:hAnsi="Nyala"/>
          <w:sz w:val="28"/>
          <w:szCs w:val="28"/>
        </w:rPr>
        <w:t xml:space="preserve"> à 1% et 11% respectivement, il faudrait s’attendre à une augmentation en valeur absolue du nombre de personnes à soutenir. Cela implique d’identifier d’autres mécanismes pertinents et soutenables pour alléger les souffrances humaines et reconstituer les capacités productives des plus affectées. </w:t>
      </w:r>
    </w:p>
    <w:p w:rsidR="00924A56" w:rsidRPr="006866D3" w:rsidRDefault="00924A56" w:rsidP="00924A56">
      <w:pPr>
        <w:jc w:val="both"/>
        <w:rPr>
          <w:rStyle w:val="Rfrenceintense"/>
          <w:sz w:val="28"/>
          <w:szCs w:val="28"/>
        </w:rPr>
      </w:pPr>
      <w:bookmarkStart w:id="54" w:name="_Toc518427743"/>
      <w:bookmarkStart w:id="55" w:name="_Hlk523574408"/>
      <w:r w:rsidRPr="006866D3">
        <w:rPr>
          <w:rStyle w:val="Rfrenceintense"/>
          <w:sz w:val="28"/>
          <w:szCs w:val="28"/>
        </w:rPr>
        <w:t>prévalence de la malnutrition infantile</w:t>
      </w:r>
      <w:bookmarkEnd w:id="54"/>
    </w:p>
    <w:p w:rsidR="00924A56" w:rsidRPr="006866D3" w:rsidRDefault="00924A56" w:rsidP="00924A56">
      <w:pPr>
        <w:jc w:val="both"/>
        <w:rPr>
          <w:rFonts w:ascii="Nyala" w:hAnsi="Nyala"/>
          <w:sz w:val="28"/>
          <w:szCs w:val="28"/>
        </w:rPr>
      </w:pPr>
      <w:r w:rsidRPr="006866D3">
        <w:rPr>
          <w:rFonts w:ascii="Nyala" w:hAnsi="Nyala"/>
          <w:sz w:val="28"/>
          <w:szCs w:val="28"/>
        </w:rPr>
        <w:t xml:space="preserve">La malnutrition infantile est évaluée par rapport au retard de croissance ou à l’insuffisance pondérale. La proportion d’enfants de moins de 5 ans en insuffisance pondérale a enregistré une légère baisse entre 2015 et 2016 de </w:t>
      </w:r>
      <w:r w:rsidRPr="006866D3">
        <w:rPr>
          <w:rFonts w:ascii="Nyala" w:hAnsi="Nyala"/>
          <w:sz w:val="28"/>
          <w:szCs w:val="28"/>
        </w:rPr>
        <w:lastRenderedPageBreak/>
        <w:t>36,3% à 31,7% puis une hausse à 34,6% en 2017. Mais, globalement depuis 1998, la tendance est la baisse ; si cela se maintient, le Niger comptera moins de 10% d’enfants de moins de 5 ans en situation de malnutrition chronique en 2030.</w:t>
      </w:r>
    </w:p>
    <w:p w:rsidR="00924A56" w:rsidRPr="006866D3" w:rsidRDefault="00924A56" w:rsidP="00924A56">
      <w:pPr>
        <w:jc w:val="both"/>
        <w:rPr>
          <w:rFonts w:ascii="Nyala" w:hAnsi="Nyala"/>
          <w:sz w:val="28"/>
          <w:szCs w:val="28"/>
        </w:rPr>
      </w:pPr>
      <w:r w:rsidRPr="006866D3">
        <w:rPr>
          <w:rFonts w:ascii="Nyala" w:hAnsi="Nyala"/>
          <w:sz w:val="28"/>
          <w:szCs w:val="28"/>
        </w:rPr>
        <w:t xml:space="preserve">La prévalence de la malnutrition des enfants de moins de 5 ans selon le retard de croissance est restée à un niveau très élevé en 1992 à 2017, avec une moyenne annuelle de 45,6% avec des pics à 55% en 2006 et 51% en 2011, correspondant à des périodes de crise alimentaire. Pour atteindre une prévalence de 20% ou 10%, à l’horizon 2035, il faudrait réduire chaque année de 5% à 10% la proportion d’enfants en situation de retard de croissance. </w:t>
      </w:r>
    </w:p>
    <w:bookmarkEnd w:id="55"/>
    <w:p w:rsidR="00924A56" w:rsidRPr="006866D3" w:rsidRDefault="00924A56" w:rsidP="00924A56">
      <w:pPr>
        <w:jc w:val="both"/>
        <w:rPr>
          <w:rStyle w:val="Rfrenceintense"/>
          <w:sz w:val="28"/>
          <w:szCs w:val="28"/>
        </w:rPr>
      </w:pPr>
      <w:r w:rsidRPr="006866D3">
        <w:rPr>
          <w:rStyle w:val="Rfrenceintense"/>
          <w:sz w:val="28"/>
          <w:szCs w:val="28"/>
        </w:rPr>
        <w:t xml:space="preserve">Cibles et indicateurs de l’ODD2 dans les politiques publiques </w:t>
      </w:r>
    </w:p>
    <w:p w:rsidR="00924A56" w:rsidRPr="006866D3" w:rsidRDefault="00924A56" w:rsidP="00924A56">
      <w:pPr>
        <w:tabs>
          <w:tab w:val="left" w:pos="2459"/>
        </w:tabs>
        <w:jc w:val="both"/>
        <w:rPr>
          <w:rFonts w:ascii="Nyala" w:hAnsi="Nyala" w:cs="Calibri"/>
          <w:sz w:val="28"/>
          <w:szCs w:val="28"/>
        </w:rPr>
      </w:pPr>
      <w:r w:rsidRPr="006866D3">
        <w:rPr>
          <w:rFonts w:ascii="Nyala" w:hAnsi="Nyala"/>
          <w:sz w:val="28"/>
          <w:szCs w:val="28"/>
        </w:rPr>
        <w:t xml:space="preserve">Au moment de la signature de l’Agenda 2030 en septembre 2015, le Niger était déjà engagé sinon avancé dans la lutte contre l’insécurité alimentaire et nutritionnelle et </w:t>
      </w:r>
      <w:r w:rsidR="00BF36B5">
        <w:rPr>
          <w:rFonts w:ascii="Nyala" w:hAnsi="Nyala"/>
          <w:sz w:val="28"/>
          <w:szCs w:val="28"/>
        </w:rPr>
        <w:t xml:space="preserve">dans </w:t>
      </w:r>
      <w:r w:rsidRPr="006866D3">
        <w:rPr>
          <w:rFonts w:ascii="Nyala" w:hAnsi="Nyala"/>
          <w:sz w:val="28"/>
          <w:szCs w:val="28"/>
        </w:rPr>
        <w:t xml:space="preserve">le développement durable. Le Niger avait déjà défini sa vision de développement durable et de </w:t>
      </w:r>
      <w:r w:rsidR="006555A7">
        <w:rPr>
          <w:rFonts w:ascii="Nyala" w:hAnsi="Nyala"/>
          <w:sz w:val="28"/>
          <w:szCs w:val="28"/>
        </w:rPr>
        <w:t>la</w:t>
      </w:r>
      <w:r w:rsidRPr="006866D3">
        <w:rPr>
          <w:rFonts w:ascii="Nyala" w:hAnsi="Nyala"/>
          <w:sz w:val="28"/>
          <w:szCs w:val="28"/>
        </w:rPr>
        <w:t xml:space="preserve"> croissance inclusive, vision 2035 et sa Stratégie de sécurité alimentaire et nutritionnelle et de développement agricole durable (ou Initiative les Nigériens Nourrissent les Nigériens</w:t>
      </w:r>
      <w:r w:rsidR="004175B9">
        <w:rPr>
          <w:rFonts w:ascii="Nyala" w:hAnsi="Nyala"/>
          <w:sz w:val="28"/>
          <w:szCs w:val="28"/>
        </w:rPr>
        <w:t>- I3N</w:t>
      </w:r>
      <w:r w:rsidRPr="006866D3">
        <w:rPr>
          <w:rFonts w:ascii="Nyala" w:hAnsi="Nyala"/>
          <w:sz w:val="28"/>
          <w:szCs w:val="28"/>
        </w:rPr>
        <w:t xml:space="preserve">). Les priorités d’investissements qui tiennent des cibles et indicateurs des ODD en général et de l’ODD2 en particulier ont été définies dans </w:t>
      </w:r>
      <w:r w:rsidRPr="006866D3">
        <w:rPr>
          <w:rFonts w:ascii="Nyala" w:hAnsi="Nyala" w:cs="Calibri"/>
          <w:sz w:val="28"/>
          <w:szCs w:val="28"/>
        </w:rPr>
        <w:t>le Plan de développement Economique et social 2017-2021 (PDES 2017-2021</w:t>
      </w:r>
      <w:r w:rsidR="004175B9" w:rsidRPr="006866D3">
        <w:rPr>
          <w:rFonts w:ascii="Nyala" w:hAnsi="Nyala" w:cs="Calibri"/>
          <w:sz w:val="28"/>
          <w:szCs w:val="28"/>
        </w:rPr>
        <w:t>)</w:t>
      </w:r>
      <w:r w:rsidR="004175B9">
        <w:rPr>
          <w:rFonts w:ascii="Nyala" w:hAnsi="Nyala" w:cs="Calibri"/>
          <w:sz w:val="28"/>
          <w:szCs w:val="28"/>
        </w:rPr>
        <w:t xml:space="preserve">. </w:t>
      </w:r>
    </w:p>
    <w:p w:rsidR="00924A56" w:rsidRPr="006866D3" w:rsidRDefault="00924A56" w:rsidP="00924A56">
      <w:pPr>
        <w:tabs>
          <w:tab w:val="left" w:pos="2459"/>
        </w:tabs>
        <w:jc w:val="both"/>
        <w:rPr>
          <w:rFonts w:ascii="Nyala" w:hAnsi="Nyala"/>
          <w:sz w:val="28"/>
          <w:szCs w:val="28"/>
        </w:rPr>
      </w:pPr>
      <w:r w:rsidRPr="006866D3">
        <w:rPr>
          <w:rFonts w:ascii="Nyala" w:hAnsi="Nyala"/>
          <w:sz w:val="28"/>
          <w:szCs w:val="28"/>
        </w:rPr>
        <w:t>Au plan opérationnel, plus d’une centaine de programmes et de projets cofinancés par l’Etat du Niger, et les partenaires techniques et financiers (PTF) sont en exécution. Les actions qui y sont prévues couvrent toutes les trois dimensions de l’ODD2</w:t>
      </w:r>
      <w:r w:rsidRPr="006866D3">
        <w:rPr>
          <w:rFonts w:ascii="Nyala" w:hAnsi="Nyala"/>
          <w:b/>
          <w:i/>
          <w:sz w:val="28"/>
          <w:szCs w:val="28"/>
        </w:rPr>
        <w:t xml:space="preserve"> : </w:t>
      </w:r>
      <w:r w:rsidRPr="00141D20">
        <w:rPr>
          <w:rFonts w:ascii="Nyala" w:hAnsi="Nyala"/>
          <w:i/>
          <w:sz w:val="28"/>
          <w:szCs w:val="28"/>
        </w:rPr>
        <w:t>i)</w:t>
      </w:r>
      <w:r w:rsidRPr="006866D3">
        <w:rPr>
          <w:rFonts w:ascii="Nyala" w:hAnsi="Nyala"/>
          <w:sz w:val="28"/>
          <w:szCs w:val="28"/>
        </w:rPr>
        <w:t xml:space="preserve">la dimension sociale avec des vies à améliorer et à sauver dans les situations d’urgence, ii) la dimension économique avec la productivité et les revenus des producteurs à accroître et iii) la dimension environnementale avec les pratiques agricoles résilientes et la préservation des ressources génétiques. </w:t>
      </w:r>
    </w:p>
    <w:p w:rsidR="00924A56" w:rsidRPr="006866D3" w:rsidRDefault="00924A56" w:rsidP="00924A56">
      <w:pPr>
        <w:tabs>
          <w:tab w:val="left" w:pos="2459"/>
        </w:tabs>
        <w:jc w:val="both"/>
        <w:rPr>
          <w:rFonts w:ascii="Nyala" w:hAnsi="Nyala"/>
          <w:bCs/>
          <w:color w:val="000000"/>
          <w:sz w:val="28"/>
          <w:szCs w:val="28"/>
          <w:lang w:eastAsia="fr-FR"/>
        </w:rPr>
      </w:pPr>
      <w:r w:rsidRPr="006866D3">
        <w:rPr>
          <w:rFonts w:ascii="Nyala" w:hAnsi="Nyala"/>
          <w:sz w:val="28"/>
          <w:szCs w:val="28"/>
        </w:rPr>
        <w:t xml:space="preserve">D’une manière générale les PTF et les ONG s’alignent sur les orientations définies par le Gouvernement et le complètent dans ses initiatives multiples. Le Niger compte de nombreuses organisations humanitaires qui, pour veiller à la cohérence de leurs interventions, sont regroupées </w:t>
      </w:r>
      <w:r w:rsidRPr="006866D3">
        <w:rPr>
          <w:rFonts w:ascii="Nyala" w:hAnsi="Nyala"/>
          <w:bCs/>
          <w:color w:val="000000"/>
          <w:sz w:val="28"/>
          <w:szCs w:val="28"/>
          <w:lang w:eastAsia="fr-FR"/>
        </w:rPr>
        <w:t xml:space="preserve">en « clusters » </w:t>
      </w:r>
      <w:r w:rsidR="00F07387">
        <w:rPr>
          <w:rFonts w:ascii="Nyala" w:hAnsi="Nyala"/>
          <w:bCs/>
          <w:color w:val="000000"/>
          <w:sz w:val="28"/>
          <w:szCs w:val="28"/>
          <w:lang w:eastAsia="fr-FR"/>
        </w:rPr>
        <w:t xml:space="preserve">ou groupes </w:t>
      </w:r>
      <w:r w:rsidRPr="006866D3">
        <w:rPr>
          <w:rFonts w:ascii="Nyala" w:hAnsi="Nyala"/>
          <w:bCs/>
          <w:color w:val="000000"/>
          <w:sz w:val="28"/>
          <w:szCs w:val="28"/>
          <w:lang w:eastAsia="fr-FR"/>
        </w:rPr>
        <w:t>thématiques </w:t>
      </w:r>
      <w:r w:rsidR="00F07387">
        <w:rPr>
          <w:rFonts w:ascii="Nyala" w:hAnsi="Nyala"/>
          <w:bCs/>
          <w:color w:val="000000"/>
          <w:sz w:val="28"/>
          <w:szCs w:val="28"/>
          <w:lang w:eastAsia="fr-FR"/>
        </w:rPr>
        <w:t>ayant</w:t>
      </w:r>
      <w:r w:rsidRPr="006866D3">
        <w:rPr>
          <w:rFonts w:ascii="Nyala" w:hAnsi="Nyala"/>
          <w:bCs/>
          <w:color w:val="000000"/>
          <w:sz w:val="28"/>
          <w:szCs w:val="28"/>
          <w:lang w:eastAsia="fr-FR"/>
        </w:rPr>
        <w:t xml:space="preserve">l’objet de constituer un cadre d’échange, d’harmonisation des approches, de recherche de complémentarité et de synergie dans les actions de terrain. </w:t>
      </w:r>
    </w:p>
    <w:p w:rsidR="00924A56" w:rsidRPr="006866D3" w:rsidRDefault="00924A56" w:rsidP="00924A56">
      <w:pPr>
        <w:jc w:val="both"/>
        <w:rPr>
          <w:rStyle w:val="Rfrenceintense"/>
          <w:sz w:val="28"/>
          <w:szCs w:val="28"/>
        </w:rPr>
      </w:pPr>
      <w:r w:rsidRPr="006866D3">
        <w:rPr>
          <w:rStyle w:val="Rfrenceintense"/>
          <w:sz w:val="28"/>
          <w:szCs w:val="28"/>
        </w:rPr>
        <w:lastRenderedPageBreak/>
        <w:t>Enjeux et défis</w:t>
      </w:r>
    </w:p>
    <w:p w:rsidR="00924A56" w:rsidRPr="006866D3" w:rsidRDefault="00924A56" w:rsidP="00924A56">
      <w:pPr>
        <w:spacing w:line="259" w:lineRule="auto"/>
        <w:contextualSpacing/>
        <w:jc w:val="both"/>
        <w:rPr>
          <w:rFonts w:ascii="Nyala" w:hAnsi="Nyala"/>
          <w:sz w:val="28"/>
          <w:szCs w:val="28"/>
        </w:rPr>
      </w:pPr>
      <w:r w:rsidRPr="006866D3">
        <w:rPr>
          <w:rFonts w:ascii="Nyala" w:hAnsi="Nyala"/>
          <w:sz w:val="28"/>
          <w:szCs w:val="28"/>
        </w:rPr>
        <w:t>Les progrès dans l’atteinte des ODD, autres que l’ODD</w:t>
      </w:r>
      <w:r w:rsidR="00BF36B5" w:rsidRPr="006866D3">
        <w:rPr>
          <w:rFonts w:ascii="Nyala" w:hAnsi="Nyala"/>
          <w:sz w:val="28"/>
          <w:szCs w:val="28"/>
        </w:rPr>
        <w:t>2, sont</w:t>
      </w:r>
      <w:r w:rsidRPr="006866D3">
        <w:rPr>
          <w:rFonts w:ascii="Nyala" w:hAnsi="Nyala"/>
          <w:sz w:val="28"/>
          <w:szCs w:val="28"/>
        </w:rPr>
        <w:t xml:space="preserve"> de nature à impacter positivement ou négativement sur l’élimination de la faim et sur le développement agricole durable. C’est le cas notamment des ODD relatifs à l’élimination de la pauvreté, à la réduction des inégalités, au renforcement du bien-être et de la santé ou de ceux en liens avec l’Environnement, la Coopération et le partenariat. </w:t>
      </w:r>
    </w:p>
    <w:p w:rsidR="00924A56" w:rsidRPr="006866D3" w:rsidRDefault="00924A56" w:rsidP="00924A56">
      <w:pPr>
        <w:spacing w:line="259" w:lineRule="auto"/>
        <w:contextualSpacing/>
        <w:jc w:val="both"/>
        <w:rPr>
          <w:rFonts w:ascii="Nyala" w:hAnsi="Nyala"/>
          <w:sz w:val="28"/>
          <w:szCs w:val="28"/>
        </w:rPr>
      </w:pPr>
    </w:p>
    <w:p w:rsidR="00924A56" w:rsidRPr="006866D3" w:rsidRDefault="00924A56" w:rsidP="00924A56">
      <w:pPr>
        <w:spacing w:line="259" w:lineRule="auto"/>
        <w:contextualSpacing/>
        <w:jc w:val="both"/>
        <w:rPr>
          <w:rFonts w:ascii="Nyala" w:hAnsi="Nyala"/>
          <w:sz w:val="28"/>
          <w:szCs w:val="28"/>
        </w:rPr>
      </w:pPr>
      <w:r w:rsidRPr="006866D3">
        <w:rPr>
          <w:rFonts w:ascii="Nyala" w:hAnsi="Nyala"/>
          <w:sz w:val="28"/>
          <w:szCs w:val="28"/>
        </w:rPr>
        <w:t xml:space="preserve">Par ailleurs, au-delà des progrès à réaliser pour la réalisation du programme de l’Agenda 2030, une attention particulière doit être portée sur des problématiques spécifiques à l’élimination de la faim et au développement durable. Il s’agit entre autres de : </w:t>
      </w:r>
    </w:p>
    <w:p w:rsidR="00924A56" w:rsidRPr="006866D3" w:rsidRDefault="00924A56" w:rsidP="00924A56">
      <w:pPr>
        <w:pStyle w:val="Paragraphedeliste"/>
        <w:widowControl w:val="0"/>
        <w:spacing w:line="259" w:lineRule="auto"/>
        <w:ind w:left="714"/>
        <w:jc w:val="both"/>
        <w:rPr>
          <w:rFonts w:ascii="Nyala" w:hAnsi="Nyala"/>
          <w:sz w:val="28"/>
          <w:szCs w:val="28"/>
        </w:rPr>
      </w:pPr>
    </w:p>
    <w:p w:rsidR="00924A56" w:rsidRPr="006866D3" w:rsidRDefault="00924A56" w:rsidP="0059103A">
      <w:pPr>
        <w:pStyle w:val="Paragraphedeliste"/>
        <w:numPr>
          <w:ilvl w:val="0"/>
          <w:numId w:val="25"/>
        </w:numPr>
        <w:spacing w:line="259" w:lineRule="auto"/>
        <w:jc w:val="both"/>
        <w:rPr>
          <w:rFonts w:ascii="Nyala" w:hAnsi="Nyala"/>
          <w:sz w:val="28"/>
          <w:szCs w:val="28"/>
        </w:rPr>
      </w:pPr>
      <w:r w:rsidRPr="006866D3">
        <w:rPr>
          <w:rFonts w:ascii="Nyala" w:hAnsi="Nyala"/>
          <w:sz w:val="28"/>
          <w:szCs w:val="28"/>
        </w:rPr>
        <w:t>La maîtrise de la demande alimentaire</w:t>
      </w:r>
      <w:r w:rsidR="00F07387">
        <w:rPr>
          <w:rFonts w:ascii="Nyala" w:hAnsi="Nyala"/>
          <w:sz w:val="28"/>
          <w:szCs w:val="28"/>
        </w:rPr>
        <w:t> : a</w:t>
      </w:r>
      <w:r w:rsidRPr="006866D3">
        <w:rPr>
          <w:rFonts w:ascii="Nyala" w:hAnsi="Nyala"/>
          <w:sz w:val="28"/>
          <w:szCs w:val="28"/>
        </w:rPr>
        <w:t>vec la forte croissance démographique, les productions nationales</w:t>
      </w:r>
      <w:r w:rsidR="00F07387">
        <w:rPr>
          <w:rFonts w:ascii="Nyala" w:hAnsi="Nyala"/>
          <w:sz w:val="28"/>
          <w:szCs w:val="28"/>
        </w:rPr>
        <w:t xml:space="preserve"> ne suffisent pas</w:t>
      </w:r>
      <w:r w:rsidRPr="006866D3">
        <w:rPr>
          <w:rFonts w:ascii="Nyala" w:hAnsi="Nyala"/>
          <w:sz w:val="28"/>
          <w:szCs w:val="28"/>
        </w:rPr>
        <w:t>, n’est pas sans conséquence écologique</w:t>
      </w:r>
      <w:r w:rsidR="00F07387">
        <w:rPr>
          <w:rFonts w:ascii="Nyala" w:hAnsi="Nyala"/>
          <w:sz w:val="28"/>
          <w:szCs w:val="28"/>
        </w:rPr>
        <w:t>.</w:t>
      </w:r>
      <w:r w:rsidRPr="006866D3">
        <w:rPr>
          <w:rFonts w:ascii="Nyala" w:hAnsi="Nyala"/>
          <w:sz w:val="28"/>
          <w:szCs w:val="28"/>
        </w:rPr>
        <w:t xml:space="preserve"> Dans l’hypothèse d’une stagnation des rendements, le Niger aura besoin de mettre en valeur entre 70% et 92% de ses terres cultivables, dépendamment de la maîtrise de la croissance démographique et du changement du panier de la ménagère nigérienne. </w:t>
      </w:r>
    </w:p>
    <w:p w:rsidR="00924A56" w:rsidRPr="006866D3" w:rsidRDefault="00924A56" w:rsidP="0059103A">
      <w:pPr>
        <w:pStyle w:val="Paragraphedeliste"/>
        <w:numPr>
          <w:ilvl w:val="0"/>
          <w:numId w:val="25"/>
        </w:numPr>
        <w:spacing w:line="259" w:lineRule="auto"/>
        <w:jc w:val="both"/>
        <w:rPr>
          <w:rFonts w:ascii="Nyala" w:hAnsi="Nyala"/>
          <w:sz w:val="28"/>
          <w:szCs w:val="28"/>
        </w:rPr>
      </w:pPr>
      <w:r w:rsidRPr="006866D3">
        <w:rPr>
          <w:rFonts w:ascii="Nyala" w:hAnsi="Nyala"/>
          <w:sz w:val="28"/>
          <w:szCs w:val="28"/>
        </w:rPr>
        <w:t>L’accroissement de la productivité agricole - Au cours des 30 dernières années les rendements agricoles n’ont que légèrement augmenté. Si la tendance évolutive des rendements se maintient, il sera difficile pour le Niger de réaliser la cible 2.3 de l’ODD2</w:t>
      </w:r>
      <w:r w:rsidR="00BD2EF3">
        <w:rPr>
          <w:rStyle w:val="Appelnotedebasdep"/>
          <w:rFonts w:ascii="Nyala" w:hAnsi="Nyala"/>
          <w:sz w:val="28"/>
          <w:szCs w:val="28"/>
        </w:rPr>
        <w:footnoteReference w:id="1"/>
      </w:r>
      <w:r w:rsidRPr="006866D3">
        <w:rPr>
          <w:rFonts w:ascii="Nyala" w:hAnsi="Nyala"/>
          <w:sz w:val="28"/>
          <w:szCs w:val="28"/>
        </w:rPr>
        <w:t>. Par contre avec un effort très soutenu d’augmenter tous les 5 ans, le rendement de 35% sur un quart des superficies (tel que prévu par le PI-3N), il sera espéré un gain de productivité de 29% à l’horizon 2030. L’augmentation de la productivité implique un accroissement de l’utilisation des intrants et des superficies irriguées. L’Etat facilite l’accès des petits agriculteurs aux engrais et aux semences sélectionnées. Des réformes sont en cours pour permettre d’accroître la dose d’engrais utilisé de 3kg/ha à 20kg/ha et de pour développer la filière semencière au Niger. A l’horizon 2035, les superficies irriguées devraient plus que tripl</w:t>
      </w:r>
      <w:r w:rsidR="00BF36B5">
        <w:rPr>
          <w:rFonts w:ascii="Nyala" w:hAnsi="Nyala"/>
          <w:sz w:val="28"/>
          <w:szCs w:val="28"/>
        </w:rPr>
        <w:t>er</w:t>
      </w:r>
      <w:r w:rsidRPr="006866D3">
        <w:rPr>
          <w:rFonts w:ascii="Nyala" w:hAnsi="Nyala"/>
          <w:sz w:val="28"/>
          <w:szCs w:val="28"/>
        </w:rPr>
        <w:t xml:space="preserve"> grâce au barrage de Kandadji et à de multiples ouvrages de mobilisation des eaux. </w:t>
      </w:r>
    </w:p>
    <w:p w:rsidR="00924A56" w:rsidRPr="006866D3" w:rsidRDefault="00924A56" w:rsidP="00924A56">
      <w:pPr>
        <w:pStyle w:val="Paragraphedeliste"/>
        <w:spacing w:line="259" w:lineRule="auto"/>
        <w:jc w:val="both"/>
        <w:rPr>
          <w:rFonts w:ascii="Nyala" w:hAnsi="Nyala"/>
          <w:sz w:val="28"/>
          <w:szCs w:val="28"/>
        </w:rPr>
      </w:pPr>
    </w:p>
    <w:p w:rsidR="00924A56" w:rsidRPr="006866D3" w:rsidRDefault="00924A56" w:rsidP="0059103A">
      <w:pPr>
        <w:pStyle w:val="Paragraphedeliste"/>
        <w:numPr>
          <w:ilvl w:val="0"/>
          <w:numId w:val="25"/>
        </w:numPr>
        <w:spacing w:line="259" w:lineRule="auto"/>
        <w:jc w:val="both"/>
        <w:rPr>
          <w:rFonts w:ascii="Nyala" w:hAnsi="Nyala"/>
          <w:sz w:val="28"/>
          <w:szCs w:val="28"/>
        </w:rPr>
      </w:pPr>
      <w:r w:rsidRPr="006866D3">
        <w:rPr>
          <w:rFonts w:ascii="Nyala" w:hAnsi="Nyala"/>
          <w:sz w:val="28"/>
          <w:szCs w:val="28"/>
        </w:rPr>
        <w:lastRenderedPageBreak/>
        <w:t xml:space="preserve">La mise à l’échelle de la gestion durable des terres et des agrosystèmes - Pour s’assurer de la viabilité des systèmes de production dans le contexte actuel d’une forte vulnérabilité aux risques climatiques et environnementaux, le Niger devrait sans doute renforcer les investissements d’intérêt collectif, encourager les initiatives au niveau de l’exploitation privée mais aussi renforcer son système d’information sur l’ampleur de la dégradation et les progrès réalisés grâce aux actions publiques et privées. </w:t>
      </w:r>
    </w:p>
    <w:p w:rsidR="00924A56" w:rsidRPr="006866D3" w:rsidRDefault="00924A56" w:rsidP="00924A56">
      <w:pPr>
        <w:pStyle w:val="Paragraphedeliste"/>
        <w:spacing w:line="259" w:lineRule="auto"/>
        <w:jc w:val="both"/>
        <w:rPr>
          <w:rFonts w:ascii="Nyala" w:hAnsi="Nyala"/>
          <w:sz w:val="28"/>
          <w:szCs w:val="28"/>
        </w:rPr>
      </w:pPr>
    </w:p>
    <w:p w:rsidR="00924A56" w:rsidRPr="006866D3" w:rsidRDefault="00924A56" w:rsidP="0059103A">
      <w:pPr>
        <w:pStyle w:val="Paragraphedeliste"/>
        <w:numPr>
          <w:ilvl w:val="0"/>
          <w:numId w:val="25"/>
        </w:numPr>
        <w:tabs>
          <w:tab w:val="left" w:pos="2895"/>
        </w:tabs>
        <w:spacing w:line="259" w:lineRule="auto"/>
        <w:jc w:val="both"/>
        <w:rPr>
          <w:rFonts w:ascii="Nyala" w:hAnsi="Nyala"/>
          <w:sz w:val="28"/>
          <w:szCs w:val="28"/>
        </w:rPr>
      </w:pPr>
      <w:r w:rsidRPr="006866D3">
        <w:rPr>
          <w:rFonts w:ascii="Nyala" w:hAnsi="Nyala"/>
          <w:sz w:val="28"/>
          <w:szCs w:val="28"/>
        </w:rPr>
        <w:t xml:space="preserve">La durabilité du soutien aux </w:t>
      </w:r>
      <w:r w:rsidR="001C7864">
        <w:rPr>
          <w:rFonts w:ascii="Nyala" w:hAnsi="Nyala"/>
          <w:sz w:val="28"/>
          <w:szCs w:val="28"/>
        </w:rPr>
        <w:t xml:space="preserve">personnes </w:t>
      </w:r>
      <w:r w:rsidRPr="006866D3">
        <w:rPr>
          <w:rFonts w:ascii="Nyala" w:hAnsi="Nyala"/>
          <w:sz w:val="28"/>
          <w:szCs w:val="28"/>
        </w:rPr>
        <w:t xml:space="preserve">vulnérables - Du fait de la récurrence de l’insécurité alimentaire et nutritionnelle, le gouvernement et ses partenaires ont adopté un processus de planification annuelle pour une assistance alimentaire aux </w:t>
      </w:r>
      <w:r w:rsidR="001C7864">
        <w:rPr>
          <w:rFonts w:ascii="Nyala" w:hAnsi="Nyala"/>
          <w:sz w:val="28"/>
          <w:szCs w:val="28"/>
        </w:rPr>
        <w:t xml:space="preserve">personnes </w:t>
      </w:r>
      <w:r w:rsidRPr="006866D3">
        <w:rPr>
          <w:rFonts w:ascii="Nyala" w:hAnsi="Nyala"/>
          <w:sz w:val="28"/>
          <w:szCs w:val="28"/>
        </w:rPr>
        <w:t xml:space="preserve">vulnérables. Il apporte des réponses </w:t>
      </w:r>
      <w:r w:rsidR="00BD2EF3" w:rsidRPr="006866D3">
        <w:rPr>
          <w:rFonts w:ascii="Nyala" w:hAnsi="Nyala"/>
          <w:sz w:val="28"/>
          <w:szCs w:val="28"/>
        </w:rPr>
        <w:t xml:space="preserve">en situation d’urgence </w:t>
      </w:r>
      <w:r w:rsidR="00BD2EF3">
        <w:rPr>
          <w:rFonts w:ascii="Nyala" w:hAnsi="Nyala"/>
          <w:sz w:val="28"/>
          <w:szCs w:val="28"/>
        </w:rPr>
        <w:t>en soutien des</w:t>
      </w:r>
      <w:r w:rsidRPr="006866D3">
        <w:rPr>
          <w:rFonts w:ascii="Nyala" w:hAnsi="Nyala"/>
          <w:sz w:val="28"/>
          <w:szCs w:val="28"/>
        </w:rPr>
        <w:t xml:space="preserve"> ménages </w:t>
      </w:r>
      <w:r w:rsidR="00BD2EF3">
        <w:rPr>
          <w:rFonts w:ascii="Nyala" w:hAnsi="Nyala"/>
          <w:sz w:val="28"/>
          <w:szCs w:val="28"/>
        </w:rPr>
        <w:t>plus vulnérables</w:t>
      </w:r>
      <w:r w:rsidRPr="006866D3">
        <w:rPr>
          <w:rFonts w:ascii="Nyala" w:hAnsi="Nyala"/>
          <w:sz w:val="28"/>
          <w:szCs w:val="28"/>
        </w:rPr>
        <w:t xml:space="preserve">. Au cours de ces dernières années, les interventions d’urgence ont pris le pas sur les investissements pour le développement durable. </w:t>
      </w:r>
    </w:p>
    <w:p w:rsidR="00924A56" w:rsidRPr="006866D3" w:rsidRDefault="00924A56" w:rsidP="00924A56">
      <w:pPr>
        <w:pStyle w:val="Paragraphedeliste"/>
        <w:rPr>
          <w:rFonts w:ascii="Nyala" w:hAnsi="Nyala"/>
          <w:sz w:val="28"/>
          <w:szCs w:val="28"/>
        </w:rPr>
      </w:pPr>
    </w:p>
    <w:p w:rsidR="00924A56" w:rsidRPr="006866D3" w:rsidRDefault="00924A56" w:rsidP="00924A56">
      <w:pPr>
        <w:tabs>
          <w:tab w:val="left" w:pos="2895"/>
        </w:tabs>
        <w:spacing w:line="259" w:lineRule="auto"/>
        <w:ind w:left="708"/>
        <w:jc w:val="both"/>
        <w:rPr>
          <w:rFonts w:ascii="Nyala" w:hAnsi="Nyala"/>
          <w:sz w:val="28"/>
          <w:szCs w:val="28"/>
        </w:rPr>
      </w:pPr>
      <w:r w:rsidRPr="006866D3">
        <w:rPr>
          <w:rFonts w:ascii="Nyala" w:hAnsi="Nyala"/>
          <w:sz w:val="28"/>
          <w:szCs w:val="28"/>
        </w:rPr>
        <w:t>Des facilités ont été mises en place pour accroître l’accessibilité des ménages pauvres aux aliments et nutriments : mise en place de filets sociaux adaptés (transferts conditionnels et inconditionnels d’argent) ; distribution de vivre</w:t>
      </w:r>
      <w:r w:rsidR="00981EAB">
        <w:rPr>
          <w:rFonts w:ascii="Nyala" w:hAnsi="Nyala"/>
          <w:sz w:val="28"/>
          <w:szCs w:val="28"/>
        </w:rPr>
        <w:t>s</w:t>
      </w:r>
      <w:r w:rsidRPr="006866D3">
        <w:rPr>
          <w:rFonts w:ascii="Nyala" w:hAnsi="Nyala"/>
          <w:sz w:val="28"/>
          <w:szCs w:val="28"/>
        </w:rPr>
        <w:t xml:space="preserve"> ou vente à prix modéré ; mise en place de services financiers adaptés et inclusifs ; appui à la restauration et à la diversification des moyens d’existence</w:t>
      </w:r>
      <w:r w:rsidR="001C7864">
        <w:rPr>
          <w:rFonts w:ascii="Nyala" w:hAnsi="Nyala"/>
          <w:sz w:val="28"/>
          <w:szCs w:val="28"/>
        </w:rPr>
        <w:t>.</w:t>
      </w:r>
    </w:p>
    <w:p w:rsidR="00924A56" w:rsidRPr="006866D3" w:rsidRDefault="00924A56" w:rsidP="00924A56">
      <w:pPr>
        <w:tabs>
          <w:tab w:val="left" w:pos="2895"/>
        </w:tabs>
        <w:spacing w:line="259" w:lineRule="auto"/>
        <w:ind w:left="708"/>
        <w:jc w:val="both"/>
        <w:rPr>
          <w:rFonts w:ascii="Nyala" w:hAnsi="Nyala"/>
          <w:sz w:val="28"/>
          <w:szCs w:val="28"/>
        </w:rPr>
      </w:pPr>
      <w:r w:rsidRPr="006866D3">
        <w:rPr>
          <w:rFonts w:ascii="Nyala" w:hAnsi="Nyala"/>
          <w:sz w:val="28"/>
          <w:szCs w:val="28"/>
        </w:rPr>
        <w:t xml:space="preserve">La soutenabilité de telles actions humanitaires dans un contexte de forte croissance démographique, de risques multiples et récurrents, de demande sociale forte, et de rareté des ressources financières internes et externes est questionnée ; sans pour autant que les solutions viables et durables ne soient énoncées. Les acteurs humanitaires sont interpellés quant au choix d’un indicateur pertinent pour rendre compte du renforcement de la résilience des systèmes de production et des ménages bénéficiaires des mesures de soutien d’urgence. </w:t>
      </w:r>
    </w:p>
    <w:p w:rsidR="00924A56" w:rsidRPr="006866D3" w:rsidRDefault="00924A56" w:rsidP="0059103A">
      <w:pPr>
        <w:pStyle w:val="Paragraphedeliste"/>
        <w:numPr>
          <w:ilvl w:val="0"/>
          <w:numId w:val="25"/>
        </w:numPr>
        <w:spacing w:line="259" w:lineRule="auto"/>
        <w:jc w:val="both"/>
        <w:rPr>
          <w:rFonts w:ascii="Nyala" w:hAnsi="Nyala"/>
          <w:sz w:val="28"/>
          <w:szCs w:val="28"/>
        </w:rPr>
      </w:pPr>
      <w:r w:rsidRPr="006866D3">
        <w:rPr>
          <w:rFonts w:ascii="Nyala" w:hAnsi="Nyala"/>
          <w:sz w:val="28"/>
          <w:szCs w:val="28"/>
        </w:rPr>
        <w:t xml:space="preserve">Le Financement durable du secteur agricole a été apprécié à travers l’Indice d’Orientation agricole </w:t>
      </w:r>
      <w:r w:rsidR="00981EAB">
        <w:rPr>
          <w:rFonts w:ascii="Nyala" w:hAnsi="Nyala"/>
          <w:sz w:val="28"/>
          <w:szCs w:val="28"/>
        </w:rPr>
        <w:t xml:space="preserve">(IAO) </w:t>
      </w:r>
      <w:r w:rsidRPr="006866D3">
        <w:rPr>
          <w:rFonts w:ascii="Nyala" w:hAnsi="Nyala"/>
          <w:sz w:val="28"/>
          <w:szCs w:val="28"/>
        </w:rPr>
        <w:t>et les dépenses de recherche. Au cours de l</w:t>
      </w:r>
      <w:r w:rsidR="00C97A1A">
        <w:rPr>
          <w:rFonts w:ascii="Nyala" w:hAnsi="Nyala"/>
          <w:sz w:val="28"/>
          <w:szCs w:val="28"/>
        </w:rPr>
        <w:t xml:space="preserve">a période 2012-205, l’IAO est passé de 0,61 à 0,22 </w:t>
      </w:r>
      <w:r w:rsidRPr="006866D3">
        <w:rPr>
          <w:rFonts w:ascii="Nyala" w:hAnsi="Nyala"/>
          <w:sz w:val="28"/>
          <w:szCs w:val="28"/>
        </w:rPr>
        <w:t>par an, traduisant le moins de place accordé</w:t>
      </w:r>
      <w:r w:rsidR="00C97A1A">
        <w:rPr>
          <w:rFonts w:ascii="Nyala" w:hAnsi="Nyala"/>
          <w:sz w:val="28"/>
          <w:szCs w:val="28"/>
        </w:rPr>
        <w:t>e</w:t>
      </w:r>
      <w:r w:rsidRPr="006866D3">
        <w:rPr>
          <w:rFonts w:ascii="Nyala" w:hAnsi="Nyala"/>
          <w:sz w:val="28"/>
          <w:szCs w:val="28"/>
        </w:rPr>
        <w:t xml:space="preserve"> à l’Agriculture dans l’allocation des ressources. Les explications sont à rechercher dans la dégradation de la situation sécuritaire qui a incité les pouvoirs publics et </w:t>
      </w:r>
      <w:r w:rsidR="00981EAB">
        <w:rPr>
          <w:rFonts w:ascii="Nyala" w:hAnsi="Nyala"/>
          <w:sz w:val="28"/>
          <w:szCs w:val="28"/>
        </w:rPr>
        <w:t>les</w:t>
      </w:r>
      <w:r w:rsidRPr="006866D3">
        <w:rPr>
          <w:rFonts w:ascii="Nyala" w:hAnsi="Nyala"/>
          <w:sz w:val="28"/>
          <w:szCs w:val="28"/>
        </w:rPr>
        <w:t xml:space="preserve">partenaires à mettre davantage d’accent sur le maintien de la paix et la défense du </w:t>
      </w:r>
      <w:r w:rsidRPr="006866D3">
        <w:rPr>
          <w:rFonts w:ascii="Nyala" w:hAnsi="Nyala"/>
          <w:sz w:val="28"/>
          <w:szCs w:val="28"/>
        </w:rPr>
        <w:lastRenderedPageBreak/>
        <w:t xml:space="preserve">territoire. Par contre, dans le PDES 2017-2025, se basant sur une hypothèse d’accalmie dans les pays voisins et sur le territoire national, le poids économique du secteur est respecté dans les  dépenses prévisionnelles nationales ; l’IOA passerait à 0,90 </w:t>
      </w:r>
      <w:r w:rsidR="00C97A1A">
        <w:rPr>
          <w:rFonts w:ascii="Nyala" w:hAnsi="Nyala"/>
          <w:sz w:val="28"/>
          <w:szCs w:val="28"/>
        </w:rPr>
        <w:t xml:space="preserve">ou plus </w:t>
      </w:r>
      <w:r w:rsidRPr="006866D3">
        <w:rPr>
          <w:rFonts w:ascii="Nyala" w:hAnsi="Nyala"/>
          <w:sz w:val="28"/>
          <w:szCs w:val="28"/>
        </w:rPr>
        <w:t xml:space="preserve">sur la période 2017-2021. </w:t>
      </w:r>
    </w:p>
    <w:p w:rsidR="00924A56" w:rsidRPr="006866D3" w:rsidRDefault="00924A56" w:rsidP="00924A56">
      <w:pPr>
        <w:pStyle w:val="Paragraphedeliste"/>
        <w:rPr>
          <w:rFonts w:ascii="Nyala" w:hAnsi="Nyala"/>
          <w:sz w:val="28"/>
          <w:szCs w:val="28"/>
        </w:rPr>
      </w:pPr>
    </w:p>
    <w:p w:rsidR="00924A56" w:rsidRPr="006866D3" w:rsidRDefault="00924A56" w:rsidP="00924A56">
      <w:pPr>
        <w:tabs>
          <w:tab w:val="left" w:pos="2459"/>
        </w:tabs>
        <w:jc w:val="both"/>
        <w:rPr>
          <w:rStyle w:val="Rfrenceintense"/>
          <w:sz w:val="28"/>
          <w:szCs w:val="28"/>
        </w:rPr>
      </w:pPr>
      <w:r w:rsidRPr="006866D3">
        <w:rPr>
          <w:rStyle w:val="Rfrenceintense"/>
          <w:sz w:val="28"/>
          <w:szCs w:val="28"/>
        </w:rPr>
        <w:t>Leçons tirées de la Revue</w:t>
      </w:r>
    </w:p>
    <w:p w:rsidR="00924A56" w:rsidRPr="006866D3" w:rsidRDefault="00924A56" w:rsidP="00924A56">
      <w:pPr>
        <w:spacing w:line="259" w:lineRule="auto"/>
        <w:contextualSpacing/>
        <w:jc w:val="both"/>
        <w:rPr>
          <w:rFonts w:ascii="Nyala" w:hAnsi="Nyala"/>
          <w:sz w:val="28"/>
          <w:szCs w:val="28"/>
        </w:rPr>
      </w:pPr>
      <w:r w:rsidRPr="006866D3">
        <w:rPr>
          <w:rFonts w:ascii="Nyala" w:hAnsi="Nyala"/>
          <w:sz w:val="28"/>
          <w:szCs w:val="28"/>
        </w:rPr>
        <w:t>L’absence de données de référence pour certains indicateurs, l’imprécision sur les modalités d’évaluation pour d’autres et la détermination des actions spécifiques pour réaliser le programme de l’Agenda 2030 ont été des facteurs limitant pour la complétude et la pertinence de la présente revue stratégique. Il a été également noté une appropriation insuffisante de l’ODD2, l’absence d’un plan d’actions spécifiques et d’un cadre institutionnel bien défini pour la mise en œuvre et le suivi-évaluation.</w:t>
      </w:r>
    </w:p>
    <w:p w:rsidR="00924A56" w:rsidRPr="006866D3" w:rsidRDefault="00924A56" w:rsidP="00924A56">
      <w:pPr>
        <w:spacing w:line="259" w:lineRule="auto"/>
        <w:contextualSpacing/>
        <w:jc w:val="both"/>
        <w:rPr>
          <w:rFonts w:ascii="Nyala" w:hAnsi="Nyala"/>
          <w:sz w:val="28"/>
          <w:szCs w:val="28"/>
        </w:rPr>
      </w:pPr>
    </w:p>
    <w:p w:rsidR="00924A56" w:rsidRPr="006866D3" w:rsidRDefault="00924A56" w:rsidP="00924A56">
      <w:pPr>
        <w:spacing w:line="259" w:lineRule="auto"/>
        <w:contextualSpacing/>
        <w:jc w:val="both"/>
        <w:rPr>
          <w:rFonts w:ascii="Nyala" w:hAnsi="Nyala"/>
          <w:sz w:val="28"/>
          <w:szCs w:val="28"/>
        </w:rPr>
      </w:pPr>
      <w:r w:rsidRPr="006866D3">
        <w:rPr>
          <w:rFonts w:ascii="Nyala" w:hAnsi="Nyala"/>
          <w:sz w:val="28"/>
          <w:szCs w:val="28"/>
        </w:rPr>
        <w:t>Pour corriger ces insuffisances, il a été suggéré d’entamer un processus d’internalisation et de planification des actions à mener pour l’atteinte de l’O</w:t>
      </w:r>
      <w:r w:rsidR="00981EAB">
        <w:rPr>
          <w:rFonts w:ascii="Nyala" w:hAnsi="Nyala"/>
          <w:sz w:val="28"/>
          <w:szCs w:val="28"/>
        </w:rPr>
        <w:t>D</w:t>
      </w:r>
      <w:r w:rsidRPr="006866D3">
        <w:rPr>
          <w:rFonts w:ascii="Nyala" w:hAnsi="Nyala"/>
          <w:sz w:val="28"/>
          <w:szCs w:val="28"/>
        </w:rPr>
        <w:t xml:space="preserve">D2, et d’adapter le cadre institutionnel actuel de </w:t>
      </w:r>
      <w:r w:rsidR="00981EAB" w:rsidRPr="006866D3">
        <w:rPr>
          <w:rFonts w:ascii="Nyala" w:hAnsi="Nyala"/>
          <w:sz w:val="28"/>
          <w:szCs w:val="28"/>
        </w:rPr>
        <w:t>l’</w:t>
      </w:r>
      <w:r w:rsidR="00981EAB">
        <w:rPr>
          <w:rFonts w:ascii="Nyala" w:hAnsi="Nyala"/>
          <w:sz w:val="28"/>
          <w:szCs w:val="28"/>
        </w:rPr>
        <w:t>I</w:t>
      </w:r>
      <w:r w:rsidRPr="006866D3">
        <w:rPr>
          <w:rFonts w:ascii="Nyala" w:hAnsi="Nyala"/>
          <w:sz w:val="28"/>
          <w:szCs w:val="28"/>
        </w:rPr>
        <w:t xml:space="preserve">3N aux besoins spécifiques de mise en œuvre et de suivi des cibles et indicateurs. </w:t>
      </w:r>
    </w:p>
    <w:p w:rsidR="00924A56" w:rsidRPr="006866D3" w:rsidRDefault="00924A56" w:rsidP="00924A56">
      <w:pPr>
        <w:ind w:left="377"/>
        <w:jc w:val="both"/>
        <w:rPr>
          <w:sz w:val="28"/>
          <w:szCs w:val="28"/>
        </w:rPr>
      </w:pPr>
    </w:p>
    <w:p w:rsidR="00D71749" w:rsidRPr="006866D3" w:rsidRDefault="00D71749">
      <w:pPr>
        <w:rPr>
          <w:rFonts w:ascii="Nyala" w:hAnsi="Nyala"/>
          <w:iCs/>
          <w:sz w:val="28"/>
          <w:szCs w:val="28"/>
        </w:rPr>
      </w:pPr>
      <w:r w:rsidRPr="006866D3">
        <w:rPr>
          <w:rFonts w:ascii="Nyala" w:hAnsi="Nyala"/>
          <w:iCs/>
          <w:sz w:val="28"/>
          <w:szCs w:val="28"/>
        </w:rPr>
        <w:br w:type="page"/>
      </w:r>
    </w:p>
    <w:p w:rsidR="00F51276" w:rsidRPr="006866D3" w:rsidRDefault="00F51276" w:rsidP="00CB118D">
      <w:pPr>
        <w:pStyle w:val="Titre1"/>
        <w:rPr>
          <w:sz w:val="28"/>
          <w:szCs w:val="28"/>
        </w:rPr>
      </w:pPr>
      <w:bookmarkStart w:id="56" w:name="_Toc526119965"/>
      <w:r w:rsidRPr="006866D3">
        <w:rPr>
          <w:sz w:val="28"/>
          <w:szCs w:val="28"/>
        </w:rPr>
        <w:lastRenderedPageBreak/>
        <w:t>Introduction</w:t>
      </w:r>
      <w:bookmarkEnd w:id="56"/>
    </w:p>
    <w:p w:rsidR="009D2C12" w:rsidRPr="006866D3" w:rsidRDefault="009D2C12" w:rsidP="009D2C12">
      <w:pPr>
        <w:rPr>
          <w:sz w:val="28"/>
          <w:szCs w:val="28"/>
        </w:rPr>
      </w:pPr>
    </w:p>
    <w:p w:rsidR="00651F61" w:rsidRPr="006866D3" w:rsidRDefault="00BB421F" w:rsidP="00BB421F">
      <w:pPr>
        <w:jc w:val="both"/>
        <w:rPr>
          <w:rFonts w:ascii="Nyala" w:hAnsi="Nyala"/>
          <w:sz w:val="28"/>
          <w:szCs w:val="28"/>
        </w:rPr>
      </w:pPr>
      <w:bookmarkStart w:id="57" w:name="_Hlk523576299"/>
      <w:r w:rsidRPr="006866D3">
        <w:rPr>
          <w:rFonts w:ascii="Nyala" w:hAnsi="Nyala"/>
          <w:sz w:val="28"/>
          <w:szCs w:val="28"/>
        </w:rPr>
        <w:t xml:space="preserve">En septembre 2015, les pays membres de l’Organisations des Nations Unies, dont le Niger, ont défini un nouveau programme de développement, </w:t>
      </w:r>
      <w:r w:rsidR="001074D1" w:rsidRPr="006866D3">
        <w:rPr>
          <w:rFonts w:ascii="Nyala" w:hAnsi="Nyala"/>
          <w:sz w:val="28"/>
          <w:szCs w:val="28"/>
        </w:rPr>
        <w:t>qui fait suite</w:t>
      </w:r>
      <w:r w:rsidR="00594189" w:rsidRPr="006866D3">
        <w:rPr>
          <w:rFonts w:ascii="Nyala" w:hAnsi="Nyala"/>
          <w:sz w:val="28"/>
          <w:szCs w:val="28"/>
        </w:rPr>
        <w:t>a</w:t>
      </w:r>
      <w:r w:rsidRPr="006866D3">
        <w:rPr>
          <w:rFonts w:ascii="Nyala" w:hAnsi="Nyala"/>
          <w:sz w:val="28"/>
          <w:szCs w:val="28"/>
        </w:rPr>
        <w:t xml:space="preserve">ux objectifs du Millenium pour le </w:t>
      </w:r>
      <w:r w:rsidR="00E42AB0" w:rsidRPr="006866D3">
        <w:rPr>
          <w:rFonts w:ascii="Nyala" w:hAnsi="Nyala"/>
          <w:sz w:val="28"/>
          <w:szCs w:val="28"/>
        </w:rPr>
        <w:t xml:space="preserve">Développement </w:t>
      </w:r>
      <w:r w:rsidRPr="006866D3">
        <w:rPr>
          <w:rFonts w:ascii="Nyala" w:hAnsi="Nyala"/>
          <w:sz w:val="28"/>
          <w:szCs w:val="28"/>
        </w:rPr>
        <w:t xml:space="preserve">(OMD). Ce nouveau programme </w:t>
      </w:r>
      <w:r w:rsidR="009A6926">
        <w:rPr>
          <w:rFonts w:ascii="Nyala" w:hAnsi="Nyala"/>
          <w:sz w:val="28"/>
          <w:szCs w:val="28"/>
        </w:rPr>
        <w:t xml:space="preserve">compte </w:t>
      </w:r>
      <w:r w:rsidR="007764FF" w:rsidRPr="006866D3">
        <w:rPr>
          <w:rFonts w:ascii="Nyala" w:hAnsi="Nyala"/>
          <w:sz w:val="28"/>
          <w:szCs w:val="28"/>
        </w:rPr>
        <w:t xml:space="preserve">17 Objectifs de </w:t>
      </w:r>
      <w:r w:rsidR="00CB2E08" w:rsidRPr="006866D3">
        <w:rPr>
          <w:rFonts w:ascii="Nyala" w:hAnsi="Nyala"/>
          <w:sz w:val="28"/>
          <w:szCs w:val="28"/>
        </w:rPr>
        <w:t>Développement</w:t>
      </w:r>
      <w:r w:rsidR="00503967">
        <w:rPr>
          <w:rFonts w:ascii="Nyala" w:hAnsi="Nyala"/>
          <w:sz w:val="28"/>
          <w:szCs w:val="28"/>
        </w:rPr>
        <w:t xml:space="preserve"> Durable</w:t>
      </w:r>
      <w:r w:rsidR="007764FF" w:rsidRPr="006866D3">
        <w:rPr>
          <w:rFonts w:ascii="Nyala" w:hAnsi="Nyala"/>
          <w:sz w:val="28"/>
          <w:szCs w:val="28"/>
        </w:rPr>
        <w:t xml:space="preserve"> (ODD) </w:t>
      </w:r>
      <w:r w:rsidR="009A6926">
        <w:rPr>
          <w:rFonts w:ascii="Nyala" w:hAnsi="Nyala"/>
          <w:sz w:val="28"/>
          <w:szCs w:val="28"/>
        </w:rPr>
        <w:t xml:space="preserve">pour </w:t>
      </w:r>
      <w:r w:rsidRPr="006866D3">
        <w:rPr>
          <w:rFonts w:ascii="Nyala" w:hAnsi="Nyala"/>
          <w:sz w:val="28"/>
          <w:szCs w:val="28"/>
        </w:rPr>
        <w:t xml:space="preserve">ont été définis des objectifs-cibles que les pays doivent atteindre en déroulant une stratégie dont l’efficacité peut être mesurée sur la base d’un paquet d’indicateurs convenus de manière consensuelle. </w:t>
      </w:r>
      <w:r w:rsidR="00B60543" w:rsidRPr="006866D3">
        <w:rPr>
          <w:rFonts w:ascii="Nyala" w:hAnsi="Nyala"/>
          <w:sz w:val="28"/>
          <w:szCs w:val="28"/>
        </w:rPr>
        <w:t>L</w:t>
      </w:r>
      <w:r w:rsidRPr="006866D3">
        <w:rPr>
          <w:rFonts w:ascii="Nyala" w:hAnsi="Nyala"/>
          <w:sz w:val="28"/>
          <w:szCs w:val="28"/>
        </w:rPr>
        <w:t xml:space="preserve">es Etats-Parties </w:t>
      </w:r>
      <w:r w:rsidR="00863BA7" w:rsidRPr="006866D3">
        <w:rPr>
          <w:rFonts w:ascii="Nyala" w:hAnsi="Nyala"/>
          <w:sz w:val="28"/>
          <w:szCs w:val="28"/>
        </w:rPr>
        <w:t xml:space="preserve">sont encouragés à </w:t>
      </w:r>
      <w:r w:rsidRPr="006866D3">
        <w:rPr>
          <w:rFonts w:ascii="Nyala" w:hAnsi="Nyala"/>
          <w:sz w:val="28"/>
          <w:szCs w:val="28"/>
        </w:rPr>
        <w:t>produi</w:t>
      </w:r>
      <w:r w:rsidR="00863BA7" w:rsidRPr="006866D3">
        <w:rPr>
          <w:rFonts w:ascii="Nyala" w:hAnsi="Nyala"/>
          <w:sz w:val="28"/>
          <w:szCs w:val="28"/>
        </w:rPr>
        <w:t xml:space="preserve">re </w:t>
      </w:r>
      <w:r w:rsidR="00CB2E08" w:rsidRPr="006866D3">
        <w:rPr>
          <w:rFonts w:ascii="Nyala" w:hAnsi="Nyala"/>
          <w:sz w:val="28"/>
          <w:szCs w:val="28"/>
        </w:rPr>
        <w:t>r</w:t>
      </w:r>
      <w:r w:rsidR="002E2B21" w:rsidRPr="006866D3">
        <w:rPr>
          <w:rFonts w:ascii="Nyala" w:hAnsi="Nyala"/>
          <w:sz w:val="28"/>
          <w:szCs w:val="28"/>
        </w:rPr>
        <w:t xml:space="preserve">égulièrement </w:t>
      </w:r>
      <w:r w:rsidRPr="006866D3">
        <w:rPr>
          <w:rFonts w:ascii="Nyala" w:hAnsi="Nyala"/>
          <w:sz w:val="28"/>
          <w:szCs w:val="28"/>
        </w:rPr>
        <w:t xml:space="preserve">des Rapports Nationaux Volontaires sur l’ensemble </w:t>
      </w:r>
      <w:r w:rsidR="00863BA7" w:rsidRPr="006866D3">
        <w:rPr>
          <w:rFonts w:ascii="Nyala" w:hAnsi="Nyala"/>
          <w:sz w:val="28"/>
          <w:szCs w:val="28"/>
        </w:rPr>
        <w:t xml:space="preserve">et/ou </w:t>
      </w:r>
      <w:r w:rsidRPr="006866D3">
        <w:rPr>
          <w:rFonts w:ascii="Nyala" w:hAnsi="Nyala"/>
          <w:sz w:val="28"/>
          <w:szCs w:val="28"/>
        </w:rPr>
        <w:t>des revues</w:t>
      </w:r>
      <w:r w:rsidR="00651F61" w:rsidRPr="006866D3">
        <w:rPr>
          <w:rFonts w:ascii="Nyala" w:hAnsi="Nyala"/>
          <w:sz w:val="28"/>
          <w:szCs w:val="28"/>
        </w:rPr>
        <w:t xml:space="preserve"> stratégiques sur un </w:t>
      </w:r>
      <w:r w:rsidRPr="006866D3">
        <w:rPr>
          <w:rFonts w:ascii="Nyala" w:hAnsi="Nyala"/>
          <w:sz w:val="28"/>
          <w:szCs w:val="28"/>
        </w:rPr>
        <w:t>ODD particulier.</w:t>
      </w:r>
    </w:p>
    <w:bookmarkEnd w:id="57"/>
    <w:p w:rsidR="00D777D9" w:rsidRPr="006866D3" w:rsidRDefault="00981EAB" w:rsidP="005575BE">
      <w:pPr>
        <w:jc w:val="both"/>
        <w:rPr>
          <w:rFonts w:ascii="Nyala" w:hAnsi="Nyala"/>
          <w:b/>
          <w:sz w:val="28"/>
          <w:szCs w:val="28"/>
        </w:rPr>
      </w:pPr>
      <w:r>
        <w:rPr>
          <w:rFonts w:ascii="Nyala" w:hAnsi="Nyala"/>
          <w:sz w:val="28"/>
          <w:szCs w:val="28"/>
        </w:rPr>
        <w:t>A</w:t>
      </w:r>
      <w:r w:rsidR="005575BE" w:rsidRPr="006866D3">
        <w:rPr>
          <w:rFonts w:ascii="Nyala" w:hAnsi="Nyala"/>
          <w:sz w:val="28"/>
          <w:szCs w:val="28"/>
        </w:rPr>
        <w:t xml:space="preserve"> l’instar de plusieurs autres pays </w:t>
      </w:r>
      <w:r w:rsidR="00E97AA2" w:rsidRPr="006866D3">
        <w:rPr>
          <w:rFonts w:ascii="Nyala" w:hAnsi="Nyala"/>
          <w:sz w:val="28"/>
          <w:szCs w:val="28"/>
        </w:rPr>
        <w:t>membres des Nat</w:t>
      </w:r>
      <w:r w:rsidR="00CB2E08" w:rsidRPr="006866D3">
        <w:rPr>
          <w:rFonts w:ascii="Nyala" w:hAnsi="Nyala"/>
          <w:sz w:val="28"/>
          <w:szCs w:val="28"/>
        </w:rPr>
        <w:t>i</w:t>
      </w:r>
      <w:r w:rsidR="00E97AA2" w:rsidRPr="006866D3">
        <w:rPr>
          <w:rFonts w:ascii="Nyala" w:hAnsi="Nyala"/>
          <w:sz w:val="28"/>
          <w:szCs w:val="28"/>
        </w:rPr>
        <w:t>ons Unies</w:t>
      </w:r>
      <w:r w:rsidR="005575BE" w:rsidRPr="006866D3">
        <w:rPr>
          <w:rFonts w:ascii="Nyala" w:hAnsi="Nyala"/>
          <w:sz w:val="28"/>
          <w:szCs w:val="28"/>
        </w:rPr>
        <w:t>, le Niger avec l’appui du PAM, s’est également lancé dans la revue de sa stratégie nationale « Faim Zéro » pour l’atteinte de l’ODD2 : « </w:t>
      </w:r>
      <w:r w:rsidR="005575BE" w:rsidRPr="006866D3">
        <w:rPr>
          <w:rFonts w:ascii="Nyala" w:hAnsi="Nyala"/>
          <w:i/>
          <w:sz w:val="28"/>
          <w:szCs w:val="28"/>
        </w:rPr>
        <w:t>Eliminer la faim, assurer la sécurité alimentaire, améliorer la nutrition et promouvoir l’agriculture durable</w:t>
      </w:r>
      <w:r w:rsidR="005575BE" w:rsidRPr="006866D3">
        <w:rPr>
          <w:rFonts w:ascii="Nyala" w:hAnsi="Nyala"/>
          <w:b/>
          <w:sz w:val="28"/>
          <w:szCs w:val="28"/>
        </w:rPr>
        <w:t xml:space="preserve"> ». </w:t>
      </w:r>
    </w:p>
    <w:p w:rsidR="00863BA7" w:rsidRPr="006866D3" w:rsidRDefault="00863BA7" w:rsidP="00863BA7">
      <w:pPr>
        <w:spacing w:before="0" w:after="0"/>
        <w:jc w:val="both"/>
        <w:rPr>
          <w:rFonts w:ascii="Nyala" w:hAnsi="Nyala"/>
          <w:sz w:val="28"/>
          <w:szCs w:val="28"/>
        </w:rPr>
      </w:pPr>
      <w:r w:rsidRPr="006866D3">
        <w:rPr>
          <w:rFonts w:ascii="Nyala" w:hAnsi="Nyala"/>
          <w:sz w:val="28"/>
          <w:szCs w:val="28"/>
        </w:rPr>
        <w:t>Pour la conduite de la revue, le Niger a bénéficié de l’appui technique et financier du PAM et autres Agences du Système des Nations Unies (FAO, UNICEF</w:t>
      </w:r>
      <w:r w:rsidR="00542A3C">
        <w:rPr>
          <w:rFonts w:ascii="Nyala" w:hAnsi="Nyala"/>
          <w:sz w:val="28"/>
          <w:szCs w:val="28"/>
        </w:rPr>
        <w:t>)</w:t>
      </w:r>
      <w:r w:rsidRPr="006866D3">
        <w:rPr>
          <w:rFonts w:ascii="Nyala" w:hAnsi="Nyala"/>
          <w:sz w:val="28"/>
          <w:szCs w:val="28"/>
        </w:rPr>
        <w:t xml:space="preserve">. La revue a également bénéficié de la participation d’un grand nombre d’acteurs gouvernementaux et non gouvernementaux, des ONG </w:t>
      </w:r>
      <w:r w:rsidR="00542A3C">
        <w:rPr>
          <w:rFonts w:ascii="Nyala" w:hAnsi="Nyala"/>
          <w:sz w:val="28"/>
          <w:szCs w:val="28"/>
        </w:rPr>
        <w:t>nationales et internationales</w:t>
      </w:r>
      <w:r w:rsidRPr="006866D3">
        <w:rPr>
          <w:rFonts w:ascii="Nyala" w:hAnsi="Nyala"/>
          <w:sz w:val="28"/>
          <w:szCs w:val="28"/>
        </w:rPr>
        <w:t xml:space="preserve">, des partenaires de la coopération bilatérale et multilatérale. </w:t>
      </w:r>
    </w:p>
    <w:p w:rsidR="00863BA7" w:rsidRPr="006866D3" w:rsidRDefault="00863BA7" w:rsidP="00863BA7">
      <w:pPr>
        <w:spacing w:before="0" w:after="0"/>
        <w:jc w:val="both"/>
        <w:rPr>
          <w:rFonts w:ascii="Nyala" w:hAnsi="Nyala"/>
          <w:sz w:val="28"/>
          <w:szCs w:val="28"/>
        </w:rPr>
      </w:pPr>
    </w:p>
    <w:p w:rsidR="00863BA7" w:rsidRPr="006866D3" w:rsidRDefault="00863BA7" w:rsidP="00863BA7">
      <w:pPr>
        <w:spacing w:before="0" w:after="0"/>
        <w:jc w:val="both"/>
        <w:rPr>
          <w:rFonts w:ascii="Nyala" w:hAnsi="Nyala"/>
          <w:sz w:val="28"/>
          <w:szCs w:val="28"/>
        </w:rPr>
      </w:pPr>
      <w:r w:rsidRPr="006866D3">
        <w:rPr>
          <w:rFonts w:ascii="Nyala" w:hAnsi="Nyala"/>
          <w:sz w:val="28"/>
          <w:szCs w:val="28"/>
        </w:rPr>
        <w:t xml:space="preserve">L’ensemble du processus est appuyé par </w:t>
      </w:r>
      <w:r w:rsidR="00503967">
        <w:rPr>
          <w:rFonts w:ascii="Nyala" w:hAnsi="Nyala"/>
          <w:sz w:val="28"/>
          <w:szCs w:val="28"/>
        </w:rPr>
        <w:t>Monsieur Danda Mahamadou</w:t>
      </w:r>
      <w:r w:rsidR="008A60CB">
        <w:rPr>
          <w:rFonts w:ascii="Nyala" w:hAnsi="Nyala"/>
          <w:sz w:val="28"/>
          <w:szCs w:val="28"/>
        </w:rPr>
        <w:t xml:space="preserve"> (</w:t>
      </w:r>
      <w:r w:rsidRPr="006866D3">
        <w:rPr>
          <w:rFonts w:ascii="Nyala" w:hAnsi="Nyala"/>
          <w:sz w:val="28"/>
          <w:szCs w:val="28"/>
        </w:rPr>
        <w:t>un ancien Premier Ministre</w:t>
      </w:r>
      <w:r w:rsidR="008A60CB">
        <w:rPr>
          <w:rFonts w:ascii="Nyala" w:hAnsi="Nyala"/>
          <w:sz w:val="28"/>
          <w:szCs w:val="28"/>
        </w:rPr>
        <w:t>)</w:t>
      </w:r>
      <w:r w:rsidRPr="006866D3">
        <w:rPr>
          <w:rFonts w:ascii="Nyala" w:hAnsi="Nyala"/>
          <w:sz w:val="28"/>
          <w:szCs w:val="28"/>
        </w:rPr>
        <w:t xml:space="preserve"> jouant le rôle de Facilitateur. Sa mission est de modérer les consultations avec les parties prenantes concernées, assurer l’engagement de l’ensemble des acteurs dans ce processus et superviser le travail de l’équipe de recherche.</w:t>
      </w:r>
    </w:p>
    <w:p w:rsidR="005C1C62" w:rsidRPr="006866D3" w:rsidRDefault="005C1C62" w:rsidP="00BB421F">
      <w:pPr>
        <w:spacing w:before="0" w:after="0"/>
        <w:jc w:val="both"/>
        <w:rPr>
          <w:rFonts w:ascii="Nyala" w:hAnsi="Nyala"/>
          <w:sz w:val="28"/>
          <w:szCs w:val="28"/>
        </w:rPr>
      </w:pPr>
    </w:p>
    <w:p w:rsidR="00BB421F" w:rsidRPr="006866D3" w:rsidRDefault="00BB421F" w:rsidP="00BB421F">
      <w:pPr>
        <w:spacing w:before="0" w:after="0"/>
        <w:jc w:val="both"/>
        <w:rPr>
          <w:rFonts w:ascii="Nyala" w:hAnsi="Nyala"/>
          <w:sz w:val="28"/>
          <w:szCs w:val="28"/>
        </w:rPr>
      </w:pPr>
      <w:r w:rsidRPr="006866D3">
        <w:rPr>
          <w:rFonts w:ascii="Nyala" w:hAnsi="Nyala"/>
          <w:sz w:val="28"/>
          <w:szCs w:val="28"/>
        </w:rPr>
        <w:t xml:space="preserve">La </w:t>
      </w:r>
      <w:r w:rsidR="00704069" w:rsidRPr="006866D3">
        <w:rPr>
          <w:rFonts w:ascii="Nyala" w:hAnsi="Nyala"/>
          <w:sz w:val="28"/>
          <w:szCs w:val="28"/>
        </w:rPr>
        <w:t>revue est</w:t>
      </w:r>
      <w:r w:rsidRPr="006866D3">
        <w:rPr>
          <w:rFonts w:ascii="Nyala" w:hAnsi="Nyala"/>
          <w:sz w:val="28"/>
          <w:szCs w:val="28"/>
        </w:rPr>
        <w:t xml:space="preserve"> placée sous l’égide du Ministre d’Etat</w:t>
      </w:r>
      <w:r w:rsidR="00704069" w:rsidRPr="006866D3">
        <w:rPr>
          <w:rFonts w:ascii="Nyala" w:hAnsi="Nyala"/>
          <w:sz w:val="28"/>
          <w:szCs w:val="28"/>
        </w:rPr>
        <w:t xml:space="preserve">, </w:t>
      </w:r>
      <w:r w:rsidR="00AB3B84" w:rsidRPr="006866D3">
        <w:rPr>
          <w:rFonts w:ascii="Nyala" w:hAnsi="Nyala"/>
          <w:sz w:val="28"/>
          <w:szCs w:val="28"/>
        </w:rPr>
        <w:t>Ministre de</w:t>
      </w:r>
      <w:r w:rsidRPr="006866D3">
        <w:rPr>
          <w:rFonts w:ascii="Nyala" w:hAnsi="Nyala"/>
          <w:sz w:val="28"/>
          <w:szCs w:val="28"/>
        </w:rPr>
        <w:t xml:space="preserve"> l’Agriculture et de l’Elevage qui est appuyé par un Comité Interministériel de Pilotage et un Comité Technique. </w:t>
      </w:r>
    </w:p>
    <w:p w:rsidR="00BB421F" w:rsidRPr="006866D3" w:rsidRDefault="00BB421F" w:rsidP="0059103A">
      <w:pPr>
        <w:pStyle w:val="Paragraphedeliste"/>
        <w:numPr>
          <w:ilvl w:val="0"/>
          <w:numId w:val="12"/>
        </w:numPr>
        <w:overflowPunct w:val="0"/>
        <w:autoSpaceDE w:val="0"/>
        <w:autoSpaceDN w:val="0"/>
        <w:adjustRightInd w:val="0"/>
        <w:spacing w:before="120" w:after="0"/>
        <w:jc w:val="both"/>
        <w:textAlignment w:val="baseline"/>
        <w:rPr>
          <w:rFonts w:ascii="Nyala" w:hAnsi="Nyala" w:cs="Calibri"/>
          <w:sz w:val="28"/>
          <w:szCs w:val="28"/>
        </w:rPr>
      </w:pPr>
      <w:r w:rsidRPr="006866D3">
        <w:rPr>
          <w:rFonts w:ascii="Nyala" w:hAnsi="Nyala" w:cs="Calibri"/>
          <w:sz w:val="28"/>
          <w:szCs w:val="28"/>
        </w:rPr>
        <w:t xml:space="preserve">Le Comité Interministériel (CI) de pilotage de </w:t>
      </w:r>
      <w:r w:rsidR="008A60CB" w:rsidRPr="006866D3">
        <w:rPr>
          <w:rFonts w:ascii="Nyala" w:hAnsi="Nyala" w:cs="Calibri"/>
          <w:sz w:val="28"/>
          <w:szCs w:val="28"/>
        </w:rPr>
        <w:t xml:space="preserve">l’examen stratégique </w:t>
      </w:r>
      <w:r w:rsidRPr="006866D3">
        <w:rPr>
          <w:rFonts w:ascii="Nyala" w:hAnsi="Nyala" w:cs="Calibri"/>
          <w:sz w:val="28"/>
          <w:szCs w:val="28"/>
        </w:rPr>
        <w:t>national</w:t>
      </w:r>
      <w:r w:rsidR="007F2D5A" w:rsidRPr="006866D3">
        <w:rPr>
          <w:rFonts w:ascii="Nyala" w:hAnsi="Nyala" w:cs="Calibri"/>
          <w:sz w:val="28"/>
          <w:szCs w:val="28"/>
        </w:rPr>
        <w:t>e</w:t>
      </w:r>
      <w:r w:rsidRPr="006866D3">
        <w:rPr>
          <w:rFonts w:ascii="Nyala" w:hAnsi="Nyala" w:cs="Calibri"/>
          <w:sz w:val="28"/>
          <w:szCs w:val="28"/>
        </w:rPr>
        <w:t xml:space="preserve"> « faim zéro » au Niger  créé par Arrêté n°0070/PM du 14 mai 201</w:t>
      </w:r>
      <w:r w:rsidR="008A60CB">
        <w:rPr>
          <w:rFonts w:ascii="Nyala" w:hAnsi="Nyala" w:cs="Calibri"/>
          <w:sz w:val="28"/>
          <w:szCs w:val="28"/>
        </w:rPr>
        <w:t>8</w:t>
      </w:r>
      <w:r w:rsidR="00863BA7" w:rsidRPr="006866D3">
        <w:rPr>
          <w:rFonts w:ascii="Nyala" w:hAnsi="Nyala" w:cs="Calibri"/>
          <w:sz w:val="28"/>
          <w:szCs w:val="28"/>
        </w:rPr>
        <w:t> ; il</w:t>
      </w:r>
      <w:r w:rsidRPr="006866D3">
        <w:rPr>
          <w:rFonts w:ascii="Nyala" w:hAnsi="Nyala" w:cs="Calibri"/>
          <w:sz w:val="28"/>
          <w:szCs w:val="28"/>
        </w:rPr>
        <w:t xml:space="preserve"> est  chargé de formuler les orientations générales de l’examen stratégique</w:t>
      </w:r>
      <w:r w:rsidR="008A60CB">
        <w:rPr>
          <w:rFonts w:ascii="Nyala" w:hAnsi="Nyala" w:cs="Calibri"/>
          <w:sz w:val="28"/>
          <w:szCs w:val="28"/>
        </w:rPr>
        <w:t xml:space="preserve"> et d’</w:t>
      </w:r>
      <w:r w:rsidRPr="006866D3">
        <w:rPr>
          <w:rFonts w:ascii="Nyala" w:hAnsi="Nyala" w:cs="Calibri"/>
          <w:sz w:val="28"/>
          <w:szCs w:val="28"/>
        </w:rPr>
        <w:t>analyser et valider les conclusions finales. Il est co-</w:t>
      </w:r>
      <w:r w:rsidRPr="006866D3">
        <w:rPr>
          <w:rFonts w:ascii="Nyala" w:hAnsi="Nyala" w:cs="Calibri"/>
          <w:sz w:val="28"/>
          <w:szCs w:val="28"/>
        </w:rPr>
        <w:lastRenderedPageBreak/>
        <w:t>présidé par le Ministre d’Etat, Ministre de l’Agriculture et de l’Elevage</w:t>
      </w:r>
      <w:r w:rsidR="006D2643" w:rsidRPr="006866D3">
        <w:rPr>
          <w:rFonts w:ascii="Nyala" w:hAnsi="Nyala" w:cs="Calibri"/>
          <w:sz w:val="28"/>
          <w:szCs w:val="28"/>
        </w:rPr>
        <w:t xml:space="preserve"> et le Ministre </w:t>
      </w:r>
      <w:r w:rsidR="00CA2E01" w:rsidRPr="006866D3">
        <w:rPr>
          <w:rFonts w:ascii="Nyala" w:hAnsi="Nyala" w:cs="Calibri"/>
          <w:sz w:val="28"/>
          <w:szCs w:val="28"/>
        </w:rPr>
        <w:t xml:space="preserve">en charge de l’Aménagement du </w:t>
      </w:r>
      <w:r w:rsidR="00704069" w:rsidRPr="006866D3">
        <w:rPr>
          <w:rFonts w:ascii="Nyala" w:hAnsi="Nyala" w:cs="Calibri"/>
          <w:sz w:val="28"/>
          <w:szCs w:val="28"/>
        </w:rPr>
        <w:t>Territoire</w:t>
      </w:r>
      <w:r w:rsidRPr="006866D3">
        <w:rPr>
          <w:rFonts w:ascii="Nyala" w:hAnsi="Nyala" w:cs="Calibri"/>
          <w:sz w:val="28"/>
          <w:szCs w:val="28"/>
        </w:rPr>
        <w:t>.</w:t>
      </w:r>
    </w:p>
    <w:p w:rsidR="00BB421F" w:rsidRPr="006866D3" w:rsidRDefault="00BB421F" w:rsidP="00BB421F">
      <w:pPr>
        <w:pStyle w:val="Paragraphedeliste"/>
        <w:spacing w:before="120"/>
        <w:jc w:val="both"/>
        <w:rPr>
          <w:rFonts w:ascii="Nyala" w:hAnsi="Nyala" w:cs="Calibri"/>
          <w:sz w:val="28"/>
          <w:szCs w:val="28"/>
        </w:rPr>
      </w:pPr>
    </w:p>
    <w:p w:rsidR="00BB421F" w:rsidRPr="006866D3" w:rsidRDefault="00BB421F" w:rsidP="0059103A">
      <w:pPr>
        <w:pStyle w:val="Paragraphedeliste"/>
        <w:numPr>
          <w:ilvl w:val="0"/>
          <w:numId w:val="12"/>
        </w:numPr>
        <w:spacing w:before="120"/>
        <w:jc w:val="both"/>
        <w:rPr>
          <w:rFonts w:ascii="Nyala" w:hAnsi="Nyala" w:cs="Calibri"/>
          <w:sz w:val="28"/>
          <w:szCs w:val="28"/>
        </w:rPr>
      </w:pPr>
      <w:r w:rsidRPr="006866D3">
        <w:rPr>
          <w:rFonts w:ascii="Nyala" w:hAnsi="Nyala" w:cs="Calibri"/>
          <w:sz w:val="28"/>
          <w:szCs w:val="28"/>
        </w:rPr>
        <w:t>Le Comité technique de l’examen stratégique national « faim zéro » au Niger  créé par Arrêté n°0071/PM du 14 mai 2018, auprès du Ministre d’Etat, Ministre de l’Agriculture et de l’Elevage</w:t>
      </w:r>
      <w:r w:rsidR="00863BA7" w:rsidRPr="006866D3">
        <w:rPr>
          <w:rFonts w:ascii="Nyala" w:hAnsi="Nyala" w:cs="Calibri"/>
          <w:sz w:val="28"/>
          <w:szCs w:val="28"/>
        </w:rPr>
        <w:t xml:space="preserve"> : il </w:t>
      </w:r>
      <w:r w:rsidRPr="006866D3">
        <w:rPr>
          <w:rFonts w:ascii="Nyala" w:hAnsi="Nyala" w:cs="Calibri"/>
          <w:sz w:val="28"/>
          <w:szCs w:val="28"/>
        </w:rPr>
        <w:t xml:space="preserve">a pour </w:t>
      </w:r>
      <w:r w:rsidR="00863BA7" w:rsidRPr="006866D3">
        <w:rPr>
          <w:rFonts w:ascii="Nyala" w:hAnsi="Nyala" w:cs="Calibri"/>
          <w:sz w:val="28"/>
          <w:szCs w:val="28"/>
        </w:rPr>
        <w:t xml:space="preserve">mandat </w:t>
      </w:r>
      <w:r w:rsidRPr="006866D3">
        <w:rPr>
          <w:rFonts w:ascii="Nyala" w:hAnsi="Nyala" w:cs="Calibri"/>
          <w:sz w:val="28"/>
          <w:szCs w:val="28"/>
        </w:rPr>
        <w:t xml:space="preserve">de faire un examen technique des rapports soumis à lui </w:t>
      </w:r>
      <w:r w:rsidR="00863BA7" w:rsidRPr="006866D3">
        <w:rPr>
          <w:rFonts w:ascii="Nyala" w:hAnsi="Nyala" w:cs="Calibri"/>
          <w:sz w:val="28"/>
          <w:szCs w:val="28"/>
        </w:rPr>
        <w:t xml:space="preserve">avant leur transmission </w:t>
      </w:r>
      <w:r w:rsidRPr="006866D3">
        <w:rPr>
          <w:rFonts w:ascii="Nyala" w:hAnsi="Nyala" w:cs="Calibri"/>
          <w:sz w:val="28"/>
          <w:szCs w:val="28"/>
        </w:rPr>
        <w:t xml:space="preserve">au Comité Interministériel. Il est co-présidé par le Secrétaire </w:t>
      </w:r>
      <w:r w:rsidR="00704069" w:rsidRPr="006866D3">
        <w:rPr>
          <w:rFonts w:ascii="Nyala" w:hAnsi="Nyala" w:cs="Calibri"/>
          <w:sz w:val="28"/>
          <w:szCs w:val="28"/>
        </w:rPr>
        <w:t>Général</w:t>
      </w:r>
      <w:r w:rsidRPr="006866D3">
        <w:rPr>
          <w:rFonts w:ascii="Nyala" w:hAnsi="Nyala" w:cs="Calibri"/>
          <w:sz w:val="28"/>
          <w:szCs w:val="28"/>
        </w:rPr>
        <w:t xml:space="preserve"> du Minist</w:t>
      </w:r>
      <w:r w:rsidR="00053631" w:rsidRPr="006866D3">
        <w:rPr>
          <w:rFonts w:ascii="Nyala" w:hAnsi="Nyala" w:cs="Calibri"/>
          <w:sz w:val="28"/>
          <w:szCs w:val="28"/>
        </w:rPr>
        <w:t>è</w:t>
      </w:r>
      <w:r w:rsidRPr="006866D3">
        <w:rPr>
          <w:rFonts w:ascii="Nyala" w:hAnsi="Nyala" w:cs="Calibri"/>
          <w:sz w:val="28"/>
          <w:szCs w:val="28"/>
        </w:rPr>
        <w:t>re de l’Agriculture et de l’Elevage</w:t>
      </w:r>
      <w:r w:rsidR="00053631" w:rsidRPr="006866D3">
        <w:rPr>
          <w:rFonts w:ascii="Nyala" w:hAnsi="Nyala" w:cs="Calibri"/>
          <w:sz w:val="28"/>
          <w:szCs w:val="28"/>
        </w:rPr>
        <w:t xml:space="preserve"> et celui du Ministère en charge de l’Aménagement du Territoire</w:t>
      </w:r>
      <w:r w:rsidR="00792F92" w:rsidRPr="006866D3">
        <w:rPr>
          <w:rFonts w:ascii="Nyala" w:hAnsi="Nyala" w:cs="Calibri"/>
          <w:sz w:val="28"/>
          <w:szCs w:val="28"/>
        </w:rPr>
        <w:t>.</w:t>
      </w:r>
    </w:p>
    <w:p w:rsidR="005C1C62" w:rsidRPr="006866D3" w:rsidRDefault="005C1C62" w:rsidP="005C1C62">
      <w:pPr>
        <w:jc w:val="both"/>
        <w:rPr>
          <w:rFonts w:ascii="Nyala" w:hAnsi="Nyala"/>
          <w:sz w:val="28"/>
          <w:szCs w:val="28"/>
        </w:rPr>
      </w:pPr>
      <w:r w:rsidRPr="006866D3">
        <w:rPr>
          <w:rFonts w:ascii="Nyala" w:hAnsi="Nyala"/>
          <w:sz w:val="28"/>
          <w:szCs w:val="28"/>
          <w:lang w:eastAsia="fr-FR"/>
        </w:rPr>
        <w:t>L</w:t>
      </w:r>
      <w:r w:rsidR="00542A3C">
        <w:rPr>
          <w:rFonts w:ascii="Nyala" w:hAnsi="Nyala"/>
          <w:sz w:val="28"/>
          <w:szCs w:val="28"/>
          <w:lang w:eastAsia="fr-FR"/>
        </w:rPr>
        <w:t xml:space="preserve">’examen stratégique </w:t>
      </w:r>
      <w:r w:rsidRPr="006866D3">
        <w:rPr>
          <w:rFonts w:ascii="Nyala" w:hAnsi="Nyala"/>
          <w:sz w:val="28"/>
          <w:szCs w:val="28"/>
          <w:lang w:eastAsia="fr-FR"/>
        </w:rPr>
        <w:t xml:space="preserve">apporte un éclairage sur les efforts du Gouvernement ainsi que sur certains défis et enjeux à affronter pour atteindre les résultats escomptés en matière de : </w:t>
      </w:r>
      <w:r w:rsidRPr="006866D3">
        <w:rPr>
          <w:rFonts w:ascii="Nyala" w:hAnsi="Nyala"/>
          <w:sz w:val="28"/>
          <w:szCs w:val="28"/>
        </w:rPr>
        <w:t>i) accès de tous à une alimentation saine, nutritive et suffisante, ii) l’élimination de toutes les formes de malnutrition, iii)) le doublement de la productivité agricole et des revenus des petits producteurs, iv) le renforcement de la durabilité des systèmes de production alimentaire et l’application de pratiques agricoles résilientes, et v) les conditions de mise en œuvre avec un focus spécifique sur a) le</w:t>
      </w:r>
      <w:r w:rsidR="00863BA7" w:rsidRPr="006866D3">
        <w:rPr>
          <w:rFonts w:ascii="Nyala" w:hAnsi="Nyala"/>
          <w:sz w:val="28"/>
          <w:szCs w:val="28"/>
        </w:rPr>
        <w:t xml:space="preserve"> financement des investissements et</w:t>
      </w:r>
      <w:r w:rsidRPr="006866D3">
        <w:rPr>
          <w:rFonts w:ascii="Nyala" w:hAnsi="Nyala"/>
          <w:sz w:val="28"/>
          <w:szCs w:val="28"/>
        </w:rPr>
        <w:t xml:space="preserve"> la recherche agronomique</w:t>
      </w:r>
      <w:r w:rsidR="00863BA7" w:rsidRPr="006866D3">
        <w:rPr>
          <w:rFonts w:ascii="Nyala" w:hAnsi="Nyala"/>
          <w:sz w:val="28"/>
          <w:szCs w:val="28"/>
        </w:rPr>
        <w:t xml:space="preserve"> ; </w:t>
      </w:r>
      <w:r w:rsidRPr="006866D3">
        <w:rPr>
          <w:rFonts w:ascii="Nyala" w:hAnsi="Nyala"/>
          <w:sz w:val="28"/>
          <w:szCs w:val="28"/>
        </w:rPr>
        <w:t>b) la correction des  restrictions et distorsions de marché</w:t>
      </w:r>
      <w:r w:rsidR="00ED3BE9" w:rsidRPr="006866D3">
        <w:rPr>
          <w:rFonts w:ascii="Nyala" w:hAnsi="Nyala"/>
          <w:sz w:val="28"/>
          <w:szCs w:val="28"/>
        </w:rPr>
        <w:t xml:space="preserve"> et :</w:t>
      </w:r>
      <w:r w:rsidRPr="006866D3">
        <w:rPr>
          <w:rFonts w:ascii="Nyala" w:hAnsi="Nyala"/>
          <w:sz w:val="28"/>
          <w:szCs w:val="28"/>
        </w:rPr>
        <w:t xml:space="preserve"> c) le bon fonctionnement des marchés agricoles et alimentaires.</w:t>
      </w:r>
    </w:p>
    <w:p w:rsidR="00ED3BE9" w:rsidRPr="006866D3" w:rsidRDefault="00ED3BE9">
      <w:pPr>
        <w:rPr>
          <w:rFonts w:ascii="Nyala" w:hAnsi="Nyala"/>
          <w:sz w:val="28"/>
          <w:szCs w:val="28"/>
        </w:rPr>
      </w:pPr>
    </w:p>
    <w:p w:rsidR="009F328D" w:rsidRPr="006866D3" w:rsidRDefault="00B27BE7" w:rsidP="0059103A">
      <w:pPr>
        <w:pStyle w:val="Titre1"/>
        <w:numPr>
          <w:ilvl w:val="0"/>
          <w:numId w:val="2"/>
        </w:numPr>
        <w:rPr>
          <w:sz w:val="28"/>
          <w:szCs w:val="28"/>
        </w:rPr>
      </w:pPr>
      <w:bookmarkStart w:id="58" w:name="_Toc518387150"/>
      <w:bookmarkStart w:id="59" w:name="_Toc518387409"/>
      <w:bookmarkStart w:id="60" w:name="_Toc518387749"/>
      <w:bookmarkStart w:id="61" w:name="_Toc518387963"/>
      <w:bookmarkStart w:id="62" w:name="_Toc518388028"/>
      <w:bookmarkStart w:id="63" w:name="_Toc518388119"/>
      <w:bookmarkStart w:id="64" w:name="_Toc518388403"/>
      <w:bookmarkStart w:id="65" w:name="_Toc518388786"/>
      <w:bookmarkStart w:id="66" w:name="_Toc518389159"/>
      <w:bookmarkStart w:id="67" w:name="_Toc518389635"/>
      <w:bookmarkStart w:id="68" w:name="_Toc518387151"/>
      <w:bookmarkStart w:id="69" w:name="_Toc518387410"/>
      <w:bookmarkStart w:id="70" w:name="_Toc518387750"/>
      <w:bookmarkStart w:id="71" w:name="_Toc518387964"/>
      <w:bookmarkStart w:id="72" w:name="_Toc518388029"/>
      <w:bookmarkStart w:id="73" w:name="_Toc518388120"/>
      <w:bookmarkStart w:id="74" w:name="_Toc518388404"/>
      <w:bookmarkStart w:id="75" w:name="_Toc518388787"/>
      <w:bookmarkStart w:id="76" w:name="_Toc518389160"/>
      <w:bookmarkStart w:id="77" w:name="_Toc518389636"/>
      <w:bookmarkStart w:id="78" w:name="_Toc518387152"/>
      <w:bookmarkStart w:id="79" w:name="_Toc518387411"/>
      <w:bookmarkStart w:id="80" w:name="_Toc518387751"/>
      <w:bookmarkStart w:id="81" w:name="_Toc518387965"/>
      <w:bookmarkStart w:id="82" w:name="_Toc518388030"/>
      <w:bookmarkStart w:id="83" w:name="_Toc518388121"/>
      <w:bookmarkStart w:id="84" w:name="_Toc518388405"/>
      <w:bookmarkStart w:id="85" w:name="_Toc518388788"/>
      <w:bookmarkStart w:id="86" w:name="_Toc518389161"/>
      <w:bookmarkStart w:id="87" w:name="_Toc518389637"/>
      <w:bookmarkStart w:id="88" w:name="_Toc518387153"/>
      <w:bookmarkStart w:id="89" w:name="_Toc518387412"/>
      <w:bookmarkStart w:id="90" w:name="_Toc518387752"/>
      <w:bookmarkStart w:id="91" w:name="_Toc518387966"/>
      <w:bookmarkStart w:id="92" w:name="_Toc518388031"/>
      <w:bookmarkStart w:id="93" w:name="_Toc518388122"/>
      <w:bookmarkStart w:id="94" w:name="_Toc518388406"/>
      <w:bookmarkStart w:id="95" w:name="_Toc518388789"/>
      <w:bookmarkStart w:id="96" w:name="_Toc518389162"/>
      <w:bookmarkStart w:id="97" w:name="_Toc518389638"/>
      <w:bookmarkStart w:id="98" w:name="_Toc518387155"/>
      <w:bookmarkStart w:id="99" w:name="_Toc518387414"/>
      <w:bookmarkStart w:id="100" w:name="_Toc518387754"/>
      <w:bookmarkStart w:id="101" w:name="_Toc518387968"/>
      <w:bookmarkStart w:id="102" w:name="_Toc518388033"/>
      <w:bookmarkStart w:id="103" w:name="_Toc518388124"/>
      <w:bookmarkStart w:id="104" w:name="_Toc518388408"/>
      <w:bookmarkStart w:id="105" w:name="_Toc518388791"/>
      <w:bookmarkStart w:id="106" w:name="_Toc518389164"/>
      <w:bookmarkStart w:id="107" w:name="_Toc518389640"/>
      <w:bookmarkStart w:id="108" w:name="_Toc518387165"/>
      <w:bookmarkStart w:id="109" w:name="_Toc518387424"/>
      <w:bookmarkStart w:id="110" w:name="_Toc518387764"/>
      <w:bookmarkStart w:id="111" w:name="_Toc518387978"/>
      <w:bookmarkStart w:id="112" w:name="_Toc518388043"/>
      <w:bookmarkStart w:id="113" w:name="_Toc518388134"/>
      <w:bookmarkStart w:id="114" w:name="_Toc518388418"/>
      <w:bookmarkStart w:id="115" w:name="_Toc518388801"/>
      <w:bookmarkStart w:id="116" w:name="_Toc518389174"/>
      <w:bookmarkStart w:id="117" w:name="_Toc518389650"/>
      <w:bookmarkStart w:id="118" w:name="_Toc518481600"/>
      <w:bookmarkStart w:id="119" w:name="_Toc518483462"/>
      <w:bookmarkStart w:id="120" w:name="_Toc518387166"/>
      <w:bookmarkStart w:id="121" w:name="_Toc518387425"/>
      <w:bookmarkStart w:id="122" w:name="_Toc518387765"/>
      <w:bookmarkStart w:id="123" w:name="_Toc518387979"/>
      <w:bookmarkStart w:id="124" w:name="_Toc518388044"/>
      <w:bookmarkStart w:id="125" w:name="_Toc518388135"/>
      <w:bookmarkStart w:id="126" w:name="_Toc518388419"/>
      <w:bookmarkStart w:id="127" w:name="_Toc518388802"/>
      <w:bookmarkStart w:id="128" w:name="_Toc518389175"/>
      <w:bookmarkStart w:id="129" w:name="_Toc518389651"/>
      <w:bookmarkStart w:id="130" w:name="_Toc518481601"/>
      <w:bookmarkStart w:id="131" w:name="_Toc518483463"/>
      <w:bookmarkStart w:id="132" w:name="_Toc518387167"/>
      <w:bookmarkStart w:id="133" w:name="_Toc518387426"/>
      <w:bookmarkStart w:id="134" w:name="_Toc518387766"/>
      <w:bookmarkStart w:id="135" w:name="_Toc518387980"/>
      <w:bookmarkStart w:id="136" w:name="_Toc518388045"/>
      <w:bookmarkStart w:id="137" w:name="_Toc518388136"/>
      <w:bookmarkStart w:id="138" w:name="_Toc518388420"/>
      <w:bookmarkStart w:id="139" w:name="_Toc518388803"/>
      <w:bookmarkStart w:id="140" w:name="_Toc518389176"/>
      <w:bookmarkStart w:id="141" w:name="_Toc518389652"/>
      <w:bookmarkStart w:id="142" w:name="_Toc518481602"/>
      <w:bookmarkStart w:id="143" w:name="_Toc518483464"/>
      <w:bookmarkStart w:id="144" w:name="_Toc518387168"/>
      <w:bookmarkStart w:id="145" w:name="_Toc518387427"/>
      <w:bookmarkStart w:id="146" w:name="_Toc518387767"/>
      <w:bookmarkStart w:id="147" w:name="_Toc518387981"/>
      <w:bookmarkStart w:id="148" w:name="_Toc518388046"/>
      <w:bookmarkStart w:id="149" w:name="_Toc518388137"/>
      <w:bookmarkStart w:id="150" w:name="_Toc518388421"/>
      <w:bookmarkStart w:id="151" w:name="_Toc518388804"/>
      <w:bookmarkStart w:id="152" w:name="_Toc518389177"/>
      <w:bookmarkStart w:id="153" w:name="_Toc518389653"/>
      <w:bookmarkStart w:id="154" w:name="_Toc518481603"/>
      <w:bookmarkStart w:id="155" w:name="_Toc518483465"/>
      <w:bookmarkStart w:id="156" w:name="_Toc518387169"/>
      <w:bookmarkStart w:id="157" w:name="_Toc518387428"/>
      <w:bookmarkStart w:id="158" w:name="_Toc518387768"/>
      <w:bookmarkStart w:id="159" w:name="_Toc518387982"/>
      <w:bookmarkStart w:id="160" w:name="_Toc518388047"/>
      <w:bookmarkStart w:id="161" w:name="_Toc518388138"/>
      <w:bookmarkStart w:id="162" w:name="_Toc518388422"/>
      <w:bookmarkStart w:id="163" w:name="_Toc518388805"/>
      <w:bookmarkStart w:id="164" w:name="_Toc518389178"/>
      <w:bookmarkStart w:id="165" w:name="_Toc518389654"/>
      <w:bookmarkStart w:id="166" w:name="_Toc518481604"/>
      <w:bookmarkStart w:id="167" w:name="_Toc518483466"/>
      <w:bookmarkStart w:id="168" w:name="_Toc518387175"/>
      <w:bookmarkStart w:id="169" w:name="_Toc518387434"/>
      <w:bookmarkStart w:id="170" w:name="_Toc518387774"/>
      <w:bookmarkStart w:id="171" w:name="_Toc518387988"/>
      <w:bookmarkStart w:id="172" w:name="_Toc518388053"/>
      <w:bookmarkStart w:id="173" w:name="_Toc518388144"/>
      <w:bookmarkStart w:id="174" w:name="_Toc518388428"/>
      <w:bookmarkStart w:id="175" w:name="_Toc518388811"/>
      <w:bookmarkStart w:id="176" w:name="_Toc518389184"/>
      <w:bookmarkStart w:id="177" w:name="_Toc518389660"/>
      <w:bookmarkStart w:id="178" w:name="_Toc518481610"/>
      <w:bookmarkStart w:id="179" w:name="_Toc518483472"/>
      <w:bookmarkStart w:id="180" w:name="_Toc518387176"/>
      <w:bookmarkStart w:id="181" w:name="_Toc518387435"/>
      <w:bookmarkStart w:id="182" w:name="_Toc518387775"/>
      <w:bookmarkStart w:id="183" w:name="_Toc518387989"/>
      <w:bookmarkStart w:id="184" w:name="_Toc518388054"/>
      <w:bookmarkStart w:id="185" w:name="_Toc518388145"/>
      <w:bookmarkStart w:id="186" w:name="_Toc518388429"/>
      <w:bookmarkStart w:id="187" w:name="_Toc518388812"/>
      <w:bookmarkStart w:id="188" w:name="_Toc518389185"/>
      <w:bookmarkStart w:id="189" w:name="_Toc518389661"/>
      <w:bookmarkStart w:id="190" w:name="_Toc518481611"/>
      <w:bookmarkStart w:id="191" w:name="_Toc518483473"/>
      <w:bookmarkStart w:id="192" w:name="_Toc518387178"/>
      <w:bookmarkStart w:id="193" w:name="_Toc518387437"/>
      <w:bookmarkStart w:id="194" w:name="_Toc518387777"/>
      <w:bookmarkStart w:id="195" w:name="_Toc518387991"/>
      <w:bookmarkStart w:id="196" w:name="_Toc518388056"/>
      <w:bookmarkStart w:id="197" w:name="_Toc518388147"/>
      <w:bookmarkStart w:id="198" w:name="_Toc518388431"/>
      <w:bookmarkStart w:id="199" w:name="_Toc518388814"/>
      <w:bookmarkStart w:id="200" w:name="_Toc518389187"/>
      <w:bookmarkStart w:id="201" w:name="_Toc518389663"/>
      <w:bookmarkStart w:id="202" w:name="_Toc518481613"/>
      <w:bookmarkStart w:id="203" w:name="_Toc518483475"/>
      <w:bookmarkStart w:id="204" w:name="_Toc518387179"/>
      <w:bookmarkStart w:id="205" w:name="_Toc518387438"/>
      <w:bookmarkStart w:id="206" w:name="_Toc518387778"/>
      <w:bookmarkStart w:id="207" w:name="_Toc518387992"/>
      <w:bookmarkStart w:id="208" w:name="_Toc518388057"/>
      <w:bookmarkStart w:id="209" w:name="_Toc518388148"/>
      <w:bookmarkStart w:id="210" w:name="_Toc518388432"/>
      <w:bookmarkStart w:id="211" w:name="_Toc518388815"/>
      <w:bookmarkStart w:id="212" w:name="_Toc518389188"/>
      <w:bookmarkStart w:id="213" w:name="_Toc518389664"/>
      <w:bookmarkStart w:id="214" w:name="_Toc518481614"/>
      <w:bookmarkStart w:id="215" w:name="_Toc518483476"/>
      <w:bookmarkStart w:id="216" w:name="_Toc518387181"/>
      <w:bookmarkStart w:id="217" w:name="_Toc518387440"/>
      <w:bookmarkStart w:id="218" w:name="_Toc518387780"/>
      <w:bookmarkStart w:id="219" w:name="_Toc518387994"/>
      <w:bookmarkStart w:id="220" w:name="_Toc518388059"/>
      <w:bookmarkStart w:id="221" w:name="_Toc518388150"/>
      <w:bookmarkStart w:id="222" w:name="_Toc518388434"/>
      <w:bookmarkStart w:id="223" w:name="_Toc518388817"/>
      <w:bookmarkStart w:id="224" w:name="_Toc518389190"/>
      <w:bookmarkStart w:id="225" w:name="_Toc518389666"/>
      <w:bookmarkStart w:id="226" w:name="_Toc518481616"/>
      <w:bookmarkStart w:id="227" w:name="_Toc518483478"/>
      <w:bookmarkStart w:id="228" w:name="_Toc518387182"/>
      <w:bookmarkStart w:id="229" w:name="_Toc518387441"/>
      <w:bookmarkStart w:id="230" w:name="_Toc518387781"/>
      <w:bookmarkStart w:id="231" w:name="_Toc518387995"/>
      <w:bookmarkStart w:id="232" w:name="_Toc518388060"/>
      <w:bookmarkStart w:id="233" w:name="_Toc518388151"/>
      <w:bookmarkStart w:id="234" w:name="_Toc518388435"/>
      <w:bookmarkStart w:id="235" w:name="_Toc518388818"/>
      <w:bookmarkStart w:id="236" w:name="_Toc518389191"/>
      <w:bookmarkStart w:id="237" w:name="_Toc518389667"/>
      <w:bookmarkStart w:id="238" w:name="_Toc518481617"/>
      <w:bookmarkStart w:id="239" w:name="_Toc518483479"/>
      <w:bookmarkStart w:id="240" w:name="_Toc518387183"/>
      <w:bookmarkStart w:id="241" w:name="_Toc518387442"/>
      <w:bookmarkStart w:id="242" w:name="_Toc518387782"/>
      <w:bookmarkStart w:id="243" w:name="_Toc518387996"/>
      <w:bookmarkStart w:id="244" w:name="_Toc518388061"/>
      <w:bookmarkStart w:id="245" w:name="_Toc518388152"/>
      <w:bookmarkStart w:id="246" w:name="_Toc518388436"/>
      <w:bookmarkStart w:id="247" w:name="_Toc518388819"/>
      <w:bookmarkStart w:id="248" w:name="_Toc518389192"/>
      <w:bookmarkStart w:id="249" w:name="_Toc518389668"/>
      <w:bookmarkStart w:id="250" w:name="_Toc518481618"/>
      <w:bookmarkStart w:id="251" w:name="_Toc518483480"/>
      <w:bookmarkStart w:id="252" w:name="_Toc526119966"/>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6866D3">
        <w:rPr>
          <w:sz w:val="28"/>
          <w:szCs w:val="28"/>
        </w:rPr>
        <w:t>Contexte</w:t>
      </w:r>
      <w:bookmarkEnd w:id="252"/>
    </w:p>
    <w:p w:rsidR="00B27BE7" w:rsidRPr="006866D3" w:rsidRDefault="00B27BE7" w:rsidP="00EE322C">
      <w:pPr>
        <w:rPr>
          <w:sz w:val="28"/>
          <w:szCs w:val="28"/>
        </w:rPr>
      </w:pPr>
    </w:p>
    <w:p w:rsidR="00F31951" w:rsidRPr="006866D3" w:rsidRDefault="00F31951" w:rsidP="00CF0CAC">
      <w:pPr>
        <w:rPr>
          <w:rStyle w:val="Rfrenceintense"/>
          <w:rFonts w:ascii="Calibri" w:hAnsi="Calibri" w:cs="Calibri"/>
          <w:sz w:val="28"/>
          <w:szCs w:val="28"/>
        </w:rPr>
      </w:pPr>
      <w:r w:rsidRPr="006866D3">
        <w:rPr>
          <w:rStyle w:val="Rfrenceintense"/>
          <w:rFonts w:ascii="Calibri" w:hAnsi="Calibri" w:cs="Calibri"/>
          <w:sz w:val="28"/>
          <w:szCs w:val="28"/>
        </w:rPr>
        <w:t xml:space="preserve">Caractéristiques écologiques </w:t>
      </w:r>
    </w:p>
    <w:p w:rsidR="00C64279" w:rsidRPr="006866D3" w:rsidRDefault="00C64279" w:rsidP="00CF0CAC">
      <w:pPr>
        <w:jc w:val="both"/>
        <w:rPr>
          <w:rFonts w:ascii="Nyala" w:hAnsi="Nyala" w:cs="Calibri"/>
          <w:sz w:val="28"/>
          <w:szCs w:val="28"/>
        </w:rPr>
      </w:pPr>
      <w:r w:rsidRPr="006866D3">
        <w:rPr>
          <w:rFonts w:ascii="Nyala" w:hAnsi="Nyala" w:cs="Calibri"/>
          <w:sz w:val="28"/>
          <w:szCs w:val="28"/>
        </w:rPr>
        <w:t xml:space="preserve">Indépendante depuis le 3 Août 1960, la République du Niger est un vaste pays de 1 267 000 km² situé en plein cœur du </w:t>
      </w:r>
      <w:r w:rsidRPr="006866D3">
        <w:rPr>
          <w:rFonts w:ascii="Nyala" w:hAnsi="Nyala"/>
          <w:sz w:val="28"/>
          <w:szCs w:val="28"/>
          <w:lang w:eastAsia="fr-FR"/>
        </w:rPr>
        <w:t>Sahel</w:t>
      </w:r>
      <w:r w:rsidRPr="006866D3">
        <w:rPr>
          <w:rFonts w:ascii="Nyala" w:hAnsi="Nyala" w:cs="Calibri"/>
          <w:sz w:val="28"/>
          <w:szCs w:val="28"/>
        </w:rPr>
        <w:t xml:space="preserve"> et partageant ses frontières avec la Lybie et l’Algérie au Nord, le Bénin et le Nigeria au Sud, le Tchad à l’Est, </w:t>
      </w:r>
      <w:r w:rsidR="00F31951" w:rsidRPr="006866D3">
        <w:rPr>
          <w:rFonts w:ascii="Nyala" w:hAnsi="Nyala" w:cs="Calibri"/>
          <w:sz w:val="28"/>
          <w:szCs w:val="28"/>
        </w:rPr>
        <w:t>le Mali et le Burkina Faso</w:t>
      </w:r>
      <w:r w:rsidRPr="006866D3">
        <w:rPr>
          <w:rFonts w:ascii="Nyala" w:hAnsi="Nyala" w:cs="Calibri"/>
          <w:sz w:val="28"/>
          <w:szCs w:val="28"/>
        </w:rPr>
        <w:t xml:space="preserve"> à l’ouest. C’est un pays enclavé distant de </w:t>
      </w:r>
      <w:r w:rsidR="00F31951" w:rsidRPr="006866D3">
        <w:rPr>
          <w:rFonts w:ascii="Nyala" w:hAnsi="Nyala" w:cs="Calibri"/>
          <w:sz w:val="28"/>
          <w:szCs w:val="28"/>
        </w:rPr>
        <w:t xml:space="preserve">700 km </w:t>
      </w:r>
      <w:r w:rsidRPr="006866D3">
        <w:rPr>
          <w:rFonts w:ascii="Nyala" w:hAnsi="Nyala" w:cs="Calibri"/>
          <w:sz w:val="28"/>
          <w:szCs w:val="28"/>
        </w:rPr>
        <w:t xml:space="preserve">du </w:t>
      </w:r>
      <w:r w:rsidR="00F31951" w:rsidRPr="006866D3">
        <w:rPr>
          <w:rFonts w:ascii="Nyala" w:hAnsi="Nyala" w:cs="Calibri"/>
          <w:sz w:val="28"/>
          <w:szCs w:val="28"/>
        </w:rPr>
        <w:t xml:space="preserve">Golfe de Guinée, 1 900 km de la côte Atlantique et 1 200 km de la Méditerranée. </w:t>
      </w:r>
    </w:p>
    <w:p w:rsidR="00EB3547" w:rsidRPr="006866D3" w:rsidRDefault="00C64279" w:rsidP="00CF0CAC">
      <w:pPr>
        <w:jc w:val="both"/>
        <w:rPr>
          <w:rFonts w:ascii="Nyala" w:hAnsi="Nyala" w:cs="Calibri"/>
          <w:sz w:val="28"/>
          <w:szCs w:val="28"/>
        </w:rPr>
      </w:pPr>
      <w:r w:rsidRPr="006866D3">
        <w:rPr>
          <w:rFonts w:ascii="Nyala" w:hAnsi="Nyala" w:cs="Calibri"/>
          <w:sz w:val="28"/>
          <w:szCs w:val="28"/>
        </w:rPr>
        <w:t xml:space="preserve">Le </w:t>
      </w:r>
      <w:r w:rsidR="00135298">
        <w:rPr>
          <w:rFonts w:ascii="Nyala" w:hAnsi="Nyala" w:cs="Calibri"/>
          <w:sz w:val="28"/>
          <w:szCs w:val="28"/>
        </w:rPr>
        <w:t>c</w:t>
      </w:r>
      <w:r w:rsidR="00135298" w:rsidRPr="006866D3">
        <w:rPr>
          <w:rFonts w:ascii="Nyala" w:hAnsi="Nyala" w:cs="Calibri"/>
          <w:sz w:val="28"/>
          <w:szCs w:val="28"/>
        </w:rPr>
        <w:t xml:space="preserve">limat </w:t>
      </w:r>
      <w:r w:rsidRPr="006866D3">
        <w:rPr>
          <w:rFonts w:ascii="Nyala" w:hAnsi="Nyala" w:cs="Calibri"/>
          <w:sz w:val="28"/>
          <w:szCs w:val="28"/>
        </w:rPr>
        <w:t xml:space="preserve">est caractérisé par une forte aridité et une faible pluviosité sur les </w:t>
      </w:r>
      <w:r w:rsidR="00EB3547" w:rsidRPr="006866D3">
        <w:rPr>
          <w:rFonts w:ascii="Nyala" w:hAnsi="Nyala" w:cs="Calibri"/>
          <w:sz w:val="28"/>
          <w:szCs w:val="28"/>
        </w:rPr>
        <w:t>trois quart (3/4</w:t>
      </w:r>
      <w:r w:rsidR="00F31951" w:rsidRPr="006866D3">
        <w:rPr>
          <w:rFonts w:ascii="Nyala" w:hAnsi="Nyala" w:cs="Calibri"/>
          <w:sz w:val="28"/>
          <w:szCs w:val="28"/>
        </w:rPr>
        <w:t>) du territoire</w:t>
      </w:r>
      <w:r w:rsidR="00EB3547" w:rsidRPr="006866D3">
        <w:rPr>
          <w:rFonts w:ascii="Nyala" w:hAnsi="Nyala" w:cs="Calibri"/>
          <w:sz w:val="28"/>
          <w:szCs w:val="28"/>
        </w:rPr>
        <w:t xml:space="preserve">. Sur le tiers restant, se concentrent les populations humaines, le cheptel et l’essentiel des ressources biologiques.  Le quart restant </w:t>
      </w:r>
      <w:r w:rsidR="00EB3547" w:rsidRPr="006866D3">
        <w:rPr>
          <w:rFonts w:ascii="Nyala" w:hAnsi="Nyala" w:cs="Calibri"/>
          <w:sz w:val="28"/>
          <w:szCs w:val="28"/>
        </w:rPr>
        <w:lastRenderedPageBreak/>
        <w:t xml:space="preserve">est partagé entre trois zones bioclimatiques en fonction du volume d’eau de pluie reçu annuellement : </w:t>
      </w:r>
      <w:r w:rsidR="00F31951" w:rsidRPr="006866D3">
        <w:rPr>
          <w:rFonts w:ascii="Nyala" w:hAnsi="Nyala" w:cs="Calibri"/>
          <w:sz w:val="28"/>
          <w:szCs w:val="28"/>
        </w:rPr>
        <w:t xml:space="preserve">(i) </w:t>
      </w:r>
      <w:r w:rsidR="00EB3547" w:rsidRPr="006866D3">
        <w:rPr>
          <w:rFonts w:ascii="Nyala" w:hAnsi="Nyala" w:cs="Calibri"/>
          <w:sz w:val="28"/>
          <w:szCs w:val="28"/>
        </w:rPr>
        <w:t xml:space="preserve">une </w:t>
      </w:r>
      <w:r w:rsidR="00F31951" w:rsidRPr="006866D3">
        <w:rPr>
          <w:rFonts w:ascii="Nyala" w:hAnsi="Nyala" w:cs="Calibri"/>
          <w:sz w:val="28"/>
          <w:szCs w:val="28"/>
        </w:rPr>
        <w:t>zone soudanienne</w:t>
      </w:r>
      <w:r w:rsidR="00EB3547" w:rsidRPr="006866D3">
        <w:rPr>
          <w:rFonts w:ascii="Nyala" w:hAnsi="Nyala" w:cs="Calibri"/>
          <w:sz w:val="28"/>
          <w:szCs w:val="28"/>
        </w:rPr>
        <w:t xml:space="preserve"> représentant 1% du territoire</w:t>
      </w:r>
      <w:r w:rsidR="00F31951" w:rsidRPr="006866D3">
        <w:rPr>
          <w:rFonts w:ascii="Nyala" w:hAnsi="Nyala" w:cs="Calibri"/>
          <w:sz w:val="28"/>
          <w:szCs w:val="28"/>
        </w:rPr>
        <w:t xml:space="preserve">, (ii) </w:t>
      </w:r>
      <w:r w:rsidR="00EB3547" w:rsidRPr="006866D3">
        <w:rPr>
          <w:rFonts w:ascii="Nyala" w:hAnsi="Nyala" w:cs="Calibri"/>
          <w:sz w:val="28"/>
          <w:szCs w:val="28"/>
        </w:rPr>
        <w:t xml:space="preserve">une </w:t>
      </w:r>
      <w:r w:rsidR="00F31951" w:rsidRPr="006866D3">
        <w:rPr>
          <w:rFonts w:ascii="Nyala" w:hAnsi="Nyala" w:cs="Calibri"/>
          <w:sz w:val="28"/>
          <w:szCs w:val="28"/>
        </w:rPr>
        <w:t>zone sahélo-soudanienne et sahélienne</w:t>
      </w:r>
      <w:r w:rsidR="00EB3547" w:rsidRPr="006866D3">
        <w:rPr>
          <w:rFonts w:ascii="Nyala" w:hAnsi="Nyala" w:cs="Calibri"/>
          <w:sz w:val="28"/>
          <w:szCs w:val="28"/>
        </w:rPr>
        <w:t xml:space="preserve"> représentant 10% et la </w:t>
      </w:r>
      <w:r w:rsidR="00F31951" w:rsidRPr="006866D3">
        <w:rPr>
          <w:rFonts w:ascii="Nyala" w:hAnsi="Nyala" w:cs="Calibri"/>
          <w:sz w:val="28"/>
          <w:szCs w:val="28"/>
        </w:rPr>
        <w:t>(iii) la zone sahélo-saharienne</w:t>
      </w:r>
      <w:r w:rsidR="00EB3547" w:rsidRPr="006866D3">
        <w:rPr>
          <w:rFonts w:ascii="Nyala" w:hAnsi="Nyala" w:cs="Calibri"/>
          <w:sz w:val="28"/>
          <w:szCs w:val="28"/>
        </w:rPr>
        <w:t xml:space="preserve"> représentant 12% du territoire. </w:t>
      </w:r>
    </w:p>
    <w:p w:rsidR="004852EB" w:rsidRPr="006866D3" w:rsidRDefault="004852EB" w:rsidP="00CF0CAC">
      <w:pPr>
        <w:jc w:val="both"/>
        <w:rPr>
          <w:rFonts w:ascii="Nyala" w:hAnsi="Nyala" w:cs="Calibri"/>
          <w:sz w:val="28"/>
          <w:szCs w:val="28"/>
        </w:rPr>
      </w:pPr>
      <w:r w:rsidRPr="006866D3">
        <w:rPr>
          <w:rFonts w:ascii="Nyala" w:hAnsi="Nyala" w:cs="Calibri"/>
          <w:sz w:val="28"/>
          <w:szCs w:val="28"/>
        </w:rPr>
        <w:t>Les températures sont élevées avec des forts contrastes entre le jour et la nuit.</w:t>
      </w:r>
    </w:p>
    <w:p w:rsidR="00B27BE7" w:rsidRPr="006866D3" w:rsidRDefault="004852EB" w:rsidP="00CF0CAC">
      <w:pPr>
        <w:jc w:val="both"/>
        <w:rPr>
          <w:rFonts w:ascii="Nyala" w:hAnsi="Nyala"/>
          <w:sz w:val="28"/>
          <w:szCs w:val="28"/>
        </w:rPr>
      </w:pPr>
      <w:r w:rsidRPr="006866D3">
        <w:rPr>
          <w:rFonts w:ascii="Nyala" w:hAnsi="Nyala" w:cs="Calibri"/>
          <w:sz w:val="28"/>
          <w:szCs w:val="28"/>
        </w:rPr>
        <w:t>Le réseau hydrographique est constitué par le fleuve Niger qui traverse le pays sur 550 km, le lac Tchad, les Goulbis et Koroma, les dallols et une multitude de rivières et mares semi-permanentes.</w:t>
      </w:r>
      <w:r w:rsidR="00B27BE7" w:rsidRPr="006866D3">
        <w:rPr>
          <w:rFonts w:ascii="Nyala" w:hAnsi="Nyala"/>
          <w:sz w:val="28"/>
          <w:szCs w:val="28"/>
        </w:rPr>
        <w:t xml:space="preserve"> Les écoulements souterrains renouvelables représentent un volume annuel de quelques 2,5 milliards de m3 dont moins de 20% exploité actuellement. A ce potentiel, il convient d’ajouter l’énorme réserve d’environ 2 000 milliards de m3 d’eau souterraine non renouvelable, dont une partie infime est exploitée par les sociétés minières et l’agriculture oasienne.</w:t>
      </w:r>
    </w:p>
    <w:p w:rsidR="00B27BE7" w:rsidRPr="006866D3" w:rsidRDefault="00B27BE7" w:rsidP="00CF0CAC">
      <w:pPr>
        <w:jc w:val="both"/>
        <w:rPr>
          <w:rFonts w:ascii="Nyala" w:hAnsi="Nyala"/>
          <w:sz w:val="28"/>
          <w:szCs w:val="28"/>
        </w:rPr>
      </w:pPr>
      <w:r w:rsidRPr="006866D3">
        <w:rPr>
          <w:rFonts w:ascii="Nyala" w:hAnsi="Nyala"/>
          <w:sz w:val="28"/>
          <w:szCs w:val="28"/>
        </w:rPr>
        <w:t xml:space="preserve">Du sud au nord du pays, la végétation est composée de forêts sèches claires, de savanes arborées à arbustives, de steppes arbustives à herbeuses. En fonction des conditions locales, plusieurs types de formations forestières </w:t>
      </w:r>
      <w:r w:rsidRPr="006866D3">
        <w:rPr>
          <w:rFonts w:ascii="Nyala" w:hAnsi="Nyala" w:cs="Calibri"/>
          <w:sz w:val="28"/>
          <w:szCs w:val="28"/>
        </w:rPr>
        <w:t>s’identifient</w:t>
      </w:r>
      <w:r w:rsidRPr="006866D3">
        <w:rPr>
          <w:rFonts w:ascii="Nyala" w:hAnsi="Nyala"/>
          <w:sz w:val="28"/>
          <w:szCs w:val="28"/>
        </w:rPr>
        <w:t xml:space="preserve"> : les formations forestières des plateaux, les formations forestières des plaines sableuses, les forêts de bas-fonds inondables, les peuplements à </w:t>
      </w:r>
      <w:r w:rsidRPr="006866D3">
        <w:rPr>
          <w:rFonts w:ascii="Nyala" w:hAnsi="Nyala"/>
          <w:i/>
          <w:sz w:val="28"/>
          <w:szCs w:val="28"/>
        </w:rPr>
        <w:t>Hyphaene thebaica</w:t>
      </w:r>
      <w:r w:rsidRPr="006866D3">
        <w:rPr>
          <w:rFonts w:ascii="Nyala" w:hAnsi="Nyala"/>
          <w:sz w:val="28"/>
          <w:szCs w:val="28"/>
        </w:rPr>
        <w:t xml:space="preserve">, (palmiers Doum), les peuplements à </w:t>
      </w:r>
      <w:r w:rsidRPr="006866D3">
        <w:rPr>
          <w:rFonts w:ascii="Nyala" w:hAnsi="Nyala"/>
          <w:i/>
          <w:sz w:val="28"/>
          <w:szCs w:val="28"/>
        </w:rPr>
        <w:t>Borassus aethiopum</w:t>
      </w:r>
      <w:r w:rsidRPr="006866D3">
        <w:rPr>
          <w:rFonts w:ascii="Nyala" w:hAnsi="Nyala"/>
          <w:sz w:val="28"/>
          <w:szCs w:val="28"/>
        </w:rPr>
        <w:t xml:space="preserve"> (Rônier), les forêts issues des plantes envahissantes et les écosystèmes aquatiques et semi-aquatiques. </w:t>
      </w:r>
    </w:p>
    <w:p w:rsidR="004852EB" w:rsidRPr="006866D3" w:rsidRDefault="004852EB" w:rsidP="00CF0CAC">
      <w:pPr>
        <w:jc w:val="both"/>
        <w:rPr>
          <w:rFonts w:ascii="Calibri" w:hAnsi="Calibri" w:cs="Calibri"/>
          <w:sz w:val="28"/>
          <w:szCs w:val="28"/>
        </w:rPr>
      </w:pPr>
    </w:p>
    <w:p w:rsidR="00F31951" w:rsidRPr="006866D3" w:rsidRDefault="004F7C7D" w:rsidP="00CF0CAC">
      <w:pPr>
        <w:rPr>
          <w:rStyle w:val="Rfrenceintense"/>
          <w:rFonts w:ascii="Calibri" w:hAnsi="Calibri" w:cs="Calibri"/>
          <w:sz w:val="28"/>
          <w:szCs w:val="28"/>
        </w:rPr>
      </w:pPr>
      <w:r w:rsidRPr="006866D3">
        <w:rPr>
          <w:rStyle w:val="Rfrenceintense"/>
          <w:rFonts w:ascii="Calibri" w:hAnsi="Calibri" w:cs="Calibri"/>
          <w:sz w:val="28"/>
          <w:szCs w:val="28"/>
        </w:rPr>
        <w:t xml:space="preserve">situation sociale </w:t>
      </w:r>
    </w:p>
    <w:p w:rsidR="00FC7869" w:rsidRPr="006866D3" w:rsidRDefault="00F31951" w:rsidP="00CF0CAC">
      <w:pPr>
        <w:jc w:val="both"/>
        <w:rPr>
          <w:rFonts w:ascii="Nyala" w:hAnsi="Nyala" w:cs="Calibri"/>
          <w:sz w:val="28"/>
          <w:szCs w:val="28"/>
        </w:rPr>
      </w:pPr>
      <w:r w:rsidRPr="006866D3">
        <w:rPr>
          <w:rFonts w:ascii="Nyala" w:hAnsi="Nyala" w:cs="Calibri"/>
          <w:sz w:val="28"/>
          <w:szCs w:val="28"/>
        </w:rPr>
        <w:t xml:space="preserve">La population nigérienne </w:t>
      </w:r>
      <w:r w:rsidR="00FC7869" w:rsidRPr="006866D3">
        <w:rPr>
          <w:rFonts w:ascii="Nyala" w:hAnsi="Nyala" w:cs="Calibri"/>
          <w:sz w:val="28"/>
          <w:szCs w:val="28"/>
        </w:rPr>
        <w:t xml:space="preserve">vit essentiellement sur le quart du territoire autour des plans d’eau et des zones humides, sur une bande de terre de 150 km de large et environ 2000 km de longueur. La densité de population est très variable selon les régions : moins de 1 habitant /km2 au Nord dans la région d'Agadez (qui abrite seulement 3% de la population totale), 34,7 habitants /km2 dans celle de Maradi. Elle peut atteindre plus de 100 habitants / km² (communes de la région de Zinder). </w:t>
      </w:r>
    </w:p>
    <w:p w:rsidR="00FC7869" w:rsidRPr="006866D3" w:rsidRDefault="00FC7869" w:rsidP="00CF0CAC">
      <w:pPr>
        <w:jc w:val="both"/>
        <w:rPr>
          <w:rFonts w:ascii="Nyala" w:hAnsi="Nyala" w:cs="Calibri"/>
          <w:sz w:val="28"/>
          <w:szCs w:val="28"/>
        </w:rPr>
      </w:pPr>
      <w:r w:rsidRPr="006866D3">
        <w:rPr>
          <w:rFonts w:ascii="Nyala" w:hAnsi="Nyala" w:cs="Calibri"/>
          <w:sz w:val="28"/>
          <w:szCs w:val="28"/>
        </w:rPr>
        <w:t xml:space="preserve">La population du Niger est estimée en 2018 à 21 466 862 habitants alors qu’en 1990, elle n’était que de 7 754 610 habitants. En 2012, le pays avait le taux de croissance </w:t>
      </w:r>
      <w:r w:rsidR="00135298">
        <w:rPr>
          <w:rFonts w:ascii="Nyala" w:hAnsi="Nyala" w:cs="Calibri"/>
          <w:sz w:val="28"/>
          <w:szCs w:val="28"/>
        </w:rPr>
        <w:t xml:space="preserve">démographique </w:t>
      </w:r>
      <w:r w:rsidRPr="006866D3">
        <w:rPr>
          <w:rFonts w:ascii="Nyala" w:hAnsi="Nyala" w:cs="Calibri"/>
          <w:sz w:val="28"/>
          <w:szCs w:val="28"/>
        </w:rPr>
        <w:t xml:space="preserve">le plus élevé au monde avec 3,9% par an. Depuis des efforts ont été déployés pour mieux contrôler le croît démographique. </w:t>
      </w:r>
      <w:r w:rsidR="002525FF" w:rsidRPr="006866D3">
        <w:rPr>
          <w:rFonts w:ascii="Nyala" w:hAnsi="Nyala" w:cs="Calibri"/>
          <w:sz w:val="28"/>
          <w:szCs w:val="28"/>
        </w:rPr>
        <w:t xml:space="preserve">Le taux de croissance démographique a été abaissé à 3,1% en 2017 grâce aux effets de </w:t>
      </w:r>
      <w:r w:rsidR="002525FF" w:rsidRPr="006866D3">
        <w:rPr>
          <w:rFonts w:ascii="Nyala" w:hAnsi="Nyala" w:cs="Calibri"/>
          <w:sz w:val="28"/>
          <w:szCs w:val="28"/>
        </w:rPr>
        <w:lastRenderedPageBreak/>
        <w:t xml:space="preserve">contrôle de l’indice de fécondité qui est passé de 7, 6 en 2012  à 6,0 enfants par femme en 2017 (INS, EDSN 2017). </w:t>
      </w:r>
    </w:p>
    <w:p w:rsidR="00F31951" w:rsidRPr="006866D3" w:rsidRDefault="00F31951" w:rsidP="00374733">
      <w:pPr>
        <w:jc w:val="both"/>
        <w:rPr>
          <w:rFonts w:ascii="Nyala" w:hAnsi="Nyala" w:cs="Calibri"/>
          <w:sz w:val="28"/>
          <w:szCs w:val="28"/>
        </w:rPr>
      </w:pPr>
      <w:r w:rsidRPr="006866D3">
        <w:rPr>
          <w:rFonts w:ascii="Nyala" w:hAnsi="Nyala" w:cs="Calibri"/>
          <w:sz w:val="28"/>
          <w:szCs w:val="28"/>
        </w:rPr>
        <w:t>Le Niger fait partie des pays les moins avancés et dont l’indice de développement humain est le plus faible. En 2014, selon l’INS, environ 38,3% à 47% des nigériens font partie de la classe des défavorisés ; la classe moyenne représenterait entre 46,2% à 51,7% de la population</w:t>
      </w:r>
      <w:r w:rsidR="00374733">
        <w:rPr>
          <w:rFonts w:ascii="Nyala" w:hAnsi="Nyala" w:cs="Calibri"/>
          <w:sz w:val="28"/>
          <w:szCs w:val="28"/>
        </w:rPr>
        <w:t xml:space="preserve"> ; </w:t>
      </w:r>
      <w:r w:rsidR="00374733" w:rsidRPr="00374733">
        <w:rPr>
          <w:rFonts w:ascii="Nyala" w:hAnsi="Nyala" w:cs="Calibri"/>
          <w:sz w:val="28"/>
          <w:szCs w:val="28"/>
        </w:rPr>
        <w:t>le taux est plus élevé au sein des ménages dont les chefs de ménage  sont  des  femmes  (48,2%) qu’au  niveau  des  chefs  de  ménage  h</w:t>
      </w:r>
      <w:r w:rsidR="00374733">
        <w:rPr>
          <w:rFonts w:ascii="Nyala" w:hAnsi="Nyala" w:cs="Calibri"/>
          <w:sz w:val="28"/>
          <w:szCs w:val="28"/>
        </w:rPr>
        <w:t>omme (44,7%)</w:t>
      </w:r>
      <w:r w:rsidRPr="006866D3">
        <w:rPr>
          <w:rFonts w:ascii="Nyala" w:hAnsi="Nyala" w:cs="Calibri"/>
          <w:sz w:val="28"/>
          <w:szCs w:val="28"/>
        </w:rPr>
        <w:t>(INS, RECM, 2015).</w:t>
      </w:r>
      <w:r w:rsidR="002C2EC3" w:rsidRPr="006866D3">
        <w:rPr>
          <w:rFonts w:ascii="Nyala" w:hAnsi="Nyala" w:cs="Calibri"/>
          <w:sz w:val="28"/>
          <w:szCs w:val="28"/>
        </w:rPr>
        <w:t xml:space="preserve"> Un peu plus de 4 nigériens sur 10 vivent en dessous du seuil de pauvreté.</w:t>
      </w:r>
      <w:r w:rsidR="00E00F2A" w:rsidRPr="006866D3">
        <w:rPr>
          <w:rFonts w:ascii="Nyala" w:hAnsi="Nyala" w:cs="Calibri"/>
          <w:sz w:val="28"/>
          <w:szCs w:val="28"/>
        </w:rPr>
        <w:t xml:space="preserve"> Le taux de chômage global était de 17% en 2014 selon l’INS </w:t>
      </w:r>
      <w:r w:rsidR="00E00F2A" w:rsidRPr="006866D3">
        <w:rPr>
          <w:rFonts w:ascii="Nyala" w:hAnsi="Nyala"/>
          <w:sz w:val="28"/>
          <w:szCs w:val="28"/>
        </w:rPr>
        <w:t xml:space="preserve">(ENISED, 2016). L’incidence du chômage est plus forte chez </w:t>
      </w:r>
      <w:r w:rsidR="004F7C7D" w:rsidRPr="006866D3">
        <w:rPr>
          <w:rFonts w:ascii="Nyala" w:hAnsi="Nyala"/>
          <w:sz w:val="28"/>
          <w:szCs w:val="28"/>
        </w:rPr>
        <w:t xml:space="preserve">les femmes que chez les hommes ; il atteint </w:t>
      </w:r>
      <w:r w:rsidR="00E00F2A" w:rsidRPr="006866D3">
        <w:rPr>
          <w:rFonts w:ascii="Nyala" w:hAnsi="Nyala"/>
          <w:sz w:val="28"/>
          <w:szCs w:val="28"/>
        </w:rPr>
        <w:t>23,7% pour la tranche d’âge des 15-29 ans</w:t>
      </w:r>
    </w:p>
    <w:p w:rsidR="00F31951" w:rsidRDefault="00F31951" w:rsidP="00CF0CAC">
      <w:pPr>
        <w:jc w:val="both"/>
        <w:rPr>
          <w:rFonts w:ascii="Nyala" w:hAnsi="Nyala" w:cs="Calibri"/>
          <w:sz w:val="28"/>
          <w:szCs w:val="28"/>
        </w:rPr>
      </w:pPr>
      <w:r w:rsidRPr="006866D3">
        <w:rPr>
          <w:rFonts w:ascii="Nyala" w:hAnsi="Nyala" w:cs="Calibri"/>
          <w:sz w:val="28"/>
          <w:szCs w:val="28"/>
        </w:rPr>
        <w:t xml:space="preserve">Le taux de couverture sanitaire au niveau national est de 48,47% en 2015 et plus de la moitié de la population (51,53%) se trouve à plus de 5 kilomètres d’un service de santé.  Le taux brut de scolarisation avoisine les 74%. L’accès à l’eau potable n’est assuré que pour 43,1% des ruraux. </w:t>
      </w:r>
    </w:p>
    <w:p w:rsidR="00A918CF" w:rsidRPr="006866D3" w:rsidRDefault="00A918CF" w:rsidP="00CF0CAC">
      <w:pPr>
        <w:jc w:val="both"/>
        <w:rPr>
          <w:rFonts w:ascii="Nyala" w:hAnsi="Nyala" w:cs="Calibri"/>
          <w:sz w:val="28"/>
          <w:szCs w:val="28"/>
        </w:rPr>
      </w:pPr>
    </w:p>
    <w:p w:rsidR="00F31951" w:rsidRPr="006866D3" w:rsidRDefault="00F31951" w:rsidP="00CF0CAC">
      <w:pPr>
        <w:rPr>
          <w:rStyle w:val="Rfrenceintense"/>
          <w:rFonts w:ascii="Calibri" w:hAnsi="Calibri" w:cs="Calibri"/>
          <w:sz w:val="28"/>
          <w:szCs w:val="28"/>
        </w:rPr>
      </w:pPr>
      <w:r w:rsidRPr="006866D3">
        <w:rPr>
          <w:rStyle w:val="Rfrenceintense"/>
          <w:rFonts w:ascii="Calibri" w:hAnsi="Calibri" w:cs="Calibri"/>
          <w:sz w:val="28"/>
          <w:szCs w:val="28"/>
        </w:rPr>
        <w:t xml:space="preserve">Economie </w:t>
      </w:r>
    </w:p>
    <w:p w:rsidR="00251373" w:rsidRPr="006866D3" w:rsidRDefault="002F3EF1" w:rsidP="00CF0CAC">
      <w:pPr>
        <w:jc w:val="both"/>
        <w:rPr>
          <w:rFonts w:ascii="Nyala" w:hAnsi="Nyala"/>
          <w:sz w:val="28"/>
          <w:szCs w:val="28"/>
        </w:rPr>
      </w:pPr>
      <w:r w:rsidRPr="006866D3">
        <w:rPr>
          <w:rFonts w:ascii="Nyala" w:hAnsi="Nyala"/>
          <w:sz w:val="28"/>
          <w:szCs w:val="28"/>
        </w:rPr>
        <w:t>L’économie nigérienne est caractérisée par la prédominance d</w:t>
      </w:r>
      <w:r w:rsidR="00251373" w:rsidRPr="006866D3">
        <w:rPr>
          <w:rFonts w:ascii="Nyala" w:hAnsi="Nyala"/>
          <w:sz w:val="28"/>
          <w:szCs w:val="28"/>
        </w:rPr>
        <w:t xml:space="preserve">es secteurs primaire et tertiaire. </w:t>
      </w:r>
    </w:p>
    <w:p w:rsidR="00251373" w:rsidRPr="006866D3" w:rsidRDefault="00251373" w:rsidP="00141D20">
      <w:pPr>
        <w:pStyle w:val="Paragraphedeliste"/>
        <w:numPr>
          <w:ilvl w:val="0"/>
          <w:numId w:val="31"/>
        </w:numPr>
        <w:jc w:val="both"/>
        <w:rPr>
          <w:rFonts w:ascii="Nyala" w:hAnsi="Nyala"/>
          <w:sz w:val="28"/>
          <w:szCs w:val="28"/>
        </w:rPr>
      </w:pPr>
      <w:r w:rsidRPr="006866D3">
        <w:rPr>
          <w:rFonts w:ascii="Nyala" w:hAnsi="Nyala"/>
          <w:sz w:val="28"/>
          <w:szCs w:val="28"/>
        </w:rPr>
        <w:t xml:space="preserve">Avec 42,9% du PIB en 2016, le secteur primaire reste le moteur de l’économie. Entre 2015 et 2016, le secteur a enregistré une croissance de 11% du fait principalement d’une augmentation de 24,8% des cultures irriguées et de 7,7% des cultures pluviales. Le secteur agricole est le second pourvoyeur de recettes d’exportation après les </w:t>
      </w:r>
      <w:r w:rsidR="0090613F" w:rsidRPr="006866D3">
        <w:rPr>
          <w:rFonts w:ascii="Nyala" w:hAnsi="Nyala"/>
          <w:sz w:val="28"/>
          <w:szCs w:val="28"/>
        </w:rPr>
        <w:t>produits miniers. Les produits d’</w:t>
      </w:r>
      <w:r w:rsidR="00081821" w:rsidRPr="006866D3">
        <w:rPr>
          <w:rFonts w:ascii="Nyala" w:hAnsi="Nyala"/>
          <w:sz w:val="28"/>
          <w:szCs w:val="28"/>
        </w:rPr>
        <w:t>exportation</w:t>
      </w:r>
      <w:r w:rsidR="0090613F" w:rsidRPr="006866D3">
        <w:rPr>
          <w:rFonts w:ascii="Nyala" w:hAnsi="Nyala"/>
          <w:sz w:val="28"/>
          <w:szCs w:val="28"/>
        </w:rPr>
        <w:t xml:space="preserve"> sont le Niébé, le sésame, l’oignon, le poivron, la gomme arabique, le bétail sur pied et les produits de la pêche</w:t>
      </w:r>
      <w:r w:rsidR="004F7C7D" w:rsidRPr="006866D3">
        <w:rPr>
          <w:rFonts w:ascii="Nyala" w:hAnsi="Nyala"/>
          <w:sz w:val="28"/>
          <w:szCs w:val="28"/>
        </w:rPr>
        <w:t>.</w:t>
      </w:r>
    </w:p>
    <w:p w:rsidR="004F7C7D" w:rsidRPr="006866D3" w:rsidRDefault="004F7C7D" w:rsidP="00CF0CAC">
      <w:pPr>
        <w:pStyle w:val="Paragraphedeliste"/>
        <w:jc w:val="both"/>
        <w:rPr>
          <w:rFonts w:ascii="Nyala" w:hAnsi="Nyala"/>
          <w:sz w:val="28"/>
          <w:szCs w:val="28"/>
        </w:rPr>
      </w:pPr>
    </w:p>
    <w:p w:rsidR="004F7C7D" w:rsidRPr="006866D3" w:rsidRDefault="00077E2E" w:rsidP="00141D20">
      <w:pPr>
        <w:pStyle w:val="Paragraphedeliste"/>
        <w:numPr>
          <w:ilvl w:val="0"/>
          <w:numId w:val="31"/>
        </w:numPr>
        <w:jc w:val="both"/>
        <w:rPr>
          <w:rFonts w:ascii="Nyala" w:hAnsi="Nyala"/>
          <w:sz w:val="28"/>
          <w:szCs w:val="28"/>
        </w:rPr>
      </w:pPr>
      <w:r w:rsidRPr="006866D3">
        <w:rPr>
          <w:rFonts w:ascii="Nyala" w:hAnsi="Nyala"/>
          <w:sz w:val="28"/>
          <w:szCs w:val="28"/>
        </w:rPr>
        <w:t>Le secteur secondaire représente 15% du PIB. Il a représenté 487,3 milliards FCFA dont 32% pour les activités extractives, 46% pour la fabrication, 16% pour les constructions, 7% pour la production et la distribution d’eau, d’électricité et de gaz.</w:t>
      </w:r>
    </w:p>
    <w:p w:rsidR="008C779D" w:rsidRPr="006866D3" w:rsidRDefault="002F3EF1" w:rsidP="00CF0CAC">
      <w:pPr>
        <w:ind w:left="708"/>
        <w:jc w:val="both"/>
        <w:rPr>
          <w:rFonts w:ascii="Nyala" w:hAnsi="Nyala" w:cs="Calibri"/>
          <w:sz w:val="28"/>
          <w:szCs w:val="28"/>
        </w:rPr>
      </w:pPr>
      <w:r w:rsidRPr="006866D3">
        <w:rPr>
          <w:rFonts w:ascii="Nyala" w:hAnsi="Nyala"/>
          <w:sz w:val="28"/>
          <w:szCs w:val="28"/>
        </w:rPr>
        <w:t>Les principaux produits d’extraction sont l</w:t>
      </w:r>
      <w:r w:rsidRPr="006866D3">
        <w:rPr>
          <w:rFonts w:ascii="Nyala" w:hAnsi="Nyala" w:cs="Calibri"/>
          <w:sz w:val="28"/>
          <w:szCs w:val="28"/>
        </w:rPr>
        <w:t xml:space="preserve">’uranium, l’or, </w:t>
      </w:r>
      <w:r w:rsidR="00A31B6C" w:rsidRPr="006866D3">
        <w:rPr>
          <w:rFonts w:ascii="Nyala" w:hAnsi="Nyala" w:cs="Calibri"/>
          <w:sz w:val="28"/>
          <w:szCs w:val="28"/>
        </w:rPr>
        <w:t xml:space="preserve">le </w:t>
      </w:r>
      <w:r w:rsidR="00BF520B">
        <w:rPr>
          <w:rFonts w:ascii="Nyala" w:hAnsi="Nyala" w:cs="Calibri"/>
          <w:sz w:val="28"/>
          <w:szCs w:val="28"/>
        </w:rPr>
        <w:t>p</w:t>
      </w:r>
      <w:r w:rsidR="00BF520B" w:rsidRPr="006866D3">
        <w:rPr>
          <w:rFonts w:ascii="Nyala" w:hAnsi="Nyala" w:cs="Calibri"/>
          <w:sz w:val="28"/>
          <w:szCs w:val="28"/>
        </w:rPr>
        <w:t xml:space="preserve">étrole </w:t>
      </w:r>
      <w:r w:rsidR="00A31B6C" w:rsidRPr="006866D3">
        <w:rPr>
          <w:rFonts w:ascii="Nyala" w:hAnsi="Nyala" w:cs="Calibri"/>
          <w:sz w:val="28"/>
          <w:szCs w:val="28"/>
        </w:rPr>
        <w:t xml:space="preserve">et </w:t>
      </w:r>
      <w:r w:rsidRPr="006866D3">
        <w:rPr>
          <w:rFonts w:ascii="Nyala" w:hAnsi="Nyala" w:cs="Calibri"/>
          <w:sz w:val="28"/>
          <w:szCs w:val="28"/>
        </w:rPr>
        <w:t>le charbon</w:t>
      </w:r>
      <w:r w:rsidR="00A31B6C" w:rsidRPr="006866D3">
        <w:rPr>
          <w:rFonts w:ascii="Nyala" w:hAnsi="Nyala" w:cs="Calibri"/>
          <w:sz w:val="28"/>
          <w:szCs w:val="28"/>
        </w:rPr>
        <w:t xml:space="preserve">. </w:t>
      </w:r>
      <w:r w:rsidR="00BF520B" w:rsidRPr="006866D3">
        <w:rPr>
          <w:rFonts w:ascii="Nyala" w:hAnsi="Nyala" w:cs="Calibri"/>
          <w:sz w:val="28"/>
          <w:szCs w:val="28"/>
        </w:rPr>
        <w:t>L’</w:t>
      </w:r>
      <w:r w:rsidR="00BF520B">
        <w:rPr>
          <w:rFonts w:ascii="Nyala" w:hAnsi="Nyala" w:cs="Calibri"/>
          <w:sz w:val="28"/>
          <w:szCs w:val="28"/>
        </w:rPr>
        <w:t>u</w:t>
      </w:r>
      <w:r w:rsidR="00BF520B" w:rsidRPr="006866D3">
        <w:rPr>
          <w:rFonts w:ascii="Nyala" w:hAnsi="Nyala" w:cs="Calibri"/>
          <w:sz w:val="28"/>
          <w:szCs w:val="28"/>
        </w:rPr>
        <w:t xml:space="preserve">ranium </w:t>
      </w:r>
      <w:r w:rsidR="00A31B6C" w:rsidRPr="006866D3">
        <w:rPr>
          <w:rFonts w:ascii="Nyala" w:hAnsi="Nyala" w:cs="Calibri"/>
          <w:sz w:val="28"/>
          <w:szCs w:val="28"/>
        </w:rPr>
        <w:t xml:space="preserve">et l’or sont des sources de devises internationales. </w:t>
      </w:r>
      <w:r w:rsidR="008C779D" w:rsidRPr="006866D3">
        <w:rPr>
          <w:rFonts w:ascii="Nyala" w:hAnsi="Nyala" w:cs="Calibri"/>
          <w:sz w:val="28"/>
          <w:szCs w:val="28"/>
        </w:rPr>
        <w:t xml:space="preserve">Le </w:t>
      </w:r>
      <w:r w:rsidR="008C779D" w:rsidRPr="006866D3">
        <w:rPr>
          <w:rFonts w:ascii="Nyala" w:hAnsi="Nyala" w:cs="Calibri"/>
          <w:sz w:val="28"/>
          <w:szCs w:val="28"/>
        </w:rPr>
        <w:lastRenderedPageBreak/>
        <w:t>Niger est le quatrième producteur mondial d’uranium, mais sa production connaît un très fort ralentissement du fait de la chute des prix du minerai. D</w:t>
      </w:r>
      <w:r w:rsidR="00A31B6C" w:rsidRPr="006866D3">
        <w:rPr>
          <w:rFonts w:ascii="Nyala" w:hAnsi="Nyala" w:cs="Calibri"/>
          <w:sz w:val="28"/>
          <w:szCs w:val="28"/>
        </w:rPr>
        <w:t>epuis 2012, leur production est en baisse</w:t>
      </w:r>
      <w:r w:rsidRPr="006866D3">
        <w:rPr>
          <w:rFonts w:ascii="Nyala" w:hAnsi="Nyala" w:cs="Calibri"/>
          <w:sz w:val="28"/>
          <w:szCs w:val="28"/>
        </w:rPr>
        <w:t xml:space="preserve">; la production </w:t>
      </w:r>
      <w:r w:rsidR="00A31B6C" w:rsidRPr="006866D3">
        <w:rPr>
          <w:rFonts w:ascii="Nyala" w:hAnsi="Nyala" w:cs="Calibri"/>
          <w:sz w:val="28"/>
          <w:szCs w:val="28"/>
        </w:rPr>
        <w:t>d’</w:t>
      </w:r>
      <w:r w:rsidR="00F80052">
        <w:rPr>
          <w:rFonts w:ascii="Nyala" w:hAnsi="Nyala" w:cs="Calibri"/>
          <w:sz w:val="28"/>
          <w:szCs w:val="28"/>
        </w:rPr>
        <w:t>u</w:t>
      </w:r>
      <w:r w:rsidR="00A31B6C" w:rsidRPr="006866D3">
        <w:rPr>
          <w:rFonts w:ascii="Nyala" w:hAnsi="Nyala" w:cs="Calibri"/>
          <w:sz w:val="28"/>
          <w:szCs w:val="28"/>
        </w:rPr>
        <w:t xml:space="preserve">ranium </w:t>
      </w:r>
      <w:r w:rsidRPr="006866D3">
        <w:rPr>
          <w:rFonts w:ascii="Nyala" w:hAnsi="Nyala" w:cs="Calibri"/>
          <w:sz w:val="28"/>
          <w:szCs w:val="28"/>
        </w:rPr>
        <w:t>est passé</w:t>
      </w:r>
      <w:r w:rsidR="00A31B6C" w:rsidRPr="006866D3">
        <w:rPr>
          <w:rFonts w:ascii="Nyala" w:hAnsi="Nyala" w:cs="Calibri"/>
          <w:sz w:val="28"/>
          <w:szCs w:val="28"/>
        </w:rPr>
        <w:t>e</w:t>
      </w:r>
      <w:r w:rsidRPr="006866D3">
        <w:rPr>
          <w:rFonts w:ascii="Nyala" w:hAnsi="Nyala" w:cs="Calibri"/>
          <w:sz w:val="28"/>
          <w:szCs w:val="28"/>
        </w:rPr>
        <w:t xml:space="preserve"> de de 4 773 tonnes en 2012 à 3478 t en 2016</w:t>
      </w:r>
      <w:r w:rsidR="008C779D" w:rsidRPr="006866D3">
        <w:rPr>
          <w:rFonts w:ascii="Nyala" w:hAnsi="Nyala" w:cs="Calibri"/>
          <w:sz w:val="28"/>
          <w:szCs w:val="28"/>
        </w:rPr>
        <w:t>.</w:t>
      </w:r>
    </w:p>
    <w:p w:rsidR="00A31B6C" w:rsidRPr="006866D3" w:rsidRDefault="008C779D" w:rsidP="00CF0CAC">
      <w:pPr>
        <w:ind w:left="708"/>
        <w:jc w:val="both"/>
        <w:rPr>
          <w:rFonts w:ascii="Nyala" w:hAnsi="Nyala" w:cs="Calibri"/>
          <w:sz w:val="28"/>
          <w:szCs w:val="28"/>
        </w:rPr>
      </w:pPr>
      <w:r w:rsidRPr="006866D3">
        <w:rPr>
          <w:rFonts w:ascii="Nyala" w:hAnsi="Nyala" w:cs="Calibri"/>
          <w:sz w:val="28"/>
          <w:szCs w:val="28"/>
        </w:rPr>
        <w:t>La production d’o</w:t>
      </w:r>
      <w:r w:rsidR="00A31B6C" w:rsidRPr="006866D3">
        <w:rPr>
          <w:rFonts w:ascii="Nyala" w:hAnsi="Nyala" w:cs="Calibri"/>
          <w:sz w:val="28"/>
          <w:szCs w:val="28"/>
        </w:rPr>
        <w:t xml:space="preserve">r </w:t>
      </w:r>
      <w:r w:rsidR="00A31B6C" w:rsidRPr="006866D3">
        <w:rPr>
          <w:rFonts w:ascii="Nyala" w:hAnsi="Nyala"/>
          <w:sz w:val="28"/>
          <w:szCs w:val="28"/>
        </w:rPr>
        <w:t>industriel</w:t>
      </w:r>
      <w:r w:rsidRPr="006866D3">
        <w:rPr>
          <w:rFonts w:ascii="Nyala" w:hAnsi="Nyala" w:cs="Calibri"/>
          <w:sz w:val="28"/>
          <w:szCs w:val="28"/>
        </w:rPr>
        <w:t xml:space="preserve">connaît la même tendance à la baisse ; </w:t>
      </w:r>
      <w:r w:rsidR="00CB1879">
        <w:rPr>
          <w:rFonts w:ascii="Nyala" w:hAnsi="Nyala" w:cs="Calibri"/>
          <w:sz w:val="28"/>
          <w:szCs w:val="28"/>
        </w:rPr>
        <w:t xml:space="preserve">de 2012 à 2016 </w:t>
      </w:r>
      <w:r w:rsidRPr="006866D3">
        <w:rPr>
          <w:rFonts w:ascii="Nyala" w:hAnsi="Nyala" w:cs="Calibri"/>
          <w:sz w:val="28"/>
          <w:szCs w:val="28"/>
        </w:rPr>
        <w:t xml:space="preserve">elle est passée </w:t>
      </w:r>
      <w:r w:rsidR="00A31B6C" w:rsidRPr="006866D3">
        <w:rPr>
          <w:rFonts w:ascii="Nyala" w:hAnsi="Nyala" w:cs="Calibri"/>
          <w:sz w:val="28"/>
          <w:szCs w:val="28"/>
        </w:rPr>
        <w:t xml:space="preserve">de 1549 t à 721,8t. La quantité de charbon est en moyenne de 240 000 t/an ; il est principalement destiné à la production d’énergie électrique.  Depuis 2011, le Niger est devenu un pays producteur de pétrole avec </w:t>
      </w:r>
      <w:r w:rsidR="00A15C99" w:rsidRPr="006866D3">
        <w:rPr>
          <w:rFonts w:ascii="Nyala" w:hAnsi="Nyala" w:cs="Calibri"/>
          <w:sz w:val="28"/>
          <w:szCs w:val="28"/>
        </w:rPr>
        <w:t xml:space="preserve">près de 730 000 t/an de pétrole raffiné destiné à la consommation locale et à l’exportation vers les pays voisins. </w:t>
      </w:r>
    </w:p>
    <w:p w:rsidR="004F7C7D" w:rsidRPr="006866D3" w:rsidRDefault="004F7C7D" w:rsidP="00141D20">
      <w:pPr>
        <w:pStyle w:val="Paragraphedeliste"/>
        <w:numPr>
          <w:ilvl w:val="0"/>
          <w:numId w:val="31"/>
        </w:numPr>
        <w:jc w:val="both"/>
        <w:rPr>
          <w:rFonts w:ascii="Nyala" w:hAnsi="Nyala"/>
          <w:sz w:val="28"/>
          <w:szCs w:val="28"/>
        </w:rPr>
      </w:pPr>
      <w:r w:rsidRPr="006866D3">
        <w:rPr>
          <w:rFonts w:ascii="Nyala" w:hAnsi="Nyala"/>
          <w:sz w:val="28"/>
          <w:szCs w:val="28"/>
        </w:rPr>
        <w:t>Le secteur tertiaire contribue pour 36,1% au PIB. En 2016, le PIB du secteur est estimé à 1179,6 milliards de FCFA (prix constant de 2006) dont 29% pour le Commerce, 19% pour l’Administration publique et 16% pour l’enseignement, la santé et l’action sociale.</w:t>
      </w:r>
    </w:p>
    <w:p w:rsidR="008C779D" w:rsidRPr="006866D3" w:rsidRDefault="008C779D" w:rsidP="00CF0CAC">
      <w:pPr>
        <w:jc w:val="both"/>
        <w:rPr>
          <w:rFonts w:ascii="Nyala" w:hAnsi="Nyala" w:cs="Calibri"/>
          <w:sz w:val="28"/>
          <w:szCs w:val="28"/>
        </w:rPr>
      </w:pPr>
      <w:r w:rsidRPr="006866D3">
        <w:rPr>
          <w:rFonts w:ascii="Nyala" w:hAnsi="Nyala" w:cs="Calibri"/>
          <w:sz w:val="28"/>
          <w:szCs w:val="28"/>
        </w:rPr>
        <w:t>L’économie nigérienne connaît une croissance instable mais progressive. Entre, 2012-2016, le taux de croissance a été en moyenne de 6,7% traduisant un effort dans tous les secteurs.</w:t>
      </w:r>
      <w:r w:rsidR="004F7C7D" w:rsidRPr="006866D3">
        <w:rPr>
          <w:rFonts w:ascii="Nyala" w:hAnsi="Nyala" w:cs="Calibri"/>
          <w:sz w:val="28"/>
          <w:szCs w:val="28"/>
        </w:rPr>
        <w:t xml:space="preserve"> Le PIB est estimé à </w:t>
      </w:r>
      <w:r w:rsidRPr="006866D3">
        <w:rPr>
          <w:rFonts w:ascii="Nyala" w:hAnsi="Nyala" w:cs="Calibri"/>
          <w:sz w:val="28"/>
          <w:szCs w:val="28"/>
        </w:rPr>
        <w:t>236 300 FCFA</w:t>
      </w:r>
      <w:r w:rsidR="00CB1879">
        <w:rPr>
          <w:rFonts w:ascii="Nyala" w:hAnsi="Nyala" w:cs="Calibri"/>
          <w:sz w:val="28"/>
          <w:szCs w:val="28"/>
        </w:rPr>
        <w:t xml:space="preserve"> par habitant</w:t>
      </w:r>
      <w:r w:rsidRPr="006866D3">
        <w:rPr>
          <w:rFonts w:ascii="Nyala" w:hAnsi="Nyala" w:cs="Calibri"/>
          <w:sz w:val="28"/>
          <w:szCs w:val="28"/>
        </w:rPr>
        <w:t xml:space="preserve"> en 2017. </w:t>
      </w:r>
    </w:p>
    <w:p w:rsidR="00CF0CAC" w:rsidRPr="006866D3" w:rsidRDefault="00CF0CAC" w:rsidP="00CF0CAC">
      <w:pPr>
        <w:jc w:val="both"/>
        <w:rPr>
          <w:rFonts w:ascii="Nyala" w:hAnsi="Nyala" w:cs="Calibri"/>
          <w:sz w:val="28"/>
          <w:szCs w:val="28"/>
        </w:rPr>
      </w:pPr>
    </w:p>
    <w:p w:rsidR="00F31951" w:rsidRPr="006866D3" w:rsidRDefault="00F31951" w:rsidP="00CF0CAC">
      <w:pPr>
        <w:rPr>
          <w:rStyle w:val="Rfrenceintense"/>
          <w:rFonts w:ascii="Calibri" w:hAnsi="Calibri" w:cs="Calibri"/>
          <w:sz w:val="28"/>
          <w:szCs w:val="28"/>
        </w:rPr>
      </w:pPr>
      <w:r w:rsidRPr="006866D3">
        <w:rPr>
          <w:rStyle w:val="Rfrenceintense"/>
          <w:rFonts w:ascii="Calibri" w:hAnsi="Calibri" w:cs="Calibri"/>
          <w:sz w:val="28"/>
          <w:szCs w:val="28"/>
        </w:rPr>
        <w:t>administration</w:t>
      </w:r>
      <w:r w:rsidR="00DE20B8">
        <w:rPr>
          <w:rStyle w:val="Rfrenceintense"/>
          <w:rFonts w:ascii="Calibri" w:hAnsi="Calibri" w:cs="Calibri"/>
          <w:sz w:val="28"/>
          <w:szCs w:val="28"/>
        </w:rPr>
        <w:t xml:space="preserve"> et</w:t>
      </w:r>
      <w:r w:rsidR="004F7C7D" w:rsidRPr="006866D3">
        <w:rPr>
          <w:rStyle w:val="Rfrenceintense"/>
          <w:rFonts w:ascii="Calibri" w:hAnsi="Calibri" w:cs="Calibri"/>
          <w:sz w:val="28"/>
          <w:szCs w:val="28"/>
        </w:rPr>
        <w:t xml:space="preserve"> Gouvernance</w:t>
      </w:r>
    </w:p>
    <w:p w:rsidR="00F31951" w:rsidRPr="006866D3" w:rsidRDefault="004F7C7D" w:rsidP="00CF0CAC">
      <w:pPr>
        <w:jc w:val="both"/>
        <w:rPr>
          <w:rFonts w:ascii="Nyala" w:hAnsi="Nyala" w:cs="Calibri"/>
          <w:sz w:val="28"/>
          <w:szCs w:val="28"/>
        </w:rPr>
      </w:pPr>
      <w:r w:rsidRPr="006866D3">
        <w:rPr>
          <w:rFonts w:ascii="Nyala" w:hAnsi="Nyala" w:cs="Calibri"/>
          <w:sz w:val="28"/>
          <w:szCs w:val="28"/>
        </w:rPr>
        <w:t xml:space="preserve">Le Niger vit une démocratie apaisée depuis 2011. Toutes les </w:t>
      </w:r>
      <w:r w:rsidR="00F31951" w:rsidRPr="006866D3">
        <w:rPr>
          <w:rFonts w:ascii="Nyala" w:hAnsi="Nyala" w:cs="Calibri"/>
          <w:sz w:val="28"/>
          <w:szCs w:val="28"/>
        </w:rPr>
        <w:t xml:space="preserve">institutions prévues par la Constitution </w:t>
      </w:r>
      <w:r w:rsidRPr="006866D3">
        <w:rPr>
          <w:rFonts w:ascii="Nyala" w:hAnsi="Nyala" w:cs="Calibri"/>
          <w:sz w:val="28"/>
          <w:szCs w:val="28"/>
        </w:rPr>
        <w:t xml:space="preserve">sont fonctionnelles. </w:t>
      </w:r>
    </w:p>
    <w:p w:rsidR="00F31951" w:rsidRPr="006866D3" w:rsidRDefault="004F7C7D" w:rsidP="00CF0CAC">
      <w:pPr>
        <w:jc w:val="both"/>
        <w:rPr>
          <w:rFonts w:ascii="Nyala" w:hAnsi="Nyala" w:cs="Calibri"/>
          <w:sz w:val="28"/>
          <w:szCs w:val="28"/>
        </w:rPr>
      </w:pPr>
      <w:r w:rsidRPr="006866D3">
        <w:rPr>
          <w:rFonts w:ascii="Nyala" w:hAnsi="Nyala" w:cs="Calibri"/>
          <w:sz w:val="28"/>
          <w:szCs w:val="28"/>
        </w:rPr>
        <w:t xml:space="preserve">Le système administratif est caractérisé par un </w:t>
      </w:r>
      <w:r w:rsidR="00F31951" w:rsidRPr="006866D3">
        <w:rPr>
          <w:rFonts w:ascii="Nyala" w:hAnsi="Nyala" w:cs="Calibri"/>
          <w:sz w:val="28"/>
          <w:szCs w:val="28"/>
        </w:rPr>
        <w:t xml:space="preserve">partage de </w:t>
      </w:r>
      <w:r w:rsidRPr="006866D3">
        <w:rPr>
          <w:rFonts w:ascii="Nyala" w:hAnsi="Nyala" w:cs="Calibri"/>
          <w:sz w:val="28"/>
          <w:szCs w:val="28"/>
        </w:rPr>
        <w:t xml:space="preserve">rôles </w:t>
      </w:r>
      <w:r w:rsidR="00F31951" w:rsidRPr="006866D3">
        <w:rPr>
          <w:rFonts w:ascii="Nyala" w:hAnsi="Nyala" w:cs="Calibri"/>
          <w:sz w:val="28"/>
          <w:szCs w:val="28"/>
        </w:rPr>
        <w:t xml:space="preserve">entre </w:t>
      </w:r>
      <w:r w:rsidRPr="006866D3">
        <w:rPr>
          <w:rFonts w:ascii="Nyala" w:hAnsi="Nyala" w:cs="Calibri"/>
          <w:sz w:val="28"/>
          <w:szCs w:val="28"/>
        </w:rPr>
        <w:t>un Etat central et d</w:t>
      </w:r>
      <w:r w:rsidR="00F31951" w:rsidRPr="006866D3">
        <w:rPr>
          <w:rFonts w:ascii="Nyala" w:hAnsi="Nyala" w:cs="Calibri"/>
          <w:sz w:val="28"/>
          <w:szCs w:val="28"/>
        </w:rPr>
        <w:t xml:space="preserve">es  collectivités  territoriales </w:t>
      </w:r>
      <w:r w:rsidRPr="006866D3">
        <w:rPr>
          <w:rFonts w:ascii="Nyala" w:hAnsi="Nyala" w:cs="Calibri"/>
          <w:sz w:val="28"/>
          <w:szCs w:val="28"/>
        </w:rPr>
        <w:t>décentralisées disposant d’organe élus au suffrage universel local.</w:t>
      </w:r>
      <w:r w:rsidR="00F31951" w:rsidRPr="006866D3">
        <w:rPr>
          <w:rFonts w:ascii="Nyala" w:hAnsi="Nyala" w:cs="Calibri"/>
          <w:sz w:val="28"/>
          <w:szCs w:val="28"/>
        </w:rPr>
        <w:t xml:space="preserve"> L’Etat gère les domaines de souveraineté (la sécurité, la défense nationale, la  justice,  les  relations  internationales et  la  monnaie)  et assure  l’impulsion, l’orientation,  la  coordination  et  le  contrôle  en  matière  de  politique publique de développement. Quant aux collectivités territoriales</w:t>
      </w:r>
      <w:r w:rsidR="00EE322C" w:rsidRPr="006866D3">
        <w:rPr>
          <w:rFonts w:ascii="Nyala" w:hAnsi="Nyala" w:cs="Calibri"/>
          <w:sz w:val="28"/>
          <w:szCs w:val="28"/>
        </w:rPr>
        <w:t xml:space="preserve"> (8 Régions et 255 Communes)</w:t>
      </w:r>
      <w:r w:rsidR="00F31951" w:rsidRPr="006866D3">
        <w:rPr>
          <w:rFonts w:ascii="Nyala" w:hAnsi="Nyala" w:cs="Calibri"/>
          <w:sz w:val="28"/>
          <w:szCs w:val="28"/>
        </w:rPr>
        <w:t xml:space="preserve">, elles ont  pour mission la conception, la programmation et la mise en œuvre des actions de développement relevant de l’intérêt local. Les autorités coutumières sont représentées comme membres sans droit de vote des Conseils régionaux ou municipaux. </w:t>
      </w:r>
    </w:p>
    <w:p w:rsidR="00CF0CAC" w:rsidRPr="006866D3" w:rsidRDefault="00CF0CAC" w:rsidP="00CF0CAC">
      <w:pPr>
        <w:jc w:val="both"/>
        <w:rPr>
          <w:rFonts w:ascii="Nyala" w:hAnsi="Nyala" w:cs="Calibri"/>
          <w:sz w:val="28"/>
          <w:szCs w:val="28"/>
        </w:rPr>
      </w:pPr>
    </w:p>
    <w:p w:rsidR="00F31951" w:rsidRPr="006866D3" w:rsidRDefault="00B439EE" w:rsidP="00CF0CAC">
      <w:pPr>
        <w:jc w:val="both"/>
        <w:rPr>
          <w:rFonts w:ascii="Calibri" w:hAnsi="Calibri" w:cs="Calibri"/>
          <w:sz w:val="28"/>
          <w:szCs w:val="28"/>
        </w:rPr>
      </w:pPr>
      <w:r>
        <w:rPr>
          <w:rStyle w:val="Rfrenceintense"/>
          <w:rFonts w:ascii="Calibri" w:hAnsi="Calibri" w:cs="Calibri"/>
          <w:sz w:val="28"/>
          <w:szCs w:val="28"/>
        </w:rPr>
        <w:lastRenderedPageBreak/>
        <w:t xml:space="preserve">Migration et </w:t>
      </w:r>
      <w:r w:rsidR="00F31951" w:rsidRPr="006866D3">
        <w:rPr>
          <w:rStyle w:val="Rfrenceintense"/>
          <w:rFonts w:ascii="Calibri" w:hAnsi="Calibri" w:cs="Calibri"/>
          <w:sz w:val="28"/>
          <w:szCs w:val="28"/>
        </w:rPr>
        <w:t xml:space="preserve">Situation sécuritaire </w:t>
      </w:r>
    </w:p>
    <w:p w:rsidR="00B439EE" w:rsidRDefault="00B439EE" w:rsidP="00CF0CAC">
      <w:pPr>
        <w:jc w:val="both"/>
        <w:rPr>
          <w:rFonts w:ascii="Nyala" w:hAnsi="Nyala" w:cs="Calibri"/>
          <w:sz w:val="28"/>
          <w:szCs w:val="28"/>
        </w:rPr>
      </w:pPr>
      <w:r>
        <w:rPr>
          <w:rFonts w:ascii="Nyala" w:hAnsi="Nyala" w:cs="Calibri"/>
          <w:sz w:val="28"/>
          <w:szCs w:val="28"/>
        </w:rPr>
        <w:t>De par sa position stratégique, le Niger s’affirme comme un noyau structurant, un « centre clé » et un carrefour  pour la migration internationale.</w:t>
      </w:r>
      <w:r w:rsidR="00340262">
        <w:rPr>
          <w:rFonts w:ascii="Nyala" w:hAnsi="Nyala" w:cs="Calibri"/>
          <w:sz w:val="28"/>
          <w:szCs w:val="28"/>
        </w:rPr>
        <w:t xml:space="preserve"> Il est de</w:t>
      </w:r>
      <w:r>
        <w:rPr>
          <w:rFonts w:ascii="Nyala" w:hAnsi="Nyala" w:cs="Calibri"/>
          <w:sz w:val="28"/>
          <w:szCs w:val="28"/>
        </w:rPr>
        <w:t xml:space="preserve">venu </w:t>
      </w:r>
      <w:r w:rsidR="00340262">
        <w:rPr>
          <w:rFonts w:ascii="Nyala" w:hAnsi="Nyala" w:cs="Calibri"/>
          <w:sz w:val="28"/>
          <w:szCs w:val="28"/>
        </w:rPr>
        <w:t>l’un des principaux pays de transit de la zone sahélienne pour les migrants d’Afrique de l’Ouest et du Centre désireux de se rendre en Afrique du Nord et en Europe. La région d’Agades est aujourd’hui la plaque tournante de cette migration internationale, un centre d’accueil pour les refoulés. Entre janvier et septembre 2014, l’OIM a accueilli plus de 2000 migrants retournés dont 800 nigériens et 1300 d’</w:t>
      </w:r>
      <w:r w:rsidR="0002216D">
        <w:rPr>
          <w:rFonts w:ascii="Nyala" w:hAnsi="Nyala" w:cs="Calibri"/>
          <w:sz w:val="28"/>
          <w:szCs w:val="28"/>
        </w:rPr>
        <w:t>autres paysouest et centre africains (Danda, 2017</w:t>
      </w:r>
      <w:r w:rsidR="0002216D">
        <w:rPr>
          <w:rStyle w:val="Appelnotedebasdep"/>
          <w:rFonts w:ascii="Nyala" w:hAnsi="Nyala" w:cs="Calibri"/>
          <w:sz w:val="28"/>
          <w:szCs w:val="28"/>
        </w:rPr>
        <w:footnoteReference w:id="2"/>
      </w:r>
      <w:r w:rsidR="0002216D">
        <w:rPr>
          <w:rFonts w:ascii="Nyala" w:hAnsi="Nyala" w:cs="Calibri"/>
          <w:sz w:val="28"/>
          <w:szCs w:val="28"/>
        </w:rPr>
        <w:t>).</w:t>
      </w:r>
    </w:p>
    <w:p w:rsidR="00EF70D7" w:rsidRPr="006866D3" w:rsidRDefault="00EF70D7" w:rsidP="00141D20">
      <w:pPr>
        <w:pStyle w:val="Paragraphedeliste"/>
        <w:shd w:val="clear" w:color="auto" w:fill="FFFFFF" w:themeFill="background1"/>
        <w:autoSpaceDE w:val="0"/>
        <w:autoSpaceDN w:val="0"/>
        <w:adjustRightInd w:val="0"/>
        <w:spacing w:after="0"/>
        <w:ind w:left="0"/>
        <w:jc w:val="both"/>
        <w:rPr>
          <w:rFonts w:ascii="Nyala" w:hAnsi="Nyala"/>
          <w:bCs/>
          <w:sz w:val="28"/>
          <w:szCs w:val="28"/>
        </w:rPr>
      </w:pPr>
      <w:r>
        <w:rPr>
          <w:rFonts w:ascii="Nyala" w:hAnsi="Nyala" w:cs="Calibri"/>
          <w:sz w:val="28"/>
          <w:szCs w:val="28"/>
        </w:rPr>
        <w:t xml:space="preserve">Les migrants sont essentiellement des jeunes. Au Niger, 83% de ces jeunes évoluent dans </w:t>
      </w:r>
      <w:r w:rsidRPr="006866D3">
        <w:rPr>
          <w:rFonts w:ascii="Nyala" w:hAnsi="Nyala"/>
          <w:bCs/>
          <w:sz w:val="28"/>
          <w:szCs w:val="28"/>
        </w:rPr>
        <w:t>dans le secteur primaire (agriculture, chasse et sylviculture)</w:t>
      </w:r>
      <w:r>
        <w:rPr>
          <w:rFonts w:ascii="Nyala" w:hAnsi="Nyala"/>
          <w:bCs/>
          <w:sz w:val="28"/>
          <w:szCs w:val="28"/>
        </w:rPr>
        <w:t xml:space="preserve"> ; </w:t>
      </w:r>
      <w:r w:rsidRPr="006866D3">
        <w:rPr>
          <w:rFonts w:ascii="Nyala" w:hAnsi="Nyala"/>
          <w:bCs/>
          <w:sz w:val="28"/>
          <w:szCs w:val="28"/>
        </w:rPr>
        <w:t>13,7% d’entre eux sont actifs dans le secteur tertiaire (les services commerciaux)</w:t>
      </w:r>
      <w:r>
        <w:rPr>
          <w:rFonts w:ascii="Nyala" w:hAnsi="Nyala"/>
          <w:bCs/>
          <w:sz w:val="28"/>
          <w:szCs w:val="28"/>
        </w:rPr>
        <w:t xml:space="preserve"> et </w:t>
      </w:r>
      <w:r w:rsidRPr="006866D3">
        <w:rPr>
          <w:rFonts w:ascii="Nyala" w:hAnsi="Nyala"/>
          <w:bCs/>
          <w:sz w:val="28"/>
          <w:szCs w:val="28"/>
        </w:rPr>
        <w:t>3,3% dans le secteur secondaire (les industries d’extraction et de manufacture)</w:t>
      </w:r>
      <w:r w:rsidRPr="00141D20">
        <w:rPr>
          <w:rFonts w:ascii="Nyala" w:hAnsi="Nyala"/>
          <w:bCs/>
          <w:sz w:val="28"/>
          <w:szCs w:val="28"/>
          <w:vertAlign w:val="superscript"/>
        </w:rPr>
        <w:footnoteReference w:id="3"/>
      </w:r>
      <w:r>
        <w:rPr>
          <w:rFonts w:ascii="Nyala" w:hAnsi="Nyala"/>
          <w:bCs/>
          <w:sz w:val="28"/>
          <w:szCs w:val="28"/>
        </w:rPr>
        <w:t xml:space="preserve">. Les jeunes sont soumis à divers </w:t>
      </w:r>
      <w:r w:rsidRPr="006866D3">
        <w:rPr>
          <w:rFonts w:ascii="Nyala" w:hAnsi="Nyala"/>
          <w:bCs/>
          <w:sz w:val="28"/>
          <w:szCs w:val="28"/>
        </w:rPr>
        <w:t>facteurs de vulnérabilité des jeunes : la pauvreté ambiant</w:t>
      </w:r>
      <w:r>
        <w:rPr>
          <w:rFonts w:ascii="Nyala" w:hAnsi="Nyala"/>
          <w:bCs/>
          <w:sz w:val="28"/>
          <w:szCs w:val="28"/>
        </w:rPr>
        <w:t>e, l’insécurité alimentaire, le sous-emploi</w:t>
      </w:r>
      <w:r w:rsidRPr="006866D3">
        <w:rPr>
          <w:rFonts w:ascii="Nyala" w:hAnsi="Nyala"/>
          <w:bCs/>
          <w:sz w:val="28"/>
          <w:szCs w:val="28"/>
        </w:rPr>
        <w:t xml:space="preserve">, de formation </w:t>
      </w:r>
      <w:r>
        <w:rPr>
          <w:rFonts w:ascii="Nyala" w:hAnsi="Nyala"/>
          <w:bCs/>
          <w:sz w:val="28"/>
          <w:szCs w:val="28"/>
        </w:rPr>
        <w:t xml:space="preserve">(49% sont sans instruction) </w:t>
      </w:r>
      <w:r w:rsidRPr="006866D3">
        <w:rPr>
          <w:rFonts w:ascii="Nyala" w:hAnsi="Nyala"/>
          <w:bCs/>
          <w:sz w:val="28"/>
          <w:szCs w:val="28"/>
        </w:rPr>
        <w:t xml:space="preserve">et d’accès à l’eau.  </w:t>
      </w:r>
      <w:r>
        <w:rPr>
          <w:rFonts w:ascii="Nyala" w:hAnsi="Nyala"/>
          <w:bCs/>
          <w:sz w:val="28"/>
          <w:szCs w:val="28"/>
        </w:rPr>
        <w:t>Le constat est que l</w:t>
      </w:r>
      <w:r w:rsidRPr="006866D3">
        <w:rPr>
          <w:rFonts w:ascii="Nyala" w:hAnsi="Nyala"/>
          <w:bCs/>
          <w:sz w:val="28"/>
          <w:szCs w:val="28"/>
        </w:rPr>
        <w:t>e</w:t>
      </w:r>
      <w:r>
        <w:rPr>
          <w:rFonts w:ascii="Nyala" w:hAnsi="Nyala"/>
          <w:bCs/>
          <w:sz w:val="28"/>
          <w:szCs w:val="28"/>
        </w:rPr>
        <w:t>s activités agricoles ne peuvent les occuper</w:t>
      </w:r>
      <w:r w:rsidRPr="006866D3">
        <w:rPr>
          <w:rFonts w:ascii="Nyala" w:hAnsi="Nyala"/>
          <w:bCs/>
          <w:sz w:val="28"/>
          <w:szCs w:val="28"/>
        </w:rPr>
        <w:t xml:space="preserve">  plus de la moitié de l’année, </w:t>
      </w:r>
      <w:r>
        <w:rPr>
          <w:rFonts w:ascii="Nyala" w:hAnsi="Nyala"/>
          <w:bCs/>
          <w:sz w:val="28"/>
          <w:szCs w:val="28"/>
        </w:rPr>
        <w:t xml:space="preserve">ce qui les incite à l’exode rurale et à la </w:t>
      </w:r>
      <w:r w:rsidRPr="006866D3">
        <w:rPr>
          <w:rFonts w:ascii="Nyala" w:hAnsi="Nyala"/>
          <w:bCs/>
          <w:sz w:val="28"/>
          <w:szCs w:val="28"/>
        </w:rPr>
        <w:t>la migration internationale.</w:t>
      </w:r>
    </w:p>
    <w:p w:rsidR="0002216D" w:rsidRDefault="0002216D" w:rsidP="00CF0CAC">
      <w:pPr>
        <w:jc w:val="both"/>
        <w:rPr>
          <w:rFonts w:ascii="Nyala" w:hAnsi="Nyala" w:cs="Calibri"/>
          <w:sz w:val="28"/>
          <w:szCs w:val="28"/>
        </w:rPr>
      </w:pPr>
      <w:r>
        <w:rPr>
          <w:rFonts w:ascii="Nyala" w:hAnsi="Nyala" w:cs="Calibri"/>
          <w:sz w:val="28"/>
          <w:szCs w:val="28"/>
        </w:rPr>
        <w:t>Au cours des trois dernières décennies, la marche du Niger vers le progrès et le mieux-être des populations, a été parfois paralysée par de multiples soubresauts politiques, sociaux et sécuritaires. Depuis 1990, le pays a connu plusieurs rébellions armées qui ont laissé un terreau d’ex-combattants jeunes courageux et téméraires aguris dans le maniement des armes, le trafic de drogue, spécialistes des grottes de l’Aïr et des dunes du Ténéré  et équipés en appareil T</w:t>
      </w:r>
      <w:r w:rsidR="009B253F">
        <w:rPr>
          <w:rFonts w:ascii="Nyala" w:hAnsi="Nyala" w:cs="Calibri"/>
          <w:sz w:val="28"/>
          <w:szCs w:val="28"/>
        </w:rPr>
        <w:t>h</w:t>
      </w:r>
      <w:r>
        <w:rPr>
          <w:rFonts w:ascii="Nyala" w:hAnsi="Nyala" w:cs="Calibri"/>
          <w:sz w:val="28"/>
          <w:szCs w:val="28"/>
        </w:rPr>
        <w:t xml:space="preserve">uraya » (Danda, 2017). </w:t>
      </w:r>
    </w:p>
    <w:p w:rsidR="00F31951" w:rsidRPr="006866D3" w:rsidRDefault="00F31951" w:rsidP="00CF0CAC">
      <w:pPr>
        <w:jc w:val="both"/>
        <w:rPr>
          <w:rFonts w:ascii="Nyala" w:hAnsi="Nyala" w:cs="Calibri"/>
          <w:sz w:val="28"/>
          <w:szCs w:val="28"/>
        </w:rPr>
      </w:pPr>
      <w:r w:rsidRPr="006866D3">
        <w:rPr>
          <w:rFonts w:ascii="Nyala" w:hAnsi="Nyala" w:cs="Calibri"/>
          <w:sz w:val="28"/>
          <w:szCs w:val="28"/>
        </w:rPr>
        <w:t xml:space="preserve">La situation sécuritaire du Niger reste fragile du fait des menaces et attaques directes sur le territoire de groupes terroristes installés dans trois de ses pays frontaliers : le Nigéria, le Mali et la Libye. À partir de février 2015, les attaques continues de la secte BokoHaram et leurs impacts sur la cohésion sociale demeurent la principale menace à la sécurité au Niger. Depuis lors, plusieurs attaques ont eu lieu dans la région de Diffa, provoquant le déplacement interne de milliers de personnes et exacerbant une situation humanitaire déjà critique. Ces attaques continuent en 2017, même si leur fréquence a diminué. Le groupe </w:t>
      </w:r>
      <w:r w:rsidRPr="006866D3">
        <w:rPr>
          <w:rFonts w:ascii="Nyala" w:hAnsi="Nyala" w:cs="Calibri"/>
          <w:sz w:val="28"/>
          <w:szCs w:val="28"/>
        </w:rPr>
        <w:lastRenderedPageBreak/>
        <w:t xml:space="preserve">BokoHaram est devenu moins virulent, mais le Mouvement pour l'Unité et le Jihad en Afrique de l'Ouest (MUJAO), basé au Mali, mène des attaques de plus en plus fréquentes, intensives et mortelles dans la région de Tillabéri depuis 2016. </w:t>
      </w:r>
    </w:p>
    <w:p w:rsidR="00F31951" w:rsidRDefault="00F31951" w:rsidP="00CF0CAC">
      <w:pPr>
        <w:jc w:val="both"/>
        <w:rPr>
          <w:rFonts w:ascii="Nyala" w:hAnsi="Nyala" w:cs="Calibri"/>
          <w:sz w:val="28"/>
          <w:szCs w:val="28"/>
        </w:rPr>
      </w:pPr>
      <w:r w:rsidRPr="006866D3">
        <w:rPr>
          <w:rFonts w:ascii="Nyala" w:hAnsi="Nyala" w:cs="Calibri"/>
          <w:sz w:val="28"/>
          <w:szCs w:val="28"/>
        </w:rPr>
        <w:t xml:space="preserve">Toutefois, le pays a pris des mesures énergiques pour assurer l’intégrité de ses frontières, la paix et la quiétude de ses populations. L’armée nigérienne mène des missions de maintien de la paix dans les pays voisins. La coopération militaire s’est renforcée avec des pays d’Europe, les Etats-Unis et les pays voisins (Nigeria, Mali, Tchad, Burkina, Mauritanie).  </w:t>
      </w:r>
    </w:p>
    <w:p w:rsidR="00C5223F" w:rsidRPr="006866D3" w:rsidRDefault="00C5223F" w:rsidP="00CF0CAC">
      <w:pPr>
        <w:jc w:val="both"/>
        <w:rPr>
          <w:rFonts w:ascii="Nyala" w:hAnsi="Nyala" w:cs="Calibri"/>
          <w:sz w:val="28"/>
          <w:szCs w:val="28"/>
        </w:rPr>
      </w:pPr>
    </w:p>
    <w:p w:rsidR="00F31951" w:rsidRPr="006866D3" w:rsidRDefault="00B27BE7" w:rsidP="00CF0CAC">
      <w:pPr>
        <w:jc w:val="both"/>
        <w:rPr>
          <w:rStyle w:val="Rfrenceintense"/>
          <w:rFonts w:ascii="Calibri" w:hAnsi="Calibri" w:cs="Calibri"/>
          <w:sz w:val="28"/>
          <w:szCs w:val="28"/>
        </w:rPr>
      </w:pPr>
      <w:r w:rsidRPr="006866D3">
        <w:rPr>
          <w:rStyle w:val="Rfrenceintense"/>
          <w:rFonts w:ascii="Calibri" w:hAnsi="Calibri" w:cs="Calibri"/>
          <w:sz w:val="28"/>
          <w:szCs w:val="28"/>
        </w:rPr>
        <w:t>Contexte spécifique du secteur rural</w:t>
      </w:r>
    </w:p>
    <w:p w:rsidR="00B537FA" w:rsidRPr="006866D3" w:rsidRDefault="00FD405A" w:rsidP="00CF0CAC">
      <w:pPr>
        <w:spacing w:before="0"/>
        <w:jc w:val="both"/>
        <w:rPr>
          <w:rFonts w:ascii="Nyala" w:hAnsi="Nyala" w:cstheme="minorHAnsi"/>
          <w:sz w:val="28"/>
          <w:szCs w:val="28"/>
        </w:rPr>
      </w:pPr>
      <w:r w:rsidRPr="006866D3">
        <w:rPr>
          <w:rFonts w:ascii="Nyala" w:hAnsi="Nyala" w:cstheme="minorHAnsi"/>
          <w:sz w:val="28"/>
          <w:szCs w:val="28"/>
        </w:rPr>
        <w:t xml:space="preserve">Malgré son aridité, le Niger est un pays d’agriculture et d’élevage. En tenant compte des caractéristiques bioclimatiques et hydrographiques, le Niger comprend une pluralité de systèmes agroécologiques conduisant à une diversité de </w:t>
      </w:r>
      <w:r w:rsidR="00B537FA" w:rsidRPr="006866D3">
        <w:rPr>
          <w:rFonts w:ascii="Nyala" w:hAnsi="Nyala" w:cstheme="minorHAnsi"/>
          <w:sz w:val="28"/>
          <w:szCs w:val="28"/>
        </w:rPr>
        <w:t xml:space="preserve">systèmes de productions agricoles, pastorales ou forestières. </w:t>
      </w:r>
    </w:p>
    <w:p w:rsidR="00B537FA" w:rsidRPr="006866D3" w:rsidRDefault="00B537FA" w:rsidP="00CF0CAC">
      <w:pPr>
        <w:spacing w:before="0"/>
        <w:jc w:val="both"/>
        <w:rPr>
          <w:rFonts w:ascii="Nyala" w:hAnsi="Nyala" w:cstheme="minorHAnsi"/>
          <w:sz w:val="28"/>
          <w:szCs w:val="28"/>
        </w:rPr>
      </w:pPr>
      <w:r w:rsidRPr="006866D3">
        <w:rPr>
          <w:rFonts w:ascii="Nyala" w:hAnsi="Nyala" w:cstheme="minorHAnsi"/>
          <w:sz w:val="28"/>
          <w:szCs w:val="28"/>
        </w:rPr>
        <w:t xml:space="preserve">Les terres pâturables représentent 62 millions d’hectares (soit 45% du territoire) et elles sont réparties entre la zone pastorale et la zone agricole. Le cheptel est estimé à 35 millions de têtes réparties auprès de 87% des ménages. Selon les zones </w:t>
      </w:r>
      <w:r w:rsidR="00FD405A" w:rsidRPr="006866D3">
        <w:rPr>
          <w:rFonts w:ascii="Nyala" w:hAnsi="Nyala" w:cstheme="minorHAnsi"/>
          <w:sz w:val="28"/>
          <w:szCs w:val="28"/>
        </w:rPr>
        <w:t>agroécologiques</w:t>
      </w:r>
      <w:r w:rsidRPr="006866D3">
        <w:rPr>
          <w:rFonts w:ascii="Nyala" w:hAnsi="Nyala" w:cstheme="minorHAnsi"/>
          <w:sz w:val="28"/>
          <w:szCs w:val="28"/>
        </w:rPr>
        <w:t xml:space="preserve">, l’on distingue trois grands systèmes d’élevage : </w:t>
      </w:r>
      <w:r w:rsidR="00F80052">
        <w:rPr>
          <w:rFonts w:ascii="Nyala" w:hAnsi="Nyala" w:cstheme="minorHAnsi"/>
          <w:sz w:val="28"/>
          <w:szCs w:val="28"/>
        </w:rPr>
        <w:t>l</w:t>
      </w:r>
      <w:r w:rsidRPr="006866D3">
        <w:rPr>
          <w:rFonts w:ascii="Nyala" w:hAnsi="Nyala" w:cstheme="minorHAnsi"/>
          <w:sz w:val="28"/>
          <w:szCs w:val="28"/>
        </w:rPr>
        <w:t>es deux tiers (66%) du cheptel sont dans la zone agricole (élevage dit sédentaire), 18% dans la zone subdésertique à désertique (élevage nomade : le troupeau ne quitte pas la zone) et 16% sont dans un système de transhumance Nord-Sud (élevage transhumant).</w:t>
      </w:r>
    </w:p>
    <w:p w:rsidR="00B537FA" w:rsidRPr="006866D3" w:rsidRDefault="00B537FA" w:rsidP="00CF0CAC">
      <w:pPr>
        <w:spacing w:before="0"/>
        <w:jc w:val="both"/>
        <w:rPr>
          <w:rFonts w:ascii="Nyala" w:hAnsi="Nyala"/>
          <w:sz w:val="28"/>
          <w:szCs w:val="28"/>
        </w:rPr>
      </w:pPr>
      <w:r w:rsidRPr="006866D3">
        <w:rPr>
          <w:rFonts w:ascii="Nyala" w:hAnsi="Nyala" w:cstheme="minorHAnsi"/>
          <w:sz w:val="28"/>
          <w:szCs w:val="28"/>
        </w:rPr>
        <w:t xml:space="preserve">Les terres forestières </w:t>
      </w:r>
      <w:r w:rsidR="00FD405A" w:rsidRPr="006866D3">
        <w:rPr>
          <w:rFonts w:ascii="Nyala" w:hAnsi="Nyala" w:cstheme="minorHAnsi"/>
          <w:sz w:val="28"/>
          <w:szCs w:val="28"/>
        </w:rPr>
        <w:t xml:space="preserve">sont </w:t>
      </w:r>
      <w:r w:rsidRPr="006866D3">
        <w:rPr>
          <w:rFonts w:ascii="Nyala" w:hAnsi="Nyala"/>
          <w:sz w:val="28"/>
          <w:szCs w:val="28"/>
        </w:rPr>
        <w:t>estimées</w:t>
      </w:r>
      <w:r w:rsidRPr="006866D3">
        <w:rPr>
          <w:rFonts w:ascii="Nyala" w:hAnsi="Nyala" w:cstheme="minorHAnsi"/>
          <w:sz w:val="28"/>
          <w:szCs w:val="28"/>
        </w:rPr>
        <w:t xml:space="preserve"> à 16 millions d’hectares</w:t>
      </w:r>
      <w:r w:rsidR="00FD405A" w:rsidRPr="006866D3">
        <w:rPr>
          <w:rFonts w:ascii="Nyala" w:hAnsi="Nyala" w:cstheme="minorHAnsi"/>
          <w:sz w:val="28"/>
          <w:szCs w:val="28"/>
        </w:rPr>
        <w:t xml:space="preserve"> répartis en </w:t>
      </w:r>
      <w:r w:rsidRPr="006866D3">
        <w:rPr>
          <w:rFonts w:ascii="Nyala" w:hAnsi="Nyala" w:cstheme="minorHAnsi"/>
          <w:sz w:val="28"/>
          <w:szCs w:val="28"/>
        </w:rPr>
        <w:t>aires protégées (8,41 millions d’hectares de parcs, réserves, sanctuaires)</w:t>
      </w:r>
      <w:r w:rsidR="00FD405A" w:rsidRPr="006866D3">
        <w:rPr>
          <w:rFonts w:ascii="Nyala" w:hAnsi="Nyala" w:cstheme="minorHAnsi"/>
          <w:sz w:val="28"/>
          <w:szCs w:val="28"/>
        </w:rPr>
        <w:t>, en formations naturelles et parcs agroforestiers</w:t>
      </w:r>
      <w:r w:rsidRPr="006866D3">
        <w:rPr>
          <w:rFonts w:ascii="Nyala" w:hAnsi="Nyala" w:cstheme="minorHAnsi"/>
          <w:sz w:val="28"/>
          <w:szCs w:val="28"/>
        </w:rPr>
        <w:t xml:space="preserve">. </w:t>
      </w:r>
      <w:r w:rsidR="00FD405A" w:rsidRPr="006866D3">
        <w:rPr>
          <w:rFonts w:ascii="Nyala" w:hAnsi="Nyala" w:cstheme="minorHAnsi"/>
          <w:sz w:val="28"/>
          <w:szCs w:val="28"/>
        </w:rPr>
        <w:t xml:space="preserve">Dans ces derniers, l’arbre est associé aux cultures. Les principaux parcs agroforestiers rencontrés sont </w:t>
      </w:r>
      <w:r w:rsidR="00FD405A" w:rsidRPr="006866D3">
        <w:rPr>
          <w:rFonts w:ascii="Nyala" w:hAnsi="Nyala"/>
          <w:sz w:val="28"/>
          <w:szCs w:val="28"/>
        </w:rPr>
        <w:t xml:space="preserve">: Parcs à </w:t>
      </w:r>
      <w:r w:rsidR="00FD405A" w:rsidRPr="006866D3">
        <w:rPr>
          <w:rFonts w:ascii="Nyala" w:hAnsi="Nyala"/>
          <w:i/>
          <w:sz w:val="28"/>
          <w:szCs w:val="28"/>
        </w:rPr>
        <w:t>Acacia albida</w:t>
      </w:r>
      <w:r w:rsidR="00FD405A" w:rsidRPr="006866D3">
        <w:rPr>
          <w:rFonts w:ascii="Nyala" w:hAnsi="Nyala"/>
          <w:sz w:val="28"/>
          <w:szCs w:val="28"/>
        </w:rPr>
        <w:t xml:space="preserve">, </w:t>
      </w:r>
      <w:r w:rsidR="00FD405A" w:rsidRPr="006866D3">
        <w:rPr>
          <w:rFonts w:ascii="Nyala" w:hAnsi="Nyala"/>
          <w:i/>
          <w:sz w:val="28"/>
          <w:szCs w:val="28"/>
        </w:rPr>
        <w:t>Doumeraies</w:t>
      </w:r>
      <w:r w:rsidR="00FD405A" w:rsidRPr="006866D3">
        <w:rPr>
          <w:rFonts w:ascii="Nyala" w:hAnsi="Nyala"/>
          <w:sz w:val="28"/>
          <w:szCs w:val="28"/>
        </w:rPr>
        <w:t xml:space="preserve">, </w:t>
      </w:r>
      <w:r w:rsidR="00FD405A" w:rsidRPr="006866D3">
        <w:rPr>
          <w:rFonts w:ascii="Nyala" w:hAnsi="Nyala"/>
          <w:i/>
          <w:sz w:val="28"/>
          <w:szCs w:val="28"/>
        </w:rPr>
        <w:t>Parcs à Parinari macrophylla</w:t>
      </w:r>
      <w:r w:rsidR="00FD405A" w:rsidRPr="006866D3">
        <w:rPr>
          <w:rFonts w:ascii="Nyala" w:hAnsi="Nyala"/>
          <w:sz w:val="28"/>
          <w:szCs w:val="28"/>
        </w:rPr>
        <w:t xml:space="preserve">, </w:t>
      </w:r>
      <w:r w:rsidR="00FD405A" w:rsidRPr="006866D3">
        <w:rPr>
          <w:rFonts w:ascii="Nyala" w:hAnsi="Nyala"/>
          <w:i/>
          <w:sz w:val="28"/>
          <w:szCs w:val="28"/>
        </w:rPr>
        <w:t>Parcs à Butyrospermum parkii</w:t>
      </w:r>
      <w:r w:rsidR="00FD405A" w:rsidRPr="006866D3">
        <w:rPr>
          <w:rFonts w:ascii="Nyala" w:hAnsi="Nyala"/>
          <w:sz w:val="28"/>
          <w:szCs w:val="28"/>
        </w:rPr>
        <w:t xml:space="preserve"> (karité) et à </w:t>
      </w:r>
      <w:r w:rsidR="00FD405A" w:rsidRPr="006866D3">
        <w:rPr>
          <w:rFonts w:ascii="Nyala" w:hAnsi="Nyala"/>
          <w:i/>
          <w:sz w:val="28"/>
          <w:szCs w:val="28"/>
        </w:rPr>
        <w:t>Prosopis africana</w:t>
      </w:r>
      <w:r w:rsidR="00FD405A" w:rsidRPr="006866D3">
        <w:rPr>
          <w:rFonts w:ascii="Nyala" w:hAnsi="Nyala"/>
          <w:sz w:val="28"/>
          <w:szCs w:val="28"/>
        </w:rPr>
        <w:t xml:space="preserve">. </w:t>
      </w:r>
      <w:r w:rsidRPr="006866D3">
        <w:rPr>
          <w:rFonts w:ascii="Nyala" w:hAnsi="Nyala" w:cstheme="minorHAnsi"/>
          <w:sz w:val="28"/>
          <w:szCs w:val="28"/>
        </w:rPr>
        <w:t xml:space="preserve">Les ressources forestières sont la première source d’énergie domestique et elles jouent un rôle déterminant dans l’alimentation et l’économie des ménages. Elles sont également une source de devises (cas de la </w:t>
      </w:r>
      <w:r w:rsidRPr="006866D3">
        <w:rPr>
          <w:rFonts w:ascii="Nyala" w:hAnsi="Nyala"/>
          <w:sz w:val="28"/>
          <w:szCs w:val="28"/>
        </w:rPr>
        <w:t xml:space="preserve">gomme arabique). </w:t>
      </w:r>
    </w:p>
    <w:p w:rsidR="00B537FA" w:rsidRDefault="00B537FA" w:rsidP="00CF0CAC">
      <w:pPr>
        <w:spacing w:before="0"/>
        <w:jc w:val="both"/>
        <w:rPr>
          <w:rFonts w:ascii="Nyala" w:hAnsi="Nyala"/>
          <w:sz w:val="28"/>
          <w:szCs w:val="28"/>
        </w:rPr>
      </w:pPr>
      <w:r w:rsidRPr="006866D3">
        <w:rPr>
          <w:rFonts w:ascii="Nyala" w:hAnsi="Nyala" w:cstheme="minorHAnsi"/>
          <w:sz w:val="28"/>
          <w:szCs w:val="28"/>
        </w:rPr>
        <w:t xml:space="preserve">Les terres agricoles représentent 15 millions d’hectares. Il s’agit d’une bande d’environ 200 km de large </w:t>
      </w:r>
      <w:r w:rsidRPr="006866D3">
        <w:rPr>
          <w:rFonts w:ascii="Nyala" w:hAnsi="Nyala"/>
          <w:sz w:val="28"/>
          <w:szCs w:val="28"/>
        </w:rPr>
        <w:t>dont</w:t>
      </w:r>
      <w:r w:rsidRPr="006866D3">
        <w:rPr>
          <w:rFonts w:ascii="Nyala" w:hAnsi="Nyala" w:cstheme="minorHAnsi"/>
          <w:sz w:val="28"/>
          <w:szCs w:val="28"/>
        </w:rPr>
        <w:t xml:space="preserve"> près de la moitié est déjà exploitée pour la production de céréales pluviales (Mil, Sorgho), les légumineuses (arachide, Niébé) et d’autres cultures secondaires. Le potentiel en ressources hydriques et terres irrigables (330 000 ha) n’est pas négligeable. Ces terres irrigables se trouvent dans la vallée du Fleuve Niger et ses affluents, les fleuves fossiles des Dallols avec son chapelet de mares et de nappe affleurant, les vallées des cours d’eau temporaire des Goulbis, Koroma et de la Komadougou et les cuve</w:t>
      </w:r>
      <w:r w:rsidR="00CB1879">
        <w:rPr>
          <w:rFonts w:ascii="Nyala" w:hAnsi="Nyala" w:cstheme="minorHAnsi"/>
          <w:sz w:val="28"/>
          <w:szCs w:val="28"/>
        </w:rPr>
        <w:t>tt</w:t>
      </w:r>
      <w:r w:rsidRPr="006866D3">
        <w:rPr>
          <w:rFonts w:ascii="Nyala" w:hAnsi="Nyala" w:cstheme="minorHAnsi"/>
          <w:sz w:val="28"/>
          <w:szCs w:val="28"/>
        </w:rPr>
        <w:t xml:space="preserve">es oasiennes de l’est. La zone désertique renferme également d’immenses vallées inondables comme la Vallée de l’irhazer et des oasis dont la richesse en eaux souterraines en fait d’excellentes terres d’irrigation. Mais seulement, un tiers  des terres irrigables, </w:t>
      </w:r>
      <w:r w:rsidRPr="006866D3">
        <w:rPr>
          <w:rFonts w:ascii="Nyala" w:hAnsi="Nyala"/>
          <w:sz w:val="28"/>
          <w:szCs w:val="28"/>
        </w:rPr>
        <w:t>1% des eaux d’écoulement, 15% des eaux souterraines et 30% des terres irrigables sont actuellement utilisés.</w:t>
      </w:r>
    </w:p>
    <w:p w:rsidR="00417CDD" w:rsidRDefault="00417CDD" w:rsidP="00CF0CAC">
      <w:pPr>
        <w:spacing w:before="0"/>
        <w:jc w:val="both"/>
        <w:rPr>
          <w:rFonts w:ascii="Nyala" w:hAnsi="Nyala"/>
          <w:sz w:val="28"/>
          <w:szCs w:val="28"/>
        </w:rPr>
      </w:pPr>
    </w:p>
    <w:p w:rsidR="001A0938" w:rsidRPr="009B11E1" w:rsidRDefault="001A0938" w:rsidP="00141D20">
      <w:pPr>
        <w:jc w:val="both"/>
        <w:rPr>
          <w:rStyle w:val="Rfrenceintense"/>
          <w:rFonts w:ascii="Calibri" w:hAnsi="Calibri" w:cs="Calibri"/>
          <w:sz w:val="28"/>
          <w:szCs w:val="28"/>
        </w:rPr>
      </w:pPr>
      <w:r w:rsidRPr="009B11E1">
        <w:rPr>
          <w:rStyle w:val="Rfrenceintense"/>
          <w:rFonts w:ascii="Calibri" w:hAnsi="Calibri" w:cs="Calibri"/>
          <w:sz w:val="28"/>
          <w:szCs w:val="28"/>
        </w:rPr>
        <w:t>Problématique de l’insécurité alimentaire et nutritionnelle</w:t>
      </w:r>
    </w:p>
    <w:p w:rsidR="00C16820" w:rsidRPr="006866D3" w:rsidRDefault="00FD405A" w:rsidP="00CF0CAC">
      <w:pPr>
        <w:spacing w:before="0" w:after="0"/>
        <w:jc w:val="both"/>
        <w:rPr>
          <w:rFonts w:ascii="Nyala" w:hAnsi="Nyala" w:cstheme="minorHAnsi"/>
          <w:sz w:val="28"/>
          <w:szCs w:val="28"/>
        </w:rPr>
      </w:pPr>
      <w:r w:rsidRPr="006866D3">
        <w:rPr>
          <w:rFonts w:ascii="Nyala" w:hAnsi="Nyala" w:cstheme="minorHAnsi"/>
          <w:sz w:val="28"/>
          <w:szCs w:val="28"/>
        </w:rPr>
        <w:t xml:space="preserve">Ainsi, le Niger dispose d’un potentiel </w:t>
      </w:r>
      <w:r w:rsidR="00B537FA" w:rsidRPr="006866D3">
        <w:rPr>
          <w:rFonts w:ascii="Nyala" w:hAnsi="Nyala" w:cstheme="minorHAnsi"/>
          <w:sz w:val="28"/>
          <w:szCs w:val="28"/>
        </w:rPr>
        <w:t xml:space="preserve">pour </w:t>
      </w:r>
      <w:r w:rsidRPr="006866D3">
        <w:rPr>
          <w:rFonts w:ascii="Nyala" w:hAnsi="Nyala" w:cstheme="minorHAnsi"/>
          <w:sz w:val="28"/>
          <w:szCs w:val="28"/>
        </w:rPr>
        <w:t>s’</w:t>
      </w:r>
      <w:r w:rsidR="00B537FA" w:rsidRPr="006866D3">
        <w:rPr>
          <w:rFonts w:ascii="Nyala" w:hAnsi="Nyala" w:cstheme="minorHAnsi"/>
          <w:sz w:val="28"/>
          <w:szCs w:val="28"/>
        </w:rPr>
        <w:t xml:space="preserve">assurer </w:t>
      </w:r>
      <w:r w:rsidRPr="006866D3">
        <w:rPr>
          <w:rFonts w:ascii="Nyala" w:hAnsi="Nyala" w:cstheme="minorHAnsi"/>
          <w:sz w:val="28"/>
          <w:szCs w:val="28"/>
        </w:rPr>
        <w:t xml:space="preserve">un certain niveau de </w:t>
      </w:r>
      <w:r w:rsidR="00B537FA" w:rsidRPr="006866D3">
        <w:rPr>
          <w:rFonts w:ascii="Nyala" w:hAnsi="Nyala" w:cstheme="minorHAnsi"/>
          <w:sz w:val="28"/>
          <w:szCs w:val="28"/>
        </w:rPr>
        <w:t xml:space="preserve">sécurité alimentaire et nutritionnelle. </w:t>
      </w:r>
      <w:r w:rsidR="00C9366C" w:rsidRPr="006866D3">
        <w:rPr>
          <w:rFonts w:ascii="Nyala" w:hAnsi="Nyala" w:cstheme="minorHAnsi"/>
          <w:sz w:val="28"/>
          <w:szCs w:val="28"/>
        </w:rPr>
        <w:t xml:space="preserve">Toutefois, la forte fluctuation des régimes pluviométriques, la maîtrise insuffisante de l’eau pour l’irrigation et l’insuffisance des points d’eau pastoraux ne permettent de garantir une production agricole et pastorale suffisante et stable d’année en année. </w:t>
      </w:r>
      <w:r w:rsidR="00F80052">
        <w:rPr>
          <w:rFonts w:ascii="Nyala" w:hAnsi="Nyala" w:cstheme="minorHAnsi"/>
          <w:sz w:val="28"/>
          <w:szCs w:val="28"/>
        </w:rPr>
        <w:t>Le</w:t>
      </w:r>
      <w:r w:rsidR="00C9366C" w:rsidRPr="006866D3">
        <w:rPr>
          <w:rFonts w:ascii="Nyala" w:hAnsi="Nyala" w:cstheme="minorHAnsi"/>
          <w:sz w:val="28"/>
          <w:szCs w:val="28"/>
        </w:rPr>
        <w:t xml:space="preserve"> pays vit régulièrement des situations de déficits céréaliers et fourragers qui deviennent de plus en plus récurrents avec le changement climatique et son corollaire de dégradation de terres, de sécheresse récurrente ou d’inondation et dont la conséquence est d’éroder la résilience des ménages les plus pauvres et les systèmes de production agropastoraux. </w:t>
      </w:r>
    </w:p>
    <w:p w:rsidR="00C16820" w:rsidRDefault="00C16820" w:rsidP="00CF0CAC">
      <w:pPr>
        <w:spacing w:before="0" w:after="0"/>
        <w:jc w:val="both"/>
        <w:rPr>
          <w:rFonts w:ascii="Nyala" w:hAnsi="Nyala" w:cstheme="minorHAnsi"/>
          <w:sz w:val="28"/>
          <w:szCs w:val="28"/>
        </w:rPr>
      </w:pPr>
    </w:p>
    <w:p w:rsidR="00075042" w:rsidRPr="00AA4A81" w:rsidRDefault="00075042" w:rsidP="00075042">
      <w:pPr>
        <w:shd w:val="clear" w:color="auto" w:fill="FFFFFF"/>
        <w:jc w:val="both"/>
        <w:rPr>
          <w:rFonts w:ascii="Nyala" w:hAnsi="Nyala" w:cstheme="minorHAnsi"/>
          <w:sz w:val="28"/>
          <w:szCs w:val="28"/>
        </w:rPr>
      </w:pPr>
      <w:r>
        <w:rPr>
          <w:rFonts w:ascii="Nyala" w:hAnsi="Nyala" w:cstheme="minorHAnsi"/>
          <w:sz w:val="28"/>
          <w:szCs w:val="28"/>
        </w:rPr>
        <w:t>L</w:t>
      </w:r>
      <w:r w:rsidRPr="00AA4A81">
        <w:rPr>
          <w:rFonts w:ascii="Nyala" w:hAnsi="Nyala" w:cstheme="minorHAnsi"/>
          <w:sz w:val="28"/>
          <w:szCs w:val="28"/>
        </w:rPr>
        <w:t xml:space="preserve">es </w:t>
      </w:r>
      <w:r>
        <w:rPr>
          <w:rFonts w:ascii="Nyala" w:hAnsi="Nyala" w:cstheme="minorHAnsi"/>
          <w:sz w:val="28"/>
          <w:szCs w:val="28"/>
        </w:rPr>
        <w:t xml:space="preserve">principales </w:t>
      </w:r>
      <w:r w:rsidRPr="001671B0">
        <w:rPr>
          <w:rFonts w:ascii="Nyala" w:hAnsi="Nyala" w:cstheme="minorHAnsi"/>
          <w:sz w:val="28"/>
          <w:szCs w:val="28"/>
        </w:rPr>
        <w:t>causes liées à la faiblesse des</w:t>
      </w:r>
      <w:r w:rsidRPr="00AA4A81">
        <w:rPr>
          <w:rFonts w:ascii="Nyala" w:hAnsi="Nyala" w:cstheme="minorHAnsi"/>
          <w:sz w:val="28"/>
          <w:szCs w:val="28"/>
        </w:rPr>
        <w:t xml:space="preserve"> disponibilités alimentaires </w:t>
      </w:r>
      <w:r>
        <w:rPr>
          <w:rFonts w:ascii="Nyala" w:hAnsi="Nyala" w:cstheme="minorHAnsi"/>
          <w:sz w:val="28"/>
          <w:szCs w:val="28"/>
        </w:rPr>
        <w:t>selon les années sont</w:t>
      </w:r>
      <w:r w:rsidRPr="00AA4A81">
        <w:rPr>
          <w:rFonts w:ascii="Nyala" w:hAnsi="Nyala" w:cstheme="minorHAnsi"/>
          <w:sz w:val="28"/>
          <w:szCs w:val="28"/>
        </w:rPr>
        <w:t xml:space="preserve"> regroupées à trois niveaux :</w:t>
      </w:r>
      <w:r>
        <w:rPr>
          <w:rFonts w:ascii="Nyala" w:hAnsi="Nyala" w:cstheme="minorHAnsi"/>
          <w:sz w:val="28"/>
          <w:szCs w:val="28"/>
        </w:rPr>
        <w:t xml:space="preserve"> i) un</w:t>
      </w:r>
      <w:r w:rsidRPr="00AA4A81">
        <w:rPr>
          <w:rFonts w:ascii="Nyala" w:hAnsi="Nyala" w:cstheme="minorHAnsi"/>
          <w:sz w:val="28"/>
          <w:szCs w:val="28"/>
        </w:rPr>
        <w:t xml:space="preserve"> capital productif </w:t>
      </w:r>
      <w:r>
        <w:rPr>
          <w:rFonts w:ascii="Nyala" w:hAnsi="Nyala" w:cstheme="minorHAnsi"/>
          <w:sz w:val="28"/>
          <w:szCs w:val="28"/>
        </w:rPr>
        <w:t xml:space="preserve">qui est peu valorisé </w:t>
      </w:r>
      <w:r w:rsidRPr="00AA4A81">
        <w:rPr>
          <w:rFonts w:ascii="Nyala" w:hAnsi="Nyala" w:cstheme="minorHAnsi"/>
          <w:sz w:val="28"/>
          <w:szCs w:val="28"/>
        </w:rPr>
        <w:t>(terre, eau, forêt et cheptel),</w:t>
      </w:r>
      <w:r>
        <w:rPr>
          <w:rFonts w:ascii="Nyala" w:hAnsi="Nyala" w:cstheme="minorHAnsi"/>
          <w:sz w:val="28"/>
          <w:szCs w:val="28"/>
        </w:rPr>
        <w:t xml:space="preserve"> ii) des</w:t>
      </w:r>
      <w:r w:rsidRPr="00AA4A81">
        <w:rPr>
          <w:rFonts w:ascii="Nyala" w:hAnsi="Nyala" w:cstheme="minorHAnsi"/>
          <w:sz w:val="28"/>
          <w:szCs w:val="28"/>
        </w:rPr>
        <w:t xml:space="preserve"> système</w:t>
      </w:r>
      <w:r>
        <w:rPr>
          <w:rFonts w:ascii="Nyala" w:hAnsi="Nyala" w:cstheme="minorHAnsi"/>
          <w:sz w:val="28"/>
          <w:szCs w:val="28"/>
        </w:rPr>
        <w:t>s</w:t>
      </w:r>
      <w:r w:rsidRPr="00AA4A81">
        <w:rPr>
          <w:rFonts w:ascii="Nyala" w:hAnsi="Nyala" w:cstheme="minorHAnsi"/>
          <w:sz w:val="28"/>
          <w:szCs w:val="28"/>
        </w:rPr>
        <w:t xml:space="preserve"> de production</w:t>
      </w:r>
      <w:r>
        <w:rPr>
          <w:rFonts w:ascii="Nyala" w:hAnsi="Nyala" w:cstheme="minorHAnsi"/>
          <w:sz w:val="28"/>
          <w:szCs w:val="28"/>
        </w:rPr>
        <w:t xml:space="preserve">speu performants </w:t>
      </w:r>
      <w:r w:rsidRPr="00AA4A81">
        <w:rPr>
          <w:rFonts w:ascii="Nyala" w:hAnsi="Nyala" w:cstheme="minorHAnsi"/>
          <w:sz w:val="28"/>
          <w:szCs w:val="28"/>
        </w:rPr>
        <w:t>(rendement, gestion et facteurs socioéconomiques) et</w:t>
      </w:r>
      <w:r>
        <w:rPr>
          <w:rFonts w:ascii="Nyala" w:hAnsi="Nyala" w:cstheme="minorHAnsi"/>
          <w:sz w:val="28"/>
          <w:szCs w:val="28"/>
        </w:rPr>
        <w:t xml:space="preserve"> iii) d</w:t>
      </w:r>
      <w:r w:rsidRPr="00AA4A81">
        <w:rPr>
          <w:rFonts w:ascii="Nyala" w:hAnsi="Nyala" w:cstheme="minorHAnsi"/>
          <w:sz w:val="28"/>
          <w:szCs w:val="28"/>
        </w:rPr>
        <w:t>e</w:t>
      </w:r>
      <w:r>
        <w:rPr>
          <w:rFonts w:ascii="Nyala" w:hAnsi="Nyala" w:cstheme="minorHAnsi"/>
          <w:sz w:val="28"/>
          <w:szCs w:val="28"/>
        </w:rPr>
        <w:t>s</w:t>
      </w:r>
      <w:r w:rsidRPr="00AA4A81">
        <w:rPr>
          <w:rFonts w:ascii="Nyala" w:hAnsi="Nyala" w:cstheme="minorHAnsi"/>
          <w:sz w:val="28"/>
          <w:szCs w:val="28"/>
        </w:rPr>
        <w:t xml:space="preserve"> dispositif</w:t>
      </w:r>
      <w:r>
        <w:rPr>
          <w:rFonts w:ascii="Nyala" w:hAnsi="Nyala" w:cstheme="minorHAnsi"/>
          <w:sz w:val="28"/>
          <w:szCs w:val="28"/>
        </w:rPr>
        <w:t>s</w:t>
      </w:r>
      <w:r w:rsidRPr="00AA4A81">
        <w:rPr>
          <w:rFonts w:ascii="Nyala" w:hAnsi="Nyala" w:cstheme="minorHAnsi"/>
          <w:sz w:val="28"/>
          <w:szCs w:val="28"/>
        </w:rPr>
        <w:t xml:space="preserve"> d’approvisionnement</w:t>
      </w:r>
      <w:r>
        <w:rPr>
          <w:rFonts w:ascii="Nyala" w:hAnsi="Nyala" w:cstheme="minorHAnsi"/>
          <w:sz w:val="28"/>
          <w:szCs w:val="28"/>
        </w:rPr>
        <w:t xml:space="preserve"> peu maitrisés</w:t>
      </w:r>
      <w:r w:rsidRPr="00AA4A81">
        <w:rPr>
          <w:rFonts w:ascii="Nyala" w:hAnsi="Nyala" w:cstheme="minorHAnsi"/>
          <w:sz w:val="28"/>
          <w:szCs w:val="28"/>
        </w:rPr>
        <w:t>.</w:t>
      </w:r>
    </w:p>
    <w:p w:rsidR="00075042" w:rsidRDefault="00075042" w:rsidP="00075042">
      <w:pPr>
        <w:jc w:val="both"/>
        <w:rPr>
          <w:rFonts w:ascii="Nyala" w:hAnsi="Nyala" w:cstheme="minorHAnsi"/>
          <w:sz w:val="28"/>
          <w:szCs w:val="28"/>
        </w:rPr>
      </w:pPr>
      <w:r w:rsidRPr="00AA4A81">
        <w:rPr>
          <w:rFonts w:ascii="Nyala" w:hAnsi="Nyala" w:cstheme="minorHAnsi"/>
          <w:sz w:val="28"/>
          <w:szCs w:val="28"/>
        </w:rPr>
        <w:t xml:space="preserve">Les problèmes </w:t>
      </w:r>
      <w:r w:rsidRPr="009B11E1">
        <w:rPr>
          <w:rFonts w:ascii="Nyala" w:hAnsi="Nyala" w:cstheme="minorHAnsi"/>
          <w:sz w:val="28"/>
          <w:szCs w:val="28"/>
        </w:rPr>
        <w:t>d’accessibilité et d’utilisation des aliments et nutriments</w:t>
      </w:r>
      <w:r w:rsidRPr="00AA4A81">
        <w:rPr>
          <w:rFonts w:ascii="Nyala" w:hAnsi="Nyala" w:cstheme="minorHAnsi"/>
          <w:sz w:val="28"/>
          <w:szCs w:val="28"/>
        </w:rPr>
        <w:t xml:space="preserve"> ont plusieurs causes</w:t>
      </w:r>
      <w:r>
        <w:rPr>
          <w:rFonts w:ascii="Nyala" w:hAnsi="Nyala" w:cstheme="minorHAnsi"/>
          <w:sz w:val="28"/>
          <w:szCs w:val="28"/>
        </w:rPr>
        <w:t xml:space="preserve"> : i) </w:t>
      </w:r>
      <w:r w:rsidRPr="00AA4A81">
        <w:rPr>
          <w:rFonts w:ascii="Nyala" w:hAnsi="Nyala" w:cstheme="minorHAnsi"/>
          <w:sz w:val="28"/>
          <w:szCs w:val="28"/>
        </w:rPr>
        <w:t>l’éloignement  du marché de produits alimentaires du lieu de résidence des ménages</w:t>
      </w:r>
      <w:r>
        <w:rPr>
          <w:rFonts w:ascii="Nyala" w:hAnsi="Nyala" w:cstheme="minorHAnsi"/>
          <w:sz w:val="28"/>
          <w:szCs w:val="28"/>
        </w:rPr>
        <w:t xml:space="preserve">, </w:t>
      </w:r>
      <w:r w:rsidRPr="00613547">
        <w:rPr>
          <w:rFonts w:ascii="Nyala" w:hAnsi="Nyala" w:cstheme="minorHAnsi"/>
          <w:sz w:val="28"/>
          <w:szCs w:val="28"/>
        </w:rPr>
        <w:t xml:space="preserve">aggravée </w:t>
      </w:r>
      <w:r>
        <w:rPr>
          <w:rFonts w:ascii="Nyala" w:hAnsi="Nyala" w:cstheme="minorHAnsi"/>
          <w:sz w:val="28"/>
          <w:szCs w:val="28"/>
        </w:rPr>
        <w:t xml:space="preserve">souvent </w:t>
      </w:r>
      <w:r w:rsidRPr="00AA4A81">
        <w:rPr>
          <w:rFonts w:ascii="Nyala" w:hAnsi="Nyala" w:cstheme="minorHAnsi"/>
          <w:sz w:val="28"/>
          <w:szCs w:val="28"/>
        </w:rPr>
        <w:t>par </w:t>
      </w:r>
      <w:r>
        <w:rPr>
          <w:rFonts w:ascii="Nyala" w:hAnsi="Nyala" w:cstheme="minorHAnsi"/>
          <w:sz w:val="28"/>
          <w:szCs w:val="28"/>
        </w:rPr>
        <w:t xml:space="preserve">une </w:t>
      </w:r>
      <w:r w:rsidRPr="00AA4A81">
        <w:rPr>
          <w:rFonts w:ascii="Nyala" w:hAnsi="Nyala" w:cstheme="minorHAnsi"/>
          <w:sz w:val="28"/>
          <w:szCs w:val="28"/>
        </w:rPr>
        <w:t>inadaptation des moyens de transport,</w:t>
      </w:r>
      <w:r>
        <w:rPr>
          <w:rFonts w:ascii="Nyala" w:hAnsi="Nyala" w:cstheme="minorHAnsi"/>
          <w:sz w:val="28"/>
          <w:szCs w:val="28"/>
        </w:rPr>
        <w:t xml:space="preserve"> la</w:t>
      </w:r>
      <w:r w:rsidRPr="00AA4A81">
        <w:rPr>
          <w:rFonts w:ascii="Nyala" w:hAnsi="Nyala" w:cstheme="minorHAnsi"/>
          <w:sz w:val="28"/>
          <w:szCs w:val="28"/>
        </w:rPr>
        <w:t xml:space="preserve"> cherté des coûts de transports et parfois la </w:t>
      </w:r>
      <w:r>
        <w:rPr>
          <w:rFonts w:ascii="Nyala" w:hAnsi="Nyala" w:cstheme="minorHAnsi"/>
          <w:sz w:val="28"/>
          <w:szCs w:val="28"/>
        </w:rPr>
        <w:t>rareté</w:t>
      </w:r>
      <w:r w:rsidRPr="00AA4A81">
        <w:rPr>
          <w:rFonts w:ascii="Nyala" w:hAnsi="Nyala" w:cstheme="minorHAnsi"/>
          <w:sz w:val="28"/>
          <w:szCs w:val="28"/>
        </w:rPr>
        <w:t xml:space="preserve"> des produits sur les marchés</w:t>
      </w:r>
      <w:r>
        <w:rPr>
          <w:rFonts w:ascii="Nyala" w:hAnsi="Nyala" w:cstheme="minorHAnsi"/>
          <w:sz w:val="28"/>
          <w:szCs w:val="28"/>
        </w:rPr>
        <w:t> </w:t>
      </w:r>
      <w:r w:rsidRPr="00327D42">
        <w:rPr>
          <w:rFonts w:ascii="Nyala" w:hAnsi="Nyala" w:cstheme="minorHAnsi"/>
          <w:sz w:val="28"/>
          <w:szCs w:val="28"/>
        </w:rPr>
        <w:t>;</w:t>
      </w:r>
      <w:r>
        <w:rPr>
          <w:rFonts w:ascii="Nyala" w:hAnsi="Nyala" w:cstheme="minorHAnsi"/>
          <w:sz w:val="28"/>
          <w:szCs w:val="28"/>
        </w:rPr>
        <w:t xml:space="preserve"> ii) </w:t>
      </w:r>
      <w:r w:rsidRPr="00AA4A81">
        <w:rPr>
          <w:rFonts w:ascii="Nyala" w:hAnsi="Nyala" w:cstheme="minorHAnsi"/>
          <w:sz w:val="28"/>
          <w:szCs w:val="28"/>
        </w:rPr>
        <w:t>la fa</w:t>
      </w:r>
      <w:r w:rsidRPr="00327D42">
        <w:rPr>
          <w:rFonts w:ascii="Nyala" w:hAnsi="Nyala" w:cstheme="minorHAnsi"/>
          <w:sz w:val="28"/>
          <w:szCs w:val="28"/>
        </w:rPr>
        <w:t>iblesse des revenus des ménages dont</w:t>
      </w:r>
      <w:r>
        <w:rPr>
          <w:rFonts w:ascii="Nyala" w:hAnsi="Nyala" w:cstheme="minorHAnsi"/>
          <w:sz w:val="28"/>
          <w:szCs w:val="28"/>
        </w:rPr>
        <w:t xml:space="preserve">près de 50 </w:t>
      </w:r>
      <w:r w:rsidRPr="00AA4A81">
        <w:rPr>
          <w:rFonts w:ascii="Nyala" w:hAnsi="Nyala" w:cstheme="minorHAnsi"/>
          <w:sz w:val="28"/>
          <w:szCs w:val="28"/>
        </w:rPr>
        <w:t xml:space="preserve">% des nigériens sont pauvres </w:t>
      </w:r>
      <w:r w:rsidRPr="00327D42">
        <w:rPr>
          <w:rFonts w:ascii="Nyala" w:hAnsi="Nyala" w:cstheme="minorHAnsi"/>
          <w:sz w:val="28"/>
          <w:szCs w:val="28"/>
        </w:rPr>
        <w:t>et 33% sont extrêmement pauvres;</w:t>
      </w:r>
      <w:r>
        <w:rPr>
          <w:rFonts w:ascii="Nyala" w:hAnsi="Nyala" w:cstheme="minorHAnsi"/>
          <w:sz w:val="28"/>
          <w:szCs w:val="28"/>
        </w:rPr>
        <w:t xml:space="preserve"> iii) </w:t>
      </w:r>
      <w:r w:rsidRPr="00AA4A81">
        <w:rPr>
          <w:rFonts w:ascii="Nyala" w:hAnsi="Nyala" w:cstheme="minorHAnsi"/>
          <w:sz w:val="28"/>
          <w:szCs w:val="28"/>
        </w:rPr>
        <w:t>des défaillances dans l’utilisation adéquate des aliments par  méconnaissance de la teneur des aliments en nutriments et des tabous alimentaires</w:t>
      </w:r>
      <w:r>
        <w:rPr>
          <w:rFonts w:ascii="Nyala" w:hAnsi="Nyala" w:cstheme="minorHAnsi"/>
          <w:sz w:val="28"/>
          <w:szCs w:val="28"/>
        </w:rPr>
        <w:t xml:space="preserve"> et iv) autres telles que la faible utilisation </w:t>
      </w:r>
      <w:r w:rsidRPr="004223A4">
        <w:rPr>
          <w:rFonts w:ascii="Nyala" w:hAnsi="Nyala" w:cstheme="minorHAnsi"/>
          <w:sz w:val="28"/>
          <w:szCs w:val="28"/>
        </w:rPr>
        <w:t>du sel non iodé</w:t>
      </w:r>
      <w:r>
        <w:rPr>
          <w:rFonts w:ascii="Nyala" w:hAnsi="Nyala" w:cstheme="minorHAnsi"/>
          <w:sz w:val="28"/>
          <w:szCs w:val="28"/>
        </w:rPr>
        <w:t>, l’insuffisance de l’accès à l’eau potable et à l’assainissement des aliments et de l’environnement.</w:t>
      </w:r>
    </w:p>
    <w:p w:rsidR="00417CDD" w:rsidRDefault="00417CDD" w:rsidP="00417CDD">
      <w:pPr>
        <w:shd w:val="clear" w:color="auto" w:fill="FFFFFF"/>
        <w:jc w:val="both"/>
        <w:rPr>
          <w:rFonts w:ascii="Nyala" w:hAnsi="Nyala" w:cstheme="minorHAnsi"/>
          <w:sz w:val="28"/>
          <w:szCs w:val="28"/>
        </w:rPr>
      </w:pPr>
      <w:r>
        <w:rPr>
          <w:rFonts w:ascii="Nyala" w:hAnsi="Nyala" w:cstheme="minorHAnsi"/>
          <w:sz w:val="28"/>
          <w:szCs w:val="28"/>
        </w:rPr>
        <w:t xml:space="preserve">A cela, il faudrait ajouter une dimension genre spécifique. En effet, dans de nombreuses sociétés humaines (le Niger ne fait pas exception), les femmes et les jeunes sont l’objet </w:t>
      </w:r>
      <w:r w:rsidR="00A918CF">
        <w:rPr>
          <w:rFonts w:ascii="Nyala" w:hAnsi="Nyala" w:cstheme="minorHAnsi"/>
          <w:sz w:val="28"/>
          <w:szCs w:val="28"/>
        </w:rPr>
        <w:t xml:space="preserve">de traitements inégaux et inéquitables </w:t>
      </w:r>
      <w:r>
        <w:rPr>
          <w:rFonts w:ascii="Nyala" w:hAnsi="Nyala" w:cstheme="minorHAnsi"/>
          <w:sz w:val="28"/>
          <w:szCs w:val="28"/>
        </w:rPr>
        <w:t xml:space="preserve">multiples et multiformes qui impactent sur leur accessibilité aux aliments et nutriments nécessaires à leur épanouissement. </w:t>
      </w:r>
    </w:p>
    <w:p w:rsidR="00417CDD" w:rsidRDefault="00417CDD" w:rsidP="00417CDD">
      <w:pPr>
        <w:shd w:val="clear" w:color="auto" w:fill="FFFFFF"/>
        <w:jc w:val="both"/>
        <w:rPr>
          <w:rFonts w:ascii="Nyala" w:hAnsi="Nyala" w:cstheme="minorHAnsi"/>
          <w:sz w:val="28"/>
          <w:szCs w:val="28"/>
        </w:rPr>
      </w:pPr>
      <w:r>
        <w:rPr>
          <w:rFonts w:ascii="Nyala" w:hAnsi="Nyala" w:cstheme="minorHAnsi"/>
          <w:sz w:val="28"/>
          <w:szCs w:val="28"/>
        </w:rPr>
        <w:t xml:space="preserve">Les femmes et les jeunes constituent la frange la plus pauvre du ménage, celle qui a moins accès à un revenu monétaire suffisant et stable, celle qui subit le plus d’ostracisme psychologique, religieux, culturel. Pourtant, ils constituent la majorité de la force du travail dans les exploitations agricoles et participent grandement à l’économie familiale par leurs revenus monétaires tirés des activités agricole ou agro-commerciales et ceux générés par les migrations locales ou transfrontalières. </w:t>
      </w:r>
    </w:p>
    <w:p w:rsidR="00417CDD" w:rsidRPr="006866D3" w:rsidRDefault="00417CDD" w:rsidP="00417CDD">
      <w:pPr>
        <w:shd w:val="clear" w:color="auto" w:fill="FFFFFF" w:themeFill="background1"/>
        <w:spacing w:line="240" w:lineRule="auto"/>
        <w:jc w:val="both"/>
        <w:rPr>
          <w:rFonts w:ascii="Nyala" w:eastAsia="Arial" w:hAnsi="Nyala" w:cstheme="minorHAnsi"/>
          <w:sz w:val="28"/>
          <w:szCs w:val="28"/>
        </w:rPr>
      </w:pPr>
      <w:r>
        <w:rPr>
          <w:rFonts w:ascii="Nyala" w:eastAsia="Arial" w:hAnsi="Nyala" w:cstheme="minorHAnsi"/>
          <w:sz w:val="28"/>
          <w:szCs w:val="28"/>
        </w:rPr>
        <w:t xml:space="preserve">Bien que participants aux travaux agricoles et actifs dans un certain nombre de filières (légumes, légumineuses, élevage de cycle court, mareyage, transformation primaire ...), ils bénéficient peu de conseil-agricole. Les femmes, notamment </w:t>
      </w:r>
      <w:r w:rsidRPr="006866D3">
        <w:rPr>
          <w:rFonts w:ascii="Nyala" w:eastAsia="Arial" w:hAnsi="Nyala" w:cstheme="minorHAnsi"/>
          <w:sz w:val="28"/>
          <w:szCs w:val="28"/>
        </w:rPr>
        <w:t>n’ont pas les mêmes chances d’avoir accès aux services techniques. Une étude réalisée par le NEPAD</w:t>
      </w:r>
      <w:r w:rsidRPr="006866D3">
        <w:rPr>
          <w:rStyle w:val="Appelnotedebasdep"/>
          <w:rFonts w:ascii="Nyala" w:hAnsi="Nyala" w:cstheme="minorHAnsi"/>
          <w:sz w:val="28"/>
          <w:szCs w:val="28"/>
        </w:rPr>
        <w:footnoteReference w:id="4"/>
      </w:r>
      <w:r w:rsidRPr="006866D3">
        <w:rPr>
          <w:rFonts w:ascii="Nyala" w:eastAsia="Arial" w:hAnsi="Nyala" w:cstheme="minorHAnsi"/>
          <w:sz w:val="28"/>
          <w:szCs w:val="28"/>
        </w:rPr>
        <w:t>.en lien avec l’accès aux services de vulgarisation, de formation/d’information/de communication, de diffusion de la technologie et de l’alphabétisation démontre que :</w:t>
      </w:r>
    </w:p>
    <w:p w:rsidR="00417CDD" w:rsidRPr="006866D3" w:rsidRDefault="00417CDD" w:rsidP="00417CDD">
      <w:pPr>
        <w:numPr>
          <w:ilvl w:val="0"/>
          <w:numId w:val="33"/>
        </w:numPr>
        <w:shd w:val="clear" w:color="auto" w:fill="FFFFFF" w:themeFill="background1"/>
        <w:tabs>
          <w:tab w:val="left" w:pos="980"/>
        </w:tabs>
        <w:spacing w:before="0" w:after="0" w:line="240" w:lineRule="auto"/>
        <w:ind w:left="720" w:hanging="360"/>
        <w:rPr>
          <w:rFonts w:ascii="Nyala" w:eastAsia="Symbol" w:hAnsi="Nyala" w:cstheme="minorHAnsi"/>
          <w:sz w:val="28"/>
          <w:szCs w:val="28"/>
        </w:rPr>
      </w:pPr>
      <w:r w:rsidRPr="006866D3">
        <w:rPr>
          <w:rFonts w:ascii="Nyala" w:eastAsia="Arial" w:hAnsi="Nyala" w:cstheme="minorHAnsi"/>
          <w:sz w:val="28"/>
          <w:szCs w:val="28"/>
        </w:rPr>
        <w:t>76% de personnes n’ayant pas accès à un service sont des femmes ;</w:t>
      </w:r>
    </w:p>
    <w:p w:rsidR="00417CDD" w:rsidRPr="006866D3" w:rsidRDefault="00417CDD" w:rsidP="00417CDD">
      <w:pPr>
        <w:numPr>
          <w:ilvl w:val="0"/>
          <w:numId w:val="33"/>
        </w:numPr>
        <w:shd w:val="clear" w:color="auto" w:fill="FFFFFF" w:themeFill="background1"/>
        <w:tabs>
          <w:tab w:val="left" w:pos="980"/>
        </w:tabs>
        <w:spacing w:before="0" w:after="0" w:line="240" w:lineRule="auto"/>
        <w:ind w:left="720" w:hanging="360"/>
        <w:rPr>
          <w:rFonts w:ascii="Nyala" w:eastAsia="Symbol" w:hAnsi="Nyala" w:cstheme="minorHAnsi"/>
          <w:sz w:val="28"/>
          <w:szCs w:val="28"/>
        </w:rPr>
      </w:pPr>
      <w:r w:rsidRPr="006866D3">
        <w:rPr>
          <w:rFonts w:ascii="Nyala" w:eastAsia="Arial" w:hAnsi="Nyala" w:cstheme="minorHAnsi"/>
          <w:sz w:val="28"/>
          <w:szCs w:val="28"/>
        </w:rPr>
        <w:t>65,3 % des hommes et 34,7 % des femmes ont accès aux services de vulgarisation ;</w:t>
      </w:r>
    </w:p>
    <w:p w:rsidR="00417CDD" w:rsidRPr="006866D3" w:rsidRDefault="00417CDD" w:rsidP="00417CDD">
      <w:pPr>
        <w:numPr>
          <w:ilvl w:val="0"/>
          <w:numId w:val="32"/>
        </w:numPr>
        <w:shd w:val="clear" w:color="auto" w:fill="FFFFFF" w:themeFill="background1"/>
        <w:tabs>
          <w:tab w:val="left" w:pos="980"/>
        </w:tabs>
        <w:spacing w:before="0" w:after="0" w:line="240" w:lineRule="auto"/>
        <w:ind w:left="720" w:hanging="360"/>
        <w:rPr>
          <w:rFonts w:ascii="Nyala" w:eastAsia="Symbol" w:hAnsi="Nyala" w:cstheme="minorHAnsi"/>
          <w:sz w:val="28"/>
          <w:szCs w:val="28"/>
        </w:rPr>
      </w:pPr>
      <w:r w:rsidRPr="006866D3">
        <w:rPr>
          <w:rFonts w:ascii="Nyala" w:eastAsia="Arial" w:hAnsi="Nyala" w:cstheme="minorHAnsi"/>
          <w:sz w:val="28"/>
          <w:szCs w:val="28"/>
        </w:rPr>
        <w:t>62 % des hommes et 38 % des femmes ont accès aux semences ;</w:t>
      </w:r>
    </w:p>
    <w:p w:rsidR="00417CDD" w:rsidRPr="006866D3" w:rsidRDefault="00417CDD" w:rsidP="00417CDD">
      <w:pPr>
        <w:numPr>
          <w:ilvl w:val="0"/>
          <w:numId w:val="32"/>
        </w:numPr>
        <w:shd w:val="clear" w:color="auto" w:fill="FFFFFF" w:themeFill="background1"/>
        <w:tabs>
          <w:tab w:val="left" w:pos="980"/>
        </w:tabs>
        <w:spacing w:before="0" w:after="0" w:line="240" w:lineRule="auto"/>
        <w:ind w:left="720" w:hanging="360"/>
        <w:rPr>
          <w:rFonts w:ascii="Nyala" w:eastAsia="Symbol" w:hAnsi="Nyala" w:cstheme="minorHAnsi"/>
          <w:sz w:val="28"/>
          <w:szCs w:val="28"/>
        </w:rPr>
      </w:pPr>
      <w:r w:rsidRPr="006866D3">
        <w:rPr>
          <w:rFonts w:ascii="Nyala" w:eastAsia="Arial" w:hAnsi="Nyala" w:cstheme="minorHAnsi"/>
          <w:sz w:val="28"/>
          <w:szCs w:val="28"/>
        </w:rPr>
        <w:t>67,5% des hommes et 32,5 % des femmes ont accès aux engrais ;</w:t>
      </w:r>
    </w:p>
    <w:p w:rsidR="00417CDD" w:rsidRPr="006866D3" w:rsidRDefault="00417CDD" w:rsidP="00417CDD">
      <w:pPr>
        <w:numPr>
          <w:ilvl w:val="0"/>
          <w:numId w:val="32"/>
        </w:numPr>
        <w:shd w:val="clear" w:color="auto" w:fill="FFFFFF" w:themeFill="background1"/>
        <w:tabs>
          <w:tab w:val="left" w:pos="980"/>
        </w:tabs>
        <w:spacing w:before="0" w:after="0" w:line="240" w:lineRule="auto"/>
        <w:ind w:left="720" w:hanging="360"/>
        <w:rPr>
          <w:rFonts w:ascii="Nyala" w:eastAsia="Arial" w:hAnsi="Nyala" w:cstheme="minorHAnsi"/>
          <w:sz w:val="28"/>
          <w:szCs w:val="28"/>
        </w:rPr>
      </w:pPr>
      <w:r w:rsidRPr="006866D3">
        <w:rPr>
          <w:rFonts w:ascii="Nyala" w:eastAsia="Arial" w:hAnsi="Nyala" w:cstheme="minorHAnsi"/>
          <w:sz w:val="28"/>
          <w:szCs w:val="28"/>
        </w:rPr>
        <w:t>22,8 % des personnes qui bénéficient d’un crédit rural sont des femmes</w:t>
      </w:r>
    </w:p>
    <w:p w:rsidR="00417CDD" w:rsidRPr="00AA4A81" w:rsidRDefault="00417CDD" w:rsidP="00417CDD">
      <w:pPr>
        <w:numPr>
          <w:ilvl w:val="0"/>
          <w:numId w:val="32"/>
        </w:numPr>
        <w:shd w:val="clear" w:color="auto" w:fill="FFFFFF"/>
        <w:tabs>
          <w:tab w:val="left" w:pos="980"/>
        </w:tabs>
        <w:spacing w:before="0" w:after="0" w:line="240" w:lineRule="auto"/>
        <w:ind w:left="720" w:hanging="360"/>
        <w:jc w:val="both"/>
        <w:rPr>
          <w:rFonts w:ascii="Nyala" w:hAnsi="Nyala" w:cstheme="minorHAnsi"/>
          <w:sz w:val="28"/>
          <w:szCs w:val="28"/>
        </w:rPr>
      </w:pPr>
      <w:r w:rsidRPr="00AA4A81">
        <w:rPr>
          <w:rFonts w:ascii="Nyala" w:eastAsia="Arial" w:hAnsi="Nyala" w:cstheme="minorHAnsi"/>
          <w:sz w:val="28"/>
          <w:szCs w:val="28"/>
        </w:rPr>
        <w:t xml:space="preserve">88,5%  des terres appartiennent aux hommes. Les 11, 5% restants sont détenus conjointement par le mari et la femme, ou par les enfants.  </w:t>
      </w:r>
    </w:p>
    <w:p w:rsidR="00417CDD" w:rsidRPr="00AA4A81" w:rsidRDefault="00417CDD" w:rsidP="00417CDD">
      <w:pPr>
        <w:shd w:val="clear" w:color="auto" w:fill="FFFFFF"/>
        <w:tabs>
          <w:tab w:val="left" w:pos="980"/>
        </w:tabs>
        <w:spacing w:before="0" w:after="0" w:line="240" w:lineRule="auto"/>
        <w:ind w:left="720"/>
        <w:jc w:val="both"/>
        <w:rPr>
          <w:rFonts w:ascii="Nyala" w:hAnsi="Nyala" w:cstheme="minorHAnsi"/>
          <w:sz w:val="28"/>
          <w:szCs w:val="28"/>
        </w:rPr>
      </w:pPr>
    </w:p>
    <w:p w:rsidR="00417CDD" w:rsidRDefault="00417CDD" w:rsidP="00417CDD">
      <w:pPr>
        <w:shd w:val="clear" w:color="auto" w:fill="FFFFFF"/>
        <w:jc w:val="both"/>
        <w:rPr>
          <w:rFonts w:ascii="Nyala" w:hAnsi="Nyala" w:cstheme="minorHAnsi"/>
          <w:sz w:val="28"/>
          <w:szCs w:val="28"/>
        </w:rPr>
      </w:pPr>
      <w:r>
        <w:rPr>
          <w:rFonts w:ascii="Nyala" w:hAnsi="Nyala" w:cstheme="minorHAnsi"/>
          <w:sz w:val="28"/>
          <w:szCs w:val="28"/>
        </w:rPr>
        <w:t>Les leçons tirées de plusieurs expériences et actions laissent entrevoir une possibilité de réduction de la sous-alimentation et de la malnutrition en favorisant leur autonomisation, leur rôle et leur pouvoir de négociation. L’autonomisation passe notamment par l’éducation, les activités génératrices de revenu et le renforcement de leur pouvoir de négociation au sein de la société.</w:t>
      </w:r>
    </w:p>
    <w:p w:rsidR="00EF70D7" w:rsidRDefault="00EF70D7" w:rsidP="00EF70D7">
      <w:pPr>
        <w:pStyle w:val="Paragraphedeliste"/>
        <w:shd w:val="clear" w:color="auto" w:fill="FFFFFF" w:themeFill="background1"/>
        <w:autoSpaceDE w:val="0"/>
        <w:autoSpaceDN w:val="0"/>
        <w:adjustRightInd w:val="0"/>
        <w:spacing w:after="0" w:line="240" w:lineRule="auto"/>
        <w:ind w:left="0"/>
        <w:jc w:val="both"/>
        <w:rPr>
          <w:rFonts w:ascii="Nyala" w:hAnsi="Nyala"/>
          <w:bCs/>
          <w:sz w:val="28"/>
          <w:szCs w:val="28"/>
        </w:rPr>
      </w:pPr>
      <w:r>
        <w:rPr>
          <w:rFonts w:ascii="Nyala" w:hAnsi="Nyala" w:cstheme="minorHAnsi"/>
          <w:sz w:val="28"/>
          <w:szCs w:val="28"/>
        </w:rPr>
        <w:t xml:space="preserve">Ainsi, les jeunes et les femmes </w:t>
      </w:r>
      <w:r w:rsidRPr="006866D3">
        <w:rPr>
          <w:rFonts w:ascii="Nyala" w:hAnsi="Nyala"/>
          <w:bCs/>
          <w:sz w:val="28"/>
          <w:szCs w:val="28"/>
        </w:rPr>
        <w:t>constitue</w:t>
      </w:r>
      <w:r>
        <w:rPr>
          <w:rFonts w:ascii="Nyala" w:hAnsi="Nyala"/>
          <w:bCs/>
          <w:sz w:val="28"/>
          <w:szCs w:val="28"/>
        </w:rPr>
        <w:t>nt de plus en plus</w:t>
      </w:r>
      <w:r w:rsidRPr="006866D3">
        <w:rPr>
          <w:rFonts w:ascii="Nyala" w:hAnsi="Nyala"/>
          <w:bCs/>
          <w:sz w:val="28"/>
          <w:szCs w:val="28"/>
        </w:rPr>
        <w:t xml:space="preserve"> une cible importante pour tout pro</w:t>
      </w:r>
      <w:r>
        <w:rPr>
          <w:rFonts w:ascii="Nyala" w:hAnsi="Nyala"/>
          <w:bCs/>
          <w:sz w:val="28"/>
          <w:szCs w:val="28"/>
        </w:rPr>
        <w:t>jet/programme de développement.</w:t>
      </w:r>
    </w:p>
    <w:p w:rsidR="00EF70D7" w:rsidRDefault="00EF70D7" w:rsidP="00417CDD">
      <w:pPr>
        <w:shd w:val="clear" w:color="auto" w:fill="FFFFFF"/>
        <w:jc w:val="both"/>
        <w:rPr>
          <w:rFonts w:ascii="Nyala" w:hAnsi="Nyala" w:cstheme="minorHAnsi"/>
          <w:sz w:val="28"/>
          <w:szCs w:val="28"/>
        </w:rPr>
      </w:pPr>
    </w:p>
    <w:p w:rsidR="00417CDD" w:rsidRDefault="00417CDD" w:rsidP="00417CDD">
      <w:pPr>
        <w:shd w:val="clear" w:color="auto" w:fill="FFFFFF"/>
        <w:jc w:val="both"/>
        <w:rPr>
          <w:rFonts w:ascii="Nyala" w:hAnsi="Nyala" w:cstheme="minorHAnsi"/>
          <w:sz w:val="28"/>
          <w:szCs w:val="28"/>
        </w:rPr>
      </w:pPr>
    </w:p>
    <w:p w:rsidR="00C5223F" w:rsidRPr="009B11E1" w:rsidRDefault="00417CDD" w:rsidP="00141D20">
      <w:pPr>
        <w:jc w:val="both"/>
        <w:rPr>
          <w:rStyle w:val="Rfrenceintense"/>
          <w:rFonts w:ascii="Calibri" w:hAnsi="Calibri" w:cs="Calibri"/>
          <w:sz w:val="28"/>
          <w:szCs w:val="28"/>
        </w:rPr>
      </w:pPr>
      <w:r w:rsidRPr="009B11E1">
        <w:rPr>
          <w:rStyle w:val="Rfrenceintense"/>
          <w:rFonts w:ascii="Calibri" w:hAnsi="Calibri" w:cs="Calibri"/>
          <w:sz w:val="28"/>
          <w:szCs w:val="28"/>
        </w:rPr>
        <w:t>Intérêt de l’engagement du Niger en faveur de l’ODD2.</w:t>
      </w:r>
    </w:p>
    <w:p w:rsidR="00075042" w:rsidRPr="00AA4A81" w:rsidRDefault="00075042" w:rsidP="00075042">
      <w:pPr>
        <w:shd w:val="clear" w:color="auto" w:fill="FFFFFF"/>
        <w:jc w:val="both"/>
        <w:rPr>
          <w:rFonts w:ascii="Nyala" w:hAnsi="Nyala" w:cstheme="minorHAnsi"/>
          <w:sz w:val="28"/>
          <w:szCs w:val="28"/>
        </w:rPr>
      </w:pPr>
      <w:r>
        <w:rPr>
          <w:rFonts w:ascii="Nyala" w:hAnsi="Nyala" w:cstheme="minorHAnsi"/>
          <w:sz w:val="28"/>
          <w:szCs w:val="28"/>
        </w:rPr>
        <w:t>Malgré les adaptations apportées régulièrement aux orientations politiques en matière de sécurité alimentaire et nutritionnelle et de dévelo</w:t>
      </w:r>
      <w:r w:rsidRPr="009C08D3">
        <w:rPr>
          <w:rFonts w:ascii="Nyala" w:hAnsi="Nyala" w:cstheme="minorHAnsi"/>
          <w:sz w:val="28"/>
          <w:szCs w:val="28"/>
        </w:rPr>
        <w:t>ppement</w:t>
      </w:r>
      <w:r w:rsidRPr="00AA4A81">
        <w:rPr>
          <w:rFonts w:ascii="Nyala" w:hAnsi="Nyala" w:cstheme="minorHAnsi"/>
          <w:sz w:val="28"/>
          <w:szCs w:val="28"/>
        </w:rPr>
        <w:t xml:space="preserve"> rural </w:t>
      </w:r>
      <w:r>
        <w:rPr>
          <w:rFonts w:ascii="Nyala" w:hAnsi="Nyala" w:cstheme="minorHAnsi"/>
          <w:sz w:val="28"/>
          <w:szCs w:val="28"/>
        </w:rPr>
        <w:t xml:space="preserve"> (autosuffisance alimentaire, </w:t>
      </w:r>
      <w:r w:rsidRPr="00AA4A81">
        <w:rPr>
          <w:rFonts w:ascii="Nyala" w:hAnsi="Nyala" w:cstheme="minorHAnsi"/>
          <w:sz w:val="28"/>
          <w:szCs w:val="28"/>
        </w:rPr>
        <w:t>Stratégie Opérationnelle de Sécurité Alimentaire, Stratégie de Développement Rural, Stratégie de Sécurité Alimentaire et Développement Agricole Durable/i3N) et les investissements qui l</w:t>
      </w:r>
      <w:r>
        <w:rPr>
          <w:rFonts w:ascii="Nyala" w:hAnsi="Nyala" w:cstheme="minorHAnsi"/>
          <w:sz w:val="28"/>
          <w:szCs w:val="28"/>
        </w:rPr>
        <w:t>es</w:t>
      </w:r>
      <w:r w:rsidRPr="00AA4A81">
        <w:rPr>
          <w:rFonts w:ascii="Nyala" w:hAnsi="Nyala" w:cstheme="minorHAnsi"/>
          <w:sz w:val="28"/>
          <w:szCs w:val="28"/>
        </w:rPr>
        <w:t xml:space="preserve"> sous-tendent</w:t>
      </w:r>
      <w:r>
        <w:rPr>
          <w:rFonts w:ascii="Nyala" w:hAnsi="Nyala" w:cstheme="minorHAnsi"/>
          <w:sz w:val="28"/>
          <w:szCs w:val="28"/>
        </w:rPr>
        <w:t xml:space="preserve"> ; l’alimentation et la nutrition au Niger sont dépendantes, une année sur trois et touchant au moins le quart des nigériens de l’assistance humanitaire qui devient ainsi </w:t>
      </w:r>
      <w:r w:rsidRPr="00AA4A81">
        <w:rPr>
          <w:rFonts w:ascii="Nyala" w:hAnsi="Nyala" w:cstheme="minorHAnsi"/>
          <w:sz w:val="28"/>
          <w:szCs w:val="28"/>
        </w:rPr>
        <w:t>structurelle.</w:t>
      </w:r>
    </w:p>
    <w:p w:rsidR="00C16820" w:rsidRDefault="00C16820" w:rsidP="00CF0CAC">
      <w:pPr>
        <w:jc w:val="both"/>
        <w:rPr>
          <w:rFonts w:ascii="Nyala" w:hAnsi="Nyala"/>
          <w:sz w:val="28"/>
          <w:szCs w:val="28"/>
        </w:rPr>
      </w:pPr>
      <w:r w:rsidRPr="006866D3">
        <w:rPr>
          <w:rFonts w:ascii="Nyala" w:hAnsi="Nyala" w:cstheme="minorHAnsi"/>
          <w:sz w:val="28"/>
          <w:szCs w:val="28"/>
        </w:rPr>
        <w:t xml:space="preserve">De ce fait, il est compréhensible que </w:t>
      </w:r>
      <w:r w:rsidRPr="006866D3">
        <w:rPr>
          <w:rFonts w:ascii="Nyala" w:hAnsi="Nyala"/>
          <w:sz w:val="28"/>
          <w:szCs w:val="28"/>
        </w:rPr>
        <w:t>« </w:t>
      </w:r>
      <w:r w:rsidRPr="006866D3">
        <w:rPr>
          <w:rFonts w:ascii="Nyala" w:hAnsi="Nyala"/>
          <w:i/>
          <w:sz w:val="28"/>
          <w:szCs w:val="28"/>
        </w:rPr>
        <w:t>Eliminer la faim, assurer la sécurité alimentaire, améliorer la nutrition et promouvoir l’agriculture durable</w:t>
      </w:r>
      <w:r w:rsidRPr="006866D3">
        <w:rPr>
          <w:rFonts w:ascii="Nyala" w:hAnsi="Nyala"/>
          <w:b/>
          <w:sz w:val="28"/>
          <w:szCs w:val="28"/>
        </w:rPr>
        <w:t> </w:t>
      </w:r>
      <w:r w:rsidRPr="00141D20">
        <w:rPr>
          <w:rFonts w:ascii="Nyala" w:hAnsi="Nyala"/>
          <w:sz w:val="28"/>
          <w:szCs w:val="28"/>
        </w:rPr>
        <w:t>» soient des objectifs explicites ou implicites de son développement économique et social</w:t>
      </w:r>
      <w:r w:rsidRPr="006866D3">
        <w:rPr>
          <w:rFonts w:ascii="Nyala" w:hAnsi="Nyala"/>
          <w:b/>
          <w:sz w:val="28"/>
          <w:szCs w:val="28"/>
        </w:rPr>
        <w:t xml:space="preserve">. </w:t>
      </w:r>
      <w:r w:rsidRPr="006866D3">
        <w:rPr>
          <w:rFonts w:ascii="Nyala" w:hAnsi="Nyala"/>
          <w:sz w:val="28"/>
          <w:szCs w:val="28"/>
        </w:rPr>
        <w:t xml:space="preserve">Les prochains chapitres permettront de s’en convaincre. </w:t>
      </w:r>
    </w:p>
    <w:p w:rsidR="003561E4" w:rsidRPr="006866D3" w:rsidRDefault="003561E4" w:rsidP="00CF0CAC">
      <w:pPr>
        <w:jc w:val="both"/>
        <w:rPr>
          <w:rFonts w:ascii="Nyala" w:hAnsi="Nyala"/>
          <w:sz w:val="28"/>
          <w:szCs w:val="28"/>
        </w:rPr>
      </w:pPr>
    </w:p>
    <w:p w:rsidR="00BF0592" w:rsidRPr="00141D20" w:rsidRDefault="00BF0592" w:rsidP="00141D20">
      <w:pPr>
        <w:pStyle w:val="Titre1"/>
        <w:numPr>
          <w:ilvl w:val="0"/>
          <w:numId w:val="2"/>
        </w:numPr>
        <w:rPr>
          <w:sz w:val="28"/>
          <w:szCs w:val="28"/>
        </w:rPr>
      </w:pPr>
      <w:bookmarkStart w:id="253" w:name="_Toc526119967"/>
      <w:r w:rsidRPr="00141D20">
        <w:rPr>
          <w:sz w:val="28"/>
          <w:szCs w:val="28"/>
        </w:rPr>
        <w:t>Etat des lieux et analyse tendancielle selon les indicateurs de l’ODD2</w:t>
      </w:r>
      <w:bookmarkEnd w:id="253"/>
    </w:p>
    <w:p w:rsidR="00EE322C" w:rsidRPr="006866D3" w:rsidRDefault="00EE322C">
      <w:pPr>
        <w:rPr>
          <w:sz w:val="28"/>
          <w:szCs w:val="28"/>
        </w:rPr>
      </w:pPr>
    </w:p>
    <w:p w:rsidR="000F297D" w:rsidRPr="006866D3" w:rsidRDefault="00146983" w:rsidP="000500A5">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890688" behindDoc="0" locked="0" layoutInCell="1" allowOverlap="1" wp14:anchorId="05602971">
                <wp:simplePos x="0" y="0"/>
                <wp:positionH relativeFrom="margin">
                  <wp:posOffset>1576705</wp:posOffset>
                </wp:positionH>
                <wp:positionV relativeFrom="paragraph">
                  <wp:posOffset>417195</wp:posOffset>
                </wp:positionV>
                <wp:extent cx="1828800" cy="2763520"/>
                <wp:effectExtent l="0" t="0" r="19685" b="17780"/>
                <wp:wrapSquare wrapText="bothSides"/>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2763520"/>
                        </a:xfrm>
                        <a:prstGeom prst="rect">
                          <a:avLst/>
                        </a:prstGeom>
                        <a:noFill/>
                        <a:ln w="6350">
                          <a:solidFill>
                            <a:prstClr val="black"/>
                          </a:solidFill>
                        </a:ln>
                        <a:effectLst/>
                      </wps:spPr>
                      <wps:txbx>
                        <w:txbxContent>
                          <w:p w:rsidR="00146325" w:rsidRDefault="00146325" w:rsidP="000500A5">
                            <w:pPr>
                              <w:pStyle w:val="Lgende"/>
                              <w:keepNext/>
                              <w:jc w:val="both"/>
                            </w:pPr>
                            <w:bookmarkStart w:id="254" w:name="_Toc526120067"/>
                            <w:r>
                              <w:t xml:space="preserve">Figure </w:t>
                            </w:r>
                            <w:r w:rsidR="00C73EE5">
                              <w:fldChar w:fldCharType="begin"/>
                            </w:r>
                            <w:r w:rsidR="00C73EE5">
                              <w:instrText xml:space="preserve"> SEQ Figure \* ARABIC </w:instrText>
                            </w:r>
                            <w:r w:rsidR="00C73EE5">
                              <w:fldChar w:fldCharType="separate"/>
                            </w:r>
                            <w:r>
                              <w:rPr>
                                <w:noProof/>
                              </w:rPr>
                              <w:t>1</w:t>
                            </w:r>
                            <w:r w:rsidR="00C73EE5">
                              <w:rPr>
                                <w:noProof/>
                              </w:rPr>
                              <w:fldChar w:fldCharType="end"/>
                            </w:r>
                            <w:r>
                              <w:t xml:space="preserve"> - Cibles de l'ODD2</w:t>
                            </w:r>
                            <w:bookmarkEnd w:id="254"/>
                          </w:p>
                          <w:p w:rsidR="00146325" w:rsidRPr="00C63353" w:rsidRDefault="00146325" w:rsidP="00736D24">
                            <w:pPr>
                              <w:jc w:val="both"/>
                            </w:pPr>
                            <w:r w:rsidRPr="006A75B6">
                              <w:rPr>
                                <w:noProof/>
                                <w:lang w:eastAsia="fr-FR"/>
                              </w:rPr>
                              <w:drawing>
                                <wp:inline distT="0" distB="0" distL="0" distR="0">
                                  <wp:extent cx="3919152" cy="2286000"/>
                                  <wp:effectExtent l="0" t="0" r="5715"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31660" cy="229329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602971" id="Zone de texte 67" o:spid="_x0000_s1030" type="#_x0000_t202" style="position:absolute;left:0;text-align:left;margin-left:124.15pt;margin-top:32.85pt;width:2in;height:217.6pt;z-index:2518906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" filled="f" strokeweight=".5pt">
                <v:path arrowok="t"/>
                <v:textbox>
                  <w:txbxContent>
                    <w:p w:rsidR="00146325" w:rsidRDefault="00146325" w:rsidP="000500A5">
                      <w:pPr>
                        <w:pStyle w:val="Lgende"/>
                        <w:keepNext/>
                        <w:jc w:val="both"/>
                      </w:pPr>
                      <w:bookmarkStart w:id="255" w:name="_Toc526120067"/>
                      <w:r>
                        <w:t xml:space="preserve">Figure </w:t>
                      </w:r>
                      <w:r w:rsidR="00C73EE5">
                        <w:fldChar w:fldCharType="begin"/>
                      </w:r>
                      <w:r w:rsidR="00C73EE5">
                        <w:instrText xml:space="preserve"> SEQ Figure \* ARABIC </w:instrText>
                      </w:r>
                      <w:r w:rsidR="00C73EE5">
                        <w:fldChar w:fldCharType="separate"/>
                      </w:r>
                      <w:r>
                        <w:rPr>
                          <w:noProof/>
                        </w:rPr>
                        <w:t>1</w:t>
                      </w:r>
                      <w:r w:rsidR="00C73EE5">
                        <w:rPr>
                          <w:noProof/>
                        </w:rPr>
                        <w:fldChar w:fldCharType="end"/>
                      </w:r>
                      <w:r>
                        <w:t xml:space="preserve"> - Cibles de l'ODD2</w:t>
                      </w:r>
                      <w:bookmarkEnd w:id="255"/>
                    </w:p>
                    <w:p w:rsidR="00146325" w:rsidRPr="00C63353" w:rsidRDefault="00146325" w:rsidP="00736D24">
                      <w:pPr>
                        <w:jc w:val="both"/>
                      </w:pPr>
                      <w:r w:rsidRPr="006A75B6">
                        <w:rPr>
                          <w:noProof/>
                          <w:lang w:eastAsia="fr-FR"/>
                        </w:rPr>
                        <w:drawing>
                          <wp:inline distT="0" distB="0" distL="0" distR="0">
                            <wp:extent cx="3919152" cy="2286000"/>
                            <wp:effectExtent l="0" t="0" r="5715"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31660" cy="2293296"/>
                                    </a:xfrm>
                                    <a:prstGeom prst="rect">
                                      <a:avLst/>
                                    </a:prstGeom>
                                    <a:noFill/>
                                    <a:ln>
                                      <a:noFill/>
                                    </a:ln>
                                  </pic:spPr>
                                </pic:pic>
                              </a:graphicData>
                            </a:graphic>
                          </wp:inline>
                        </w:drawing>
                      </w:r>
                    </w:p>
                  </w:txbxContent>
                </v:textbox>
                <w10:wrap type="square" anchorx="margin"/>
              </v:shape>
            </w:pict>
          </mc:Fallback>
        </mc:AlternateContent>
      </w:r>
      <w:r w:rsidR="000F297D" w:rsidRPr="006866D3">
        <w:rPr>
          <w:rFonts w:ascii="Nyala" w:hAnsi="Nyala"/>
          <w:sz w:val="28"/>
          <w:szCs w:val="28"/>
        </w:rPr>
        <w:t xml:space="preserve">L’ODD2 comprend 5 cibles principales et 3 cibles connexes de mise en œuvre. L’atteinte de chaque cible est déterminée par un ou deux indicateurs mondiaux qui permettent de suivre les progrès réalisés. Ces cibles peuvent être regroupées en 4 axes d’actions complémentaires </w:t>
      </w:r>
      <w:r w:rsidR="006A75B6" w:rsidRPr="006866D3">
        <w:rPr>
          <w:rFonts w:ascii="Nyala" w:hAnsi="Nyala"/>
          <w:b/>
          <w:sz w:val="28"/>
          <w:szCs w:val="28"/>
        </w:rPr>
        <w:t>(figure</w:t>
      </w:r>
      <w:r w:rsidR="00CA7E2E" w:rsidRPr="006866D3">
        <w:rPr>
          <w:rFonts w:ascii="Nyala" w:hAnsi="Nyala"/>
          <w:b/>
          <w:sz w:val="28"/>
          <w:szCs w:val="28"/>
        </w:rPr>
        <w:t xml:space="preserve"> 1</w:t>
      </w:r>
      <w:r w:rsidR="00CA7E2E" w:rsidRPr="006866D3">
        <w:rPr>
          <w:rFonts w:ascii="Nyala" w:hAnsi="Nyala"/>
          <w:sz w:val="28"/>
          <w:szCs w:val="28"/>
        </w:rPr>
        <w:t>)</w:t>
      </w:r>
      <w:r w:rsidR="000F297D" w:rsidRPr="006866D3">
        <w:rPr>
          <w:rFonts w:ascii="Nyala" w:hAnsi="Nyala"/>
          <w:sz w:val="28"/>
          <w:szCs w:val="28"/>
        </w:rPr>
        <w:t xml:space="preserve">: </w:t>
      </w:r>
      <w:r w:rsidR="00ED3BE9" w:rsidRPr="006866D3">
        <w:rPr>
          <w:rFonts w:ascii="Nyala" w:hAnsi="Nyala"/>
          <w:sz w:val="28"/>
          <w:szCs w:val="28"/>
        </w:rPr>
        <w:t xml:space="preserve">a) </w:t>
      </w:r>
      <w:r w:rsidR="000F297D" w:rsidRPr="006866D3">
        <w:rPr>
          <w:rFonts w:ascii="Nyala" w:hAnsi="Nyala"/>
          <w:sz w:val="28"/>
          <w:szCs w:val="28"/>
        </w:rPr>
        <w:t>Eliminer la faim (insécurité alimentaire et malnutrition) au sein de la population nationale ou globale </w:t>
      </w:r>
      <w:r w:rsidR="00ED3BE9" w:rsidRPr="006866D3">
        <w:rPr>
          <w:rFonts w:ascii="Nyala" w:hAnsi="Nyala"/>
          <w:sz w:val="28"/>
          <w:szCs w:val="28"/>
        </w:rPr>
        <w:t>(</w:t>
      </w:r>
      <w:r w:rsidR="000F297D" w:rsidRPr="006866D3">
        <w:rPr>
          <w:rFonts w:ascii="Nyala" w:hAnsi="Nyala"/>
          <w:sz w:val="28"/>
          <w:szCs w:val="28"/>
        </w:rPr>
        <w:t>cibles 2.1 et 2.2</w:t>
      </w:r>
      <w:r w:rsidR="00ED3BE9" w:rsidRPr="006866D3">
        <w:rPr>
          <w:rFonts w:ascii="Nyala" w:hAnsi="Nyala"/>
          <w:sz w:val="28"/>
          <w:szCs w:val="28"/>
        </w:rPr>
        <w:t>) ; b) Ac</w:t>
      </w:r>
      <w:r w:rsidR="000F297D" w:rsidRPr="006866D3">
        <w:rPr>
          <w:rFonts w:ascii="Nyala" w:hAnsi="Nyala"/>
          <w:sz w:val="28"/>
          <w:szCs w:val="28"/>
        </w:rPr>
        <w:t xml:space="preserve">croître la productivité du travail et le revenu du producteur </w:t>
      </w:r>
      <w:r w:rsidR="00ED3BE9" w:rsidRPr="006866D3">
        <w:rPr>
          <w:rFonts w:ascii="Nyala" w:hAnsi="Nyala"/>
          <w:sz w:val="28"/>
          <w:szCs w:val="28"/>
        </w:rPr>
        <w:t>(</w:t>
      </w:r>
      <w:r w:rsidR="000F297D" w:rsidRPr="006866D3">
        <w:rPr>
          <w:rFonts w:ascii="Nyala" w:hAnsi="Nyala"/>
          <w:sz w:val="28"/>
          <w:szCs w:val="28"/>
        </w:rPr>
        <w:t>Cible 2.3</w:t>
      </w:r>
      <w:r w:rsidR="00ED3BE9" w:rsidRPr="006866D3">
        <w:rPr>
          <w:rFonts w:ascii="Nyala" w:hAnsi="Nyala"/>
          <w:sz w:val="28"/>
          <w:szCs w:val="28"/>
        </w:rPr>
        <w:t>) ou résilience des ménages agricoles; c) Assurer</w:t>
      </w:r>
      <w:r w:rsidR="000F297D" w:rsidRPr="006866D3">
        <w:rPr>
          <w:rFonts w:ascii="Nyala" w:hAnsi="Nyala"/>
          <w:sz w:val="28"/>
          <w:szCs w:val="28"/>
        </w:rPr>
        <w:t xml:space="preserve"> la durabilité des systèmes de production et de l’utilisation des ressources génétiques </w:t>
      </w:r>
      <w:r w:rsidR="00ED3BE9" w:rsidRPr="006866D3">
        <w:rPr>
          <w:rFonts w:ascii="Nyala" w:hAnsi="Nyala"/>
          <w:sz w:val="28"/>
          <w:szCs w:val="28"/>
        </w:rPr>
        <w:t>(</w:t>
      </w:r>
      <w:r w:rsidR="000F297D" w:rsidRPr="006866D3">
        <w:rPr>
          <w:rFonts w:ascii="Nyala" w:hAnsi="Nyala"/>
          <w:sz w:val="28"/>
          <w:szCs w:val="28"/>
        </w:rPr>
        <w:t>Cibles 2.4 et 2.5</w:t>
      </w:r>
      <w:r w:rsidR="00ED3BE9" w:rsidRPr="006866D3">
        <w:rPr>
          <w:rFonts w:ascii="Nyala" w:hAnsi="Nyala"/>
          <w:sz w:val="28"/>
          <w:szCs w:val="28"/>
        </w:rPr>
        <w:t xml:space="preserve">) ou résilience des systèmes de productions et; d) </w:t>
      </w:r>
      <w:r w:rsidR="000F297D" w:rsidRPr="006866D3">
        <w:rPr>
          <w:rFonts w:ascii="Nyala" w:hAnsi="Nyala"/>
          <w:sz w:val="28"/>
          <w:szCs w:val="28"/>
        </w:rPr>
        <w:t xml:space="preserve">Créer les conditions de mise en œuvre : investissements, financements, soutiens, Coopération </w:t>
      </w:r>
      <w:r w:rsidR="00ED3BE9" w:rsidRPr="006866D3">
        <w:rPr>
          <w:rFonts w:ascii="Nyala" w:hAnsi="Nyala"/>
          <w:sz w:val="28"/>
          <w:szCs w:val="28"/>
        </w:rPr>
        <w:t>(</w:t>
      </w:r>
      <w:r w:rsidR="000F297D" w:rsidRPr="006866D3">
        <w:rPr>
          <w:rFonts w:ascii="Nyala" w:hAnsi="Nyala"/>
          <w:sz w:val="28"/>
          <w:szCs w:val="28"/>
        </w:rPr>
        <w:t>2.a ; 2.b ; 2.c</w:t>
      </w:r>
      <w:r w:rsidR="00ED3BE9" w:rsidRPr="006866D3">
        <w:rPr>
          <w:rFonts w:ascii="Nyala" w:hAnsi="Nyala"/>
          <w:sz w:val="28"/>
          <w:szCs w:val="28"/>
        </w:rPr>
        <w:t xml:space="preserve">). </w:t>
      </w:r>
    </w:p>
    <w:p w:rsidR="006A75B6" w:rsidRDefault="000F297D" w:rsidP="000F297D">
      <w:pPr>
        <w:jc w:val="both"/>
        <w:rPr>
          <w:rFonts w:ascii="Nyala" w:hAnsi="Nyala"/>
          <w:sz w:val="28"/>
          <w:szCs w:val="28"/>
          <w:lang w:eastAsia="fr-FR"/>
        </w:rPr>
      </w:pPr>
      <w:r w:rsidRPr="006866D3">
        <w:rPr>
          <w:rFonts w:ascii="Nyala" w:hAnsi="Nyala"/>
          <w:sz w:val="28"/>
          <w:szCs w:val="28"/>
        </w:rPr>
        <w:t>L</w:t>
      </w:r>
      <w:r w:rsidR="006A75B6" w:rsidRPr="006866D3">
        <w:rPr>
          <w:rFonts w:ascii="Nyala" w:hAnsi="Nyala"/>
          <w:sz w:val="28"/>
          <w:szCs w:val="28"/>
        </w:rPr>
        <w:t xml:space="preserve">es tendances évolutives sont appréciées sur la base des cibles et indicateurs qui ont été pris en compte dans le processus de planification nationale du développement et pour lesquels des données </w:t>
      </w:r>
      <w:r w:rsidR="006A75B6" w:rsidRPr="006866D3">
        <w:rPr>
          <w:rFonts w:ascii="Nyala" w:hAnsi="Nyala"/>
          <w:sz w:val="28"/>
          <w:szCs w:val="28"/>
          <w:lang w:eastAsia="fr-FR"/>
        </w:rPr>
        <w:t>et informations sont actuellement disponibles.</w:t>
      </w:r>
    </w:p>
    <w:p w:rsidR="00BB7212" w:rsidRDefault="00BB7212" w:rsidP="000F297D">
      <w:pPr>
        <w:jc w:val="both"/>
        <w:rPr>
          <w:rFonts w:ascii="Nyala" w:hAnsi="Nyala"/>
          <w:sz w:val="28"/>
          <w:szCs w:val="28"/>
          <w:lang w:eastAsia="fr-FR"/>
        </w:rPr>
      </w:pPr>
      <w:r>
        <w:rPr>
          <w:rFonts w:ascii="Nyala" w:hAnsi="Nyala"/>
          <w:sz w:val="28"/>
          <w:szCs w:val="28"/>
          <w:lang w:eastAsia="fr-FR"/>
        </w:rPr>
        <w:t xml:space="preserve">L’état des lieux et l’analyse tendancielle se feront avec un focus particulier sur les dimensions accessibilité et disponibilité de la sécurité alimentaire sans occulter les dimensions utilisation (vue sous l’angle de la nutrition et de la diversification alimentaire) et la stabilité (vue sous l’angle de la durabilité de l’agriculture, de la durabilité de l’offre alimentaire). L’état des lieux portera également sur les mesures actuelles prises pour soutenir, financer les efforts de développement agricole durable et de réduction de la prévalence des formes sévères d’insécurité alimentaire et nutritionnelle. </w:t>
      </w:r>
    </w:p>
    <w:p w:rsidR="00CD0455" w:rsidRPr="006866D3" w:rsidRDefault="00CD0455" w:rsidP="0018468D">
      <w:pPr>
        <w:rPr>
          <w:sz w:val="28"/>
          <w:szCs w:val="28"/>
        </w:rPr>
      </w:pPr>
    </w:p>
    <w:p w:rsidR="00DF0C4D" w:rsidRPr="006866D3" w:rsidRDefault="00A92566" w:rsidP="008064B4">
      <w:pPr>
        <w:pStyle w:val="Titre2"/>
        <w:numPr>
          <w:ilvl w:val="1"/>
          <w:numId w:val="2"/>
        </w:numPr>
        <w:rPr>
          <w:sz w:val="28"/>
          <w:szCs w:val="28"/>
        </w:rPr>
      </w:pPr>
      <w:bookmarkStart w:id="256" w:name="_Toc526119968"/>
      <w:r>
        <w:rPr>
          <w:sz w:val="28"/>
          <w:szCs w:val="28"/>
        </w:rPr>
        <w:t xml:space="preserve">état des lieux sur la réduction de </w:t>
      </w:r>
      <w:r w:rsidR="000F297D" w:rsidRPr="006866D3">
        <w:rPr>
          <w:sz w:val="28"/>
          <w:szCs w:val="28"/>
        </w:rPr>
        <w:t>l</w:t>
      </w:r>
      <w:r>
        <w:rPr>
          <w:sz w:val="28"/>
          <w:szCs w:val="28"/>
        </w:rPr>
        <w:t>a sous-alimentation</w:t>
      </w:r>
      <w:bookmarkEnd w:id="256"/>
    </w:p>
    <w:p w:rsidR="00CD0455" w:rsidRDefault="00CD0455" w:rsidP="009F7A99">
      <w:pPr>
        <w:jc w:val="both"/>
        <w:rPr>
          <w:sz w:val="28"/>
          <w:szCs w:val="28"/>
        </w:rPr>
      </w:pPr>
    </w:p>
    <w:p w:rsidR="00673E17" w:rsidRPr="00141D20" w:rsidRDefault="00641E86" w:rsidP="00D5078B">
      <w:pPr>
        <w:jc w:val="both"/>
        <w:rPr>
          <w:rFonts w:ascii="Nyala" w:hAnsi="Nyala" w:cs="Times New Roman"/>
          <w:sz w:val="28"/>
          <w:szCs w:val="28"/>
        </w:rPr>
      </w:pPr>
      <w:r w:rsidRPr="00141D20">
        <w:rPr>
          <w:rFonts w:ascii="Nyala" w:hAnsi="Nyala" w:cs="Times New Roman"/>
          <w:sz w:val="28"/>
          <w:szCs w:val="28"/>
        </w:rPr>
        <w:t xml:space="preserve">La réduction de la sous-alimentation </w:t>
      </w:r>
      <w:r w:rsidR="00673E17" w:rsidRPr="00141D20">
        <w:rPr>
          <w:rFonts w:ascii="Nyala" w:hAnsi="Nyala" w:cs="Times New Roman"/>
          <w:sz w:val="28"/>
          <w:szCs w:val="28"/>
        </w:rPr>
        <w:t xml:space="preserve">est l’objectif-cible 2.1 de l’ODD2. Cette cible, comme la 2.2 qui porte sur la sécurité nutritionnelle, est conçue pour refléter </w:t>
      </w:r>
      <w:r w:rsidR="00A92566">
        <w:rPr>
          <w:rFonts w:ascii="Nyala" w:hAnsi="Nyala" w:cs="Times New Roman"/>
          <w:sz w:val="28"/>
          <w:szCs w:val="28"/>
        </w:rPr>
        <w:t>l</w:t>
      </w:r>
      <w:r w:rsidR="00A92566" w:rsidRPr="0020633B">
        <w:rPr>
          <w:rFonts w:ascii="Nyala" w:hAnsi="Nyala" w:cs="Times New Roman"/>
          <w:sz w:val="28"/>
          <w:szCs w:val="28"/>
        </w:rPr>
        <w:t>’accessibilité</w:t>
      </w:r>
      <w:r w:rsidRPr="00141D20">
        <w:rPr>
          <w:rFonts w:ascii="Nyala" w:hAnsi="Nyala" w:cs="Times New Roman"/>
          <w:sz w:val="28"/>
          <w:szCs w:val="28"/>
        </w:rPr>
        <w:t xml:space="preserve"> des individus ou des ménages à une nourriture saine, suffisante et de qualité nutritionnelle acceptable. </w:t>
      </w:r>
    </w:p>
    <w:p w:rsidR="00673E17" w:rsidRPr="0020633B" w:rsidRDefault="00673E17" w:rsidP="00673E17">
      <w:pPr>
        <w:jc w:val="both"/>
        <w:rPr>
          <w:rFonts w:ascii="Nyala" w:hAnsi="Nyala" w:cs="Times New Roman"/>
          <w:sz w:val="28"/>
          <w:szCs w:val="28"/>
        </w:rPr>
      </w:pPr>
      <w:r w:rsidRPr="00141D20">
        <w:rPr>
          <w:rFonts w:ascii="Nyala" w:hAnsi="Nyala" w:cs="Times New Roman"/>
          <w:sz w:val="28"/>
          <w:szCs w:val="28"/>
        </w:rPr>
        <w:t xml:space="preserve">Deux indicateurs sont prévus : </w:t>
      </w:r>
      <w:r w:rsidRPr="0020633B">
        <w:rPr>
          <w:rFonts w:ascii="Nyala" w:hAnsi="Nyala" w:cs="Times New Roman"/>
          <w:sz w:val="28"/>
          <w:szCs w:val="28"/>
        </w:rPr>
        <w:t xml:space="preserve">a) la prévalence de la sous-alimentation et b) la prévalence d’une insécurité alimentaire modérée ou grave, évaluée selon le genre, le milieu de résidence et le statut social. </w:t>
      </w:r>
    </w:p>
    <w:p w:rsidR="007A4883" w:rsidRPr="006866D3" w:rsidRDefault="007A4883" w:rsidP="009F7A99">
      <w:pPr>
        <w:jc w:val="both"/>
        <w:rPr>
          <w:rFonts w:ascii="Nyala" w:hAnsi="Nyala"/>
          <w:sz w:val="28"/>
          <w:szCs w:val="28"/>
        </w:rPr>
      </w:pPr>
    </w:p>
    <w:p w:rsidR="000C59C5" w:rsidRPr="000C59C5" w:rsidRDefault="00673E17" w:rsidP="000C59C5">
      <w:pPr>
        <w:pStyle w:val="Titre3"/>
        <w:numPr>
          <w:ilvl w:val="2"/>
          <w:numId w:val="2"/>
        </w:numPr>
        <w:rPr>
          <w:sz w:val="28"/>
          <w:szCs w:val="28"/>
        </w:rPr>
      </w:pPr>
      <w:bookmarkStart w:id="257" w:name="_Toc526119969"/>
      <w:r>
        <w:rPr>
          <w:sz w:val="28"/>
          <w:szCs w:val="28"/>
        </w:rPr>
        <w:t>indicateurs de mesure de la sous-alimentation</w:t>
      </w:r>
      <w:bookmarkEnd w:id="257"/>
    </w:p>
    <w:p w:rsidR="00673E17" w:rsidRDefault="00673E17" w:rsidP="00673E17">
      <w:pPr>
        <w:jc w:val="both"/>
        <w:rPr>
          <w:rFonts w:ascii="Nyala" w:hAnsi="Nyala" w:cs="Times New Roman"/>
          <w:sz w:val="28"/>
          <w:szCs w:val="28"/>
        </w:rPr>
      </w:pPr>
      <w:r w:rsidRPr="006866D3">
        <w:rPr>
          <w:rFonts w:ascii="Nyala" w:hAnsi="Nyala" w:cs="Times New Roman"/>
          <w:sz w:val="28"/>
          <w:szCs w:val="28"/>
        </w:rPr>
        <w:t>Le Niger a retenu une évaluation de l’insécurité alimentaire selon l’apport en calories calculé par la FAO</w:t>
      </w:r>
      <w:r w:rsidR="00D048A6">
        <w:rPr>
          <w:rFonts w:ascii="Nyala" w:hAnsi="Nyala" w:cs="Times New Roman"/>
          <w:sz w:val="28"/>
          <w:szCs w:val="28"/>
        </w:rPr>
        <w:t xml:space="preserve">, le score de consommation alimentaire et le score de </w:t>
      </w:r>
      <w:r w:rsidRPr="006866D3">
        <w:rPr>
          <w:rFonts w:ascii="Nyala" w:hAnsi="Nyala" w:cs="Times New Roman"/>
          <w:sz w:val="28"/>
          <w:szCs w:val="28"/>
        </w:rPr>
        <w:t xml:space="preserve"> de diversité alimentaire établi par le PAM. Ces paramètres déterminent l</w:t>
      </w:r>
      <w:r w:rsidR="00D048A6">
        <w:rPr>
          <w:rFonts w:ascii="Nyala" w:hAnsi="Nyala" w:cs="Times New Roman"/>
          <w:sz w:val="28"/>
          <w:szCs w:val="28"/>
        </w:rPr>
        <w:t xml:space="preserve">e niveau et le type de consommation alimentaire des ménages </w:t>
      </w:r>
      <w:r w:rsidRPr="006866D3">
        <w:rPr>
          <w:rFonts w:ascii="Nyala" w:hAnsi="Nyala" w:cs="Times New Roman"/>
          <w:sz w:val="28"/>
          <w:szCs w:val="28"/>
        </w:rPr>
        <w:t xml:space="preserve">au moment de leur mesure.  </w:t>
      </w:r>
      <w:r w:rsidR="00D048A6">
        <w:rPr>
          <w:rFonts w:ascii="Nyala" w:hAnsi="Nyala" w:cs="Times New Roman"/>
          <w:sz w:val="28"/>
          <w:szCs w:val="28"/>
        </w:rPr>
        <w:t xml:space="preserve">Ils partent du constat que le niveau de consommation des aliments reflète largement le degré de vulnérabilité du ménage à l’insécurité alimentaire ; ce qui permet d’évaluer la proportion de ménages en sécurité ou en insécurité alimentaire. </w:t>
      </w:r>
    </w:p>
    <w:p w:rsidR="00D048A6" w:rsidRDefault="00D048A6" w:rsidP="00D75CA2">
      <w:pPr>
        <w:jc w:val="both"/>
        <w:rPr>
          <w:rFonts w:ascii="Nyala" w:hAnsi="Nyala" w:cs="Times New Roman"/>
          <w:sz w:val="28"/>
          <w:szCs w:val="28"/>
        </w:rPr>
      </w:pPr>
      <w:r>
        <w:rPr>
          <w:rFonts w:ascii="Nyala" w:hAnsi="Nyala" w:cs="Times New Roman"/>
          <w:sz w:val="28"/>
          <w:szCs w:val="28"/>
        </w:rPr>
        <w:t xml:space="preserve">Les données sur ces paramètres sont collectées </w:t>
      </w:r>
      <w:r w:rsidR="00815FF2">
        <w:rPr>
          <w:rFonts w:ascii="Nyala" w:hAnsi="Nyala" w:cs="Times New Roman"/>
          <w:sz w:val="28"/>
          <w:szCs w:val="28"/>
        </w:rPr>
        <w:t xml:space="preserve">par l’INS </w:t>
      </w:r>
      <w:r>
        <w:rPr>
          <w:rFonts w:ascii="Nyala" w:hAnsi="Nyala" w:cs="Times New Roman"/>
          <w:sz w:val="28"/>
          <w:szCs w:val="28"/>
        </w:rPr>
        <w:t xml:space="preserve">auprès des ménages lors d’enquêtes structurées annuelles (EVIAM) ou </w:t>
      </w:r>
      <w:r w:rsidR="00815FF2">
        <w:rPr>
          <w:rFonts w:ascii="Nyala" w:hAnsi="Nyala" w:cs="Times New Roman"/>
          <w:sz w:val="28"/>
          <w:szCs w:val="28"/>
        </w:rPr>
        <w:t xml:space="preserve">quadriennales (ECVMA). Dans le cadre de la présente revue, ces deux sources sont utilisées pour l’analyse, du fait des informations différentes et complémentaires qu’elles apportent. L’EVIAM est spécifique au monde rural et l’ECVMA prend en compte les citadins. </w:t>
      </w:r>
    </w:p>
    <w:p w:rsidR="00D00E73" w:rsidRPr="006866D3" w:rsidRDefault="00D00E73" w:rsidP="00D75CA2">
      <w:pPr>
        <w:jc w:val="both"/>
        <w:rPr>
          <w:rFonts w:ascii="Nyala" w:hAnsi="Nyala" w:cs="Times New Roman"/>
          <w:sz w:val="28"/>
          <w:szCs w:val="28"/>
        </w:rPr>
      </w:pPr>
    </w:p>
    <w:p w:rsidR="00D75CA2" w:rsidRPr="009B11E1" w:rsidRDefault="00F35EB9" w:rsidP="009B11E1">
      <w:pPr>
        <w:pStyle w:val="Titre4"/>
        <w:numPr>
          <w:ilvl w:val="3"/>
          <w:numId w:val="2"/>
        </w:numPr>
        <w:rPr>
          <w:b/>
          <w:bCs/>
        </w:rPr>
      </w:pPr>
      <w:bookmarkStart w:id="258" w:name="_Hlk523579541"/>
      <w:r w:rsidRPr="009B11E1">
        <w:rPr>
          <w:b/>
          <w:bCs/>
        </w:rPr>
        <w:t xml:space="preserve">Sous-alimentation </w:t>
      </w:r>
      <w:r w:rsidR="00110C27" w:rsidRPr="009B11E1">
        <w:rPr>
          <w:b/>
          <w:bCs/>
        </w:rPr>
        <w:t xml:space="preserve">selon la couverture des besoins énergétiques </w:t>
      </w:r>
    </w:p>
    <w:bookmarkEnd w:id="258"/>
    <w:p w:rsidR="00D048A6" w:rsidRDefault="00D048A6" w:rsidP="00D048A6">
      <w:pPr>
        <w:jc w:val="both"/>
        <w:rPr>
          <w:rFonts w:ascii="Nyala" w:hAnsi="Nyala"/>
          <w:sz w:val="28"/>
          <w:szCs w:val="28"/>
        </w:rPr>
      </w:pPr>
      <w:r>
        <w:rPr>
          <w:rFonts w:ascii="Nyala" w:hAnsi="Nyala"/>
          <w:sz w:val="28"/>
          <w:szCs w:val="28"/>
        </w:rPr>
        <w:t xml:space="preserve">Pour cet indicateur, il est considéré </w:t>
      </w:r>
      <w:r w:rsidRPr="00541BEB">
        <w:rPr>
          <w:rFonts w:ascii="Nyala" w:hAnsi="Nyala"/>
          <w:sz w:val="28"/>
          <w:szCs w:val="28"/>
        </w:rPr>
        <w:t xml:space="preserve">qu’une  personne  est  en  insécuritéalimentaire  si  elle  n’arrive  pas  à  couvrir  son  niveau  requis  de  consommation calorique  par  jour.  </w:t>
      </w:r>
    </w:p>
    <w:p w:rsidR="00844BF4" w:rsidRDefault="00844BF4" w:rsidP="00844BF4">
      <w:pPr>
        <w:jc w:val="both"/>
        <w:rPr>
          <w:rFonts w:ascii="Nyala" w:hAnsi="Nyala" w:cs="Times New Roman"/>
          <w:sz w:val="28"/>
          <w:szCs w:val="28"/>
        </w:rPr>
      </w:pPr>
      <w:r>
        <w:rPr>
          <w:rFonts w:ascii="Nyala" w:hAnsi="Nyala"/>
          <w:sz w:val="28"/>
          <w:szCs w:val="28"/>
        </w:rPr>
        <w:t xml:space="preserve">A la fin de la période de mise en œuvre des OMD, l’objectif-cible pour cet indicateur n’a pas été atteint, </w:t>
      </w:r>
      <w:r>
        <w:rPr>
          <w:rFonts w:ascii="Nyala" w:hAnsi="Nyala" w:cs="Times New Roman"/>
          <w:sz w:val="28"/>
          <w:szCs w:val="28"/>
        </w:rPr>
        <w:t>m</w:t>
      </w:r>
      <w:r w:rsidRPr="00711633">
        <w:rPr>
          <w:rFonts w:ascii="Nyala" w:hAnsi="Nyala" w:cs="Times New Roman"/>
          <w:sz w:val="28"/>
          <w:szCs w:val="28"/>
        </w:rPr>
        <w:t>algré  les  nombreuses  et  multiples  actions  réalisées  par  l’Etat  et  ses  partenaires,  surtout avec leur  intensification  et  leur  diversification  après  la  grave  crise  nutritionnelle et alimentaire</w:t>
      </w:r>
      <w:r>
        <w:rPr>
          <w:rFonts w:ascii="Nyala" w:hAnsi="Nyala" w:cs="Times New Roman"/>
          <w:sz w:val="28"/>
          <w:szCs w:val="28"/>
        </w:rPr>
        <w:t xml:space="preserve"> de 2005. </w:t>
      </w:r>
      <w:r w:rsidRPr="00711633">
        <w:rPr>
          <w:rFonts w:ascii="Nyala" w:hAnsi="Nyala" w:cs="Times New Roman"/>
          <w:sz w:val="28"/>
          <w:szCs w:val="28"/>
        </w:rPr>
        <w:t>Selon les résultats de différentes enquêtes (ENBC 2008 et ECVMA 2011), la proportion de la population n’atteignant pas le niveau minimal d’apport calorique est passé de 37% en 2008 à 36% en 2011</w:t>
      </w:r>
      <w:r>
        <w:rPr>
          <w:rFonts w:ascii="Nyala" w:hAnsi="Nyala" w:cs="Times New Roman"/>
          <w:sz w:val="28"/>
          <w:szCs w:val="28"/>
        </w:rPr>
        <w:t xml:space="preserve"> (INS, 2015)</w:t>
      </w:r>
      <w:r>
        <w:rPr>
          <w:rStyle w:val="Appelnotedebasdep"/>
          <w:rFonts w:ascii="Nyala" w:hAnsi="Nyala" w:cs="Times New Roman"/>
          <w:sz w:val="28"/>
          <w:szCs w:val="28"/>
        </w:rPr>
        <w:footnoteReference w:id="5"/>
      </w:r>
      <w:r>
        <w:rPr>
          <w:rFonts w:ascii="Nyala" w:hAnsi="Nyala" w:cs="Times New Roman"/>
          <w:sz w:val="28"/>
          <w:szCs w:val="28"/>
        </w:rPr>
        <w:t>.</w:t>
      </w:r>
    </w:p>
    <w:p w:rsidR="00D048A6" w:rsidRDefault="00D048A6" w:rsidP="00D048A6">
      <w:pPr>
        <w:jc w:val="both"/>
        <w:rPr>
          <w:rFonts w:ascii="Nyala" w:hAnsi="Nyala"/>
          <w:sz w:val="28"/>
          <w:szCs w:val="28"/>
        </w:rPr>
      </w:pPr>
      <w:r w:rsidRPr="00541BEB">
        <w:rPr>
          <w:rFonts w:ascii="Nyala" w:hAnsi="Nyala"/>
          <w:sz w:val="28"/>
          <w:szCs w:val="28"/>
        </w:rPr>
        <w:t xml:space="preserve">La  FAO estime  qu’un  individu  adulte  normal  a  des  besoins  moyens  de  2100  kcal  par  jour </w:t>
      </w:r>
      <w:r>
        <w:rPr>
          <w:rFonts w:ascii="Nyala" w:hAnsi="Nyala"/>
          <w:sz w:val="28"/>
          <w:szCs w:val="28"/>
        </w:rPr>
        <w:t>pour être en bonne santé.</w:t>
      </w:r>
      <w:r w:rsidRPr="006866D3">
        <w:rPr>
          <w:rFonts w:ascii="Nyala" w:hAnsi="Nyala"/>
          <w:sz w:val="28"/>
          <w:szCs w:val="28"/>
        </w:rPr>
        <w:t xml:space="preserve">Au Niger, il est admis qu’un individu consommant moins de 2200 </w:t>
      </w:r>
      <w:r>
        <w:rPr>
          <w:rFonts w:ascii="Nyala" w:hAnsi="Nyala"/>
          <w:sz w:val="28"/>
          <w:szCs w:val="28"/>
        </w:rPr>
        <w:t>k</w:t>
      </w:r>
      <w:r w:rsidRPr="006866D3">
        <w:rPr>
          <w:rFonts w:ascii="Nyala" w:hAnsi="Nyala"/>
          <w:sz w:val="28"/>
          <w:szCs w:val="28"/>
        </w:rPr>
        <w:t xml:space="preserve">cal/j est en insécurité alimentaire et si cette consommation baisse en deçà de 1800 </w:t>
      </w:r>
      <w:r>
        <w:rPr>
          <w:rFonts w:ascii="Nyala" w:hAnsi="Nyala"/>
          <w:sz w:val="28"/>
          <w:szCs w:val="28"/>
        </w:rPr>
        <w:t>k</w:t>
      </w:r>
      <w:r w:rsidRPr="006866D3">
        <w:rPr>
          <w:rFonts w:ascii="Nyala" w:hAnsi="Nyala"/>
          <w:sz w:val="28"/>
          <w:szCs w:val="28"/>
        </w:rPr>
        <w:t>cal/j/, l’insécurité alimentaire devient sévère</w:t>
      </w:r>
      <w:r>
        <w:rPr>
          <w:rStyle w:val="Appelnotedebasdep"/>
          <w:rFonts w:ascii="Nyala" w:hAnsi="Nyala"/>
          <w:sz w:val="28"/>
          <w:szCs w:val="28"/>
        </w:rPr>
        <w:footnoteReference w:id="6"/>
      </w:r>
      <w:r>
        <w:rPr>
          <w:rFonts w:ascii="Nyala" w:hAnsi="Nyala"/>
          <w:sz w:val="28"/>
          <w:szCs w:val="28"/>
        </w:rPr>
        <w:t xml:space="preserve">. </w:t>
      </w:r>
      <w:r w:rsidR="00180985">
        <w:rPr>
          <w:rFonts w:ascii="Nyala" w:hAnsi="Nyala"/>
          <w:sz w:val="28"/>
          <w:szCs w:val="28"/>
        </w:rPr>
        <w:t>Le régime alimentaire basé sur l’apport calorique</w:t>
      </w:r>
      <w:r w:rsidRPr="00844BF4">
        <w:rPr>
          <w:rFonts w:ascii="Nyala" w:hAnsi="Nyala"/>
          <w:sz w:val="28"/>
          <w:szCs w:val="28"/>
        </w:rPr>
        <w:t xml:space="preserve">  varie  selon  le  genre,  l’âge</w:t>
      </w:r>
      <w:r>
        <w:rPr>
          <w:rFonts w:ascii="Nyala" w:hAnsi="Nyala"/>
          <w:sz w:val="28"/>
          <w:szCs w:val="28"/>
        </w:rPr>
        <w:t xml:space="preserve">, </w:t>
      </w:r>
      <w:r w:rsidRPr="00844BF4">
        <w:rPr>
          <w:rFonts w:ascii="Nyala" w:hAnsi="Nyala"/>
          <w:sz w:val="28"/>
          <w:szCs w:val="28"/>
        </w:rPr>
        <w:t>l’activité</w:t>
      </w:r>
      <w:r>
        <w:rPr>
          <w:rFonts w:ascii="Nyala" w:hAnsi="Nyala"/>
          <w:sz w:val="28"/>
          <w:szCs w:val="28"/>
        </w:rPr>
        <w:t xml:space="preserve"> et le milieu de résidence</w:t>
      </w:r>
      <w:r w:rsidRPr="00844BF4">
        <w:rPr>
          <w:rFonts w:ascii="Nyala" w:hAnsi="Nyala"/>
          <w:sz w:val="28"/>
          <w:szCs w:val="28"/>
        </w:rPr>
        <w:t xml:space="preserve">.  </w:t>
      </w:r>
    </w:p>
    <w:p w:rsidR="00C02623" w:rsidRDefault="00C02623" w:rsidP="00D75CA2">
      <w:pPr>
        <w:jc w:val="both"/>
        <w:rPr>
          <w:rFonts w:ascii="Nyala" w:hAnsi="Nyala"/>
          <w:sz w:val="28"/>
          <w:szCs w:val="28"/>
        </w:rPr>
      </w:pPr>
      <w:bookmarkStart w:id="259" w:name="_Hlk523578107"/>
    </w:p>
    <w:p w:rsidR="00C02623" w:rsidRPr="009B11E1" w:rsidRDefault="00C02623" w:rsidP="00D75CA2">
      <w:pPr>
        <w:jc w:val="both"/>
        <w:rPr>
          <w:rStyle w:val="Rfrenceintense"/>
          <w:rFonts w:ascii="Calibri" w:hAnsi="Calibri" w:cs="Calibri"/>
          <w:sz w:val="28"/>
          <w:szCs w:val="28"/>
        </w:rPr>
      </w:pPr>
      <w:r w:rsidRPr="009B11E1">
        <w:rPr>
          <w:rStyle w:val="Rfrenceintense"/>
          <w:rFonts w:ascii="Calibri" w:hAnsi="Calibri" w:cs="Calibri"/>
          <w:sz w:val="28"/>
          <w:szCs w:val="28"/>
        </w:rPr>
        <w:t>Ration alimentaire selon le genre et la taille du ménage</w:t>
      </w:r>
    </w:p>
    <w:p w:rsidR="00A56358" w:rsidRPr="006866D3" w:rsidRDefault="00146983" w:rsidP="00D75CA2">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857920" behindDoc="0" locked="0" layoutInCell="1" allowOverlap="1" wp14:anchorId="4711ED58">
                <wp:simplePos x="0" y="0"/>
                <wp:positionH relativeFrom="page">
                  <wp:posOffset>2917190</wp:posOffset>
                </wp:positionH>
                <wp:positionV relativeFrom="paragraph">
                  <wp:posOffset>6985</wp:posOffset>
                </wp:positionV>
                <wp:extent cx="3847465" cy="2473325"/>
                <wp:effectExtent l="0" t="0" r="10795" b="17780"/>
                <wp:wrapSquare wrapText="bothSides"/>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7465" cy="2473325"/>
                        </a:xfrm>
                        <a:prstGeom prst="rect">
                          <a:avLst/>
                        </a:prstGeom>
                        <a:noFill/>
                        <a:ln w="6350">
                          <a:solidFill>
                            <a:prstClr val="black"/>
                          </a:solidFill>
                        </a:ln>
                        <a:effectLst/>
                      </wps:spPr>
                      <wps:txbx>
                        <w:txbxContent>
                          <w:p w:rsidR="00146325" w:rsidRDefault="00146325" w:rsidP="00FC6DED">
                            <w:pPr>
                              <w:pStyle w:val="Lgende"/>
                              <w:keepNext/>
                              <w:jc w:val="both"/>
                            </w:pPr>
                            <w:bookmarkStart w:id="260" w:name="_Toc526120068"/>
                            <w:r>
                              <w:t xml:space="preserve">Figure </w:t>
                            </w:r>
                            <w:r w:rsidR="00C73EE5">
                              <w:fldChar w:fldCharType="begin"/>
                            </w:r>
                            <w:r w:rsidR="00C73EE5">
                              <w:instrText xml:space="preserve"> SEQ Figure \* ARABIC </w:instrText>
                            </w:r>
                            <w:r w:rsidR="00C73EE5">
                              <w:fldChar w:fldCharType="separate"/>
                            </w:r>
                            <w:r>
                              <w:rPr>
                                <w:noProof/>
                              </w:rPr>
                              <w:t>2</w:t>
                            </w:r>
                            <w:r w:rsidR="00C73EE5">
                              <w:rPr>
                                <w:noProof/>
                              </w:rPr>
                              <w:fldChar w:fldCharType="end"/>
                            </w:r>
                            <w:r>
                              <w:t xml:space="preserve"> - ration calorique selon le genre et la taille du ménage</w:t>
                            </w:r>
                            <w:bookmarkEnd w:id="260"/>
                          </w:p>
                          <w:p w:rsidR="00146325" w:rsidRDefault="00146325" w:rsidP="004C177C">
                            <w:pPr>
                              <w:jc w:val="both"/>
                            </w:pPr>
                            <w:r w:rsidRPr="00990A84">
                              <w:rPr>
                                <w:noProof/>
                                <w:lang w:eastAsia="fr-FR"/>
                              </w:rPr>
                              <w:drawing>
                                <wp:inline distT="0" distB="0" distL="0" distR="0">
                                  <wp:extent cx="3381167" cy="1624245"/>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92008" cy="1629453"/>
                                          </a:xfrm>
                                          <a:prstGeom prst="rect">
                                            <a:avLst/>
                                          </a:prstGeom>
                                          <a:noFill/>
                                          <a:ln>
                                            <a:noFill/>
                                          </a:ln>
                                        </pic:spPr>
                                      </pic:pic>
                                    </a:graphicData>
                                  </a:graphic>
                                </wp:inline>
                              </w:drawing>
                            </w:r>
                          </w:p>
                          <w:p w:rsidR="00146325" w:rsidRPr="00FC6DED" w:rsidRDefault="00146325" w:rsidP="00FC6DED">
                            <w:pPr>
                              <w:spacing w:before="0" w:after="0" w:line="240" w:lineRule="auto"/>
                              <w:jc w:val="both"/>
                              <w:rPr>
                                <w:sz w:val="18"/>
                                <w:szCs w:val="18"/>
                              </w:rPr>
                            </w:pPr>
                            <w:r w:rsidRPr="00FC6DED">
                              <w:rPr>
                                <w:sz w:val="18"/>
                                <w:szCs w:val="18"/>
                              </w:rPr>
                              <w:t>Source : 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711ED58" id="Zone de texte 20" o:spid="_x0000_s1031" type="#_x0000_t202" style="position:absolute;left:0;text-align:left;margin-left:229.7pt;margin-top:.55pt;width:302.95pt;height:194.75pt;z-index:25185792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" filled="f" strokeweight=".5pt">
                <v:path arrowok="t"/>
                <v:textbox style="mso-fit-shape-to-text:t">
                  <w:txbxContent>
                    <w:p w:rsidR="00146325" w:rsidRDefault="00146325" w:rsidP="00FC6DED">
                      <w:pPr>
                        <w:pStyle w:val="Lgende"/>
                        <w:keepNext/>
                        <w:jc w:val="both"/>
                      </w:pPr>
                      <w:bookmarkStart w:id="261" w:name="_Toc526120068"/>
                      <w:r>
                        <w:t xml:space="preserve">Figure </w:t>
                      </w:r>
                      <w:r w:rsidR="00C73EE5">
                        <w:fldChar w:fldCharType="begin"/>
                      </w:r>
                      <w:r w:rsidR="00C73EE5">
                        <w:instrText xml:space="preserve"> SEQ Figure \* ARABIC </w:instrText>
                      </w:r>
                      <w:r w:rsidR="00C73EE5">
                        <w:fldChar w:fldCharType="separate"/>
                      </w:r>
                      <w:r>
                        <w:rPr>
                          <w:noProof/>
                        </w:rPr>
                        <w:t>2</w:t>
                      </w:r>
                      <w:r w:rsidR="00C73EE5">
                        <w:rPr>
                          <w:noProof/>
                        </w:rPr>
                        <w:fldChar w:fldCharType="end"/>
                      </w:r>
                      <w:r>
                        <w:t xml:space="preserve"> - ration calorique selon le genre et la taille du ménage</w:t>
                      </w:r>
                      <w:bookmarkEnd w:id="261"/>
                    </w:p>
                    <w:p w:rsidR="00146325" w:rsidRDefault="00146325" w:rsidP="004C177C">
                      <w:pPr>
                        <w:jc w:val="both"/>
                      </w:pPr>
                      <w:r w:rsidRPr="00990A84">
                        <w:rPr>
                          <w:noProof/>
                          <w:lang w:eastAsia="fr-FR"/>
                        </w:rPr>
                        <w:drawing>
                          <wp:inline distT="0" distB="0" distL="0" distR="0">
                            <wp:extent cx="3381167" cy="1624245"/>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92008" cy="1629453"/>
                                    </a:xfrm>
                                    <a:prstGeom prst="rect">
                                      <a:avLst/>
                                    </a:prstGeom>
                                    <a:noFill/>
                                    <a:ln>
                                      <a:noFill/>
                                    </a:ln>
                                  </pic:spPr>
                                </pic:pic>
                              </a:graphicData>
                            </a:graphic>
                          </wp:inline>
                        </w:drawing>
                      </w:r>
                    </w:p>
                    <w:p w:rsidR="00146325" w:rsidRPr="00FC6DED" w:rsidRDefault="00146325" w:rsidP="00FC6DED">
                      <w:pPr>
                        <w:spacing w:before="0" w:after="0" w:line="240" w:lineRule="auto"/>
                        <w:jc w:val="both"/>
                        <w:rPr>
                          <w:sz w:val="18"/>
                          <w:szCs w:val="18"/>
                        </w:rPr>
                      </w:pPr>
                      <w:r w:rsidRPr="00FC6DED">
                        <w:rPr>
                          <w:sz w:val="18"/>
                          <w:szCs w:val="18"/>
                        </w:rPr>
                        <w:t>Source : INS</w:t>
                      </w:r>
                    </w:p>
                  </w:txbxContent>
                </v:textbox>
                <w10:wrap type="square" anchorx="page"/>
              </v:shape>
            </w:pict>
          </mc:Fallback>
        </mc:AlternateContent>
      </w:r>
      <w:r w:rsidR="007312B4" w:rsidRPr="006866D3">
        <w:rPr>
          <w:rFonts w:ascii="Nyala" w:hAnsi="Nyala"/>
          <w:sz w:val="28"/>
          <w:szCs w:val="28"/>
        </w:rPr>
        <w:t>En 201</w:t>
      </w:r>
      <w:r w:rsidR="00FF380E" w:rsidRPr="006866D3">
        <w:rPr>
          <w:rFonts w:ascii="Nyala" w:hAnsi="Nyala"/>
          <w:sz w:val="28"/>
          <w:szCs w:val="28"/>
        </w:rPr>
        <w:t>4</w:t>
      </w:r>
      <w:r w:rsidR="007312B4" w:rsidRPr="006866D3">
        <w:rPr>
          <w:rFonts w:ascii="Nyala" w:hAnsi="Nyala"/>
          <w:sz w:val="28"/>
          <w:szCs w:val="28"/>
        </w:rPr>
        <w:t>,</w:t>
      </w:r>
      <w:r w:rsidR="00D75CA2" w:rsidRPr="006866D3">
        <w:rPr>
          <w:rFonts w:ascii="Nyala" w:hAnsi="Nyala"/>
          <w:sz w:val="28"/>
          <w:szCs w:val="28"/>
        </w:rPr>
        <w:t xml:space="preserve"> avec une moyenne de 2607 </w:t>
      </w:r>
      <w:r w:rsidR="00C02623">
        <w:rPr>
          <w:rFonts w:ascii="Nyala" w:hAnsi="Nyala"/>
          <w:sz w:val="28"/>
          <w:szCs w:val="28"/>
        </w:rPr>
        <w:t>k</w:t>
      </w:r>
      <w:r w:rsidR="00D75CA2" w:rsidRPr="006866D3">
        <w:rPr>
          <w:rFonts w:ascii="Nyala" w:hAnsi="Nyala"/>
          <w:sz w:val="28"/>
          <w:szCs w:val="28"/>
        </w:rPr>
        <w:t>cal/j/individu en milieu urbain et 2566 cal/j/individu en milieu rural, le régime alimentaire du nigérien moyen semble acceptable</w:t>
      </w:r>
      <w:r w:rsidR="009B253F">
        <w:rPr>
          <w:rFonts w:ascii="Nyala" w:hAnsi="Nyala"/>
          <w:sz w:val="28"/>
          <w:szCs w:val="28"/>
        </w:rPr>
        <w:t xml:space="preserve"> (</w:t>
      </w:r>
      <w:r w:rsidR="009B253F" w:rsidRPr="009B11E1">
        <w:rPr>
          <w:rFonts w:ascii="Nyala" w:hAnsi="Nyala"/>
          <w:b/>
          <w:sz w:val="28"/>
          <w:szCs w:val="28"/>
        </w:rPr>
        <w:t>figure 2</w:t>
      </w:r>
      <w:r w:rsidR="009B253F">
        <w:rPr>
          <w:rFonts w:ascii="Nyala" w:hAnsi="Nyala"/>
          <w:sz w:val="28"/>
          <w:szCs w:val="28"/>
        </w:rPr>
        <w:t>)</w:t>
      </w:r>
      <w:r w:rsidR="00D75CA2" w:rsidRPr="006866D3">
        <w:rPr>
          <w:rFonts w:ascii="Nyala" w:hAnsi="Nyala"/>
          <w:sz w:val="28"/>
          <w:szCs w:val="28"/>
        </w:rPr>
        <w:t xml:space="preserve">, même si l’alimentation des femmes </w:t>
      </w:r>
      <w:r w:rsidR="00A56358" w:rsidRPr="006866D3">
        <w:rPr>
          <w:rFonts w:ascii="Nyala" w:hAnsi="Nyala"/>
          <w:sz w:val="28"/>
          <w:szCs w:val="28"/>
        </w:rPr>
        <w:t xml:space="preserve">paraît </w:t>
      </w:r>
      <w:r w:rsidR="00D75CA2" w:rsidRPr="006866D3">
        <w:rPr>
          <w:rFonts w:ascii="Nyala" w:hAnsi="Nyala"/>
          <w:sz w:val="28"/>
          <w:szCs w:val="28"/>
        </w:rPr>
        <w:t>meilleure que celle des hommes (</w:t>
      </w:r>
      <w:r w:rsidR="00D259C4" w:rsidRPr="006866D3">
        <w:rPr>
          <w:rFonts w:ascii="Nyala" w:hAnsi="Nyala"/>
          <w:sz w:val="28"/>
          <w:szCs w:val="28"/>
        </w:rPr>
        <w:t xml:space="preserve">2951 </w:t>
      </w:r>
      <w:r w:rsidR="00C02623">
        <w:rPr>
          <w:rFonts w:ascii="Nyala" w:hAnsi="Nyala"/>
          <w:sz w:val="28"/>
          <w:szCs w:val="28"/>
        </w:rPr>
        <w:t>k</w:t>
      </w:r>
      <w:r w:rsidR="00D259C4" w:rsidRPr="006866D3">
        <w:rPr>
          <w:rFonts w:ascii="Nyala" w:hAnsi="Nyala"/>
          <w:sz w:val="28"/>
          <w:szCs w:val="28"/>
        </w:rPr>
        <w:t xml:space="preserve">cal/j versus 2531 </w:t>
      </w:r>
      <w:r w:rsidR="00844BF4">
        <w:rPr>
          <w:rFonts w:ascii="Nyala" w:hAnsi="Nyala"/>
          <w:sz w:val="28"/>
          <w:szCs w:val="28"/>
        </w:rPr>
        <w:t>k</w:t>
      </w:r>
      <w:r w:rsidR="00D259C4" w:rsidRPr="006866D3">
        <w:rPr>
          <w:rFonts w:ascii="Nyala" w:hAnsi="Nyala"/>
          <w:sz w:val="28"/>
          <w:szCs w:val="28"/>
        </w:rPr>
        <w:t>cal/j)</w:t>
      </w:r>
      <w:r w:rsidR="003249D3">
        <w:rPr>
          <w:rStyle w:val="Appelnotedebasdep"/>
          <w:rFonts w:ascii="Nyala" w:hAnsi="Nyala"/>
          <w:sz w:val="28"/>
          <w:szCs w:val="28"/>
        </w:rPr>
        <w:footnoteReference w:id="7"/>
      </w:r>
      <w:r w:rsidR="00D75CA2" w:rsidRPr="006866D3">
        <w:rPr>
          <w:rFonts w:ascii="Nyala" w:hAnsi="Nyala"/>
          <w:sz w:val="28"/>
          <w:szCs w:val="28"/>
        </w:rPr>
        <w:t xml:space="preserve">. </w:t>
      </w:r>
    </w:p>
    <w:bookmarkEnd w:id="259"/>
    <w:p w:rsidR="00D259C4" w:rsidRDefault="00A56358" w:rsidP="00D75CA2">
      <w:pPr>
        <w:jc w:val="both"/>
        <w:rPr>
          <w:rFonts w:ascii="Nyala" w:hAnsi="Nyala"/>
          <w:sz w:val="28"/>
          <w:szCs w:val="28"/>
        </w:rPr>
      </w:pPr>
      <w:r w:rsidRPr="006866D3">
        <w:rPr>
          <w:rFonts w:ascii="Nyala" w:hAnsi="Nyala"/>
          <w:sz w:val="28"/>
          <w:szCs w:val="28"/>
        </w:rPr>
        <w:t>L</w:t>
      </w:r>
      <w:r w:rsidR="00C02623">
        <w:rPr>
          <w:rFonts w:ascii="Nyala" w:hAnsi="Nyala"/>
          <w:sz w:val="28"/>
          <w:szCs w:val="28"/>
        </w:rPr>
        <w:t>a ration alimentaire d</w:t>
      </w:r>
      <w:r w:rsidRPr="006866D3">
        <w:rPr>
          <w:rFonts w:ascii="Nyala" w:hAnsi="Nyala"/>
          <w:sz w:val="28"/>
          <w:szCs w:val="28"/>
        </w:rPr>
        <w:t xml:space="preserve">iffère </w:t>
      </w:r>
      <w:r w:rsidR="00D259C4" w:rsidRPr="006866D3">
        <w:rPr>
          <w:rFonts w:ascii="Nyala" w:hAnsi="Nyala"/>
          <w:sz w:val="28"/>
          <w:szCs w:val="28"/>
        </w:rPr>
        <w:t>selon la taille du ménage.</w:t>
      </w:r>
      <w:r w:rsidR="00D20399" w:rsidRPr="006866D3">
        <w:rPr>
          <w:rFonts w:ascii="Nyala" w:hAnsi="Nyala"/>
          <w:sz w:val="28"/>
          <w:szCs w:val="28"/>
        </w:rPr>
        <w:t xml:space="preserve"> Plus la taille du ménage est grande, moins les besoins énergétiques sont couverts</w:t>
      </w:r>
      <w:r w:rsidR="00D33D98" w:rsidRPr="006866D3">
        <w:rPr>
          <w:rFonts w:ascii="Nyala" w:hAnsi="Nyala"/>
          <w:sz w:val="28"/>
          <w:szCs w:val="28"/>
        </w:rPr>
        <w:t xml:space="preserve">. Les ménages de plus de 15 personnes consomment moins 2000 </w:t>
      </w:r>
      <w:r w:rsidR="00844BF4">
        <w:rPr>
          <w:rFonts w:ascii="Nyala" w:hAnsi="Nyala"/>
          <w:sz w:val="28"/>
          <w:szCs w:val="28"/>
        </w:rPr>
        <w:t>k</w:t>
      </w:r>
      <w:r w:rsidR="00D33D98" w:rsidRPr="006866D3">
        <w:rPr>
          <w:rFonts w:ascii="Nyala" w:hAnsi="Nyala"/>
          <w:sz w:val="28"/>
          <w:szCs w:val="28"/>
        </w:rPr>
        <w:t xml:space="preserve">cal/j alors que les ménages de 1 à 5 personnes, disposent de plus de 3000 </w:t>
      </w:r>
      <w:r w:rsidR="00C02623">
        <w:rPr>
          <w:rFonts w:ascii="Nyala" w:hAnsi="Nyala"/>
          <w:sz w:val="28"/>
          <w:szCs w:val="28"/>
        </w:rPr>
        <w:t>k</w:t>
      </w:r>
      <w:r w:rsidR="00D33D98" w:rsidRPr="006866D3">
        <w:rPr>
          <w:rFonts w:ascii="Nyala" w:hAnsi="Nyala"/>
          <w:sz w:val="28"/>
          <w:szCs w:val="28"/>
        </w:rPr>
        <w:t xml:space="preserve">cal/j. </w:t>
      </w:r>
    </w:p>
    <w:p w:rsidR="00A40CF3" w:rsidRDefault="00A40CF3" w:rsidP="00D75CA2">
      <w:pPr>
        <w:jc w:val="both"/>
        <w:rPr>
          <w:rFonts w:ascii="Nyala" w:hAnsi="Nyala"/>
          <w:sz w:val="28"/>
          <w:szCs w:val="28"/>
        </w:rPr>
      </w:pPr>
    </w:p>
    <w:p w:rsidR="00C02623" w:rsidRPr="009B11E1" w:rsidRDefault="00C02623" w:rsidP="00C02623">
      <w:pPr>
        <w:jc w:val="both"/>
        <w:rPr>
          <w:rStyle w:val="Rfrenceintense"/>
          <w:rFonts w:ascii="Calibri" w:hAnsi="Calibri" w:cs="Calibri"/>
          <w:sz w:val="28"/>
          <w:szCs w:val="28"/>
        </w:rPr>
      </w:pPr>
      <w:r w:rsidRPr="009B11E1">
        <w:rPr>
          <w:rStyle w:val="Rfrenceintense"/>
          <w:rFonts w:ascii="Calibri" w:hAnsi="Calibri" w:cs="Calibri"/>
          <w:sz w:val="28"/>
          <w:szCs w:val="28"/>
        </w:rPr>
        <w:t xml:space="preserve">Ration alimentaire selon le milieu de résidence </w:t>
      </w:r>
    </w:p>
    <w:p w:rsidR="00BB20B9" w:rsidRDefault="00146983" w:rsidP="00D75CA2">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776000" behindDoc="0" locked="0" layoutInCell="1" allowOverlap="1" wp14:anchorId="173172D6">
                <wp:simplePos x="0" y="0"/>
                <wp:positionH relativeFrom="margin">
                  <wp:align>right</wp:align>
                </wp:positionH>
                <wp:positionV relativeFrom="paragraph">
                  <wp:posOffset>159385</wp:posOffset>
                </wp:positionV>
                <wp:extent cx="3837305" cy="2137410"/>
                <wp:effectExtent l="0" t="0" r="14605" b="15240"/>
                <wp:wrapSquare wrapText="bothSides"/>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7305" cy="2137410"/>
                        </a:xfrm>
                        <a:prstGeom prst="rect">
                          <a:avLst/>
                        </a:prstGeom>
                        <a:noFill/>
                        <a:ln w="6350">
                          <a:solidFill>
                            <a:prstClr val="black"/>
                          </a:solidFill>
                        </a:ln>
                        <a:effectLst/>
                      </wps:spPr>
                      <wps:txbx>
                        <w:txbxContent>
                          <w:p w:rsidR="00146325" w:rsidRDefault="00146325" w:rsidP="009F7A99">
                            <w:pPr>
                              <w:pStyle w:val="Lgende"/>
                              <w:keepNext/>
                              <w:spacing w:after="0" w:line="240" w:lineRule="auto"/>
                              <w:jc w:val="both"/>
                            </w:pPr>
                            <w:bookmarkStart w:id="262" w:name="_Toc526120069"/>
                            <w:r>
                              <w:t xml:space="preserve">Figure </w:t>
                            </w:r>
                            <w:r w:rsidR="00C73EE5">
                              <w:fldChar w:fldCharType="begin"/>
                            </w:r>
                            <w:r w:rsidR="00C73EE5">
                              <w:instrText xml:space="preserve"> SEQ Figure \* ARABIC </w:instrText>
                            </w:r>
                            <w:r w:rsidR="00C73EE5">
                              <w:fldChar w:fldCharType="separate"/>
                            </w:r>
                            <w:r>
                              <w:rPr>
                                <w:noProof/>
                              </w:rPr>
                              <w:t>3</w:t>
                            </w:r>
                            <w:r w:rsidR="00C73EE5">
                              <w:rPr>
                                <w:noProof/>
                              </w:rPr>
                              <w:fldChar w:fldCharType="end"/>
                            </w:r>
                            <w:r>
                              <w:t xml:space="preserve"> - consommation énergétique et insécurité alimentaire selon les régions</w:t>
                            </w:r>
                            <w:bookmarkEnd w:id="262"/>
                          </w:p>
                          <w:p w:rsidR="00146325" w:rsidRDefault="00146325" w:rsidP="009F7A99">
                            <w:pPr>
                              <w:spacing w:after="0" w:line="240" w:lineRule="auto"/>
                              <w:jc w:val="both"/>
                              <w:rPr>
                                <w:sz w:val="16"/>
                                <w:szCs w:val="16"/>
                              </w:rPr>
                            </w:pPr>
                            <w:r w:rsidRPr="00E970B5">
                              <w:rPr>
                                <w:noProof/>
                                <w:lang w:eastAsia="fr-FR"/>
                              </w:rPr>
                              <w:drawing>
                                <wp:inline distT="0" distB="0" distL="0" distR="0">
                                  <wp:extent cx="3205478" cy="1584309"/>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39585" cy="1601167"/>
                                          </a:xfrm>
                                          <a:prstGeom prst="rect">
                                            <a:avLst/>
                                          </a:prstGeom>
                                          <a:noFill/>
                                          <a:ln>
                                            <a:noFill/>
                                          </a:ln>
                                        </pic:spPr>
                                      </pic:pic>
                                    </a:graphicData>
                                  </a:graphic>
                                </wp:inline>
                              </w:drawing>
                            </w:r>
                          </w:p>
                          <w:p w:rsidR="00146325" w:rsidRPr="00FC6DED" w:rsidRDefault="00146325" w:rsidP="009F7A99">
                            <w:pPr>
                              <w:spacing w:before="0" w:after="0" w:line="240" w:lineRule="auto"/>
                              <w:jc w:val="both"/>
                              <w:rPr>
                                <w:sz w:val="16"/>
                                <w:szCs w:val="16"/>
                              </w:rPr>
                            </w:pPr>
                            <w:r w:rsidRPr="00FC6DED">
                              <w:rPr>
                                <w:sz w:val="16"/>
                                <w:szCs w:val="16"/>
                              </w:rPr>
                              <w:t>Source : 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3172D6" id="Zone de texte 34" o:spid="_x0000_s1032" type="#_x0000_t202" style="position:absolute;left:0;text-align:left;margin-left:250.95pt;margin-top:12.55pt;width:302.15pt;height:168.3pt;z-index:25177600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" filled="f" strokeweight=".5pt">
                <v:path arrowok="t"/>
                <v:textbox>
                  <w:txbxContent>
                    <w:p w:rsidR="00146325" w:rsidRDefault="00146325" w:rsidP="009F7A99">
                      <w:pPr>
                        <w:pStyle w:val="Lgende"/>
                        <w:keepNext/>
                        <w:spacing w:after="0" w:line="240" w:lineRule="auto"/>
                        <w:jc w:val="both"/>
                      </w:pPr>
                      <w:bookmarkStart w:id="263" w:name="_Toc526120069"/>
                      <w:r>
                        <w:t xml:space="preserve">Figure </w:t>
                      </w:r>
                      <w:r w:rsidR="00C73EE5">
                        <w:fldChar w:fldCharType="begin"/>
                      </w:r>
                      <w:r w:rsidR="00C73EE5">
                        <w:instrText xml:space="preserve"> SEQ Figure \* ARABIC </w:instrText>
                      </w:r>
                      <w:r w:rsidR="00C73EE5">
                        <w:fldChar w:fldCharType="separate"/>
                      </w:r>
                      <w:r>
                        <w:rPr>
                          <w:noProof/>
                        </w:rPr>
                        <w:t>3</w:t>
                      </w:r>
                      <w:r w:rsidR="00C73EE5">
                        <w:rPr>
                          <w:noProof/>
                        </w:rPr>
                        <w:fldChar w:fldCharType="end"/>
                      </w:r>
                      <w:r>
                        <w:t xml:space="preserve"> - consommation énergétique et insécurité alimentaire selon les régions</w:t>
                      </w:r>
                      <w:bookmarkEnd w:id="263"/>
                    </w:p>
                    <w:p w:rsidR="00146325" w:rsidRDefault="00146325" w:rsidP="009F7A99">
                      <w:pPr>
                        <w:spacing w:after="0" w:line="240" w:lineRule="auto"/>
                        <w:jc w:val="both"/>
                        <w:rPr>
                          <w:sz w:val="16"/>
                          <w:szCs w:val="16"/>
                        </w:rPr>
                      </w:pPr>
                      <w:r w:rsidRPr="00E970B5">
                        <w:rPr>
                          <w:noProof/>
                          <w:lang w:eastAsia="fr-FR"/>
                        </w:rPr>
                        <w:drawing>
                          <wp:inline distT="0" distB="0" distL="0" distR="0">
                            <wp:extent cx="3205478" cy="1584309"/>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39585" cy="1601167"/>
                                    </a:xfrm>
                                    <a:prstGeom prst="rect">
                                      <a:avLst/>
                                    </a:prstGeom>
                                    <a:noFill/>
                                    <a:ln>
                                      <a:noFill/>
                                    </a:ln>
                                  </pic:spPr>
                                </pic:pic>
                              </a:graphicData>
                            </a:graphic>
                          </wp:inline>
                        </w:drawing>
                      </w:r>
                    </w:p>
                    <w:p w:rsidR="00146325" w:rsidRPr="00FC6DED" w:rsidRDefault="00146325" w:rsidP="009F7A99">
                      <w:pPr>
                        <w:spacing w:before="0" w:after="0" w:line="240" w:lineRule="auto"/>
                        <w:jc w:val="both"/>
                        <w:rPr>
                          <w:sz w:val="16"/>
                          <w:szCs w:val="16"/>
                        </w:rPr>
                      </w:pPr>
                      <w:r w:rsidRPr="00FC6DED">
                        <w:rPr>
                          <w:sz w:val="16"/>
                          <w:szCs w:val="16"/>
                        </w:rPr>
                        <w:t>Source : INS</w:t>
                      </w:r>
                    </w:p>
                  </w:txbxContent>
                </v:textbox>
                <w10:wrap type="square" anchorx="margin"/>
              </v:shape>
            </w:pict>
          </mc:Fallback>
        </mc:AlternateContent>
      </w:r>
      <w:r w:rsidR="00D20399" w:rsidRPr="006866D3">
        <w:rPr>
          <w:rFonts w:ascii="Nyala" w:hAnsi="Nyala"/>
          <w:sz w:val="28"/>
          <w:szCs w:val="28"/>
        </w:rPr>
        <w:t xml:space="preserve">Il est aussi noté </w:t>
      </w:r>
      <w:r w:rsidR="002B3E3B" w:rsidRPr="006866D3">
        <w:rPr>
          <w:rFonts w:ascii="Nyala" w:hAnsi="Nyala"/>
          <w:sz w:val="28"/>
          <w:szCs w:val="28"/>
        </w:rPr>
        <w:t xml:space="preserve">des différences selon le milieu de résidence : </w:t>
      </w:r>
      <w:r w:rsidR="00D75CA2" w:rsidRPr="006866D3">
        <w:rPr>
          <w:rFonts w:ascii="Nyala" w:hAnsi="Nyala"/>
          <w:sz w:val="28"/>
          <w:szCs w:val="28"/>
        </w:rPr>
        <w:t>46,7% des citadins et 50,6% des rurau</w:t>
      </w:r>
      <w:r w:rsidR="00D20399" w:rsidRPr="006866D3">
        <w:rPr>
          <w:rFonts w:ascii="Nyala" w:hAnsi="Nyala"/>
          <w:sz w:val="28"/>
          <w:szCs w:val="28"/>
        </w:rPr>
        <w:t>x ne couvrent pas leurs besoins</w:t>
      </w:r>
      <w:r w:rsidR="002B3E3B" w:rsidRPr="006866D3">
        <w:rPr>
          <w:rFonts w:ascii="Nyala" w:hAnsi="Nyala"/>
          <w:sz w:val="28"/>
          <w:szCs w:val="28"/>
        </w:rPr>
        <w:t xml:space="preserve"> caloriques</w:t>
      </w:r>
      <w:r w:rsidR="00D20399" w:rsidRPr="006866D3">
        <w:rPr>
          <w:rFonts w:ascii="Nyala" w:hAnsi="Nyala"/>
          <w:sz w:val="28"/>
          <w:szCs w:val="28"/>
        </w:rPr>
        <w:t xml:space="preserve">. </w:t>
      </w:r>
      <w:r w:rsidR="00D75CA2" w:rsidRPr="006866D3">
        <w:rPr>
          <w:rFonts w:ascii="Nyala" w:hAnsi="Nyala"/>
          <w:sz w:val="28"/>
          <w:szCs w:val="28"/>
        </w:rPr>
        <w:t>L</w:t>
      </w:r>
      <w:r w:rsidR="002B3E3B" w:rsidRPr="006866D3">
        <w:rPr>
          <w:rFonts w:ascii="Nyala" w:hAnsi="Nyala"/>
          <w:sz w:val="28"/>
          <w:szCs w:val="28"/>
        </w:rPr>
        <w:t>’</w:t>
      </w:r>
      <w:r w:rsidR="00D75CA2" w:rsidRPr="006866D3">
        <w:rPr>
          <w:rFonts w:ascii="Nyala" w:hAnsi="Nyala"/>
          <w:sz w:val="28"/>
          <w:szCs w:val="28"/>
        </w:rPr>
        <w:t xml:space="preserve">insécurité alimentaire </w:t>
      </w:r>
      <w:r w:rsidR="002B3E3B" w:rsidRPr="006866D3">
        <w:rPr>
          <w:rFonts w:ascii="Nyala" w:hAnsi="Nyala"/>
          <w:sz w:val="28"/>
          <w:szCs w:val="28"/>
        </w:rPr>
        <w:t xml:space="preserve">touche 2 personnes sur 3 </w:t>
      </w:r>
      <w:r w:rsidR="00D75CA2" w:rsidRPr="006866D3">
        <w:rPr>
          <w:rFonts w:ascii="Nyala" w:hAnsi="Nyala"/>
          <w:sz w:val="28"/>
          <w:szCs w:val="28"/>
        </w:rPr>
        <w:t>dans les régions de Mar</w:t>
      </w:r>
      <w:r w:rsidR="003A2A26">
        <w:rPr>
          <w:rFonts w:ascii="Nyala" w:hAnsi="Nyala"/>
          <w:sz w:val="28"/>
          <w:szCs w:val="28"/>
        </w:rPr>
        <w:t>a</w:t>
      </w:r>
      <w:r w:rsidR="00D75CA2" w:rsidRPr="006866D3">
        <w:rPr>
          <w:rFonts w:ascii="Nyala" w:hAnsi="Nyala"/>
          <w:sz w:val="28"/>
          <w:szCs w:val="28"/>
        </w:rPr>
        <w:t>di et Zinder</w:t>
      </w:r>
      <w:r w:rsidR="002B3E3B" w:rsidRPr="006866D3">
        <w:rPr>
          <w:rFonts w:ascii="Nyala" w:hAnsi="Nyala"/>
          <w:sz w:val="28"/>
          <w:szCs w:val="28"/>
        </w:rPr>
        <w:t> (</w:t>
      </w:r>
      <w:r w:rsidR="002B3E3B" w:rsidRPr="006866D3">
        <w:rPr>
          <w:rFonts w:ascii="Nyala" w:hAnsi="Nyala"/>
          <w:b/>
          <w:sz w:val="28"/>
          <w:szCs w:val="28"/>
        </w:rPr>
        <w:t xml:space="preserve">Figure </w:t>
      </w:r>
      <w:r w:rsidR="00CA7E2E" w:rsidRPr="006866D3">
        <w:rPr>
          <w:rFonts w:ascii="Nyala" w:hAnsi="Nyala"/>
          <w:b/>
          <w:sz w:val="28"/>
          <w:szCs w:val="28"/>
        </w:rPr>
        <w:t>3</w:t>
      </w:r>
      <w:r w:rsidR="002B3E3B" w:rsidRPr="006866D3">
        <w:rPr>
          <w:rFonts w:ascii="Nyala" w:hAnsi="Nyala"/>
          <w:sz w:val="28"/>
          <w:szCs w:val="28"/>
        </w:rPr>
        <w:t>)</w:t>
      </w:r>
      <w:r w:rsidR="00BB20B9">
        <w:rPr>
          <w:rFonts w:ascii="Nyala" w:hAnsi="Nyala"/>
          <w:sz w:val="28"/>
          <w:szCs w:val="28"/>
        </w:rPr>
        <w:t>.</w:t>
      </w:r>
    </w:p>
    <w:p w:rsidR="00D75CA2" w:rsidRDefault="00BB20B9" w:rsidP="00D75CA2">
      <w:pPr>
        <w:jc w:val="both"/>
        <w:rPr>
          <w:rFonts w:ascii="Nyala" w:hAnsi="Nyala"/>
          <w:sz w:val="28"/>
          <w:szCs w:val="28"/>
        </w:rPr>
      </w:pPr>
      <w:r>
        <w:rPr>
          <w:rFonts w:ascii="Nyala" w:hAnsi="Nyala"/>
          <w:sz w:val="28"/>
          <w:szCs w:val="28"/>
        </w:rPr>
        <w:t>L</w:t>
      </w:r>
      <w:r w:rsidR="002B3E3B" w:rsidRPr="006866D3">
        <w:rPr>
          <w:rFonts w:ascii="Nyala" w:hAnsi="Nyala"/>
          <w:sz w:val="28"/>
          <w:szCs w:val="28"/>
        </w:rPr>
        <w:t xml:space="preserve">es habitants de ces régions consomment </w:t>
      </w:r>
      <w:r w:rsidR="00D75CA2" w:rsidRPr="006866D3">
        <w:rPr>
          <w:rFonts w:ascii="Nyala" w:hAnsi="Nyala"/>
          <w:sz w:val="28"/>
          <w:szCs w:val="28"/>
        </w:rPr>
        <w:t xml:space="preserve">moins de 2400 </w:t>
      </w:r>
      <w:r w:rsidR="00844BF4">
        <w:rPr>
          <w:rFonts w:ascii="Nyala" w:hAnsi="Nyala"/>
          <w:sz w:val="28"/>
          <w:szCs w:val="28"/>
        </w:rPr>
        <w:t>k</w:t>
      </w:r>
      <w:r w:rsidR="00D75CA2" w:rsidRPr="006866D3">
        <w:rPr>
          <w:rFonts w:ascii="Nyala" w:hAnsi="Nyala"/>
          <w:sz w:val="28"/>
          <w:szCs w:val="28"/>
        </w:rPr>
        <w:t>cal/jour/personne</w:t>
      </w:r>
      <w:r w:rsidR="002B3E3B" w:rsidRPr="006866D3">
        <w:rPr>
          <w:rFonts w:ascii="Nyala" w:hAnsi="Nyala"/>
          <w:sz w:val="28"/>
          <w:szCs w:val="28"/>
        </w:rPr>
        <w:t xml:space="preserve"> alors q</w:t>
      </w:r>
      <w:r w:rsidR="00CA7E2E" w:rsidRPr="006866D3">
        <w:rPr>
          <w:rFonts w:ascii="Nyala" w:hAnsi="Nyala"/>
          <w:sz w:val="28"/>
          <w:szCs w:val="28"/>
        </w:rPr>
        <w:t>u</w:t>
      </w:r>
      <w:r w:rsidR="002B3E3B" w:rsidRPr="006866D3">
        <w:rPr>
          <w:rFonts w:ascii="Nyala" w:hAnsi="Nyala"/>
          <w:sz w:val="28"/>
          <w:szCs w:val="28"/>
        </w:rPr>
        <w:t xml:space="preserve">e celles </w:t>
      </w:r>
      <w:r w:rsidR="00D75CA2" w:rsidRPr="006866D3">
        <w:rPr>
          <w:rFonts w:ascii="Nyala" w:hAnsi="Nyala"/>
          <w:sz w:val="28"/>
          <w:szCs w:val="28"/>
        </w:rPr>
        <w:t xml:space="preserve">d’Agadez et Tahoua </w:t>
      </w:r>
      <w:r w:rsidR="00AB4ACF">
        <w:rPr>
          <w:rFonts w:ascii="Nyala" w:hAnsi="Nyala"/>
          <w:sz w:val="28"/>
          <w:szCs w:val="28"/>
        </w:rPr>
        <w:t xml:space="preserve">disposent de </w:t>
      </w:r>
      <w:r w:rsidR="00D75CA2" w:rsidRPr="006866D3">
        <w:rPr>
          <w:rFonts w:ascii="Nyala" w:hAnsi="Nyala"/>
          <w:sz w:val="28"/>
          <w:szCs w:val="28"/>
        </w:rPr>
        <w:t xml:space="preserve">plus de 3000 </w:t>
      </w:r>
      <w:r w:rsidR="00C02623">
        <w:rPr>
          <w:rFonts w:ascii="Nyala" w:hAnsi="Nyala"/>
          <w:sz w:val="28"/>
          <w:szCs w:val="28"/>
        </w:rPr>
        <w:t>k</w:t>
      </w:r>
      <w:r w:rsidR="00D75CA2" w:rsidRPr="006866D3">
        <w:rPr>
          <w:rFonts w:ascii="Nyala" w:hAnsi="Nyala"/>
          <w:sz w:val="28"/>
          <w:szCs w:val="28"/>
        </w:rPr>
        <w:t>cal/jour/personne</w:t>
      </w:r>
      <w:r w:rsidR="00A14584">
        <w:rPr>
          <w:rFonts w:ascii="Nyala" w:hAnsi="Nyala"/>
          <w:sz w:val="28"/>
          <w:szCs w:val="28"/>
        </w:rPr>
        <w:t xml:space="preserve"> et la prévalence de l’insécurité alimentaire calculée sur la base de la couverture énergétique est de respectivement 24,7% et 32,4%. </w:t>
      </w:r>
    </w:p>
    <w:p w:rsidR="00A14584" w:rsidRDefault="00A14584" w:rsidP="00D75CA2">
      <w:pPr>
        <w:jc w:val="both"/>
        <w:rPr>
          <w:rFonts w:ascii="Nyala" w:hAnsi="Nyala"/>
          <w:sz w:val="28"/>
          <w:szCs w:val="28"/>
        </w:rPr>
      </w:pPr>
    </w:p>
    <w:p w:rsidR="00313667" w:rsidRPr="009B11E1" w:rsidRDefault="00146983" w:rsidP="00313667">
      <w:pPr>
        <w:jc w:val="both"/>
        <w:rPr>
          <w:rStyle w:val="Rfrenceintense"/>
          <w:rFonts w:ascii="Calibri" w:hAnsi="Calibri" w:cs="Calibri"/>
          <w:sz w:val="28"/>
          <w:szCs w:val="28"/>
        </w:rPr>
      </w:pPr>
      <w:r>
        <w:rPr>
          <w:rStyle w:val="Rfrenceintense"/>
          <w:noProof/>
          <w:lang w:eastAsia="fr-FR"/>
        </w:rPr>
        <mc:AlternateContent>
          <mc:Choice Requires="wps">
            <w:drawing>
              <wp:anchor distT="0" distB="0" distL="114300" distR="114300" simplePos="0" relativeHeight="251931648" behindDoc="0" locked="0" layoutInCell="1" allowOverlap="1" wp14:anchorId="2761D18C">
                <wp:simplePos x="0" y="0"/>
                <wp:positionH relativeFrom="margin">
                  <wp:align>right</wp:align>
                </wp:positionH>
                <wp:positionV relativeFrom="paragraph">
                  <wp:posOffset>344805</wp:posOffset>
                </wp:positionV>
                <wp:extent cx="1828800" cy="1828800"/>
                <wp:effectExtent l="0" t="0" r="19685" b="12065"/>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solidFill>
                            <a:prstClr val="black"/>
                          </a:solidFill>
                        </a:ln>
                        <a:effectLst/>
                      </wps:spPr>
                      <wps:txbx>
                        <w:txbxContent>
                          <w:p w:rsidR="00146325" w:rsidRDefault="00146325" w:rsidP="009B11E1">
                            <w:pPr>
                              <w:pStyle w:val="Lgende"/>
                              <w:keepNext/>
                              <w:jc w:val="both"/>
                            </w:pPr>
                            <w:bookmarkStart w:id="264" w:name="_Toc526120070"/>
                            <w:r>
                              <w:t xml:space="preserve">Figure </w:t>
                            </w:r>
                            <w:r w:rsidR="00C73EE5">
                              <w:fldChar w:fldCharType="begin"/>
                            </w:r>
                            <w:r w:rsidR="00C73EE5">
                              <w:instrText xml:space="preserve"> SEQ Figure \* ARABIC </w:instrText>
                            </w:r>
                            <w:r w:rsidR="00C73EE5">
                              <w:fldChar w:fldCharType="separate"/>
                            </w:r>
                            <w:r>
                              <w:rPr>
                                <w:noProof/>
                              </w:rPr>
                              <w:t>4</w:t>
                            </w:r>
                            <w:r w:rsidR="00C73EE5">
                              <w:rPr>
                                <w:noProof/>
                              </w:rPr>
                              <w:fldChar w:fldCharType="end"/>
                            </w:r>
                            <w:r>
                              <w:t xml:space="preserve"> - consommation énergétique selon la classe de richesse</w:t>
                            </w:r>
                            <w:bookmarkEnd w:id="264"/>
                          </w:p>
                          <w:p w:rsidR="00146325" w:rsidRDefault="00146325" w:rsidP="009B11E1">
                            <w:pPr>
                              <w:spacing w:after="0"/>
                              <w:jc w:val="both"/>
                            </w:pPr>
                            <w:r w:rsidRPr="00CC2773">
                              <w:rPr>
                                <w:noProof/>
                                <w:lang w:eastAsia="fr-FR"/>
                              </w:rPr>
                              <w:drawing>
                                <wp:inline distT="0" distB="0" distL="0" distR="0">
                                  <wp:extent cx="3460033" cy="1932167"/>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1588" cy="1938620"/>
                                          </a:xfrm>
                                          <a:prstGeom prst="rect">
                                            <a:avLst/>
                                          </a:prstGeom>
                                          <a:noFill/>
                                          <a:ln>
                                            <a:noFill/>
                                          </a:ln>
                                        </pic:spPr>
                                      </pic:pic>
                                    </a:graphicData>
                                  </a:graphic>
                                </wp:inline>
                              </w:drawing>
                            </w:r>
                          </w:p>
                          <w:p w:rsidR="00146325" w:rsidRPr="00040251" w:rsidRDefault="00146325" w:rsidP="009B11E1">
                            <w:pPr>
                              <w:spacing w:before="0" w:after="0" w:line="240" w:lineRule="auto"/>
                              <w:jc w:val="both"/>
                            </w:pPr>
                            <w:r>
                              <w:t>Source : 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761D18C" id="Zone de texte 5" o:spid="_x0000_s1033" type="#_x0000_t202" style="position:absolute;left:0;text-align:left;margin-left:92.8pt;margin-top:27.15pt;width:2in;height:2in;z-index:25193164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" filled="f" strokeweight=".5pt">
                <v:path arrowok="t"/>
                <v:textbox style="mso-fit-shape-to-text:t">
                  <w:txbxContent>
                    <w:p w:rsidR="00146325" w:rsidRDefault="00146325" w:rsidP="009B11E1">
                      <w:pPr>
                        <w:pStyle w:val="Lgende"/>
                        <w:keepNext/>
                        <w:jc w:val="both"/>
                      </w:pPr>
                      <w:bookmarkStart w:id="265" w:name="_Toc526120070"/>
                      <w:r>
                        <w:t xml:space="preserve">Figure </w:t>
                      </w:r>
                      <w:r w:rsidR="00C73EE5">
                        <w:fldChar w:fldCharType="begin"/>
                      </w:r>
                      <w:r w:rsidR="00C73EE5">
                        <w:instrText xml:space="preserve"> SEQ Figure \* ARABIC </w:instrText>
                      </w:r>
                      <w:r w:rsidR="00C73EE5">
                        <w:fldChar w:fldCharType="separate"/>
                      </w:r>
                      <w:r>
                        <w:rPr>
                          <w:noProof/>
                        </w:rPr>
                        <w:t>4</w:t>
                      </w:r>
                      <w:r w:rsidR="00C73EE5">
                        <w:rPr>
                          <w:noProof/>
                        </w:rPr>
                        <w:fldChar w:fldCharType="end"/>
                      </w:r>
                      <w:r>
                        <w:t xml:space="preserve"> - consommation énergétique selon la classe de richesse</w:t>
                      </w:r>
                      <w:bookmarkEnd w:id="265"/>
                    </w:p>
                    <w:p w:rsidR="00146325" w:rsidRDefault="00146325" w:rsidP="009B11E1">
                      <w:pPr>
                        <w:spacing w:after="0"/>
                        <w:jc w:val="both"/>
                      </w:pPr>
                      <w:r w:rsidRPr="00CC2773">
                        <w:rPr>
                          <w:noProof/>
                          <w:lang w:eastAsia="fr-FR"/>
                        </w:rPr>
                        <w:drawing>
                          <wp:inline distT="0" distB="0" distL="0" distR="0">
                            <wp:extent cx="3460033" cy="1932167"/>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1588" cy="1938620"/>
                                    </a:xfrm>
                                    <a:prstGeom prst="rect">
                                      <a:avLst/>
                                    </a:prstGeom>
                                    <a:noFill/>
                                    <a:ln>
                                      <a:noFill/>
                                    </a:ln>
                                  </pic:spPr>
                                </pic:pic>
                              </a:graphicData>
                            </a:graphic>
                          </wp:inline>
                        </w:drawing>
                      </w:r>
                    </w:p>
                    <w:p w:rsidR="00146325" w:rsidRPr="00040251" w:rsidRDefault="00146325" w:rsidP="009B11E1">
                      <w:pPr>
                        <w:spacing w:before="0" w:after="0" w:line="240" w:lineRule="auto"/>
                        <w:jc w:val="both"/>
                      </w:pPr>
                      <w:r>
                        <w:t>Source : INS</w:t>
                      </w:r>
                    </w:p>
                  </w:txbxContent>
                </v:textbox>
                <w10:wrap type="square" anchorx="margin"/>
              </v:shape>
            </w:pict>
          </mc:Fallback>
        </mc:AlternateContent>
      </w:r>
      <w:r w:rsidR="009F7F18" w:rsidRPr="009B11E1">
        <w:rPr>
          <w:rStyle w:val="Rfrenceintense"/>
          <w:rFonts w:ascii="Calibri" w:hAnsi="Calibri" w:cs="Calibri"/>
          <w:sz w:val="28"/>
          <w:szCs w:val="28"/>
        </w:rPr>
        <w:t>Ration alimentaire selon l</w:t>
      </w:r>
      <w:r w:rsidR="00CC2773" w:rsidRPr="009B11E1">
        <w:rPr>
          <w:rStyle w:val="Rfrenceintense"/>
          <w:rFonts w:ascii="Calibri" w:hAnsi="Calibri" w:cs="Calibri"/>
          <w:sz w:val="28"/>
          <w:szCs w:val="28"/>
        </w:rPr>
        <w:t xml:space="preserve">a classe de richesse </w:t>
      </w:r>
    </w:p>
    <w:p w:rsidR="009F7F18" w:rsidRPr="008064B4" w:rsidRDefault="00EF1D6E" w:rsidP="00313667">
      <w:pPr>
        <w:jc w:val="both"/>
        <w:rPr>
          <w:rFonts w:ascii="Nyala" w:hAnsi="Nyala"/>
          <w:sz w:val="28"/>
          <w:szCs w:val="28"/>
        </w:rPr>
      </w:pPr>
      <w:r w:rsidRPr="00141D20">
        <w:rPr>
          <w:rFonts w:ascii="Nyala" w:hAnsi="Nyala"/>
          <w:sz w:val="28"/>
          <w:szCs w:val="28"/>
        </w:rPr>
        <w:t>D’une manière générale, les 40% les plus pauvres du pays ne couvrent pas leurs besoins énergétiques et ceux des 20% les plus riches représentent plus du double de la consommation énergétique des 20% les plus pauvres ; ce qui traduit des fortes inégalités dans l’accès à l’alimentation au sein de la population.</w:t>
      </w:r>
      <w:r w:rsidR="00A14584" w:rsidRPr="00141D20">
        <w:rPr>
          <w:rFonts w:ascii="Nyala" w:hAnsi="Nyala"/>
          <w:sz w:val="28"/>
          <w:szCs w:val="28"/>
        </w:rPr>
        <w:t xml:space="preserve"> (</w:t>
      </w:r>
      <w:r w:rsidR="00A14584" w:rsidRPr="009B11E1">
        <w:rPr>
          <w:rFonts w:ascii="Nyala" w:hAnsi="Nyala"/>
          <w:b/>
          <w:sz w:val="28"/>
          <w:szCs w:val="28"/>
        </w:rPr>
        <w:t>Figure</w:t>
      </w:r>
      <w:r w:rsidR="00E6575B" w:rsidRPr="009B11E1">
        <w:rPr>
          <w:rFonts w:ascii="Nyala" w:hAnsi="Nyala"/>
          <w:b/>
          <w:sz w:val="28"/>
          <w:szCs w:val="28"/>
        </w:rPr>
        <w:t xml:space="preserve"> 4</w:t>
      </w:r>
      <w:r w:rsidR="00A14584" w:rsidRPr="00141D20">
        <w:rPr>
          <w:rFonts w:ascii="Nyala" w:hAnsi="Nyala"/>
          <w:sz w:val="28"/>
          <w:szCs w:val="28"/>
        </w:rPr>
        <w:t xml:space="preserve">). </w:t>
      </w:r>
    </w:p>
    <w:p w:rsidR="003E7286" w:rsidRPr="009B11E1" w:rsidRDefault="003E7286" w:rsidP="00313667">
      <w:pPr>
        <w:jc w:val="both"/>
        <w:rPr>
          <w:rStyle w:val="Rfrenceintense"/>
          <w:rFonts w:ascii="Calibri" w:hAnsi="Calibri" w:cs="Calibri"/>
          <w:sz w:val="28"/>
          <w:szCs w:val="28"/>
        </w:rPr>
      </w:pPr>
      <w:r w:rsidRPr="009B11E1">
        <w:rPr>
          <w:rStyle w:val="Rfrenceintense"/>
          <w:rFonts w:ascii="Calibri" w:hAnsi="Calibri" w:cs="Calibri"/>
          <w:sz w:val="28"/>
          <w:szCs w:val="28"/>
        </w:rPr>
        <w:t>Ration alimentaire selon le niveau d’éducation et l’âge du chef de ménage</w:t>
      </w:r>
    </w:p>
    <w:p w:rsidR="00E45E42" w:rsidRDefault="00146983" w:rsidP="00313667">
      <w:pPr>
        <w:jc w:val="both"/>
        <w:rPr>
          <w:rFonts w:ascii="Nyala" w:hAnsi="Nyala"/>
          <w:iCs/>
          <w:sz w:val="28"/>
          <w:szCs w:val="28"/>
        </w:rPr>
      </w:pPr>
      <w:r>
        <w:rPr>
          <w:rStyle w:val="Rfrenceintense"/>
          <w:noProof/>
          <w:lang w:eastAsia="fr-FR"/>
        </w:rPr>
        <mc:AlternateContent>
          <mc:Choice Requires="wps">
            <w:drawing>
              <wp:anchor distT="0" distB="0" distL="114300" distR="114300" simplePos="0" relativeHeight="251943936" behindDoc="0" locked="0" layoutInCell="1" allowOverlap="1" wp14:anchorId="5D94B080">
                <wp:simplePos x="0" y="0"/>
                <wp:positionH relativeFrom="margin">
                  <wp:align>right</wp:align>
                </wp:positionH>
                <wp:positionV relativeFrom="paragraph">
                  <wp:posOffset>7620</wp:posOffset>
                </wp:positionV>
                <wp:extent cx="1828800" cy="2055495"/>
                <wp:effectExtent l="0" t="0" r="13335" b="20955"/>
                <wp:wrapSquare wrapText="bothSides"/>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2055495"/>
                        </a:xfrm>
                        <a:prstGeom prst="rect">
                          <a:avLst/>
                        </a:prstGeom>
                        <a:noFill/>
                        <a:ln w="6350">
                          <a:solidFill>
                            <a:prstClr val="black"/>
                          </a:solidFill>
                        </a:ln>
                        <a:effectLst/>
                      </wps:spPr>
                      <wps:txbx>
                        <w:txbxContent>
                          <w:p w:rsidR="00146325" w:rsidRDefault="00146325" w:rsidP="009B11E1">
                            <w:pPr>
                              <w:pStyle w:val="Lgende"/>
                              <w:keepNext/>
                              <w:jc w:val="both"/>
                            </w:pPr>
                            <w:bookmarkStart w:id="266" w:name="_Toc526120071"/>
                            <w:r>
                              <w:t xml:space="preserve">Figure </w:t>
                            </w:r>
                            <w:r w:rsidR="00C73EE5">
                              <w:fldChar w:fldCharType="begin"/>
                            </w:r>
                            <w:r w:rsidR="00C73EE5">
                              <w:instrText xml:space="preserve"> SEQ Figure \* ARABIC </w:instrText>
                            </w:r>
                            <w:r w:rsidR="00C73EE5">
                              <w:fldChar w:fldCharType="separate"/>
                            </w:r>
                            <w:r>
                              <w:rPr>
                                <w:noProof/>
                              </w:rPr>
                              <w:t>5</w:t>
                            </w:r>
                            <w:r w:rsidR="00C73EE5">
                              <w:rPr>
                                <w:noProof/>
                              </w:rPr>
                              <w:fldChar w:fldCharType="end"/>
                            </w:r>
                            <w:r>
                              <w:t xml:space="preserve"> Ration calorique selon le niveau d'instruction</w:t>
                            </w:r>
                            <w:bookmarkEnd w:id="266"/>
                          </w:p>
                          <w:p w:rsidR="00146325" w:rsidRDefault="00146325" w:rsidP="009B11E1">
                            <w:pPr>
                              <w:spacing w:before="0" w:after="0" w:line="240" w:lineRule="auto"/>
                              <w:jc w:val="both"/>
                              <w:rPr>
                                <w:noProof/>
                              </w:rPr>
                            </w:pPr>
                            <w:r w:rsidRPr="00227058">
                              <w:rPr>
                                <w:noProof/>
                                <w:lang w:eastAsia="fr-FR"/>
                              </w:rPr>
                              <w:drawing>
                                <wp:inline distT="0" distB="0" distL="0" distR="0">
                                  <wp:extent cx="3074014" cy="1514247"/>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3077" cy="1518711"/>
                                          </a:xfrm>
                                          <a:prstGeom prst="rect">
                                            <a:avLst/>
                                          </a:prstGeom>
                                          <a:noFill/>
                                          <a:ln>
                                            <a:noFill/>
                                          </a:ln>
                                        </pic:spPr>
                                      </pic:pic>
                                    </a:graphicData>
                                  </a:graphic>
                                </wp:inline>
                              </w:drawing>
                            </w:r>
                          </w:p>
                          <w:p w:rsidR="00146325" w:rsidRPr="008F1A08" w:rsidRDefault="00146325" w:rsidP="009B11E1">
                            <w:pPr>
                              <w:spacing w:before="0" w:after="0" w:line="240" w:lineRule="auto"/>
                              <w:jc w:val="both"/>
                              <w:rPr>
                                <w:noProof/>
                              </w:rPr>
                            </w:pPr>
                            <w:r>
                              <w:rPr>
                                <w:noProof/>
                              </w:rPr>
                              <w:t>Source : 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94B080" id="Zone de texte 86" o:spid="_x0000_s1034" type="#_x0000_t202" style="position:absolute;left:0;text-align:left;margin-left:92.8pt;margin-top:.6pt;width:2in;height:161.85pt;z-index:25194393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" filled="f" strokeweight=".5pt">
                <v:path arrowok="t"/>
                <v:textbox>
                  <w:txbxContent>
                    <w:p w:rsidR="00146325" w:rsidRDefault="00146325" w:rsidP="009B11E1">
                      <w:pPr>
                        <w:pStyle w:val="Lgende"/>
                        <w:keepNext/>
                        <w:jc w:val="both"/>
                      </w:pPr>
                      <w:bookmarkStart w:id="267" w:name="_Toc526120071"/>
                      <w:r>
                        <w:t xml:space="preserve">Figure </w:t>
                      </w:r>
                      <w:r w:rsidR="00C73EE5">
                        <w:fldChar w:fldCharType="begin"/>
                      </w:r>
                      <w:r w:rsidR="00C73EE5">
                        <w:instrText xml:space="preserve"> SEQ Figure \* ARABIC </w:instrText>
                      </w:r>
                      <w:r w:rsidR="00C73EE5">
                        <w:fldChar w:fldCharType="separate"/>
                      </w:r>
                      <w:r>
                        <w:rPr>
                          <w:noProof/>
                        </w:rPr>
                        <w:t>5</w:t>
                      </w:r>
                      <w:r w:rsidR="00C73EE5">
                        <w:rPr>
                          <w:noProof/>
                        </w:rPr>
                        <w:fldChar w:fldCharType="end"/>
                      </w:r>
                      <w:r>
                        <w:t xml:space="preserve"> Ration calorique selon le niveau d'instruction</w:t>
                      </w:r>
                      <w:bookmarkEnd w:id="267"/>
                    </w:p>
                    <w:p w:rsidR="00146325" w:rsidRDefault="00146325" w:rsidP="009B11E1">
                      <w:pPr>
                        <w:spacing w:before="0" w:after="0" w:line="240" w:lineRule="auto"/>
                        <w:jc w:val="both"/>
                        <w:rPr>
                          <w:noProof/>
                        </w:rPr>
                      </w:pPr>
                      <w:r w:rsidRPr="00227058">
                        <w:rPr>
                          <w:noProof/>
                          <w:lang w:eastAsia="fr-FR"/>
                        </w:rPr>
                        <w:drawing>
                          <wp:inline distT="0" distB="0" distL="0" distR="0">
                            <wp:extent cx="3074014" cy="1514247"/>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3077" cy="1518711"/>
                                    </a:xfrm>
                                    <a:prstGeom prst="rect">
                                      <a:avLst/>
                                    </a:prstGeom>
                                    <a:noFill/>
                                    <a:ln>
                                      <a:noFill/>
                                    </a:ln>
                                  </pic:spPr>
                                </pic:pic>
                              </a:graphicData>
                            </a:graphic>
                          </wp:inline>
                        </w:drawing>
                      </w:r>
                    </w:p>
                    <w:p w:rsidR="00146325" w:rsidRPr="008F1A08" w:rsidRDefault="00146325" w:rsidP="009B11E1">
                      <w:pPr>
                        <w:spacing w:before="0" w:after="0" w:line="240" w:lineRule="auto"/>
                        <w:jc w:val="both"/>
                        <w:rPr>
                          <w:noProof/>
                        </w:rPr>
                      </w:pPr>
                      <w:r>
                        <w:rPr>
                          <w:noProof/>
                        </w:rPr>
                        <w:t>Source : INS</w:t>
                      </w:r>
                    </w:p>
                  </w:txbxContent>
                </v:textbox>
                <w10:wrap type="square" anchorx="margin"/>
              </v:shape>
            </w:pict>
          </mc:Fallback>
        </mc:AlternateContent>
      </w:r>
      <w:r w:rsidR="00227058">
        <w:rPr>
          <w:rFonts w:ascii="Nyala" w:hAnsi="Nyala"/>
          <w:iCs/>
          <w:sz w:val="28"/>
          <w:szCs w:val="28"/>
        </w:rPr>
        <w:t>La ration alimentaire varie peu selon le niveau d’instruction, même si les ménages ayant une instruction secondaire ou plus ont un régime alimentaire un peu plus calorique que les ménages dont le chef de famille est peu instruit (niveau primaire) et pas instruit (</w:t>
      </w:r>
      <w:r w:rsidR="00227058" w:rsidRPr="009B11E1">
        <w:rPr>
          <w:rFonts w:ascii="Nyala" w:hAnsi="Nyala"/>
          <w:b/>
          <w:iCs/>
          <w:sz w:val="28"/>
          <w:szCs w:val="28"/>
        </w:rPr>
        <w:t xml:space="preserve">figure </w:t>
      </w:r>
      <w:r w:rsidR="00E6575B" w:rsidRPr="009B11E1">
        <w:rPr>
          <w:rFonts w:ascii="Nyala" w:hAnsi="Nyala"/>
          <w:b/>
          <w:iCs/>
          <w:sz w:val="28"/>
          <w:szCs w:val="28"/>
        </w:rPr>
        <w:t>5</w:t>
      </w:r>
      <w:r w:rsidR="00227058">
        <w:rPr>
          <w:rFonts w:ascii="Nyala" w:hAnsi="Nyala"/>
          <w:iCs/>
          <w:sz w:val="28"/>
          <w:szCs w:val="28"/>
        </w:rPr>
        <w:t xml:space="preserve">). </w:t>
      </w:r>
    </w:p>
    <w:p w:rsidR="0076481E" w:rsidRDefault="0076481E" w:rsidP="00313667">
      <w:pPr>
        <w:jc w:val="both"/>
        <w:rPr>
          <w:rFonts w:ascii="Nyala" w:hAnsi="Nyala"/>
          <w:sz w:val="28"/>
          <w:szCs w:val="28"/>
        </w:rPr>
      </w:pPr>
    </w:p>
    <w:p w:rsidR="002949A8" w:rsidRDefault="002949A8" w:rsidP="00313667">
      <w:pPr>
        <w:jc w:val="both"/>
        <w:rPr>
          <w:rFonts w:ascii="Nyala" w:hAnsi="Nyala"/>
          <w:sz w:val="28"/>
          <w:szCs w:val="28"/>
        </w:rPr>
      </w:pPr>
    </w:p>
    <w:p w:rsidR="00313667" w:rsidRPr="002949A8" w:rsidRDefault="00F35EB9" w:rsidP="002949A8">
      <w:pPr>
        <w:pStyle w:val="Titre4"/>
        <w:numPr>
          <w:ilvl w:val="3"/>
          <w:numId w:val="2"/>
        </w:numPr>
      </w:pPr>
      <w:r w:rsidRPr="002949A8">
        <w:t xml:space="preserve">Sous-alimentation </w:t>
      </w:r>
      <w:r w:rsidR="00366C88" w:rsidRPr="002949A8">
        <w:t xml:space="preserve">selon le </w:t>
      </w:r>
      <w:r w:rsidR="003E7286" w:rsidRPr="002949A8">
        <w:t xml:space="preserve">régime alimentaire apprécié </w:t>
      </w:r>
      <w:r w:rsidRPr="002949A8">
        <w:t>par</w:t>
      </w:r>
      <w:r w:rsidR="003E7286" w:rsidRPr="002949A8">
        <w:t xml:space="preserve"> le SCA</w:t>
      </w:r>
    </w:p>
    <w:p w:rsidR="00313667" w:rsidRDefault="00313667" w:rsidP="00313667">
      <w:pPr>
        <w:jc w:val="both"/>
        <w:rPr>
          <w:rFonts w:ascii="Nyala" w:hAnsi="Nyala"/>
          <w:sz w:val="28"/>
          <w:szCs w:val="28"/>
        </w:rPr>
      </w:pPr>
      <w:r w:rsidRPr="006866D3">
        <w:rPr>
          <w:rFonts w:ascii="Nyala" w:hAnsi="Nyala"/>
          <w:sz w:val="28"/>
          <w:szCs w:val="28"/>
        </w:rPr>
        <w:t xml:space="preserve">Le Score de consommation alimentaire (SCA) ou « Food  consumption score »   est  un  indicateur </w:t>
      </w:r>
      <w:r w:rsidR="00582A53">
        <w:rPr>
          <w:rFonts w:ascii="Nyala" w:hAnsi="Nyala"/>
          <w:sz w:val="28"/>
          <w:szCs w:val="28"/>
        </w:rPr>
        <w:t>PROXY</w:t>
      </w:r>
      <w:r w:rsidRPr="006866D3">
        <w:rPr>
          <w:rFonts w:ascii="Nyala" w:hAnsi="Nyala"/>
          <w:sz w:val="28"/>
          <w:szCs w:val="28"/>
        </w:rPr>
        <w:t xml:space="preserve"> de  l’équilibre  alimentaire  du  ménage.  Le  SCA permet d’apprécier la diversité et la fréquence de consommation de 8 groupes de produits alimentaires (céréales  &amp;  tubercules ;  légumineuses ;  Feuilles  &amp;  légumes ; Fruits ;  Protéines  animales;  Lait  &amp;  produits  laitiers ;   Huile ;  Sucre  &amp;  produits  sucriers). Le SCA est évalué selon deux modalités : i) chaque année dans le cadre des enquêtes conjointes sur la vulnérabilité des ménages ruraux à l’insécurité alimentaire ou ii) périodiquement dans le cadre de la détermination du profil de pauvreté du pays aussi bien en milieu rural qu’urbain.  Toutefois, les enquêtes annuelles sont davantage orientées vers le monde rural. </w:t>
      </w:r>
    </w:p>
    <w:p w:rsidR="00A577A3" w:rsidRDefault="00D75CA2" w:rsidP="00D75CA2">
      <w:pPr>
        <w:jc w:val="both"/>
        <w:rPr>
          <w:rFonts w:ascii="Nyala" w:hAnsi="Nyala"/>
          <w:sz w:val="28"/>
          <w:szCs w:val="28"/>
        </w:rPr>
      </w:pPr>
      <w:r w:rsidRPr="006866D3">
        <w:rPr>
          <w:rFonts w:ascii="Nyala" w:hAnsi="Nyala"/>
          <w:sz w:val="28"/>
          <w:szCs w:val="28"/>
        </w:rPr>
        <w:t xml:space="preserve">Selon le SCA, trois types de régime alimentaire sont déterminés : a) pauvre avec un score de 0 à 28 ; b) </w:t>
      </w:r>
      <w:r w:rsidR="003A2A26" w:rsidRPr="006866D3">
        <w:rPr>
          <w:rFonts w:ascii="Nyala" w:hAnsi="Nyala"/>
          <w:sz w:val="28"/>
          <w:szCs w:val="28"/>
        </w:rPr>
        <w:t>limit</w:t>
      </w:r>
      <w:r w:rsidR="003A2A26">
        <w:rPr>
          <w:rFonts w:ascii="Nyala" w:hAnsi="Nyala"/>
          <w:sz w:val="28"/>
          <w:szCs w:val="28"/>
        </w:rPr>
        <w:t>e</w:t>
      </w:r>
      <w:r w:rsidRPr="006866D3">
        <w:rPr>
          <w:rFonts w:ascii="Nyala" w:hAnsi="Nyala"/>
          <w:sz w:val="28"/>
          <w:szCs w:val="28"/>
        </w:rPr>
        <w:t xml:space="preserve">avec un score de 28 à 42 et ; c) acceptable avec un score supérieur à 42.  </w:t>
      </w:r>
    </w:p>
    <w:p w:rsidR="00F35EB9" w:rsidRDefault="00146983" w:rsidP="00D75CA2">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778048" behindDoc="0" locked="0" layoutInCell="1" allowOverlap="1" wp14:anchorId="0C8BA40E">
                <wp:simplePos x="0" y="0"/>
                <wp:positionH relativeFrom="margin">
                  <wp:align>right</wp:align>
                </wp:positionH>
                <wp:positionV relativeFrom="paragraph">
                  <wp:posOffset>29210</wp:posOffset>
                </wp:positionV>
                <wp:extent cx="4133215" cy="2135505"/>
                <wp:effectExtent l="0" t="0" r="19685" b="17145"/>
                <wp:wrapSquare wrapText="bothSides"/>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215" cy="2135505"/>
                        </a:xfrm>
                        <a:prstGeom prst="rect">
                          <a:avLst/>
                        </a:prstGeom>
                        <a:noFill/>
                        <a:ln w="6350">
                          <a:solidFill>
                            <a:prstClr val="black"/>
                          </a:solidFill>
                        </a:ln>
                        <a:effectLst/>
                      </wps:spPr>
                      <wps:txbx>
                        <w:txbxContent>
                          <w:p w:rsidR="00146325" w:rsidRDefault="00146325" w:rsidP="00C06E59">
                            <w:pPr>
                              <w:pStyle w:val="Lgende"/>
                              <w:keepNext/>
                              <w:jc w:val="both"/>
                            </w:pPr>
                            <w:bookmarkStart w:id="268" w:name="_Toc526120072"/>
                            <w:r>
                              <w:t xml:space="preserve">Figure </w:t>
                            </w:r>
                            <w:r w:rsidR="00C73EE5">
                              <w:fldChar w:fldCharType="begin"/>
                            </w:r>
                            <w:r w:rsidR="00C73EE5">
                              <w:instrText xml:space="preserve"> SEQ Figure \* ARABIC </w:instrText>
                            </w:r>
                            <w:r w:rsidR="00C73EE5">
                              <w:fldChar w:fldCharType="separate"/>
                            </w:r>
                            <w:r>
                              <w:rPr>
                                <w:noProof/>
                              </w:rPr>
                              <w:t>6</w:t>
                            </w:r>
                            <w:r w:rsidR="00C73EE5">
                              <w:rPr>
                                <w:noProof/>
                              </w:rPr>
                              <w:fldChar w:fldCharType="end"/>
                            </w:r>
                            <w:r>
                              <w:t xml:space="preserve"> - score de consommation alimentaire selon la classe d'insécurité</w:t>
                            </w:r>
                            <w:bookmarkEnd w:id="268"/>
                          </w:p>
                          <w:p w:rsidR="00146325" w:rsidRDefault="00146325" w:rsidP="000500A5">
                            <w:pPr>
                              <w:tabs>
                                <w:tab w:val="left" w:pos="2894"/>
                              </w:tabs>
                              <w:spacing w:before="0" w:after="0" w:line="240" w:lineRule="auto"/>
                              <w:jc w:val="both"/>
                            </w:pPr>
                            <w:r w:rsidRPr="006B31BD">
                              <w:rPr>
                                <w:noProof/>
                                <w:lang w:eastAsia="fr-FR"/>
                              </w:rPr>
                              <w:drawing>
                                <wp:inline distT="0" distB="0" distL="0" distR="0">
                                  <wp:extent cx="3364998" cy="1521562"/>
                                  <wp:effectExtent l="0" t="0" r="6985" b="254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82238" cy="1529358"/>
                                          </a:xfrm>
                                          <a:prstGeom prst="rect">
                                            <a:avLst/>
                                          </a:prstGeom>
                                          <a:noFill/>
                                          <a:ln>
                                            <a:noFill/>
                                          </a:ln>
                                        </pic:spPr>
                                      </pic:pic>
                                    </a:graphicData>
                                  </a:graphic>
                                </wp:inline>
                              </w:drawing>
                            </w:r>
                          </w:p>
                          <w:p w:rsidR="00146325" w:rsidRPr="00C06E59" w:rsidRDefault="00146325" w:rsidP="00C06E59">
                            <w:pPr>
                              <w:tabs>
                                <w:tab w:val="left" w:pos="2894"/>
                              </w:tabs>
                              <w:spacing w:after="0" w:line="240" w:lineRule="auto"/>
                              <w:jc w:val="both"/>
                              <w:rPr>
                                <w:sz w:val="16"/>
                                <w:szCs w:val="16"/>
                              </w:rPr>
                            </w:pPr>
                            <w:r w:rsidRPr="00C06E59">
                              <w:rPr>
                                <w:sz w:val="16"/>
                                <w:szCs w:val="16"/>
                              </w:rPr>
                              <w:t>Source : 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8BA40E" id="Zone de texte 41" o:spid="_x0000_s1035" type="#_x0000_t202" style="position:absolute;left:0;text-align:left;margin-left:274.25pt;margin-top:2.3pt;width:325.45pt;height:168.15pt;z-index:25177804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" filled="f" strokeweight=".5pt">
                <v:path arrowok="t"/>
                <v:textbox>
                  <w:txbxContent>
                    <w:p w:rsidR="00146325" w:rsidRDefault="00146325" w:rsidP="00C06E59">
                      <w:pPr>
                        <w:pStyle w:val="Lgende"/>
                        <w:keepNext/>
                        <w:jc w:val="both"/>
                      </w:pPr>
                      <w:bookmarkStart w:id="269" w:name="_Toc526120072"/>
                      <w:r>
                        <w:t xml:space="preserve">Figure </w:t>
                      </w:r>
                      <w:r w:rsidR="00C73EE5">
                        <w:fldChar w:fldCharType="begin"/>
                      </w:r>
                      <w:r w:rsidR="00C73EE5">
                        <w:instrText xml:space="preserve"> SEQ Figure \* ARABIC </w:instrText>
                      </w:r>
                      <w:r w:rsidR="00C73EE5">
                        <w:fldChar w:fldCharType="separate"/>
                      </w:r>
                      <w:r>
                        <w:rPr>
                          <w:noProof/>
                        </w:rPr>
                        <w:t>6</w:t>
                      </w:r>
                      <w:r w:rsidR="00C73EE5">
                        <w:rPr>
                          <w:noProof/>
                        </w:rPr>
                        <w:fldChar w:fldCharType="end"/>
                      </w:r>
                      <w:r>
                        <w:t xml:space="preserve"> - score de consommation alimentaire selon la classe d'insécurité</w:t>
                      </w:r>
                      <w:bookmarkEnd w:id="269"/>
                    </w:p>
                    <w:p w:rsidR="00146325" w:rsidRDefault="00146325" w:rsidP="000500A5">
                      <w:pPr>
                        <w:tabs>
                          <w:tab w:val="left" w:pos="2894"/>
                        </w:tabs>
                        <w:spacing w:before="0" w:after="0" w:line="240" w:lineRule="auto"/>
                        <w:jc w:val="both"/>
                      </w:pPr>
                      <w:r w:rsidRPr="006B31BD">
                        <w:rPr>
                          <w:noProof/>
                          <w:lang w:eastAsia="fr-FR"/>
                        </w:rPr>
                        <w:drawing>
                          <wp:inline distT="0" distB="0" distL="0" distR="0">
                            <wp:extent cx="3364998" cy="1521562"/>
                            <wp:effectExtent l="0" t="0" r="6985" b="254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82238" cy="1529358"/>
                                    </a:xfrm>
                                    <a:prstGeom prst="rect">
                                      <a:avLst/>
                                    </a:prstGeom>
                                    <a:noFill/>
                                    <a:ln>
                                      <a:noFill/>
                                    </a:ln>
                                  </pic:spPr>
                                </pic:pic>
                              </a:graphicData>
                            </a:graphic>
                          </wp:inline>
                        </w:drawing>
                      </w:r>
                    </w:p>
                    <w:p w:rsidR="00146325" w:rsidRPr="00C06E59" w:rsidRDefault="00146325" w:rsidP="00C06E59">
                      <w:pPr>
                        <w:tabs>
                          <w:tab w:val="left" w:pos="2894"/>
                        </w:tabs>
                        <w:spacing w:after="0" w:line="240" w:lineRule="auto"/>
                        <w:jc w:val="both"/>
                        <w:rPr>
                          <w:sz w:val="16"/>
                          <w:szCs w:val="16"/>
                        </w:rPr>
                      </w:pPr>
                      <w:r w:rsidRPr="00C06E59">
                        <w:rPr>
                          <w:sz w:val="16"/>
                          <w:szCs w:val="16"/>
                        </w:rPr>
                        <w:t>Source : INS</w:t>
                      </w:r>
                    </w:p>
                  </w:txbxContent>
                </v:textbox>
                <w10:wrap type="square" anchorx="margin"/>
              </v:shape>
            </w:pict>
          </mc:Fallback>
        </mc:AlternateContent>
      </w:r>
    </w:p>
    <w:p w:rsidR="00F35EB9" w:rsidRPr="009B11E1" w:rsidRDefault="00F35EB9" w:rsidP="00D75CA2">
      <w:pPr>
        <w:jc w:val="both"/>
        <w:rPr>
          <w:rStyle w:val="Rfrenceintense"/>
          <w:rFonts w:ascii="Calibri" w:hAnsi="Calibri" w:cs="Calibri"/>
          <w:sz w:val="28"/>
          <w:szCs w:val="28"/>
        </w:rPr>
      </w:pPr>
      <w:r w:rsidRPr="009B11E1">
        <w:rPr>
          <w:rStyle w:val="Rfrenceintense"/>
          <w:rFonts w:ascii="Calibri" w:hAnsi="Calibri" w:cs="Calibri"/>
          <w:sz w:val="28"/>
          <w:szCs w:val="28"/>
        </w:rPr>
        <w:t xml:space="preserve">SCA selon la classe d’insécurité alimentaire </w:t>
      </w:r>
    </w:p>
    <w:p w:rsidR="00E6575B" w:rsidRDefault="00C06E59" w:rsidP="00D75CA2">
      <w:pPr>
        <w:jc w:val="both"/>
        <w:rPr>
          <w:rFonts w:ascii="Nyala" w:hAnsi="Nyala"/>
          <w:sz w:val="28"/>
          <w:szCs w:val="28"/>
        </w:rPr>
      </w:pPr>
      <w:r w:rsidRPr="006866D3">
        <w:rPr>
          <w:rFonts w:ascii="Nyala" w:hAnsi="Nyala"/>
          <w:sz w:val="28"/>
          <w:szCs w:val="28"/>
        </w:rPr>
        <w:t xml:space="preserve">La </w:t>
      </w:r>
      <w:r w:rsidRPr="006866D3">
        <w:rPr>
          <w:rFonts w:ascii="Nyala" w:hAnsi="Nyala"/>
          <w:b/>
          <w:sz w:val="28"/>
          <w:szCs w:val="28"/>
        </w:rPr>
        <w:t xml:space="preserve">figure </w:t>
      </w:r>
      <w:r w:rsidR="00E6575B">
        <w:rPr>
          <w:rFonts w:ascii="Nyala" w:hAnsi="Nyala"/>
          <w:b/>
          <w:sz w:val="28"/>
          <w:szCs w:val="28"/>
        </w:rPr>
        <w:t>6</w:t>
      </w:r>
      <w:r w:rsidR="00D75CA2" w:rsidRPr="006866D3">
        <w:rPr>
          <w:rFonts w:ascii="Nyala" w:hAnsi="Nyala"/>
          <w:sz w:val="28"/>
          <w:szCs w:val="28"/>
        </w:rPr>
        <w:t>illustre l’évolution du SCA sur la période 2009-2016 selon la classe d’insécurité alimentaire</w:t>
      </w:r>
      <w:r w:rsidR="00D20399" w:rsidRPr="006866D3">
        <w:rPr>
          <w:rFonts w:ascii="Nyala" w:hAnsi="Nyala"/>
          <w:sz w:val="28"/>
          <w:szCs w:val="28"/>
        </w:rPr>
        <w:t xml:space="preserve"> (enquête annuelle)</w:t>
      </w:r>
      <w:r w:rsidR="00D75CA2" w:rsidRPr="006866D3">
        <w:rPr>
          <w:rFonts w:ascii="Nyala" w:hAnsi="Nyala"/>
          <w:sz w:val="28"/>
          <w:szCs w:val="28"/>
        </w:rPr>
        <w:t xml:space="preserve">. </w:t>
      </w:r>
    </w:p>
    <w:p w:rsidR="00E6575B" w:rsidRDefault="00E6575B" w:rsidP="00D75CA2">
      <w:pPr>
        <w:jc w:val="both"/>
        <w:rPr>
          <w:rFonts w:ascii="Nyala" w:hAnsi="Nyala"/>
          <w:sz w:val="28"/>
          <w:szCs w:val="28"/>
        </w:rPr>
      </w:pPr>
    </w:p>
    <w:p w:rsidR="0045381C" w:rsidRDefault="00D75CA2" w:rsidP="00D75CA2">
      <w:pPr>
        <w:jc w:val="both"/>
        <w:rPr>
          <w:rFonts w:ascii="Nyala" w:hAnsi="Nyala"/>
          <w:sz w:val="28"/>
          <w:szCs w:val="28"/>
        </w:rPr>
      </w:pPr>
      <w:r w:rsidRPr="006866D3">
        <w:rPr>
          <w:rFonts w:ascii="Nyala" w:hAnsi="Nyala"/>
          <w:sz w:val="28"/>
          <w:szCs w:val="28"/>
        </w:rPr>
        <w:t xml:space="preserve">Bien entendu, plus l’insécurité alimentaire est sévère plus le régime alimentaire est pauvre. Cependant, 1 année (2014-2015) sur 6, les ménages en insécurité alimentaire sévère ont eu un régime acceptable.  Pour </w:t>
      </w:r>
      <w:r w:rsidR="002B3E3B" w:rsidRPr="006866D3">
        <w:rPr>
          <w:rFonts w:ascii="Nyala" w:hAnsi="Nyala"/>
          <w:sz w:val="28"/>
          <w:szCs w:val="28"/>
        </w:rPr>
        <w:t>cette année-là</w:t>
      </w:r>
      <w:r w:rsidRPr="006866D3">
        <w:rPr>
          <w:rFonts w:ascii="Nyala" w:hAnsi="Nyala"/>
          <w:sz w:val="28"/>
          <w:szCs w:val="28"/>
        </w:rPr>
        <w:t xml:space="preserve">, le SCA a varié de 32,2 à 57,2 selon les classes d’insécurité alimentaire. </w:t>
      </w:r>
    </w:p>
    <w:p w:rsidR="00D75CA2" w:rsidRPr="006866D3" w:rsidRDefault="00146983" w:rsidP="00D75CA2">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859968" behindDoc="0" locked="0" layoutInCell="1" allowOverlap="1" wp14:anchorId="3B313A41">
                <wp:simplePos x="0" y="0"/>
                <wp:positionH relativeFrom="margin">
                  <wp:align>right</wp:align>
                </wp:positionH>
                <wp:positionV relativeFrom="paragraph">
                  <wp:posOffset>27940</wp:posOffset>
                </wp:positionV>
                <wp:extent cx="3542665" cy="2023110"/>
                <wp:effectExtent l="0" t="0" r="19685" b="15240"/>
                <wp:wrapSquare wrapText="bothSides"/>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665" cy="2023110"/>
                        </a:xfrm>
                        <a:prstGeom prst="rect">
                          <a:avLst/>
                        </a:prstGeom>
                        <a:noFill/>
                        <a:ln w="6350">
                          <a:solidFill>
                            <a:prstClr val="black"/>
                          </a:solidFill>
                        </a:ln>
                        <a:effectLst/>
                      </wps:spPr>
                      <wps:txbx>
                        <w:txbxContent>
                          <w:p w:rsidR="00146325" w:rsidRDefault="00146325" w:rsidP="009F7A99">
                            <w:pPr>
                              <w:pStyle w:val="Lgende"/>
                              <w:keepNext/>
                              <w:spacing w:before="0" w:after="0" w:line="240" w:lineRule="auto"/>
                              <w:jc w:val="both"/>
                            </w:pPr>
                            <w:bookmarkStart w:id="270" w:name="_Toc526120073"/>
                            <w:r>
                              <w:t xml:space="preserve">Figure </w:t>
                            </w:r>
                            <w:r w:rsidR="00C73EE5">
                              <w:fldChar w:fldCharType="begin"/>
                            </w:r>
                            <w:r w:rsidR="00C73EE5">
                              <w:instrText xml:space="preserve"> SEQ Figure \* ARABIC </w:instrText>
                            </w:r>
                            <w:r w:rsidR="00C73EE5">
                              <w:fldChar w:fldCharType="separate"/>
                            </w:r>
                            <w:r>
                              <w:rPr>
                                <w:noProof/>
                              </w:rPr>
                              <w:t>7</w:t>
                            </w:r>
                            <w:r w:rsidR="00C73EE5">
                              <w:rPr>
                                <w:noProof/>
                              </w:rPr>
                              <w:fldChar w:fldCharType="end"/>
                            </w:r>
                            <w:r>
                              <w:t xml:space="preserve"> - répartition des ménages selon la classe d'insécurité alimentaire et le régime alimentaire</w:t>
                            </w:r>
                            <w:bookmarkEnd w:id="270"/>
                          </w:p>
                          <w:p w:rsidR="00146325" w:rsidRDefault="00146325" w:rsidP="009F7A99">
                            <w:pPr>
                              <w:spacing w:before="0" w:after="0"/>
                              <w:jc w:val="both"/>
                            </w:pPr>
                            <w:r w:rsidRPr="00A12B79">
                              <w:rPr>
                                <w:noProof/>
                                <w:lang w:eastAsia="fr-FR"/>
                              </w:rPr>
                              <w:drawing>
                                <wp:inline distT="0" distB="0" distL="0" distR="0">
                                  <wp:extent cx="3352466" cy="1478604"/>
                                  <wp:effectExtent l="0" t="0" r="635"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56555" cy="1480407"/>
                                          </a:xfrm>
                                          <a:prstGeom prst="rect">
                                            <a:avLst/>
                                          </a:prstGeom>
                                          <a:noFill/>
                                          <a:ln>
                                            <a:noFill/>
                                          </a:ln>
                                        </pic:spPr>
                                      </pic:pic>
                                    </a:graphicData>
                                  </a:graphic>
                                </wp:inline>
                              </w:drawing>
                            </w:r>
                          </w:p>
                          <w:p w:rsidR="00146325" w:rsidRPr="009F7A99" w:rsidRDefault="00146325" w:rsidP="009F7A99">
                            <w:pPr>
                              <w:spacing w:before="0" w:after="0" w:line="240" w:lineRule="auto"/>
                              <w:jc w:val="both"/>
                              <w:rPr>
                                <w:sz w:val="16"/>
                                <w:szCs w:val="16"/>
                              </w:rPr>
                            </w:pPr>
                            <w:r w:rsidRPr="009F7A99">
                              <w:rPr>
                                <w:sz w:val="16"/>
                                <w:szCs w:val="16"/>
                              </w:rPr>
                              <w:t>Source : 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13A41" id="Zone de texte 82" o:spid="_x0000_s1036" type="#_x0000_t202" style="position:absolute;left:0;text-align:left;margin-left:227.75pt;margin-top:2.2pt;width:278.95pt;height:159.3pt;z-index:25185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" filled="f" strokeweight=".5pt">
                <v:path arrowok="t"/>
                <v:textbox>
                  <w:txbxContent>
                    <w:p w:rsidR="00146325" w:rsidRDefault="00146325" w:rsidP="009F7A99">
                      <w:pPr>
                        <w:pStyle w:val="Lgende"/>
                        <w:keepNext/>
                        <w:spacing w:before="0" w:after="0" w:line="240" w:lineRule="auto"/>
                        <w:jc w:val="both"/>
                      </w:pPr>
                      <w:bookmarkStart w:id="271" w:name="_Toc526120073"/>
                      <w:r>
                        <w:t xml:space="preserve">Figure </w:t>
                      </w:r>
                      <w:r w:rsidR="00C73EE5">
                        <w:fldChar w:fldCharType="begin"/>
                      </w:r>
                      <w:r w:rsidR="00C73EE5">
                        <w:instrText xml:space="preserve"> SEQ Figure \* ARABIC </w:instrText>
                      </w:r>
                      <w:r w:rsidR="00C73EE5">
                        <w:fldChar w:fldCharType="separate"/>
                      </w:r>
                      <w:r>
                        <w:rPr>
                          <w:noProof/>
                        </w:rPr>
                        <w:t>7</w:t>
                      </w:r>
                      <w:r w:rsidR="00C73EE5">
                        <w:rPr>
                          <w:noProof/>
                        </w:rPr>
                        <w:fldChar w:fldCharType="end"/>
                      </w:r>
                      <w:r>
                        <w:t xml:space="preserve"> - répartition des ménages selon la classe d'insécurité alimentaire et le régime alimentaire</w:t>
                      </w:r>
                      <w:bookmarkEnd w:id="271"/>
                    </w:p>
                    <w:p w:rsidR="00146325" w:rsidRDefault="00146325" w:rsidP="009F7A99">
                      <w:pPr>
                        <w:spacing w:before="0" w:after="0"/>
                        <w:jc w:val="both"/>
                      </w:pPr>
                      <w:r w:rsidRPr="00A12B79">
                        <w:rPr>
                          <w:noProof/>
                          <w:lang w:eastAsia="fr-FR"/>
                        </w:rPr>
                        <w:drawing>
                          <wp:inline distT="0" distB="0" distL="0" distR="0">
                            <wp:extent cx="3352466" cy="1478604"/>
                            <wp:effectExtent l="0" t="0" r="635"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56555" cy="1480407"/>
                                    </a:xfrm>
                                    <a:prstGeom prst="rect">
                                      <a:avLst/>
                                    </a:prstGeom>
                                    <a:noFill/>
                                    <a:ln>
                                      <a:noFill/>
                                    </a:ln>
                                  </pic:spPr>
                                </pic:pic>
                              </a:graphicData>
                            </a:graphic>
                          </wp:inline>
                        </w:drawing>
                      </w:r>
                    </w:p>
                    <w:p w:rsidR="00146325" w:rsidRPr="009F7A99" w:rsidRDefault="00146325" w:rsidP="009F7A99">
                      <w:pPr>
                        <w:spacing w:before="0" w:after="0" w:line="240" w:lineRule="auto"/>
                        <w:jc w:val="both"/>
                        <w:rPr>
                          <w:sz w:val="16"/>
                          <w:szCs w:val="16"/>
                        </w:rPr>
                      </w:pPr>
                      <w:r w:rsidRPr="009F7A99">
                        <w:rPr>
                          <w:sz w:val="16"/>
                          <w:szCs w:val="16"/>
                        </w:rPr>
                        <w:t>Source : INS</w:t>
                      </w:r>
                    </w:p>
                  </w:txbxContent>
                </v:textbox>
                <w10:wrap type="square" anchorx="margin"/>
              </v:shape>
            </w:pict>
          </mc:Fallback>
        </mc:AlternateContent>
      </w:r>
      <w:r w:rsidR="00D75CA2" w:rsidRPr="006866D3">
        <w:rPr>
          <w:rFonts w:ascii="Nyala" w:hAnsi="Nyala"/>
          <w:sz w:val="28"/>
          <w:szCs w:val="28"/>
        </w:rPr>
        <w:t>En 2015/2016, la situation alimentaire s’est dégradée pour tous les groupes de ménages avec un SCA variant de 25,8 pour les ménages en insécurité sévère à 50,9 pour ceux en sécurité alimentaire (</w:t>
      </w:r>
      <w:r w:rsidR="00C06E59" w:rsidRPr="006866D3">
        <w:rPr>
          <w:rFonts w:ascii="Nyala" w:hAnsi="Nyala"/>
          <w:b/>
          <w:sz w:val="28"/>
          <w:szCs w:val="28"/>
        </w:rPr>
        <w:t xml:space="preserve">Figure </w:t>
      </w:r>
      <w:r w:rsidR="00E6575B">
        <w:rPr>
          <w:rFonts w:ascii="Nyala" w:hAnsi="Nyala"/>
          <w:b/>
          <w:sz w:val="28"/>
          <w:szCs w:val="28"/>
        </w:rPr>
        <w:t>7</w:t>
      </w:r>
      <w:r w:rsidR="00D75CA2" w:rsidRPr="006866D3">
        <w:rPr>
          <w:rFonts w:ascii="Nyala" w:hAnsi="Nyala"/>
          <w:sz w:val="28"/>
          <w:szCs w:val="28"/>
        </w:rPr>
        <w:t xml:space="preserve">). Les variations du SCA d’une année à l’autre sont étroitement liées aux fluctuations de la production agricole et du pouvoir d’achat des ménages. </w:t>
      </w:r>
    </w:p>
    <w:p w:rsidR="00D75CA2" w:rsidRDefault="00C06E59" w:rsidP="00D75CA2">
      <w:pPr>
        <w:jc w:val="both"/>
        <w:rPr>
          <w:rFonts w:ascii="Nyala" w:hAnsi="Nyala"/>
          <w:sz w:val="28"/>
          <w:szCs w:val="28"/>
        </w:rPr>
      </w:pPr>
      <w:r w:rsidRPr="006866D3">
        <w:rPr>
          <w:rFonts w:ascii="Nyala" w:hAnsi="Nyala"/>
          <w:sz w:val="28"/>
          <w:szCs w:val="28"/>
        </w:rPr>
        <w:t>Dan</w:t>
      </w:r>
      <w:r w:rsidR="0008330F" w:rsidRPr="006866D3">
        <w:rPr>
          <w:rFonts w:ascii="Nyala" w:hAnsi="Nyala"/>
          <w:sz w:val="28"/>
          <w:szCs w:val="28"/>
        </w:rPr>
        <w:t>s</w:t>
      </w:r>
      <w:r w:rsidR="00D75CA2" w:rsidRPr="006866D3">
        <w:rPr>
          <w:rFonts w:ascii="Nyala" w:hAnsi="Nyala"/>
          <w:sz w:val="28"/>
          <w:szCs w:val="28"/>
        </w:rPr>
        <w:t xml:space="preserve"> une même classe d’insécurité alimentaire, il peut avoir une diversité de qualité de l’alimentation. Certes, la sous-alimentation est forte dans les ménages en situation de vulnérabilité sévère et modéré, mais il peut être constaté que respectivement 13% et 20% de ces ménages ont une alimentation acceptable en 2015/2016. A contrario, 13% et 23% des ménages en situation de sécurité alimentaire ont une alimentation pauvre ou limitée. </w:t>
      </w:r>
    </w:p>
    <w:p w:rsidR="0045381C" w:rsidRPr="006866D3" w:rsidRDefault="0045381C" w:rsidP="00D75CA2">
      <w:pPr>
        <w:jc w:val="both"/>
        <w:rPr>
          <w:rFonts w:ascii="Nyala" w:hAnsi="Nyala"/>
          <w:sz w:val="28"/>
          <w:szCs w:val="28"/>
        </w:rPr>
      </w:pPr>
    </w:p>
    <w:p w:rsidR="0045381C" w:rsidRPr="009B11E1" w:rsidRDefault="0045381C" w:rsidP="00D75CA2">
      <w:pPr>
        <w:jc w:val="both"/>
        <w:rPr>
          <w:rStyle w:val="Rfrenceintense"/>
          <w:rFonts w:ascii="Calibri" w:hAnsi="Calibri" w:cs="Calibri"/>
          <w:sz w:val="28"/>
          <w:szCs w:val="28"/>
        </w:rPr>
      </w:pPr>
      <w:r w:rsidRPr="009B11E1">
        <w:rPr>
          <w:rStyle w:val="Rfrenceintense"/>
          <w:rFonts w:ascii="Calibri" w:hAnsi="Calibri" w:cs="Calibri"/>
          <w:sz w:val="28"/>
          <w:szCs w:val="28"/>
        </w:rPr>
        <w:t>SCA selon le milieu de résidence</w:t>
      </w:r>
    </w:p>
    <w:p w:rsidR="00D75CA2" w:rsidRPr="006866D3" w:rsidRDefault="00146983" w:rsidP="00D75CA2">
      <w:pPr>
        <w:jc w:val="both"/>
        <w:rPr>
          <w:rFonts w:ascii="Nyala" w:hAnsi="Nyala"/>
          <w:sz w:val="28"/>
          <w:szCs w:val="28"/>
        </w:rPr>
      </w:pPr>
      <w:r>
        <w:rPr>
          <w:rFonts w:ascii="Nyala" w:hAnsi="Nyala"/>
          <w:noProof/>
          <w:sz w:val="28"/>
          <w:szCs w:val="28"/>
          <w:lang w:eastAsia="fr-FR"/>
        </w:rPr>
        <mc:AlternateContent>
          <mc:Choice Requires="wps">
            <w:drawing>
              <wp:anchor distT="0" distB="0" distL="114300" distR="114300" simplePos="0" relativeHeight="251774976" behindDoc="0" locked="0" layoutInCell="1" allowOverlap="1" wp14:anchorId="5406406D">
                <wp:simplePos x="0" y="0"/>
                <wp:positionH relativeFrom="margin">
                  <wp:align>right</wp:align>
                </wp:positionH>
                <wp:positionV relativeFrom="paragraph">
                  <wp:posOffset>205740</wp:posOffset>
                </wp:positionV>
                <wp:extent cx="3545840" cy="2409825"/>
                <wp:effectExtent l="0" t="0" r="16510" b="24765"/>
                <wp:wrapSquare wrapText="bothSides"/>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5840" cy="2409825"/>
                        </a:xfrm>
                        <a:prstGeom prst="rect">
                          <a:avLst/>
                        </a:prstGeom>
                        <a:noFill/>
                        <a:ln w="6350">
                          <a:solidFill>
                            <a:prstClr val="black"/>
                          </a:solidFill>
                        </a:ln>
                        <a:effectLst/>
                      </wps:spPr>
                      <wps:txbx>
                        <w:txbxContent>
                          <w:p w:rsidR="00146325" w:rsidRDefault="00146325" w:rsidP="000500A5">
                            <w:pPr>
                              <w:pStyle w:val="Lgende"/>
                              <w:keepNext/>
                              <w:spacing w:after="0" w:line="240" w:lineRule="auto"/>
                              <w:jc w:val="both"/>
                            </w:pPr>
                            <w:bookmarkStart w:id="272" w:name="_Toc526120074"/>
                            <w:r>
                              <w:t xml:space="preserve">Figure </w:t>
                            </w:r>
                            <w:r w:rsidR="00C73EE5">
                              <w:fldChar w:fldCharType="begin"/>
                            </w:r>
                            <w:r w:rsidR="00C73EE5">
                              <w:instrText xml:space="preserve"> SEQ Figure \* ARABIC </w:instrText>
                            </w:r>
                            <w:r w:rsidR="00C73EE5">
                              <w:fldChar w:fldCharType="separate"/>
                            </w:r>
                            <w:r>
                              <w:rPr>
                                <w:noProof/>
                              </w:rPr>
                              <w:t>8</w:t>
                            </w:r>
                            <w:r w:rsidR="00C73EE5">
                              <w:rPr>
                                <w:noProof/>
                              </w:rPr>
                              <w:fldChar w:fldCharType="end"/>
                            </w:r>
                            <w:r>
                              <w:t xml:space="preserve"> - Pourcentage des ménages selon le régime alimentaire et selon les régions</w:t>
                            </w:r>
                            <w:bookmarkEnd w:id="272"/>
                          </w:p>
                          <w:p w:rsidR="00146325" w:rsidRDefault="00146325" w:rsidP="000500A5">
                            <w:pPr>
                              <w:spacing w:before="0" w:after="0" w:line="240" w:lineRule="auto"/>
                              <w:jc w:val="both"/>
                            </w:pPr>
                            <w:r w:rsidRPr="00477AB8">
                              <w:rPr>
                                <w:noProof/>
                                <w:lang w:eastAsia="fr-FR"/>
                              </w:rPr>
                              <w:drawing>
                                <wp:inline distT="0" distB="0" distL="0" distR="0">
                                  <wp:extent cx="3394075" cy="1697126"/>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03661" cy="1701919"/>
                                          </a:xfrm>
                                          <a:prstGeom prst="rect">
                                            <a:avLst/>
                                          </a:prstGeom>
                                          <a:noFill/>
                                          <a:ln>
                                            <a:noFill/>
                                          </a:ln>
                                        </pic:spPr>
                                      </pic:pic>
                                    </a:graphicData>
                                  </a:graphic>
                                </wp:inline>
                              </w:drawing>
                            </w:r>
                          </w:p>
                          <w:p w:rsidR="00146325" w:rsidRPr="00EC7C10" w:rsidRDefault="00146325" w:rsidP="000500A5">
                            <w:pPr>
                              <w:spacing w:before="0" w:after="0" w:line="240" w:lineRule="auto"/>
                              <w:jc w:val="both"/>
                            </w:pPr>
                            <w:r>
                              <w:t>Source : INS-SAP (EVIAM 2015-2016)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406406D" id="Zone de texte 15" o:spid="_x0000_s1037" type="#_x0000_t202" style="position:absolute;left:0;text-align:left;margin-left:228pt;margin-top:16.2pt;width:279.2pt;height:189.75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" filled="f" strokeweight=".5pt">
                <v:path arrowok="t"/>
                <v:textbox style="mso-fit-shape-to-text:t">
                  <w:txbxContent>
                    <w:p w:rsidR="00146325" w:rsidRDefault="00146325" w:rsidP="000500A5">
                      <w:pPr>
                        <w:pStyle w:val="Lgende"/>
                        <w:keepNext/>
                        <w:spacing w:after="0" w:line="240" w:lineRule="auto"/>
                        <w:jc w:val="both"/>
                      </w:pPr>
                      <w:bookmarkStart w:id="273" w:name="_Toc526120074"/>
                      <w:r>
                        <w:t xml:space="preserve">Figure </w:t>
                      </w:r>
                      <w:r w:rsidR="00C73EE5">
                        <w:fldChar w:fldCharType="begin"/>
                      </w:r>
                      <w:r w:rsidR="00C73EE5">
                        <w:instrText xml:space="preserve"> SEQ Figure \* ARABIC </w:instrText>
                      </w:r>
                      <w:r w:rsidR="00C73EE5">
                        <w:fldChar w:fldCharType="separate"/>
                      </w:r>
                      <w:r>
                        <w:rPr>
                          <w:noProof/>
                        </w:rPr>
                        <w:t>8</w:t>
                      </w:r>
                      <w:r w:rsidR="00C73EE5">
                        <w:rPr>
                          <w:noProof/>
                        </w:rPr>
                        <w:fldChar w:fldCharType="end"/>
                      </w:r>
                      <w:r>
                        <w:t xml:space="preserve"> - Pourcentage des ménages selon le régime alimentaire et selon les régions</w:t>
                      </w:r>
                      <w:bookmarkEnd w:id="273"/>
                    </w:p>
                    <w:p w:rsidR="00146325" w:rsidRDefault="00146325" w:rsidP="000500A5">
                      <w:pPr>
                        <w:spacing w:before="0" w:after="0" w:line="240" w:lineRule="auto"/>
                        <w:jc w:val="both"/>
                      </w:pPr>
                      <w:r w:rsidRPr="00477AB8">
                        <w:rPr>
                          <w:noProof/>
                          <w:lang w:eastAsia="fr-FR"/>
                        </w:rPr>
                        <w:drawing>
                          <wp:inline distT="0" distB="0" distL="0" distR="0">
                            <wp:extent cx="3394075" cy="1697126"/>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03661" cy="1701919"/>
                                    </a:xfrm>
                                    <a:prstGeom prst="rect">
                                      <a:avLst/>
                                    </a:prstGeom>
                                    <a:noFill/>
                                    <a:ln>
                                      <a:noFill/>
                                    </a:ln>
                                  </pic:spPr>
                                </pic:pic>
                              </a:graphicData>
                            </a:graphic>
                          </wp:inline>
                        </w:drawing>
                      </w:r>
                    </w:p>
                    <w:p w:rsidR="00146325" w:rsidRPr="00EC7C10" w:rsidRDefault="00146325" w:rsidP="000500A5">
                      <w:pPr>
                        <w:spacing w:before="0" w:after="0" w:line="240" w:lineRule="auto"/>
                        <w:jc w:val="both"/>
                      </w:pPr>
                      <w:r>
                        <w:t>Source : INS-SAP (EVIAM 2015-2016)</w:t>
                      </w:r>
                    </w:p>
                  </w:txbxContent>
                </v:textbox>
                <w10:wrap type="square" anchorx="margin"/>
              </v:shape>
            </w:pict>
          </mc:Fallback>
        </mc:AlternateContent>
      </w:r>
      <w:r w:rsidR="0008330F" w:rsidRPr="006866D3">
        <w:rPr>
          <w:rFonts w:ascii="Nyala" w:hAnsi="Nyala"/>
          <w:sz w:val="28"/>
          <w:szCs w:val="28"/>
        </w:rPr>
        <w:t>D</w:t>
      </w:r>
      <w:r w:rsidR="00D75CA2" w:rsidRPr="006866D3">
        <w:rPr>
          <w:rFonts w:ascii="Nyala" w:hAnsi="Nyala"/>
          <w:sz w:val="28"/>
          <w:szCs w:val="28"/>
        </w:rPr>
        <w:t xml:space="preserve">es </w:t>
      </w:r>
      <w:r w:rsidR="0008330F" w:rsidRPr="006866D3">
        <w:rPr>
          <w:rFonts w:ascii="Nyala" w:hAnsi="Nyala"/>
          <w:sz w:val="28"/>
          <w:szCs w:val="28"/>
        </w:rPr>
        <w:t xml:space="preserve">écarts sont constatées selon les </w:t>
      </w:r>
      <w:r w:rsidR="00D75CA2" w:rsidRPr="006866D3">
        <w:rPr>
          <w:rFonts w:ascii="Nyala" w:hAnsi="Nyala"/>
          <w:sz w:val="28"/>
          <w:szCs w:val="28"/>
        </w:rPr>
        <w:t>régions administratives</w:t>
      </w:r>
      <w:r w:rsidR="00CC588C" w:rsidRPr="006866D3">
        <w:rPr>
          <w:rFonts w:ascii="Nyala" w:hAnsi="Nyala"/>
          <w:sz w:val="28"/>
          <w:szCs w:val="28"/>
        </w:rPr>
        <w:t xml:space="preserve"> (</w:t>
      </w:r>
      <w:r w:rsidR="00CC588C" w:rsidRPr="006866D3">
        <w:rPr>
          <w:rFonts w:ascii="Nyala" w:hAnsi="Nyala"/>
          <w:b/>
          <w:sz w:val="28"/>
          <w:szCs w:val="28"/>
        </w:rPr>
        <w:t>figure</w:t>
      </w:r>
      <w:r w:rsidR="00E6575B">
        <w:rPr>
          <w:rFonts w:ascii="Nyala" w:hAnsi="Nyala"/>
          <w:b/>
          <w:sz w:val="28"/>
          <w:szCs w:val="28"/>
        </w:rPr>
        <w:t>8</w:t>
      </w:r>
      <w:r w:rsidR="00CC588C" w:rsidRPr="006866D3">
        <w:rPr>
          <w:rFonts w:ascii="Nyala" w:hAnsi="Nyala"/>
          <w:sz w:val="28"/>
          <w:szCs w:val="28"/>
        </w:rPr>
        <w:t>) ; celles-ci peuvent être classées en trois catégories</w:t>
      </w:r>
      <w:r w:rsidR="00D75CA2" w:rsidRPr="006866D3">
        <w:rPr>
          <w:rFonts w:ascii="Nyala" w:hAnsi="Nyala"/>
          <w:sz w:val="28"/>
          <w:szCs w:val="28"/>
        </w:rPr>
        <w:t> : i) les régions d’Agadez et Niamey avec  80% des ménages avec un SCA acceptable et au plus 5%, un SCA pauvre ; ii) les régions de Diffa, Zinder et Tahoua avec un régime acceptable pour un peu plus de 60% des ménages et un SCA pauvre pour 13% à 19% des ménages et iii) les régions de Dosso, Maradi et Tillabéri où il y a pratiquement autant de ménages avec un type de consommation pauvre à limité que de ménages avec un SCA acceptable.</w:t>
      </w:r>
    </w:p>
    <w:p w:rsidR="00C45135" w:rsidRDefault="008B10D3" w:rsidP="00D75CA2">
      <w:pPr>
        <w:jc w:val="both"/>
        <w:rPr>
          <w:rFonts w:ascii="Nyala" w:hAnsi="Nyala"/>
          <w:sz w:val="28"/>
          <w:szCs w:val="28"/>
        </w:rPr>
      </w:pPr>
      <w:r>
        <w:rPr>
          <w:rFonts w:ascii="Nyala" w:hAnsi="Nyala"/>
          <w:sz w:val="28"/>
          <w:szCs w:val="28"/>
        </w:rPr>
        <w:t>Le SCA détermine un certain niveau de diversification alimentaire qui traduit l’accessibilité des ménages aux différentes catégories d’</w:t>
      </w:r>
      <w:r w:rsidR="006B3555">
        <w:rPr>
          <w:rFonts w:ascii="Nyala" w:hAnsi="Nyala"/>
          <w:sz w:val="28"/>
          <w:szCs w:val="28"/>
        </w:rPr>
        <w:t>aliments pris en considération. Ainsi, dans les enquêtes EVIAM, une attention est parfois accordée à la contribution de chaque catégorie au SCA</w:t>
      </w:r>
      <w:r w:rsidR="006B3555">
        <w:rPr>
          <w:rStyle w:val="Appelnotedebasdep"/>
          <w:rFonts w:ascii="Nyala" w:hAnsi="Nyala"/>
          <w:sz w:val="28"/>
          <w:szCs w:val="28"/>
        </w:rPr>
        <w:footnoteReference w:id="8"/>
      </w:r>
      <w:r w:rsidR="007D5535">
        <w:rPr>
          <w:rFonts w:ascii="Nyala" w:hAnsi="Nyala"/>
          <w:sz w:val="28"/>
          <w:szCs w:val="28"/>
        </w:rPr>
        <w:t xml:space="preserve">. Le constat est que quelle que soit la classe d’insécurité alimentaire, </w:t>
      </w:r>
      <w:r w:rsidR="00124079">
        <w:rPr>
          <w:rFonts w:ascii="Nyala" w:hAnsi="Nyala"/>
          <w:sz w:val="28"/>
          <w:szCs w:val="28"/>
        </w:rPr>
        <w:t xml:space="preserve">le régime alimentaire est constitué à plus de deux tiers par </w:t>
      </w:r>
      <w:r w:rsidR="007D5535">
        <w:rPr>
          <w:rFonts w:ascii="Nyala" w:hAnsi="Nyala"/>
          <w:sz w:val="28"/>
          <w:szCs w:val="28"/>
        </w:rPr>
        <w:t>les céréales et tubercules et les sous-produits animaux (produits laitiers et protéines animales). Cependant, des différences existent dans la structure de consommation selon la classe d’insécurité alimentaire. Pour les ménages en sécurité, les céréales ne représentent que 2</w:t>
      </w:r>
      <w:r w:rsidR="00124079">
        <w:rPr>
          <w:rFonts w:ascii="Nyala" w:hAnsi="Nyala"/>
          <w:sz w:val="28"/>
          <w:szCs w:val="28"/>
        </w:rPr>
        <w:t>4</w:t>
      </w:r>
      <w:r w:rsidR="007D5535">
        <w:rPr>
          <w:rFonts w:ascii="Nyala" w:hAnsi="Nyala"/>
          <w:sz w:val="28"/>
          <w:szCs w:val="28"/>
        </w:rPr>
        <w:t xml:space="preserve">% </w:t>
      </w:r>
      <w:r w:rsidR="00124079">
        <w:rPr>
          <w:rFonts w:ascii="Nyala" w:hAnsi="Nyala"/>
          <w:sz w:val="28"/>
          <w:szCs w:val="28"/>
        </w:rPr>
        <w:t xml:space="preserve">environ et les sous-produits animaux </w:t>
      </w:r>
      <w:r w:rsidR="00C45135">
        <w:rPr>
          <w:rFonts w:ascii="Nyala" w:hAnsi="Nyala"/>
          <w:sz w:val="28"/>
          <w:szCs w:val="28"/>
        </w:rPr>
        <w:t>45% ; pa</w:t>
      </w:r>
      <w:r w:rsidR="00124079">
        <w:rPr>
          <w:rFonts w:ascii="Nyala" w:hAnsi="Nyala"/>
          <w:sz w:val="28"/>
          <w:szCs w:val="28"/>
        </w:rPr>
        <w:t xml:space="preserve">r contre, </w:t>
      </w:r>
      <w:r w:rsidR="00C45135">
        <w:rPr>
          <w:rFonts w:ascii="Nyala" w:hAnsi="Nyala"/>
          <w:sz w:val="28"/>
          <w:szCs w:val="28"/>
        </w:rPr>
        <w:t xml:space="preserve">chez ceux </w:t>
      </w:r>
      <w:r w:rsidR="00124079">
        <w:rPr>
          <w:rFonts w:ascii="Nyala" w:hAnsi="Nyala"/>
          <w:sz w:val="28"/>
          <w:szCs w:val="28"/>
        </w:rPr>
        <w:t xml:space="preserve">en insécurité alimentaire, le poids des céréales et tubercules atteint 39% et les sous-produits animaux 25%. </w:t>
      </w:r>
      <w:r w:rsidR="00A918CF">
        <w:rPr>
          <w:rFonts w:ascii="Nyala" w:hAnsi="Nyala"/>
          <w:sz w:val="28"/>
          <w:szCs w:val="28"/>
        </w:rPr>
        <w:t>L</w:t>
      </w:r>
      <w:r w:rsidR="00C45135">
        <w:rPr>
          <w:rFonts w:ascii="Nyala" w:hAnsi="Nyala"/>
          <w:sz w:val="28"/>
          <w:szCs w:val="28"/>
        </w:rPr>
        <w:t>a consommation de légumineuses et autres produits semble la m</w:t>
      </w:r>
      <w:r w:rsidR="00A918CF">
        <w:rPr>
          <w:rFonts w:ascii="Nyala" w:hAnsi="Nyala"/>
          <w:sz w:val="28"/>
          <w:szCs w:val="28"/>
        </w:rPr>
        <w:t>ême pour toutes les classes ; par contre en situation d</w:t>
      </w:r>
      <w:r w:rsidR="00C45135">
        <w:rPr>
          <w:rFonts w:ascii="Nyala" w:hAnsi="Nyala"/>
          <w:sz w:val="28"/>
          <w:szCs w:val="28"/>
        </w:rPr>
        <w:t>’insécurité alimentaire</w:t>
      </w:r>
      <w:r w:rsidR="00A918CF">
        <w:rPr>
          <w:rFonts w:ascii="Nyala" w:hAnsi="Nyala"/>
          <w:sz w:val="28"/>
          <w:szCs w:val="28"/>
        </w:rPr>
        <w:t xml:space="preserve">, les </w:t>
      </w:r>
      <w:r w:rsidR="00C45135">
        <w:rPr>
          <w:rFonts w:ascii="Nyala" w:hAnsi="Nyala"/>
          <w:sz w:val="28"/>
          <w:szCs w:val="28"/>
        </w:rPr>
        <w:t xml:space="preserve">feuilles et légumes </w:t>
      </w:r>
      <w:r w:rsidR="00A918CF">
        <w:rPr>
          <w:rFonts w:ascii="Nyala" w:hAnsi="Nyala"/>
          <w:sz w:val="28"/>
          <w:szCs w:val="28"/>
        </w:rPr>
        <w:t xml:space="preserve">sont davantage consommées ; du fait probablement de la place que prennent les cultures maraîchères (de contre-saison) dans les situations de baisse des productions pluviales. </w:t>
      </w:r>
    </w:p>
    <w:p w:rsidR="0045381C" w:rsidRDefault="0045381C" w:rsidP="00D75CA2">
      <w:pPr>
        <w:jc w:val="both"/>
        <w:rPr>
          <w:rFonts w:ascii="Nyala" w:hAnsi="Nyala"/>
          <w:sz w:val="28"/>
          <w:szCs w:val="28"/>
        </w:rPr>
      </w:pPr>
    </w:p>
    <w:p w:rsidR="0045381C" w:rsidRPr="009B11E1" w:rsidRDefault="0045381C" w:rsidP="00D75CA2">
      <w:pPr>
        <w:jc w:val="both"/>
        <w:rPr>
          <w:rStyle w:val="Rfrenceintense"/>
          <w:rFonts w:ascii="Calibri" w:hAnsi="Calibri" w:cs="Calibri"/>
          <w:sz w:val="28"/>
          <w:szCs w:val="28"/>
        </w:rPr>
      </w:pPr>
      <w:r w:rsidRPr="009B11E1">
        <w:rPr>
          <w:rStyle w:val="Rfrenceintense"/>
          <w:rFonts w:ascii="Calibri" w:hAnsi="Calibri" w:cs="Calibri"/>
          <w:sz w:val="28"/>
          <w:szCs w:val="28"/>
        </w:rPr>
        <w:t>Composition alimentaire selon la classe d’insécurité alimentaire</w:t>
      </w:r>
    </w:p>
    <w:p w:rsidR="00B8403C" w:rsidRDefault="00146983" w:rsidP="00D75CA2">
      <w:pPr>
        <w:jc w:val="both"/>
        <w:rPr>
          <w:rFonts w:ascii="Nyala" w:hAnsi="Nyala"/>
          <w:sz w:val="28"/>
          <w:szCs w:val="28"/>
        </w:rPr>
      </w:pPr>
      <w:r>
        <w:rPr>
          <w:noProof/>
          <w:lang w:eastAsia="fr-FR"/>
        </w:rPr>
        <mc:AlternateContent>
          <mc:Choice Requires="wps">
            <w:drawing>
              <wp:anchor distT="0" distB="0" distL="114300" distR="114300" simplePos="0" relativeHeight="251933696" behindDoc="0" locked="0" layoutInCell="1" allowOverlap="1" wp14:anchorId="241A0771">
                <wp:simplePos x="0" y="0"/>
                <wp:positionH relativeFrom="margin">
                  <wp:posOffset>1700530</wp:posOffset>
                </wp:positionH>
                <wp:positionV relativeFrom="paragraph">
                  <wp:posOffset>103505</wp:posOffset>
                </wp:positionV>
                <wp:extent cx="4057650" cy="2857500"/>
                <wp:effectExtent l="0" t="0" r="19050" b="19050"/>
                <wp:wrapSquare wrapText="bothSides"/>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0" cy="2857500"/>
                        </a:xfrm>
                        <a:prstGeom prst="rect">
                          <a:avLst/>
                        </a:prstGeom>
                        <a:noFill/>
                        <a:ln w="6350">
                          <a:solidFill>
                            <a:prstClr val="black"/>
                          </a:solidFill>
                        </a:ln>
                        <a:effectLst/>
                      </wps:spPr>
                      <wps:txbx>
                        <w:txbxContent>
                          <w:p w:rsidR="00146325" w:rsidRDefault="00146325" w:rsidP="009B11E1">
                            <w:pPr>
                              <w:pStyle w:val="Lgende"/>
                              <w:keepNext/>
                              <w:jc w:val="both"/>
                            </w:pPr>
                            <w:bookmarkStart w:id="274" w:name="_Toc526120075"/>
                            <w:r>
                              <w:t xml:space="preserve">Figure </w:t>
                            </w:r>
                            <w:r w:rsidR="00C73EE5">
                              <w:fldChar w:fldCharType="begin"/>
                            </w:r>
                            <w:r w:rsidR="00C73EE5">
                              <w:instrText xml:space="preserve"> SEQ Figure \* ARABIC </w:instrText>
                            </w:r>
                            <w:r w:rsidR="00C73EE5">
                              <w:fldChar w:fldCharType="separate"/>
                            </w:r>
                            <w:r>
                              <w:rPr>
                                <w:noProof/>
                              </w:rPr>
                              <w:t>9</w:t>
                            </w:r>
                            <w:r w:rsidR="00C73EE5">
                              <w:rPr>
                                <w:noProof/>
                              </w:rPr>
                              <w:fldChar w:fldCharType="end"/>
                            </w:r>
                            <w:r>
                              <w:t xml:space="preserve"> - composante du SCA selon la classe d'insécurité alimentaire</w:t>
                            </w:r>
                            <w:bookmarkEnd w:id="274"/>
                          </w:p>
                          <w:p w:rsidR="00146325" w:rsidRDefault="00146325" w:rsidP="00141D20">
                            <w:pPr>
                              <w:spacing w:before="0" w:after="0" w:line="240" w:lineRule="auto"/>
                              <w:jc w:val="both"/>
                            </w:pPr>
                            <w:r w:rsidRPr="00124079">
                              <w:rPr>
                                <w:noProof/>
                                <w:lang w:eastAsia="fr-FR"/>
                              </w:rPr>
                              <w:drawing>
                                <wp:inline distT="0" distB="0" distL="0" distR="0">
                                  <wp:extent cx="3759200" cy="2208960"/>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65348" cy="2212573"/>
                                          </a:xfrm>
                                          <a:prstGeom prst="rect">
                                            <a:avLst/>
                                          </a:prstGeom>
                                          <a:noFill/>
                                          <a:ln>
                                            <a:noFill/>
                                          </a:ln>
                                        </pic:spPr>
                                      </pic:pic>
                                    </a:graphicData>
                                  </a:graphic>
                                </wp:inline>
                              </w:drawing>
                            </w:r>
                          </w:p>
                          <w:p w:rsidR="00146325" w:rsidRPr="00141D20" w:rsidRDefault="00146325" w:rsidP="00141D20">
                            <w:pPr>
                              <w:spacing w:after="0" w:line="240" w:lineRule="auto"/>
                              <w:jc w:val="both"/>
                              <w:rPr>
                                <w:sz w:val="16"/>
                                <w:szCs w:val="16"/>
                              </w:rPr>
                            </w:pPr>
                            <w:r w:rsidRPr="00141D20">
                              <w:rPr>
                                <w:sz w:val="16"/>
                                <w:szCs w:val="16"/>
                              </w:rPr>
                              <w:t>Source : EVIAM 2014-2015, 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A0771" id="Zone de texte 13" o:spid="_x0000_s1038" type="#_x0000_t202" style="position:absolute;left:0;text-align:left;margin-left:133.9pt;margin-top:8.15pt;width:319.5pt;height:22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" filled="f" strokeweight=".5pt">
                <v:path arrowok="t"/>
                <v:textbox>
                  <w:txbxContent>
                    <w:p w:rsidR="00146325" w:rsidRDefault="00146325" w:rsidP="009B11E1">
                      <w:pPr>
                        <w:pStyle w:val="Lgende"/>
                        <w:keepNext/>
                        <w:jc w:val="both"/>
                      </w:pPr>
                      <w:bookmarkStart w:id="275" w:name="_Toc526120075"/>
                      <w:r>
                        <w:t xml:space="preserve">Figure </w:t>
                      </w:r>
                      <w:r w:rsidR="00C73EE5">
                        <w:fldChar w:fldCharType="begin"/>
                      </w:r>
                      <w:r w:rsidR="00C73EE5">
                        <w:instrText xml:space="preserve"> SEQ Figure \* ARABIC </w:instrText>
                      </w:r>
                      <w:r w:rsidR="00C73EE5">
                        <w:fldChar w:fldCharType="separate"/>
                      </w:r>
                      <w:r>
                        <w:rPr>
                          <w:noProof/>
                        </w:rPr>
                        <w:t>9</w:t>
                      </w:r>
                      <w:r w:rsidR="00C73EE5">
                        <w:rPr>
                          <w:noProof/>
                        </w:rPr>
                        <w:fldChar w:fldCharType="end"/>
                      </w:r>
                      <w:r>
                        <w:t xml:space="preserve"> - composante du SCA selon la classe d'insécurité alimentaire</w:t>
                      </w:r>
                      <w:bookmarkEnd w:id="275"/>
                    </w:p>
                    <w:p w:rsidR="00146325" w:rsidRDefault="00146325" w:rsidP="00141D20">
                      <w:pPr>
                        <w:spacing w:before="0" w:after="0" w:line="240" w:lineRule="auto"/>
                        <w:jc w:val="both"/>
                      </w:pPr>
                      <w:r w:rsidRPr="00124079">
                        <w:rPr>
                          <w:noProof/>
                          <w:lang w:eastAsia="fr-FR"/>
                        </w:rPr>
                        <w:drawing>
                          <wp:inline distT="0" distB="0" distL="0" distR="0">
                            <wp:extent cx="3759200" cy="2208960"/>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65348" cy="2212573"/>
                                    </a:xfrm>
                                    <a:prstGeom prst="rect">
                                      <a:avLst/>
                                    </a:prstGeom>
                                    <a:noFill/>
                                    <a:ln>
                                      <a:noFill/>
                                    </a:ln>
                                  </pic:spPr>
                                </pic:pic>
                              </a:graphicData>
                            </a:graphic>
                          </wp:inline>
                        </w:drawing>
                      </w:r>
                    </w:p>
                    <w:p w:rsidR="00146325" w:rsidRPr="00141D20" w:rsidRDefault="00146325" w:rsidP="00141D20">
                      <w:pPr>
                        <w:spacing w:after="0" w:line="240" w:lineRule="auto"/>
                        <w:jc w:val="both"/>
                        <w:rPr>
                          <w:sz w:val="16"/>
                          <w:szCs w:val="16"/>
                        </w:rPr>
                      </w:pPr>
                      <w:r w:rsidRPr="00141D20">
                        <w:rPr>
                          <w:sz w:val="16"/>
                          <w:szCs w:val="16"/>
                        </w:rPr>
                        <w:t>Source : EVIAM 2014-2015, INS</w:t>
                      </w:r>
                    </w:p>
                  </w:txbxContent>
                </v:textbox>
                <w10:wrap type="square" anchorx="margin"/>
              </v:shape>
            </w:pict>
          </mc:Fallback>
        </mc:AlternateContent>
      </w:r>
      <w:r w:rsidR="00C45135">
        <w:rPr>
          <w:rFonts w:ascii="Nyala" w:hAnsi="Nyala"/>
          <w:sz w:val="28"/>
          <w:szCs w:val="28"/>
        </w:rPr>
        <w:t xml:space="preserve">L’évaluation de la prévalence de l’insécurité alimentaire selon le SCA amène </w:t>
      </w:r>
      <w:r w:rsidR="00B8403C">
        <w:rPr>
          <w:rFonts w:ascii="Nyala" w:hAnsi="Nyala"/>
          <w:sz w:val="28"/>
          <w:szCs w:val="28"/>
        </w:rPr>
        <w:t>un certain nombre de constats</w:t>
      </w:r>
      <w:r w:rsidR="00E6575B">
        <w:rPr>
          <w:rFonts w:ascii="Nyala" w:hAnsi="Nyala"/>
          <w:sz w:val="28"/>
          <w:szCs w:val="28"/>
        </w:rPr>
        <w:t xml:space="preserve"> (</w:t>
      </w:r>
      <w:r w:rsidR="00E6575B" w:rsidRPr="009B11E1">
        <w:rPr>
          <w:rFonts w:ascii="Nyala" w:hAnsi="Nyala"/>
          <w:b/>
          <w:sz w:val="28"/>
          <w:szCs w:val="28"/>
        </w:rPr>
        <w:t>figure 9</w:t>
      </w:r>
      <w:r w:rsidR="00E6575B">
        <w:rPr>
          <w:rFonts w:ascii="Nyala" w:hAnsi="Nyala"/>
          <w:sz w:val="28"/>
          <w:szCs w:val="28"/>
        </w:rPr>
        <w:t>)</w:t>
      </w:r>
      <w:r w:rsidR="00B8403C">
        <w:rPr>
          <w:rFonts w:ascii="Nyala" w:hAnsi="Nyala"/>
          <w:sz w:val="28"/>
          <w:szCs w:val="28"/>
        </w:rPr>
        <w:t>. L’ajustement de la consommation des ménages en sécurité ou en insécurité se fait sur les produits anim</w:t>
      </w:r>
      <w:r w:rsidR="003B6520">
        <w:rPr>
          <w:rFonts w:ascii="Nyala" w:hAnsi="Nyala"/>
          <w:sz w:val="28"/>
          <w:szCs w:val="28"/>
        </w:rPr>
        <w:t xml:space="preserve">aux et les feuilles et légumes. </w:t>
      </w:r>
      <w:r w:rsidR="00B8403C">
        <w:rPr>
          <w:rFonts w:ascii="Nyala" w:hAnsi="Nyala"/>
          <w:sz w:val="28"/>
          <w:szCs w:val="28"/>
        </w:rPr>
        <w:t xml:space="preserve">C’est dire que les ménages d’éleveurs et d’horticulteurs devraient être moins vulnérables à la sous-alimentation. </w:t>
      </w:r>
    </w:p>
    <w:p w:rsidR="00B8403C" w:rsidRDefault="00A40CF3" w:rsidP="00D75CA2">
      <w:pPr>
        <w:jc w:val="both"/>
        <w:rPr>
          <w:rFonts w:ascii="Nyala" w:hAnsi="Nyala"/>
          <w:sz w:val="28"/>
          <w:szCs w:val="28"/>
        </w:rPr>
      </w:pPr>
      <w:r>
        <w:rPr>
          <w:rFonts w:ascii="Nyala" w:hAnsi="Nyala"/>
          <w:sz w:val="28"/>
          <w:szCs w:val="28"/>
        </w:rPr>
        <w:t>Ainsi, f</w:t>
      </w:r>
      <w:r w:rsidR="00B8403C">
        <w:rPr>
          <w:rFonts w:ascii="Nyala" w:hAnsi="Nyala"/>
          <w:sz w:val="28"/>
          <w:szCs w:val="28"/>
        </w:rPr>
        <w:t xml:space="preserve">aciliter l’accès de ces groupes de produits devrait être parmi les priorités à considérer dans la lutte contre la sous-alimentation. </w:t>
      </w:r>
      <w:r w:rsidR="003B6520">
        <w:rPr>
          <w:rFonts w:ascii="Nyala" w:hAnsi="Nyala"/>
          <w:sz w:val="28"/>
          <w:szCs w:val="28"/>
        </w:rPr>
        <w:t xml:space="preserve">De même, davantage d’efforts devraient être menés pour accroître significativement la consommation de légumineuses alimentaires qui peuvent contrebalancer les difficultés d’accès aux céréales (du fait de leur disponibilité) et aux sous-produits animaux (du fait de leur coût). </w:t>
      </w:r>
    </w:p>
    <w:p w:rsidR="00AD3744" w:rsidRDefault="00AD3744" w:rsidP="00D75CA2">
      <w:pPr>
        <w:jc w:val="both"/>
        <w:rPr>
          <w:rFonts w:ascii="Nyala" w:hAnsi="Nyala"/>
          <w:sz w:val="28"/>
          <w:szCs w:val="28"/>
        </w:rPr>
      </w:pPr>
    </w:p>
    <w:p w:rsidR="00D75CA2" w:rsidRPr="002949A8" w:rsidRDefault="00D75CA2" w:rsidP="002949A8">
      <w:pPr>
        <w:pStyle w:val="Titre4"/>
        <w:numPr>
          <w:ilvl w:val="3"/>
          <w:numId w:val="2"/>
        </w:numPr>
        <w:rPr>
          <w:b/>
          <w:bCs/>
        </w:rPr>
      </w:pPr>
      <w:r w:rsidRPr="002949A8">
        <w:rPr>
          <w:b/>
          <w:bCs/>
        </w:rPr>
        <w:t>Sous-alimentation selon le score de diversité alimentaire</w:t>
      </w:r>
    </w:p>
    <w:p w:rsidR="00A40CF3" w:rsidRPr="006866D3" w:rsidRDefault="00A40CF3" w:rsidP="00A40CF3">
      <w:pPr>
        <w:jc w:val="both"/>
        <w:rPr>
          <w:rFonts w:ascii="Nyala" w:hAnsi="Nyala"/>
          <w:sz w:val="28"/>
          <w:szCs w:val="28"/>
        </w:rPr>
      </w:pPr>
      <w:r w:rsidRPr="006866D3">
        <w:rPr>
          <w:rFonts w:ascii="Nyala" w:hAnsi="Nyala"/>
          <w:sz w:val="28"/>
          <w:szCs w:val="28"/>
        </w:rPr>
        <w:t xml:space="preserve">Le score de diversité alimentaire (SDA) est déterminé </w:t>
      </w:r>
      <w:r>
        <w:rPr>
          <w:rFonts w:ascii="Nyala" w:hAnsi="Nyala"/>
          <w:sz w:val="28"/>
          <w:szCs w:val="28"/>
        </w:rPr>
        <w:t>sur la base</w:t>
      </w:r>
      <w:r w:rsidRPr="006866D3">
        <w:rPr>
          <w:rFonts w:ascii="Nyala" w:hAnsi="Nyala"/>
          <w:sz w:val="28"/>
          <w:szCs w:val="28"/>
        </w:rPr>
        <w:t xml:space="preserve"> de la consommation effective  de 12 groupes d’aliments</w:t>
      </w:r>
      <w:r>
        <w:rPr>
          <w:rFonts w:ascii="Nyala" w:hAnsi="Nyala"/>
          <w:sz w:val="28"/>
          <w:szCs w:val="28"/>
        </w:rPr>
        <w:t xml:space="preserve"> parmi lesquels ceux </w:t>
      </w:r>
      <w:r w:rsidRPr="00263A94">
        <w:rPr>
          <w:rFonts w:ascii="Nyala" w:hAnsi="Nyala"/>
          <w:sz w:val="28"/>
          <w:szCs w:val="28"/>
        </w:rPr>
        <w:t>dont l’acquisition nécessite des ressources</w:t>
      </w:r>
      <w:r>
        <w:rPr>
          <w:rFonts w:ascii="Nyala" w:hAnsi="Nyala"/>
          <w:sz w:val="28"/>
          <w:szCs w:val="28"/>
        </w:rPr>
        <w:t>. Il s’agit de</w:t>
      </w:r>
      <w:r w:rsidRPr="006866D3">
        <w:rPr>
          <w:rFonts w:ascii="Nyala" w:hAnsi="Nyala"/>
          <w:sz w:val="28"/>
          <w:szCs w:val="28"/>
        </w:rPr>
        <w:t>: céréales  ;  racines  et  tubercules  ;  légumineuses,  noix  et  graines  ;  légumes;  fruits  ; viande ; œufs ; poisson et fruits de mer ; lait et produits laitiers ; huiles et graisses ; sucre ; épices, condiments et boissons.</w:t>
      </w:r>
      <w:r>
        <w:rPr>
          <w:rFonts w:ascii="Nyala" w:hAnsi="Nyala"/>
          <w:sz w:val="28"/>
          <w:szCs w:val="28"/>
        </w:rPr>
        <w:t xml:space="preserve"> L’acquisition de certains de ces produits (œuf, poisson et fruits de mer, sucre, boissons, condiments) ’acquisition de certains aliments tels que </w:t>
      </w:r>
    </w:p>
    <w:p w:rsidR="00A40CF3" w:rsidRPr="006866D3" w:rsidRDefault="00A40CF3" w:rsidP="00A40CF3">
      <w:pPr>
        <w:jc w:val="both"/>
        <w:rPr>
          <w:rFonts w:ascii="Nyala" w:hAnsi="Nyala"/>
          <w:sz w:val="28"/>
          <w:szCs w:val="28"/>
        </w:rPr>
      </w:pPr>
      <w:r w:rsidRPr="006866D3">
        <w:rPr>
          <w:rFonts w:ascii="Nyala" w:hAnsi="Nyala"/>
          <w:sz w:val="28"/>
          <w:szCs w:val="28"/>
        </w:rPr>
        <w:t xml:space="preserve">Trois régimes de consommation ont été définis sur la base du SDA : diversité faible (avec 3 groupes d’aliments) ; diversité moyenne avec 4 à 5 groupes d’aliments et diversité élevée avec plus de 6 groupes. </w:t>
      </w:r>
    </w:p>
    <w:p w:rsidR="003B6520" w:rsidRDefault="00D75CA2" w:rsidP="00D75CA2">
      <w:pPr>
        <w:jc w:val="both"/>
        <w:rPr>
          <w:rFonts w:ascii="Nyala" w:hAnsi="Nyala"/>
          <w:sz w:val="28"/>
          <w:szCs w:val="28"/>
        </w:rPr>
      </w:pPr>
      <w:r w:rsidRPr="006866D3">
        <w:rPr>
          <w:rFonts w:ascii="Nyala" w:hAnsi="Nyala"/>
          <w:sz w:val="28"/>
          <w:szCs w:val="28"/>
        </w:rPr>
        <w:t xml:space="preserve">Selon l’INS lors d’une enquête menée de décembre 2015 à janvier 2016, seuls 43% des ménages ruraux nigériens avaient une alimentation équilibrée (SDA élevé) ; 20% ne consomment pratiquement que des céréales et pour 37%, la diversification est assez moyenne. </w:t>
      </w:r>
    </w:p>
    <w:p w:rsidR="0045381C" w:rsidRDefault="0045381C" w:rsidP="00D75CA2">
      <w:pPr>
        <w:jc w:val="both"/>
        <w:rPr>
          <w:rFonts w:ascii="Nyala" w:hAnsi="Nyala"/>
          <w:sz w:val="28"/>
          <w:szCs w:val="28"/>
        </w:rPr>
      </w:pPr>
    </w:p>
    <w:p w:rsidR="0045381C" w:rsidRPr="009B11E1" w:rsidRDefault="0045381C" w:rsidP="00D75CA2">
      <w:pPr>
        <w:jc w:val="both"/>
        <w:rPr>
          <w:rStyle w:val="Rfrenceintense"/>
          <w:sz w:val="28"/>
          <w:szCs w:val="28"/>
        </w:rPr>
      </w:pPr>
      <w:r w:rsidRPr="009B11E1">
        <w:rPr>
          <w:rStyle w:val="Rfrenceintense"/>
          <w:sz w:val="28"/>
          <w:szCs w:val="28"/>
        </w:rPr>
        <w:t>SDA selon le milieu de résidence</w:t>
      </w:r>
    </w:p>
    <w:p w:rsidR="00E8149E" w:rsidRPr="006866D3" w:rsidRDefault="00146983" w:rsidP="00D75CA2">
      <w:pPr>
        <w:jc w:val="both"/>
        <w:rPr>
          <w:rFonts w:ascii="Nyala" w:hAnsi="Nyala"/>
          <w:sz w:val="28"/>
          <w:szCs w:val="28"/>
        </w:rPr>
      </w:pPr>
      <w:r>
        <w:rPr>
          <w:rFonts w:ascii="Nyala" w:hAnsi="Nyala"/>
          <w:noProof/>
          <w:sz w:val="28"/>
          <w:szCs w:val="28"/>
          <w:lang w:eastAsia="fr-FR"/>
        </w:rPr>
        <mc:AlternateContent>
          <mc:Choice Requires="wps">
            <w:drawing>
              <wp:anchor distT="0" distB="0" distL="114300" distR="114300" simplePos="0" relativeHeight="251779072" behindDoc="0" locked="0" layoutInCell="1" allowOverlap="1" wp14:anchorId="7A90F44A">
                <wp:simplePos x="0" y="0"/>
                <wp:positionH relativeFrom="margin">
                  <wp:posOffset>1807845</wp:posOffset>
                </wp:positionH>
                <wp:positionV relativeFrom="paragraph">
                  <wp:posOffset>254635</wp:posOffset>
                </wp:positionV>
                <wp:extent cx="3882390" cy="2533015"/>
                <wp:effectExtent l="0" t="0" r="22860" b="24130"/>
                <wp:wrapSquare wrapText="bothSides"/>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2390" cy="2533015"/>
                        </a:xfrm>
                        <a:prstGeom prst="rect">
                          <a:avLst/>
                        </a:prstGeom>
                        <a:noFill/>
                        <a:ln w="6350">
                          <a:solidFill>
                            <a:prstClr val="black"/>
                          </a:solidFill>
                        </a:ln>
                        <a:effectLst/>
                      </wps:spPr>
                      <wps:txbx>
                        <w:txbxContent>
                          <w:p w:rsidR="00146325" w:rsidRDefault="00146325" w:rsidP="000500A5">
                            <w:pPr>
                              <w:pStyle w:val="Lgende"/>
                              <w:keepNext/>
                              <w:spacing w:after="0" w:line="240" w:lineRule="auto"/>
                              <w:jc w:val="both"/>
                            </w:pPr>
                            <w:bookmarkStart w:id="276" w:name="_Toc526120076"/>
                            <w:r>
                              <w:t xml:space="preserve">Figure </w:t>
                            </w:r>
                            <w:r w:rsidR="00C73EE5">
                              <w:fldChar w:fldCharType="begin"/>
                            </w:r>
                            <w:r w:rsidR="00C73EE5">
                              <w:instrText xml:space="preserve"> SEQ Figure \* ARABIC </w:instrText>
                            </w:r>
                            <w:r w:rsidR="00C73EE5">
                              <w:fldChar w:fldCharType="separate"/>
                            </w:r>
                            <w:r>
                              <w:rPr>
                                <w:noProof/>
                              </w:rPr>
                              <w:t>10</w:t>
                            </w:r>
                            <w:r w:rsidR="00C73EE5">
                              <w:rPr>
                                <w:noProof/>
                              </w:rPr>
                              <w:fldChar w:fldCharType="end"/>
                            </w:r>
                            <w:r>
                              <w:t xml:space="preserve"> - Répartition des ménages selon la classe de diversité alimentaire et selon les régions</w:t>
                            </w:r>
                            <w:bookmarkEnd w:id="276"/>
                          </w:p>
                          <w:p w:rsidR="00146325" w:rsidRDefault="00146325" w:rsidP="00D75CA2">
                            <w:pPr>
                              <w:jc w:val="both"/>
                              <w:rPr>
                                <w:noProof/>
                              </w:rPr>
                            </w:pPr>
                            <w:r w:rsidRPr="00493052">
                              <w:rPr>
                                <w:noProof/>
                                <w:lang w:eastAsia="fr-FR"/>
                              </w:rPr>
                              <w:drawing>
                                <wp:inline distT="0" distB="0" distL="0" distR="0">
                                  <wp:extent cx="3622652" cy="1616659"/>
                                  <wp:effectExtent l="0" t="0" r="0" b="3175"/>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37158" cy="1623132"/>
                                          </a:xfrm>
                                          <a:prstGeom prst="rect">
                                            <a:avLst/>
                                          </a:prstGeom>
                                          <a:noFill/>
                                          <a:ln>
                                            <a:noFill/>
                                          </a:ln>
                                        </pic:spPr>
                                      </pic:pic>
                                    </a:graphicData>
                                  </a:graphic>
                                </wp:inline>
                              </w:drawing>
                            </w:r>
                          </w:p>
                          <w:p w:rsidR="00146325" w:rsidRPr="002A09C0" w:rsidRDefault="00146325" w:rsidP="00D75CA2">
                            <w:pPr>
                              <w:jc w:val="both"/>
                              <w:rPr>
                                <w:noProof/>
                              </w:rPr>
                            </w:pPr>
                            <w:r>
                              <w:rPr>
                                <w:noProof/>
                              </w:rPr>
                              <w:t>INS-SAP (2016) : EVIAM 2015-2016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A90F44A" id="Zone de texte 12" o:spid="_x0000_s1039" type="#_x0000_t202" style="position:absolute;left:0;text-align:left;margin-left:142.35pt;margin-top:20.05pt;width:305.7pt;height:199.4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" filled="f" strokeweight=".5pt">
                <v:path arrowok="t"/>
                <v:textbox style="mso-fit-shape-to-text:t">
                  <w:txbxContent>
                    <w:p w:rsidR="00146325" w:rsidRDefault="00146325" w:rsidP="000500A5">
                      <w:pPr>
                        <w:pStyle w:val="Lgende"/>
                        <w:keepNext/>
                        <w:spacing w:after="0" w:line="240" w:lineRule="auto"/>
                        <w:jc w:val="both"/>
                      </w:pPr>
                      <w:bookmarkStart w:id="277" w:name="_Toc526120076"/>
                      <w:r>
                        <w:t xml:space="preserve">Figure </w:t>
                      </w:r>
                      <w:r w:rsidR="00C73EE5">
                        <w:fldChar w:fldCharType="begin"/>
                      </w:r>
                      <w:r w:rsidR="00C73EE5">
                        <w:instrText xml:space="preserve"> SEQ Figure \* ARABIC </w:instrText>
                      </w:r>
                      <w:r w:rsidR="00C73EE5">
                        <w:fldChar w:fldCharType="separate"/>
                      </w:r>
                      <w:r>
                        <w:rPr>
                          <w:noProof/>
                        </w:rPr>
                        <w:t>10</w:t>
                      </w:r>
                      <w:r w:rsidR="00C73EE5">
                        <w:rPr>
                          <w:noProof/>
                        </w:rPr>
                        <w:fldChar w:fldCharType="end"/>
                      </w:r>
                      <w:r>
                        <w:t xml:space="preserve"> - Répartition des ménages selon la classe de diversité alimentaire et selon les régions</w:t>
                      </w:r>
                      <w:bookmarkEnd w:id="277"/>
                    </w:p>
                    <w:p w:rsidR="00146325" w:rsidRDefault="00146325" w:rsidP="00D75CA2">
                      <w:pPr>
                        <w:jc w:val="both"/>
                        <w:rPr>
                          <w:noProof/>
                        </w:rPr>
                      </w:pPr>
                      <w:r w:rsidRPr="00493052">
                        <w:rPr>
                          <w:noProof/>
                          <w:lang w:eastAsia="fr-FR"/>
                        </w:rPr>
                        <w:drawing>
                          <wp:inline distT="0" distB="0" distL="0" distR="0">
                            <wp:extent cx="3622652" cy="1616659"/>
                            <wp:effectExtent l="0" t="0" r="0" b="3175"/>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37158" cy="1623132"/>
                                    </a:xfrm>
                                    <a:prstGeom prst="rect">
                                      <a:avLst/>
                                    </a:prstGeom>
                                    <a:noFill/>
                                    <a:ln>
                                      <a:noFill/>
                                    </a:ln>
                                  </pic:spPr>
                                </pic:pic>
                              </a:graphicData>
                            </a:graphic>
                          </wp:inline>
                        </w:drawing>
                      </w:r>
                    </w:p>
                    <w:p w:rsidR="00146325" w:rsidRPr="002A09C0" w:rsidRDefault="00146325" w:rsidP="00D75CA2">
                      <w:pPr>
                        <w:jc w:val="both"/>
                        <w:rPr>
                          <w:noProof/>
                        </w:rPr>
                      </w:pPr>
                      <w:r>
                        <w:rPr>
                          <w:noProof/>
                        </w:rPr>
                        <w:t>INS-SAP (2016) : EVIAM 2015-2016</w:t>
                      </w:r>
                    </w:p>
                  </w:txbxContent>
                </v:textbox>
                <w10:wrap type="square" anchorx="margin"/>
              </v:shape>
            </w:pict>
          </mc:Fallback>
        </mc:AlternateContent>
      </w:r>
      <w:r w:rsidR="00D75CA2" w:rsidRPr="006866D3">
        <w:rPr>
          <w:rFonts w:ascii="Nyala" w:hAnsi="Nyala"/>
          <w:sz w:val="28"/>
          <w:szCs w:val="28"/>
        </w:rPr>
        <w:t>C’est surtout dans les régions de Niamey et Agadez où la grande majorité des ménages consomment plus de 6 groupes d’aliments (85% et 62% respectivement).</w:t>
      </w:r>
    </w:p>
    <w:p w:rsidR="000B736F" w:rsidRPr="00141D20" w:rsidRDefault="00D75CA2" w:rsidP="00D75CA2">
      <w:pPr>
        <w:jc w:val="both"/>
        <w:rPr>
          <w:rFonts w:ascii="Nyala" w:hAnsi="Nyala"/>
          <w:sz w:val="28"/>
          <w:szCs w:val="28"/>
        </w:rPr>
      </w:pPr>
      <w:r w:rsidRPr="006866D3">
        <w:rPr>
          <w:rFonts w:ascii="Nyala" w:hAnsi="Nyala"/>
          <w:sz w:val="28"/>
          <w:szCs w:val="28"/>
        </w:rPr>
        <w:t>En tenant compte de la proportion de ménages diversifiant peu leur alimentation, les régions du Niger peuvent être regroupés en deux catégories : a) régions avec moins de 15% des ménages avec un SDA faible : Niamey, Agadez, Diffa et Zinder ; b) les régions avec plus de 15% de ménages avec un SDA faible : Maradi, Tahoua, Tillabéri, Dosso (</w:t>
      </w:r>
      <w:r w:rsidRPr="009B11E1">
        <w:rPr>
          <w:rFonts w:ascii="Nyala" w:hAnsi="Nyala"/>
          <w:b/>
          <w:sz w:val="28"/>
          <w:szCs w:val="28"/>
        </w:rPr>
        <w:t>figure</w:t>
      </w:r>
      <w:r w:rsidR="00E6575B" w:rsidRPr="009B11E1">
        <w:rPr>
          <w:rFonts w:ascii="Nyala" w:hAnsi="Nyala"/>
          <w:b/>
          <w:sz w:val="28"/>
          <w:szCs w:val="28"/>
        </w:rPr>
        <w:t>10</w:t>
      </w:r>
      <w:r w:rsidRPr="00141D20">
        <w:rPr>
          <w:rFonts w:ascii="Nyala" w:hAnsi="Nyala"/>
          <w:sz w:val="28"/>
          <w:szCs w:val="28"/>
        </w:rPr>
        <w:t>)</w:t>
      </w:r>
      <w:r w:rsidR="000B736F" w:rsidRPr="00141D20">
        <w:rPr>
          <w:rFonts w:ascii="Nyala" w:hAnsi="Nyala"/>
          <w:sz w:val="28"/>
          <w:szCs w:val="28"/>
        </w:rPr>
        <w:t>.</w:t>
      </w:r>
    </w:p>
    <w:p w:rsidR="00AC1BCE" w:rsidRDefault="000C470D" w:rsidP="00D75CA2">
      <w:pPr>
        <w:jc w:val="both"/>
        <w:rPr>
          <w:rFonts w:ascii="Nyala" w:hAnsi="Nyala"/>
          <w:sz w:val="28"/>
          <w:szCs w:val="28"/>
        </w:rPr>
      </w:pPr>
      <w:r w:rsidRPr="00141D20">
        <w:rPr>
          <w:rFonts w:ascii="Nyala" w:hAnsi="Nyala"/>
          <w:sz w:val="28"/>
          <w:szCs w:val="28"/>
        </w:rPr>
        <w:t>Les  explications sur les différences dans la diversification des aliments consommés sont multiples. Les régions n’ont pas le même poids démographique, les mêmes potentialité</w:t>
      </w:r>
      <w:r w:rsidR="00A53851" w:rsidRPr="00141D20">
        <w:rPr>
          <w:rFonts w:ascii="Nyala" w:hAnsi="Nyala"/>
          <w:sz w:val="28"/>
          <w:szCs w:val="28"/>
        </w:rPr>
        <w:t xml:space="preserve">s </w:t>
      </w:r>
      <w:r w:rsidRPr="00141D20">
        <w:rPr>
          <w:rFonts w:ascii="Nyala" w:hAnsi="Nyala"/>
          <w:sz w:val="28"/>
          <w:szCs w:val="28"/>
        </w:rPr>
        <w:t>en terme</w:t>
      </w:r>
      <w:r w:rsidR="00A53851" w:rsidRPr="00141D20">
        <w:rPr>
          <w:rFonts w:ascii="Nyala" w:hAnsi="Nyala"/>
          <w:sz w:val="28"/>
          <w:szCs w:val="28"/>
        </w:rPr>
        <w:t>s</w:t>
      </w:r>
      <w:r w:rsidRPr="00141D20">
        <w:rPr>
          <w:rFonts w:ascii="Nyala" w:hAnsi="Nyala"/>
          <w:sz w:val="28"/>
          <w:szCs w:val="28"/>
        </w:rPr>
        <w:t xml:space="preserve"> de disponibilité (production locale et approvisionnement de marché), d</w:t>
      </w:r>
      <w:r w:rsidR="00A53851" w:rsidRPr="00141D20">
        <w:rPr>
          <w:rFonts w:ascii="Nyala" w:hAnsi="Nyala"/>
          <w:sz w:val="28"/>
          <w:szCs w:val="28"/>
        </w:rPr>
        <w:t xml:space="preserve">e revenu des ménages, de </w:t>
      </w:r>
      <w:r w:rsidRPr="00141D20">
        <w:rPr>
          <w:rFonts w:ascii="Nyala" w:hAnsi="Nyala"/>
          <w:sz w:val="28"/>
          <w:szCs w:val="28"/>
        </w:rPr>
        <w:t>l’incidence de la pauvreté</w:t>
      </w:r>
      <w:r w:rsidR="00A53851" w:rsidRPr="00141D20">
        <w:rPr>
          <w:rFonts w:ascii="Nyala" w:hAnsi="Nyala"/>
          <w:sz w:val="28"/>
          <w:szCs w:val="28"/>
        </w:rPr>
        <w:t xml:space="preserve">, des habitudes alimentaires et des alternatives pour faire face à tout choc alimentaire… </w:t>
      </w:r>
    </w:p>
    <w:p w:rsidR="000E6FEC" w:rsidRPr="00141D20" w:rsidRDefault="000E6FEC" w:rsidP="00D75CA2">
      <w:pPr>
        <w:jc w:val="both"/>
        <w:rPr>
          <w:rFonts w:ascii="Nyala" w:hAnsi="Nyala"/>
          <w:sz w:val="28"/>
          <w:szCs w:val="28"/>
        </w:rPr>
      </w:pPr>
      <w:r>
        <w:rPr>
          <w:rFonts w:ascii="Nyala" w:hAnsi="Nyala"/>
          <w:sz w:val="28"/>
          <w:szCs w:val="28"/>
        </w:rPr>
        <w:t xml:space="preserve">L’une des explications de la différence de régime et de vulnérabilité à l’insécurité alimentaire pourrait être recherchée dans la différence de « richesse » entre les régions. </w:t>
      </w:r>
    </w:p>
    <w:p w:rsidR="000E6FEC" w:rsidRDefault="000E6FEC" w:rsidP="000E6FEC">
      <w:pPr>
        <w:jc w:val="both"/>
        <w:rPr>
          <w:rFonts w:ascii="Nyala" w:hAnsi="Nyala"/>
          <w:sz w:val="28"/>
          <w:szCs w:val="28"/>
        </w:rPr>
      </w:pPr>
      <w:r>
        <w:rPr>
          <w:rFonts w:ascii="Nyala" w:hAnsi="Nyala"/>
          <w:sz w:val="28"/>
          <w:szCs w:val="28"/>
        </w:rPr>
        <w:t>Dans ses analyses sur la vulnérabilité à l’insécurité alimentaire, l’INS utilise plusieurs paramètres dont l’Indice de richesse qui peut expliquer dans une certaine mesure les différences observées entre les régions sur le SDA.</w:t>
      </w:r>
    </w:p>
    <w:p w:rsidR="000E6FEC" w:rsidRDefault="000E6FEC" w:rsidP="000E6FEC">
      <w:pPr>
        <w:jc w:val="both"/>
        <w:rPr>
          <w:rFonts w:ascii="Nyala" w:hAnsi="Nyala"/>
          <w:sz w:val="28"/>
          <w:szCs w:val="28"/>
        </w:rPr>
      </w:pPr>
      <w:r w:rsidRPr="00AC1BCE">
        <w:rPr>
          <w:rFonts w:ascii="Nyala" w:hAnsi="Nyala"/>
          <w:sz w:val="28"/>
          <w:szCs w:val="28"/>
        </w:rPr>
        <w:t xml:space="preserve">L’indice de richesse ou en anglais le Wealth Index (WI) est indicateur </w:t>
      </w:r>
      <w:r>
        <w:rPr>
          <w:rFonts w:ascii="Nyala" w:hAnsi="Nyala"/>
          <w:sz w:val="28"/>
          <w:szCs w:val="28"/>
        </w:rPr>
        <w:t>proxy</w:t>
      </w:r>
      <w:r w:rsidRPr="00AC1BCE">
        <w:rPr>
          <w:rFonts w:ascii="Nyala" w:hAnsi="Nyala"/>
          <w:sz w:val="28"/>
          <w:szCs w:val="28"/>
        </w:rPr>
        <w:t xml:space="preserve"> compositecalculé  à  partir  de  variables  relatives  aux  avoirs  possédés</w:t>
      </w:r>
      <w:r>
        <w:rPr>
          <w:rFonts w:ascii="Nyala" w:hAnsi="Nyala"/>
          <w:sz w:val="28"/>
          <w:szCs w:val="28"/>
        </w:rPr>
        <w:t xml:space="preserve">, regroupées </w:t>
      </w:r>
      <w:r w:rsidR="00A918CF">
        <w:rPr>
          <w:rFonts w:ascii="Nyala" w:hAnsi="Nyala"/>
          <w:sz w:val="28"/>
          <w:szCs w:val="28"/>
        </w:rPr>
        <w:t>en  4  groupes</w:t>
      </w:r>
      <w:r w:rsidRPr="00AC1BCE">
        <w:rPr>
          <w:rFonts w:ascii="Nyala" w:hAnsi="Nyala"/>
          <w:sz w:val="28"/>
          <w:szCs w:val="28"/>
        </w:rPr>
        <w:t>:  biens  productifs (bœufs de trait ; tracteur, charrue, machine etc.) ; biens non productifs (bijoux, radio, TV,  meuble  etc.) ;  agréments  de  vie  (accès  à  l’eau  potable,  accès  à  l’énergie, accès  au  logement  etc.) ;  autres  (nombre  de  pièces,  nombre  de  personnes  parpièce etc.)</w:t>
      </w:r>
      <w:r>
        <w:rPr>
          <w:rFonts w:ascii="Nyala" w:hAnsi="Nyala"/>
          <w:sz w:val="28"/>
          <w:szCs w:val="28"/>
        </w:rPr>
        <w:t>.</w:t>
      </w:r>
    </w:p>
    <w:p w:rsidR="000E6FEC" w:rsidRDefault="00146983" w:rsidP="000E6FEC">
      <w:pPr>
        <w:jc w:val="both"/>
        <w:rPr>
          <w:rFonts w:ascii="Nyala" w:hAnsi="Nyala"/>
          <w:sz w:val="28"/>
          <w:szCs w:val="28"/>
        </w:rPr>
      </w:pPr>
      <w:r>
        <w:rPr>
          <w:noProof/>
          <w:lang w:eastAsia="fr-FR"/>
        </w:rPr>
        <mc:AlternateContent>
          <mc:Choice Requires="wps">
            <w:drawing>
              <wp:anchor distT="0" distB="0" distL="114300" distR="114300" simplePos="0" relativeHeight="251945984" behindDoc="0" locked="0" layoutInCell="1" allowOverlap="1" wp14:anchorId="5487B500">
                <wp:simplePos x="0" y="0"/>
                <wp:positionH relativeFrom="column">
                  <wp:posOffset>1445260</wp:posOffset>
                </wp:positionH>
                <wp:positionV relativeFrom="paragraph">
                  <wp:posOffset>2540</wp:posOffset>
                </wp:positionV>
                <wp:extent cx="1828800" cy="1828800"/>
                <wp:effectExtent l="0" t="0" r="19685" b="22860"/>
                <wp:wrapSquare wrapText="bothSides"/>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solidFill>
                            <a:prstClr val="black"/>
                          </a:solidFill>
                        </a:ln>
                        <a:effectLst/>
                      </wps:spPr>
                      <wps:txbx>
                        <w:txbxContent>
                          <w:p w:rsidR="00146325" w:rsidRDefault="00146325" w:rsidP="009B11E1">
                            <w:pPr>
                              <w:pStyle w:val="Lgende"/>
                              <w:keepNext/>
                              <w:jc w:val="both"/>
                            </w:pPr>
                            <w:bookmarkStart w:id="278" w:name="_Toc526120077"/>
                            <w:r>
                              <w:t xml:space="preserve">Figure </w:t>
                            </w:r>
                            <w:r w:rsidR="00C73EE5">
                              <w:fldChar w:fldCharType="begin"/>
                            </w:r>
                            <w:r w:rsidR="00C73EE5">
                              <w:instrText xml:space="preserve"> SEQ Figure \* ARABIC </w:instrText>
                            </w:r>
                            <w:r w:rsidR="00C73EE5">
                              <w:fldChar w:fldCharType="separate"/>
                            </w:r>
                            <w:r>
                              <w:rPr>
                                <w:noProof/>
                              </w:rPr>
                              <w:t>11</w:t>
                            </w:r>
                            <w:r w:rsidR="00C73EE5">
                              <w:rPr>
                                <w:noProof/>
                              </w:rPr>
                              <w:fldChar w:fldCharType="end"/>
                            </w:r>
                            <w:r>
                              <w:t xml:space="preserve">  proportion des ménages selon l'indice de richesse</w:t>
                            </w:r>
                            <w:bookmarkEnd w:id="278"/>
                          </w:p>
                          <w:p w:rsidR="00146325" w:rsidRDefault="00146325" w:rsidP="000E6FEC">
                            <w:pPr>
                              <w:spacing w:before="0" w:line="240" w:lineRule="auto"/>
                              <w:jc w:val="both"/>
                            </w:pPr>
                            <w:r w:rsidRPr="003A133E">
                              <w:rPr>
                                <w:noProof/>
                                <w:lang w:eastAsia="fr-FR"/>
                              </w:rPr>
                              <w:drawing>
                                <wp:inline distT="0" distB="0" distL="0" distR="0">
                                  <wp:extent cx="3848100" cy="1804569"/>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52936" cy="1806837"/>
                                          </a:xfrm>
                                          <a:prstGeom prst="rect">
                                            <a:avLst/>
                                          </a:prstGeom>
                                          <a:noFill/>
                                          <a:ln>
                                            <a:noFill/>
                                          </a:ln>
                                        </pic:spPr>
                                      </pic:pic>
                                    </a:graphicData>
                                  </a:graphic>
                                </wp:inline>
                              </w:drawing>
                            </w:r>
                          </w:p>
                          <w:p w:rsidR="00146325" w:rsidRPr="00F465B5" w:rsidRDefault="00146325" w:rsidP="000E6FEC">
                            <w:pPr>
                              <w:spacing w:before="0" w:after="0" w:line="240" w:lineRule="auto"/>
                              <w:jc w:val="both"/>
                              <w:rPr>
                                <w:sz w:val="16"/>
                                <w:szCs w:val="16"/>
                              </w:rPr>
                            </w:pPr>
                            <w:r w:rsidRPr="00F465B5">
                              <w:rPr>
                                <w:sz w:val="16"/>
                                <w:szCs w:val="16"/>
                              </w:rPr>
                              <w:t>Source INS, EVIAM 2015-2016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487B500" id="Zone de texte 27" o:spid="_x0000_s1040" type="#_x0000_t202" style="position:absolute;left:0;text-align:left;margin-left:113.8pt;margin-top:.2pt;width:2in;height:2in;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" filled="f" strokeweight=".5pt">
                <v:path arrowok="t"/>
                <v:textbox style="mso-fit-shape-to-text:t">
                  <w:txbxContent>
                    <w:p w:rsidR="00146325" w:rsidRDefault="00146325" w:rsidP="009B11E1">
                      <w:pPr>
                        <w:pStyle w:val="Lgende"/>
                        <w:keepNext/>
                        <w:jc w:val="both"/>
                      </w:pPr>
                      <w:bookmarkStart w:id="279" w:name="_Toc526120077"/>
                      <w:r>
                        <w:t xml:space="preserve">Figure </w:t>
                      </w:r>
                      <w:r w:rsidR="00C73EE5">
                        <w:fldChar w:fldCharType="begin"/>
                      </w:r>
                      <w:r w:rsidR="00C73EE5">
                        <w:instrText xml:space="preserve"> SEQ Figure \* ARABIC </w:instrText>
                      </w:r>
                      <w:r w:rsidR="00C73EE5">
                        <w:fldChar w:fldCharType="separate"/>
                      </w:r>
                      <w:r>
                        <w:rPr>
                          <w:noProof/>
                        </w:rPr>
                        <w:t>11</w:t>
                      </w:r>
                      <w:r w:rsidR="00C73EE5">
                        <w:rPr>
                          <w:noProof/>
                        </w:rPr>
                        <w:fldChar w:fldCharType="end"/>
                      </w:r>
                      <w:r>
                        <w:t xml:space="preserve">  proportion des ménages selon l'indice de richesse</w:t>
                      </w:r>
                      <w:bookmarkEnd w:id="279"/>
                    </w:p>
                    <w:p w:rsidR="00146325" w:rsidRDefault="00146325" w:rsidP="000E6FEC">
                      <w:pPr>
                        <w:spacing w:before="0" w:line="240" w:lineRule="auto"/>
                        <w:jc w:val="both"/>
                      </w:pPr>
                      <w:r w:rsidRPr="003A133E">
                        <w:rPr>
                          <w:noProof/>
                          <w:lang w:eastAsia="fr-FR"/>
                        </w:rPr>
                        <w:drawing>
                          <wp:inline distT="0" distB="0" distL="0" distR="0">
                            <wp:extent cx="3848100" cy="1804569"/>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52936" cy="1806837"/>
                                    </a:xfrm>
                                    <a:prstGeom prst="rect">
                                      <a:avLst/>
                                    </a:prstGeom>
                                    <a:noFill/>
                                    <a:ln>
                                      <a:noFill/>
                                    </a:ln>
                                  </pic:spPr>
                                </pic:pic>
                              </a:graphicData>
                            </a:graphic>
                          </wp:inline>
                        </w:drawing>
                      </w:r>
                    </w:p>
                    <w:p w:rsidR="00146325" w:rsidRPr="00F465B5" w:rsidRDefault="00146325" w:rsidP="000E6FEC">
                      <w:pPr>
                        <w:spacing w:before="0" w:after="0" w:line="240" w:lineRule="auto"/>
                        <w:jc w:val="both"/>
                        <w:rPr>
                          <w:sz w:val="16"/>
                          <w:szCs w:val="16"/>
                        </w:rPr>
                      </w:pPr>
                      <w:r w:rsidRPr="00F465B5">
                        <w:rPr>
                          <w:sz w:val="16"/>
                          <w:szCs w:val="16"/>
                        </w:rPr>
                        <w:t>Source INS, EVIAM 2015-2016</w:t>
                      </w:r>
                    </w:p>
                  </w:txbxContent>
                </v:textbox>
                <w10:wrap type="square"/>
              </v:shape>
            </w:pict>
          </mc:Fallback>
        </mc:AlternateContent>
      </w:r>
      <w:r w:rsidR="000E6FEC">
        <w:rPr>
          <w:rFonts w:ascii="Nyala" w:hAnsi="Nyala"/>
          <w:sz w:val="28"/>
          <w:szCs w:val="28"/>
        </w:rPr>
        <w:t>L’INS a défini 5 quintiles de richesses (du plus pauvre au plus riche). Pour l’année 2015-2016, il y a lieu de noter que pour les régions d’Agadez et de Niamey, ce sont 7% et 10% des ménages qui sont dans les classes d’Indice faible, alors que pour les régions de Maradi et Zinder, ils représentent 47% et 52% respectivement</w:t>
      </w:r>
      <w:r w:rsidR="00D24025">
        <w:rPr>
          <w:rFonts w:ascii="Nyala" w:hAnsi="Nyala"/>
          <w:sz w:val="28"/>
          <w:szCs w:val="28"/>
        </w:rPr>
        <w:t xml:space="preserve"> (</w:t>
      </w:r>
      <w:r w:rsidR="00D24025" w:rsidRPr="009B11E1">
        <w:rPr>
          <w:rFonts w:ascii="Nyala" w:hAnsi="Nyala"/>
          <w:b/>
          <w:sz w:val="28"/>
          <w:szCs w:val="28"/>
        </w:rPr>
        <w:t>Figure 11</w:t>
      </w:r>
      <w:r w:rsidR="00D24025">
        <w:rPr>
          <w:rFonts w:ascii="Nyala" w:hAnsi="Nyala"/>
          <w:sz w:val="28"/>
          <w:szCs w:val="28"/>
        </w:rPr>
        <w:t>)</w:t>
      </w:r>
      <w:r w:rsidR="000E6FEC">
        <w:rPr>
          <w:rFonts w:ascii="Nyala" w:hAnsi="Nyala"/>
          <w:sz w:val="28"/>
          <w:szCs w:val="28"/>
        </w:rPr>
        <w:t>.</w:t>
      </w:r>
    </w:p>
    <w:p w:rsidR="00D15E3F" w:rsidRDefault="00D15E3F" w:rsidP="00AC1BCE">
      <w:pPr>
        <w:jc w:val="both"/>
        <w:rPr>
          <w:rFonts w:ascii="Nyala" w:hAnsi="Nyala"/>
          <w:sz w:val="28"/>
          <w:szCs w:val="28"/>
        </w:rPr>
      </w:pPr>
    </w:p>
    <w:p w:rsidR="005F25DC" w:rsidRPr="009B11E1" w:rsidRDefault="00176244" w:rsidP="005F25DC">
      <w:pPr>
        <w:jc w:val="both"/>
        <w:rPr>
          <w:rStyle w:val="Rfrenceintense"/>
          <w:sz w:val="28"/>
          <w:szCs w:val="28"/>
        </w:rPr>
      </w:pPr>
      <w:r w:rsidRPr="009B11E1">
        <w:rPr>
          <w:rStyle w:val="Rfrenceintense"/>
          <w:sz w:val="28"/>
          <w:szCs w:val="28"/>
        </w:rPr>
        <w:t xml:space="preserve">SDA des enfants de 6 à 23 mois </w:t>
      </w:r>
    </w:p>
    <w:p w:rsidR="00D15E3F" w:rsidRDefault="005F25DC" w:rsidP="00D15E3F">
      <w:pPr>
        <w:jc w:val="both"/>
        <w:rPr>
          <w:rFonts w:ascii="Nyala" w:hAnsi="Nyala"/>
          <w:sz w:val="28"/>
          <w:szCs w:val="28"/>
        </w:rPr>
      </w:pPr>
      <w:r>
        <w:rPr>
          <w:rFonts w:ascii="Nyala" w:hAnsi="Nyala"/>
          <w:sz w:val="28"/>
          <w:szCs w:val="28"/>
        </w:rPr>
        <w:t>La diversification alimentaire est également observée chez les enfants de 6 à 23 mois afin d’apprécier le niveau de sous-alimentation. L’indicateur porte sur l</w:t>
      </w:r>
      <w:r w:rsidRPr="005F25DC">
        <w:rPr>
          <w:rFonts w:ascii="Nyala" w:hAnsi="Nyala"/>
          <w:sz w:val="28"/>
          <w:szCs w:val="28"/>
        </w:rPr>
        <w:t xml:space="preserve">e  régime  alimentaire  satisfaisant  minimal  </w:t>
      </w:r>
      <w:r>
        <w:rPr>
          <w:rFonts w:ascii="Nyala" w:hAnsi="Nyala"/>
          <w:sz w:val="28"/>
          <w:szCs w:val="28"/>
        </w:rPr>
        <w:t xml:space="preserve">qui </w:t>
      </w:r>
      <w:r w:rsidRPr="005F25DC">
        <w:rPr>
          <w:rFonts w:ascii="Nyala" w:hAnsi="Nyala"/>
          <w:sz w:val="28"/>
          <w:szCs w:val="28"/>
        </w:rPr>
        <w:t>est  unscore  composite  combinant  la  diversité  alimentaire  minimale  et  la  fréquence minimale  requise  des  repas.</w:t>
      </w:r>
      <w:r>
        <w:rPr>
          <w:rFonts w:ascii="Nyala" w:hAnsi="Nyala"/>
          <w:sz w:val="28"/>
          <w:szCs w:val="28"/>
        </w:rPr>
        <w:t xml:space="preserve"> La diversité est mesurée à partir de la consommation </w:t>
      </w:r>
      <w:r w:rsidR="00D15E3F">
        <w:rPr>
          <w:rFonts w:ascii="Nyala" w:hAnsi="Nyala"/>
          <w:sz w:val="28"/>
          <w:szCs w:val="28"/>
        </w:rPr>
        <w:t>de 4</w:t>
      </w:r>
      <w:r w:rsidRPr="005F25DC">
        <w:rPr>
          <w:rFonts w:ascii="Nyala" w:hAnsi="Nyala"/>
          <w:sz w:val="28"/>
          <w:szCs w:val="28"/>
        </w:rPr>
        <w:t xml:space="preserve">  groupes  ali</w:t>
      </w:r>
      <w:r w:rsidR="00D15E3F">
        <w:rPr>
          <w:rFonts w:ascii="Nyala" w:hAnsi="Nyala"/>
          <w:sz w:val="28"/>
          <w:szCs w:val="28"/>
        </w:rPr>
        <w:t>mentaires  ou  plus  par  jour parmi les 7 pris en considération :</w:t>
      </w:r>
      <w:r w:rsidR="00D15E3F" w:rsidRPr="00D15E3F">
        <w:rPr>
          <w:rFonts w:ascii="Nyala" w:hAnsi="Nyala"/>
          <w:sz w:val="28"/>
          <w:szCs w:val="28"/>
        </w:rPr>
        <w:t xml:space="preserve">  (1)  Aliments  à base de céréales; (2) Légumineuses comme arachides, noix ou  haricots; (3) Laits et ses  sous-produits;  (4)  Viandes/Poissons/Abats/Œufs;  (5)  Fruits  et  légumes  à  chair orange; (6) Autres fruits et légumes ; (7) Nourritures préparée avec de l’huile, graisse ou du beurre. </w:t>
      </w:r>
    </w:p>
    <w:p w:rsidR="00814EB8" w:rsidRDefault="00D15E3F" w:rsidP="00D75CA2">
      <w:pPr>
        <w:jc w:val="both"/>
        <w:rPr>
          <w:rFonts w:ascii="Nyala" w:hAnsi="Nyala"/>
          <w:sz w:val="28"/>
          <w:szCs w:val="28"/>
        </w:rPr>
      </w:pPr>
      <w:r>
        <w:rPr>
          <w:rFonts w:ascii="Nyala" w:hAnsi="Nyala"/>
          <w:sz w:val="28"/>
          <w:szCs w:val="28"/>
        </w:rPr>
        <w:t xml:space="preserve">Deux classes de régime alimentaire ont été déterminées : diversité normale, diversité faible. </w:t>
      </w:r>
      <w:r w:rsidR="00146983">
        <w:rPr>
          <w:noProof/>
          <w:lang w:eastAsia="fr-FR"/>
        </w:rPr>
        <mc:AlternateContent>
          <mc:Choice Requires="wps">
            <w:drawing>
              <wp:anchor distT="0" distB="0" distL="114300" distR="114300" simplePos="0" relativeHeight="251937792" behindDoc="0" locked="0" layoutInCell="1" allowOverlap="1" wp14:anchorId="21053847">
                <wp:simplePos x="0" y="0"/>
                <wp:positionH relativeFrom="margin">
                  <wp:posOffset>1684655</wp:posOffset>
                </wp:positionH>
                <wp:positionV relativeFrom="paragraph">
                  <wp:posOffset>892175</wp:posOffset>
                </wp:positionV>
                <wp:extent cx="1828800" cy="1828800"/>
                <wp:effectExtent l="0" t="0" r="19685" b="24130"/>
                <wp:wrapSquare wrapText="bothSides"/>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solidFill>
                            <a:prstClr val="black"/>
                          </a:solidFill>
                        </a:ln>
                        <a:effectLst/>
                      </wps:spPr>
                      <wps:txbx>
                        <w:txbxContent>
                          <w:p w:rsidR="00146325" w:rsidRDefault="00146325" w:rsidP="009B11E1">
                            <w:pPr>
                              <w:pStyle w:val="Lgende"/>
                              <w:keepNext/>
                              <w:jc w:val="both"/>
                            </w:pPr>
                            <w:bookmarkStart w:id="280" w:name="_Toc526120078"/>
                            <w:r>
                              <w:t xml:space="preserve">Figure </w:t>
                            </w:r>
                            <w:r w:rsidR="00C73EE5">
                              <w:fldChar w:fldCharType="begin"/>
                            </w:r>
                            <w:r w:rsidR="00C73EE5">
                              <w:instrText xml:space="preserve"> SEQ Figure \* ARABIC </w:instrText>
                            </w:r>
                            <w:r w:rsidR="00C73EE5">
                              <w:fldChar w:fldCharType="separate"/>
                            </w:r>
                            <w:r>
                              <w:rPr>
                                <w:noProof/>
                              </w:rPr>
                              <w:t>12</w:t>
                            </w:r>
                            <w:r w:rsidR="00C73EE5">
                              <w:rPr>
                                <w:noProof/>
                              </w:rPr>
                              <w:fldChar w:fldCharType="end"/>
                            </w:r>
                            <w:r>
                              <w:t xml:space="preserve"> - Proportion des enfants de 6 à 23 mois selon la classe de diversité alimentaire</w:t>
                            </w:r>
                            <w:bookmarkEnd w:id="280"/>
                          </w:p>
                          <w:p w:rsidR="00146325" w:rsidRDefault="00146325" w:rsidP="00141D20">
                            <w:pPr>
                              <w:spacing w:after="0"/>
                              <w:jc w:val="both"/>
                            </w:pPr>
                            <w:r w:rsidRPr="00176244">
                              <w:rPr>
                                <w:noProof/>
                                <w:lang w:eastAsia="fr-FR"/>
                              </w:rPr>
                              <w:drawing>
                                <wp:inline distT="0" distB="0" distL="0" distR="0">
                                  <wp:extent cx="3771900" cy="179784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72995" cy="1798367"/>
                                          </a:xfrm>
                                          <a:prstGeom prst="rect">
                                            <a:avLst/>
                                          </a:prstGeom>
                                          <a:noFill/>
                                          <a:ln>
                                            <a:noFill/>
                                          </a:ln>
                                        </pic:spPr>
                                      </pic:pic>
                                    </a:graphicData>
                                  </a:graphic>
                                </wp:inline>
                              </w:drawing>
                            </w:r>
                          </w:p>
                          <w:p w:rsidR="00146325" w:rsidRPr="00141D20" w:rsidRDefault="00146325" w:rsidP="00141D20">
                            <w:pPr>
                              <w:spacing w:before="0" w:after="0" w:line="240" w:lineRule="auto"/>
                              <w:jc w:val="both"/>
                              <w:rPr>
                                <w:sz w:val="16"/>
                                <w:szCs w:val="16"/>
                              </w:rPr>
                            </w:pPr>
                            <w:r w:rsidRPr="00141D20">
                              <w:rPr>
                                <w:sz w:val="16"/>
                                <w:szCs w:val="16"/>
                              </w:rPr>
                              <w:t>Source : EVIAM 2015-2016, 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1053847" id="Zone de texte 39" o:spid="_x0000_s1041" type="#_x0000_t202" style="position:absolute;left:0;text-align:left;margin-left:132.65pt;margin-top:70.25pt;width:2in;height:2in;z-index:2519377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" filled="f" strokeweight=".5pt">
                <v:path arrowok="t"/>
                <v:textbox style="mso-fit-shape-to-text:t">
                  <w:txbxContent>
                    <w:p w:rsidR="00146325" w:rsidRDefault="00146325" w:rsidP="009B11E1">
                      <w:pPr>
                        <w:pStyle w:val="Lgende"/>
                        <w:keepNext/>
                        <w:jc w:val="both"/>
                      </w:pPr>
                      <w:bookmarkStart w:id="281" w:name="_Toc526120078"/>
                      <w:r>
                        <w:t xml:space="preserve">Figure </w:t>
                      </w:r>
                      <w:r w:rsidR="00C73EE5">
                        <w:fldChar w:fldCharType="begin"/>
                      </w:r>
                      <w:r w:rsidR="00C73EE5">
                        <w:instrText xml:space="preserve"> SEQ Figure \* ARABIC </w:instrText>
                      </w:r>
                      <w:r w:rsidR="00C73EE5">
                        <w:fldChar w:fldCharType="separate"/>
                      </w:r>
                      <w:r>
                        <w:rPr>
                          <w:noProof/>
                        </w:rPr>
                        <w:t>12</w:t>
                      </w:r>
                      <w:r w:rsidR="00C73EE5">
                        <w:rPr>
                          <w:noProof/>
                        </w:rPr>
                        <w:fldChar w:fldCharType="end"/>
                      </w:r>
                      <w:r>
                        <w:t xml:space="preserve"> - Proportion des enfants de 6 à 23 mois selon la classe de diversité alimentaire</w:t>
                      </w:r>
                      <w:bookmarkEnd w:id="281"/>
                    </w:p>
                    <w:p w:rsidR="00146325" w:rsidRDefault="00146325" w:rsidP="00141D20">
                      <w:pPr>
                        <w:spacing w:after="0"/>
                        <w:jc w:val="both"/>
                      </w:pPr>
                      <w:r w:rsidRPr="00176244">
                        <w:rPr>
                          <w:noProof/>
                          <w:lang w:eastAsia="fr-FR"/>
                        </w:rPr>
                        <w:drawing>
                          <wp:inline distT="0" distB="0" distL="0" distR="0">
                            <wp:extent cx="3771900" cy="179784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72995" cy="1798367"/>
                                    </a:xfrm>
                                    <a:prstGeom prst="rect">
                                      <a:avLst/>
                                    </a:prstGeom>
                                    <a:noFill/>
                                    <a:ln>
                                      <a:noFill/>
                                    </a:ln>
                                  </pic:spPr>
                                </pic:pic>
                              </a:graphicData>
                            </a:graphic>
                          </wp:inline>
                        </w:drawing>
                      </w:r>
                    </w:p>
                    <w:p w:rsidR="00146325" w:rsidRPr="00141D20" w:rsidRDefault="00146325" w:rsidP="00141D20">
                      <w:pPr>
                        <w:spacing w:before="0" w:after="0" w:line="240" w:lineRule="auto"/>
                        <w:jc w:val="both"/>
                        <w:rPr>
                          <w:sz w:val="16"/>
                          <w:szCs w:val="16"/>
                        </w:rPr>
                      </w:pPr>
                      <w:r w:rsidRPr="00141D20">
                        <w:rPr>
                          <w:sz w:val="16"/>
                          <w:szCs w:val="16"/>
                        </w:rPr>
                        <w:t>Source : EVIAM 2015-2016, INS</w:t>
                      </w:r>
                    </w:p>
                  </w:txbxContent>
                </v:textbox>
                <w10:wrap type="square" anchorx="margin"/>
              </v:shape>
            </w:pict>
          </mc:Fallback>
        </mc:AlternateContent>
      </w:r>
      <w:r w:rsidR="00814EB8">
        <w:rPr>
          <w:rFonts w:ascii="Nyala" w:hAnsi="Nyala"/>
          <w:sz w:val="28"/>
          <w:szCs w:val="28"/>
        </w:rPr>
        <w:t>Le constat est que seuls 22,4% des enfants nigériens de 6 à 23 ont un régime alimentaire diversifié normal. La diversification est encore plus faible chez les enfants de 6 à 11 mois par rapport aux autres tranches d’âge considéré</w:t>
      </w:r>
      <w:r w:rsidR="00176244">
        <w:rPr>
          <w:rFonts w:ascii="Nyala" w:hAnsi="Nyala"/>
          <w:sz w:val="28"/>
          <w:szCs w:val="28"/>
        </w:rPr>
        <w:t>e</w:t>
      </w:r>
      <w:r w:rsidR="00814EB8">
        <w:rPr>
          <w:rFonts w:ascii="Nyala" w:hAnsi="Nyala"/>
          <w:sz w:val="28"/>
          <w:szCs w:val="28"/>
        </w:rPr>
        <w:t xml:space="preserve">s : 83,9% des enfants de 6 à 11 mois, un régime alimentaire faiblement diversifié ; 74,2% et 75,3% pour ceux de 12 à 17 mois et 18 à 23 mois respectivement.  </w:t>
      </w:r>
    </w:p>
    <w:p w:rsidR="00C375F7" w:rsidRDefault="00C375F7" w:rsidP="00D75CA2">
      <w:pPr>
        <w:jc w:val="both"/>
        <w:rPr>
          <w:rFonts w:ascii="Nyala" w:hAnsi="Nyala"/>
          <w:sz w:val="28"/>
          <w:szCs w:val="28"/>
        </w:rPr>
      </w:pPr>
      <w:r>
        <w:rPr>
          <w:rFonts w:ascii="Nyala" w:hAnsi="Nyala"/>
          <w:sz w:val="28"/>
          <w:szCs w:val="28"/>
        </w:rPr>
        <w:t xml:space="preserve">A l’instar de ce qui est observé pour les ménages, la plus forte proportion d’enfants avec un régime alimentaire normal est </w:t>
      </w:r>
      <w:r w:rsidR="00176244">
        <w:rPr>
          <w:rFonts w:ascii="Nyala" w:hAnsi="Nyala"/>
          <w:sz w:val="28"/>
          <w:szCs w:val="28"/>
        </w:rPr>
        <w:t>observée</w:t>
      </w:r>
      <w:r>
        <w:rPr>
          <w:rFonts w:ascii="Nyala" w:hAnsi="Nyala"/>
          <w:sz w:val="28"/>
          <w:szCs w:val="28"/>
        </w:rPr>
        <w:t xml:space="preserve"> à Niamey et Agadez</w:t>
      </w:r>
      <w:r w:rsidR="00D24025">
        <w:rPr>
          <w:rFonts w:ascii="Nyala" w:hAnsi="Nyala"/>
          <w:sz w:val="28"/>
          <w:szCs w:val="28"/>
        </w:rPr>
        <w:t xml:space="preserve"> (</w:t>
      </w:r>
      <w:r w:rsidR="00D24025" w:rsidRPr="009B11E1">
        <w:rPr>
          <w:rFonts w:ascii="Nyala" w:hAnsi="Nyala"/>
          <w:b/>
          <w:sz w:val="28"/>
          <w:szCs w:val="28"/>
        </w:rPr>
        <w:t>figure 12</w:t>
      </w:r>
      <w:r w:rsidR="00D24025">
        <w:rPr>
          <w:rFonts w:ascii="Nyala" w:hAnsi="Nyala"/>
          <w:sz w:val="28"/>
          <w:szCs w:val="28"/>
        </w:rPr>
        <w:t>)</w:t>
      </w:r>
      <w:r w:rsidR="00176244">
        <w:rPr>
          <w:rFonts w:ascii="Nyala" w:hAnsi="Nyala"/>
          <w:sz w:val="28"/>
          <w:szCs w:val="28"/>
        </w:rPr>
        <w:t>.</w:t>
      </w:r>
    </w:p>
    <w:p w:rsidR="003222C9" w:rsidRDefault="003222C9" w:rsidP="00D75CA2">
      <w:pPr>
        <w:jc w:val="both"/>
        <w:rPr>
          <w:rFonts w:ascii="Nyala" w:hAnsi="Nyala"/>
          <w:sz w:val="28"/>
          <w:szCs w:val="28"/>
        </w:rPr>
      </w:pPr>
    </w:p>
    <w:p w:rsidR="00F8447D" w:rsidRPr="00141D20" w:rsidRDefault="00A92566" w:rsidP="00141D20">
      <w:pPr>
        <w:pStyle w:val="Titre3"/>
        <w:numPr>
          <w:ilvl w:val="2"/>
          <w:numId w:val="2"/>
        </w:numPr>
        <w:rPr>
          <w:sz w:val="28"/>
          <w:szCs w:val="28"/>
        </w:rPr>
      </w:pPr>
      <w:bookmarkStart w:id="282" w:name="_Toc526119970"/>
      <w:r>
        <w:rPr>
          <w:sz w:val="28"/>
          <w:szCs w:val="28"/>
        </w:rPr>
        <w:t xml:space="preserve">prévalence de </w:t>
      </w:r>
      <w:r w:rsidR="00F8447D" w:rsidRPr="00141D20">
        <w:rPr>
          <w:sz w:val="28"/>
          <w:szCs w:val="28"/>
        </w:rPr>
        <w:t>l’insécurité alimentaire</w:t>
      </w:r>
      <w:bookmarkEnd w:id="282"/>
    </w:p>
    <w:p w:rsidR="00AB5C6E" w:rsidRPr="00141D20" w:rsidRDefault="00AB5C6E" w:rsidP="00141D20">
      <w:pPr>
        <w:tabs>
          <w:tab w:val="left" w:pos="1048"/>
        </w:tabs>
        <w:jc w:val="both"/>
        <w:rPr>
          <w:rFonts w:ascii="Nyala" w:hAnsi="Nyala"/>
          <w:sz w:val="28"/>
          <w:szCs w:val="28"/>
        </w:rPr>
      </w:pPr>
    </w:p>
    <w:p w:rsidR="00AB5C6E" w:rsidRPr="009B11E1" w:rsidRDefault="00084312" w:rsidP="00141D20">
      <w:pPr>
        <w:jc w:val="both"/>
        <w:rPr>
          <w:rStyle w:val="Rfrenceintense"/>
          <w:sz w:val="28"/>
          <w:szCs w:val="28"/>
        </w:rPr>
      </w:pPr>
      <w:r w:rsidRPr="009B11E1">
        <w:rPr>
          <w:rStyle w:val="Rfrenceintense"/>
          <w:sz w:val="28"/>
          <w:szCs w:val="28"/>
        </w:rPr>
        <w:t xml:space="preserve">Prévalence  </w:t>
      </w:r>
      <w:r w:rsidR="000E6FEC" w:rsidRPr="009B11E1">
        <w:rPr>
          <w:rStyle w:val="Rfrenceintense"/>
          <w:sz w:val="28"/>
          <w:szCs w:val="28"/>
        </w:rPr>
        <w:t>selon le sexe</w:t>
      </w:r>
    </w:p>
    <w:p w:rsidR="00D24025" w:rsidRDefault="00AB5C6E" w:rsidP="00AB5C6E">
      <w:pPr>
        <w:tabs>
          <w:tab w:val="left" w:pos="1048"/>
        </w:tabs>
        <w:jc w:val="both"/>
        <w:rPr>
          <w:rFonts w:ascii="Nyala" w:hAnsi="Nyala"/>
          <w:sz w:val="28"/>
          <w:szCs w:val="28"/>
        </w:rPr>
      </w:pPr>
      <w:r w:rsidRPr="006866D3">
        <w:rPr>
          <w:rFonts w:ascii="Nyala" w:hAnsi="Nyala"/>
          <w:sz w:val="28"/>
          <w:szCs w:val="28"/>
        </w:rPr>
        <w:t xml:space="preserve">Les femmes, les jeunes et les handicapés sont des  groupes  sociaux  particulièrement sensibles à l’insécurité alimentaire et nutritionnelle, du fait de leur accès limités aux ressources naturelles, aux services sociaux de base et autres facteurs de production ou moyen d’existence. </w:t>
      </w:r>
    </w:p>
    <w:p w:rsidR="00AB5C6E" w:rsidRPr="006866D3" w:rsidRDefault="00AB5C6E" w:rsidP="00AB5C6E">
      <w:pPr>
        <w:tabs>
          <w:tab w:val="left" w:pos="1048"/>
        </w:tabs>
        <w:jc w:val="both"/>
        <w:rPr>
          <w:rFonts w:ascii="Nyala" w:hAnsi="Nyala"/>
          <w:sz w:val="28"/>
          <w:szCs w:val="28"/>
        </w:rPr>
      </w:pPr>
      <w:r>
        <w:rPr>
          <w:rFonts w:ascii="Nyala" w:hAnsi="Nyala"/>
          <w:sz w:val="28"/>
          <w:szCs w:val="28"/>
        </w:rPr>
        <w:t xml:space="preserve">Les femmes, notamment, </w:t>
      </w:r>
      <w:r w:rsidRPr="006866D3">
        <w:rPr>
          <w:rFonts w:ascii="Nyala" w:hAnsi="Nyala"/>
          <w:sz w:val="28"/>
          <w:szCs w:val="28"/>
        </w:rPr>
        <w:t>figurent parmi les personnes les plus affectées par les déficits de production, les perturbations de marché et autres chocs. Leur vulnérabilité  est liée aux difficultés qu’elles ont</w:t>
      </w:r>
      <w:r>
        <w:rPr>
          <w:rFonts w:ascii="Nyala" w:hAnsi="Nyala"/>
          <w:sz w:val="28"/>
          <w:szCs w:val="28"/>
        </w:rPr>
        <w:t>,</w:t>
      </w:r>
      <w:r w:rsidRPr="006866D3">
        <w:rPr>
          <w:rFonts w:ascii="Nyala" w:hAnsi="Nyala"/>
          <w:sz w:val="28"/>
          <w:szCs w:val="28"/>
        </w:rPr>
        <w:t xml:space="preserve"> à accéder à la terre, au capital-bétail, aux actifs productifs et d’une manière générale à assurer leur autonomie financière.</w:t>
      </w:r>
    </w:p>
    <w:p w:rsidR="00AB5C6E" w:rsidRPr="006866D3" w:rsidRDefault="00146983" w:rsidP="00AB5C6E">
      <w:pPr>
        <w:tabs>
          <w:tab w:val="left" w:pos="1048"/>
        </w:tabs>
        <w:jc w:val="both"/>
        <w:rPr>
          <w:rFonts w:ascii="Nyala" w:hAnsi="Nyala"/>
          <w:sz w:val="28"/>
          <w:szCs w:val="28"/>
        </w:rPr>
      </w:pPr>
      <w:r>
        <w:rPr>
          <w:noProof/>
          <w:sz w:val="28"/>
          <w:szCs w:val="28"/>
          <w:lang w:eastAsia="fr-FR"/>
        </w:rPr>
        <mc:AlternateContent>
          <mc:Choice Requires="wps">
            <w:drawing>
              <wp:anchor distT="0" distB="0" distL="114300" distR="114300" simplePos="0" relativeHeight="251941888" behindDoc="0" locked="0" layoutInCell="1" allowOverlap="1" wp14:anchorId="248E2DC3">
                <wp:simplePos x="0" y="0"/>
                <wp:positionH relativeFrom="margin">
                  <wp:align>right</wp:align>
                </wp:positionH>
                <wp:positionV relativeFrom="paragraph">
                  <wp:posOffset>14605</wp:posOffset>
                </wp:positionV>
                <wp:extent cx="3730625" cy="2574925"/>
                <wp:effectExtent l="0" t="0" r="22225" b="15875"/>
                <wp:wrapSquare wrapText="bothSides"/>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0625" cy="2574925"/>
                        </a:xfrm>
                        <a:prstGeom prst="rect">
                          <a:avLst/>
                        </a:prstGeom>
                        <a:noFill/>
                        <a:ln w="6350">
                          <a:solidFill>
                            <a:prstClr val="black"/>
                          </a:solidFill>
                        </a:ln>
                        <a:effectLst/>
                      </wps:spPr>
                      <wps:txbx>
                        <w:txbxContent>
                          <w:p w:rsidR="00146325" w:rsidRDefault="00146325" w:rsidP="00AB5C6E">
                            <w:pPr>
                              <w:pStyle w:val="Lgende"/>
                              <w:keepNext/>
                            </w:pPr>
                            <w:bookmarkStart w:id="283" w:name="_Toc526120079"/>
                            <w:r>
                              <w:t xml:space="preserve">Figure </w:t>
                            </w:r>
                            <w:r w:rsidR="00C73EE5">
                              <w:fldChar w:fldCharType="begin"/>
                            </w:r>
                            <w:r w:rsidR="00C73EE5">
                              <w:instrText xml:space="preserve"> SEQ Figure \* ARABIC </w:instrText>
                            </w:r>
                            <w:r w:rsidR="00C73EE5">
                              <w:fldChar w:fldCharType="separate"/>
                            </w:r>
                            <w:r>
                              <w:rPr>
                                <w:noProof/>
                              </w:rPr>
                              <w:t>13</w:t>
                            </w:r>
                            <w:r w:rsidR="00C73EE5">
                              <w:rPr>
                                <w:noProof/>
                              </w:rPr>
                              <w:fldChar w:fldCharType="end"/>
                            </w:r>
                            <w:r>
                              <w:t xml:space="preserve"> - prévalence de l'insécurité alimentaire selon le sexe du chef de ménage</w:t>
                            </w:r>
                            <w:bookmarkEnd w:id="283"/>
                          </w:p>
                          <w:p w:rsidR="00146325" w:rsidRPr="000D21FF" w:rsidRDefault="00146325" w:rsidP="00AB5C6E">
                            <w:r w:rsidRPr="006A5E84">
                              <w:rPr>
                                <w:noProof/>
                                <w:lang w:eastAsia="fr-FR"/>
                              </w:rPr>
                              <w:drawing>
                                <wp:inline distT="0" distB="0" distL="0" distR="0">
                                  <wp:extent cx="3444875" cy="2033626"/>
                                  <wp:effectExtent l="0" t="0" r="3175" b="508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3963" cy="20626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8E2DC3" id="Zone de texte 66" o:spid="_x0000_s1042" type="#_x0000_t202" style="position:absolute;left:0;text-align:left;margin-left:242.55pt;margin-top:1.15pt;width:293.75pt;height:202.75pt;z-index:25194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" filled="f" strokeweight=".5pt">
                <v:path arrowok="t"/>
                <v:textbox>
                  <w:txbxContent>
                    <w:p w:rsidR="00146325" w:rsidRDefault="00146325" w:rsidP="00AB5C6E">
                      <w:pPr>
                        <w:pStyle w:val="Lgende"/>
                        <w:keepNext/>
                      </w:pPr>
                      <w:bookmarkStart w:id="284" w:name="_Toc526120079"/>
                      <w:r>
                        <w:t xml:space="preserve">Figure </w:t>
                      </w:r>
                      <w:r w:rsidR="00C73EE5">
                        <w:fldChar w:fldCharType="begin"/>
                      </w:r>
                      <w:r w:rsidR="00C73EE5">
                        <w:instrText xml:space="preserve"> SEQ Figure \* ARABIC </w:instrText>
                      </w:r>
                      <w:r w:rsidR="00C73EE5">
                        <w:fldChar w:fldCharType="separate"/>
                      </w:r>
                      <w:r>
                        <w:rPr>
                          <w:noProof/>
                        </w:rPr>
                        <w:t>13</w:t>
                      </w:r>
                      <w:r w:rsidR="00C73EE5">
                        <w:rPr>
                          <w:noProof/>
                        </w:rPr>
                        <w:fldChar w:fldCharType="end"/>
                      </w:r>
                      <w:r>
                        <w:t xml:space="preserve"> - prévalence de l'insécurité alimentaire selon le sexe du chef de ménage</w:t>
                      </w:r>
                      <w:bookmarkEnd w:id="284"/>
                    </w:p>
                    <w:p w:rsidR="00146325" w:rsidRPr="000D21FF" w:rsidRDefault="00146325" w:rsidP="00AB5C6E">
                      <w:r w:rsidRPr="006A5E84">
                        <w:rPr>
                          <w:noProof/>
                          <w:lang w:eastAsia="fr-FR"/>
                        </w:rPr>
                        <w:drawing>
                          <wp:inline distT="0" distB="0" distL="0" distR="0">
                            <wp:extent cx="3444875" cy="2033626"/>
                            <wp:effectExtent l="0" t="0" r="3175" b="508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3963" cy="2062604"/>
                                    </a:xfrm>
                                    <a:prstGeom prst="rect">
                                      <a:avLst/>
                                    </a:prstGeom>
                                    <a:noFill/>
                                    <a:ln>
                                      <a:noFill/>
                                    </a:ln>
                                  </pic:spPr>
                                </pic:pic>
                              </a:graphicData>
                            </a:graphic>
                          </wp:inline>
                        </w:drawing>
                      </w:r>
                    </w:p>
                  </w:txbxContent>
                </v:textbox>
                <w10:wrap type="square" anchorx="margin"/>
              </v:shape>
            </w:pict>
          </mc:Fallback>
        </mc:AlternateContent>
      </w:r>
      <w:r w:rsidR="00AB5C6E" w:rsidRPr="006866D3">
        <w:rPr>
          <w:rFonts w:ascii="Nyala" w:hAnsi="Nyala"/>
          <w:sz w:val="28"/>
          <w:szCs w:val="28"/>
        </w:rPr>
        <w:t>L’insécurité alimentaire touche davantage les ménages dirigés par les femmes que ceux dirigés par les hommes (</w:t>
      </w:r>
      <w:r w:rsidR="00AB5C6E" w:rsidRPr="006866D3">
        <w:rPr>
          <w:rFonts w:ascii="Nyala" w:hAnsi="Nyala"/>
          <w:b/>
          <w:sz w:val="28"/>
          <w:szCs w:val="28"/>
        </w:rPr>
        <w:t xml:space="preserve">figure </w:t>
      </w:r>
      <w:r w:rsidR="00D24025">
        <w:rPr>
          <w:rFonts w:ascii="Nyala" w:hAnsi="Nyala"/>
          <w:b/>
          <w:sz w:val="28"/>
          <w:szCs w:val="28"/>
        </w:rPr>
        <w:t>13</w:t>
      </w:r>
      <w:r w:rsidR="00AB5C6E" w:rsidRPr="006866D3">
        <w:rPr>
          <w:rFonts w:ascii="Nyala" w:hAnsi="Nyala"/>
          <w:b/>
          <w:sz w:val="28"/>
          <w:szCs w:val="28"/>
        </w:rPr>
        <w:t>)</w:t>
      </w:r>
      <w:r w:rsidR="00AB5C6E" w:rsidRPr="006866D3">
        <w:rPr>
          <w:rFonts w:ascii="Nyala" w:hAnsi="Nyala"/>
          <w:sz w:val="28"/>
          <w:szCs w:val="28"/>
        </w:rPr>
        <w:t xml:space="preserve">  et les personnes esseulées (célibataires, veufs/veuves et divorcés) que les personnes vivant dans des ménages monogames ou polygames.  </w:t>
      </w:r>
    </w:p>
    <w:p w:rsidR="00AB5C6E" w:rsidRDefault="00AB5C6E" w:rsidP="00D75CA2">
      <w:pPr>
        <w:jc w:val="both"/>
        <w:rPr>
          <w:rFonts w:ascii="Nyala" w:hAnsi="Nyala"/>
          <w:sz w:val="28"/>
          <w:szCs w:val="28"/>
        </w:rPr>
      </w:pPr>
    </w:p>
    <w:p w:rsidR="009D7724" w:rsidRDefault="009D7724" w:rsidP="00D75CA2">
      <w:pPr>
        <w:jc w:val="both"/>
        <w:rPr>
          <w:rFonts w:ascii="Nyala" w:hAnsi="Nyala"/>
          <w:sz w:val="28"/>
          <w:szCs w:val="28"/>
        </w:rPr>
      </w:pPr>
    </w:p>
    <w:p w:rsidR="00E776FA" w:rsidRDefault="00E776FA" w:rsidP="00D75CA2">
      <w:pPr>
        <w:jc w:val="both"/>
        <w:rPr>
          <w:rFonts w:ascii="Nyala" w:hAnsi="Nyala"/>
          <w:sz w:val="28"/>
          <w:szCs w:val="28"/>
        </w:rPr>
      </w:pPr>
    </w:p>
    <w:p w:rsidR="008023C4" w:rsidRPr="009B11E1" w:rsidRDefault="00084312" w:rsidP="000500A5">
      <w:pPr>
        <w:jc w:val="both"/>
        <w:rPr>
          <w:rStyle w:val="Rfrenceintense"/>
          <w:sz w:val="28"/>
          <w:szCs w:val="28"/>
        </w:rPr>
      </w:pPr>
      <w:r w:rsidRPr="009B11E1">
        <w:rPr>
          <w:rStyle w:val="Rfrenceintense"/>
          <w:sz w:val="28"/>
          <w:szCs w:val="28"/>
        </w:rPr>
        <w:t xml:space="preserve">Prévalence Selon le type de lieu de résidence </w:t>
      </w:r>
      <w:r w:rsidR="00D24025" w:rsidRPr="009B11E1">
        <w:rPr>
          <w:rStyle w:val="Rfrenceintense"/>
          <w:sz w:val="28"/>
          <w:szCs w:val="28"/>
        </w:rPr>
        <w:t>(</w:t>
      </w:r>
      <w:r w:rsidR="008023C4" w:rsidRPr="009B11E1">
        <w:rPr>
          <w:rStyle w:val="Rfrenceintense"/>
          <w:sz w:val="28"/>
          <w:szCs w:val="28"/>
        </w:rPr>
        <w:t>villes et campagnes</w:t>
      </w:r>
      <w:r w:rsidRPr="009B11E1">
        <w:rPr>
          <w:rStyle w:val="Rfrenceintense"/>
          <w:sz w:val="28"/>
          <w:szCs w:val="28"/>
        </w:rPr>
        <w:t>)</w:t>
      </w:r>
    </w:p>
    <w:p w:rsidR="00854D53" w:rsidRDefault="00146983" w:rsidP="000500A5">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864064" behindDoc="0" locked="0" layoutInCell="1" allowOverlap="1" wp14:anchorId="5E6EE6B5">
                <wp:simplePos x="0" y="0"/>
                <wp:positionH relativeFrom="margin">
                  <wp:posOffset>2011680</wp:posOffset>
                </wp:positionH>
                <wp:positionV relativeFrom="paragraph">
                  <wp:posOffset>949960</wp:posOffset>
                </wp:positionV>
                <wp:extent cx="3576955" cy="3028315"/>
                <wp:effectExtent l="0" t="0" r="23495" b="19685"/>
                <wp:wrapSquare wrapText="bothSides"/>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6955" cy="3028315"/>
                        </a:xfrm>
                        <a:prstGeom prst="rect">
                          <a:avLst/>
                        </a:prstGeom>
                        <a:noFill/>
                        <a:ln w="6350">
                          <a:solidFill>
                            <a:prstClr val="black"/>
                          </a:solidFill>
                        </a:ln>
                        <a:effectLst/>
                      </wps:spPr>
                      <wps:txbx>
                        <w:txbxContent>
                          <w:p w:rsidR="00146325" w:rsidRDefault="00146325" w:rsidP="00D7361C">
                            <w:pPr>
                              <w:pStyle w:val="Lgende"/>
                              <w:keepNext/>
                              <w:jc w:val="both"/>
                            </w:pPr>
                            <w:bookmarkStart w:id="285" w:name="_Toc526120080"/>
                            <w:r>
                              <w:t xml:space="preserve">Figure </w:t>
                            </w:r>
                            <w:r w:rsidR="00C73EE5">
                              <w:fldChar w:fldCharType="begin"/>
                            </w:r>
                            <w:r w:rsidR="00C73EE5">
                              <w:instrText xml:space="preserve"> SEQ Figure \* ARABIC </w:instrText>
                            </w:r>
                            <w:r w:rsidR="00C73EE5">
                              <w:fldChar w:fldCharType="separate"/>
                            </w:r>
                            <w:r>
                              <w:rPr>
                                <w:noProof/>
                              </w:rPr>
                              <w:t>14</w:t>
                            </w:r>
                            <w:r w:rsidR="00C73EE5">
                              <w:rPr>
                                <w:noProof/>
                              </w:rPr>
                              <w:fldChar w:fldCharType="end"/>
                            </w:r>
                            <w:r>
                              <w:t xml:space="preserve"> - comparaison de la prévalence de l'insécurité alimentaire selon le milieu de résidence</w:t>
                            </w:r>
                            <w:bookmarkEnd w:id="285"/>
                          </w:p>
                          <w:p w:rsidR="00146325" w:rsidRDefault="00146325" w:rsidP="00F72482">
                            <w:pPr>
                              <w:tabs>
                                <w:tab w:val="left" w:pos="1064"/>
                              </w:tabs>
                              <w:jc w:val="both"/>
                            </w:pPr>
                            <w:r w:rsidRPr="005C3EEA">
                              <w:rPr>
                                <w:noProof/>
                                <w:lang w:eastAsia="fr-FR"/>
                              </w:rPr>
                              <w:drawing>
                                <wp:inline distT="0" distB="0" distL="0" distR="0">
                                  <wp:extent cx="3482951" cy="2077517"/>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01717" cy="2088710"/>
                                          </a:xfrm>
                                          <a:prstGeom prst="rect">
                                            <a:avLst/>
                                          </a:prstGeom>
                                          <a:noFill/>
                                          <a:ln>
                                            <a:noFill/>
                                          </a:ln>
                                        </pic:spPr>
                                      </pic:pic>
                                    </a:graphicData>
                                  </a:graphic>
                                </wp:inline>
                              </w:drawing>
                            </w:r>
                          </w:p>
                          <w:p w:rsidR="00146325" w:rsidRPr="005F7DC0" w:rsidRDefault="00146325" w:rsidP="00F72482">
                            <w:pPr>
                              <w:tabs>
                                <w:tab w:val="left" w:pos="1064"/>
                              </w:tabs>
                              <w:spacing w:before="0" w:after="0" w:line="240" w:lineRule="auto"/>
                              <w:jc w:val="both"/>
                              <w:rPr>
                                <w:sz w:val="16"/>
                                <w:szCs w:val="16"/>
                              </w:rPr>
                            </w:pPr>
                            <w:r w:rsidRPr="005F7DC0">
                              <w:rPr>
                                <w:sz w:val="16"/>
                                <w:szCs w:val="16"/>
                              </w:rPr>
                              <w:t>Source :</w:t>
                            </w:r>
                            <w:r>
                              <w:rPr>
                                <w:sz w:val="16"/>
                                <w:szCs w:val="16"/>
                              </w:rPr>
                              <w:t xml:space="preserve"> INS (profil pauvreté </w:t>
                            </w:r>
                            <w:r w:rsidRPr="005F7DC0">
                              <w:rPr>
                                <w:sz w:val="16"/>
                                <w:szCs w:val="16"/>
                              </w:rPr>
                              <w:t>2011 &amp;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6EE6B5" id="Zone de texte 45" o:spid="_x0000_s1043" type="#_x0000_t202" style="position:absolute;left:0;text-align:left;margin-left:158.4pt;margin-top:74.8pt;width:281.65pt;height:238.4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" filled="f" strokeweight=".5pt">
                <v:path arrowok="t"/>
                <v:textbox>
                  <w:txbxContent>
                    <w:p w:rsidR="00146325" w:rsidRDefault="00146325" w:rsidP="00D7361C">
                      <w:pPr>
                        <w:pStyle w:val="Lgende"/>
                        <w:keepNext/>
                        <w:jc w:val="both"/>
                      </w:pPr>
                      <w:bookmarkStart w:id="286" w:name="_Toc526120080"/>
                      <w:r>
                        <w:t xml:space="preserve">Figure </w:t>
                      </w:r>
                      <w:r w:rsidR="00C73EE5">
                        <w:fldChar w:fldCharType="begin"/>
                      </w:r>
                      <w:r w:rsidR="00C73EE5">
                        <w:instrText xml:space="preserve"> SEQ Figure \* ARABIC </w:instrText>
                      </w:r>
                      <w:r w:rsidR="00C73EE5">
                        <w:fldChar w:fldCharType="separate"/>
                      </w:r>
                      <w:r>
                        <w:rPr>
                          <w:noProof/>
                        </w:rPr>
                        <w:t>14</w:t>
                      </w:r>
                      <w:r w:rsidR="00C73EE5">
                        <w:rPr>
                          <w:noProof/>
                        </w:rPr>
                        <w:fldChar w:fldCharType="end"/>
                      </w:r>
                      <w:r>
                        <w:t xml:space="preserve"> - comparaison de la prévalence de l'insécurité alimentaire selon le milieu de résidence</w:t>
                      </w:r>
                      <w:bookmarkEnd w:id="286"/>
                    </w:p>
                    <w:p w:rsidR="00146325" w:rsidRDefault="00146325" w:rsidP="00F72482">
                      <w:pPr>
                        <w:tabs>
                          <w:tab w:val="left" w:pos="1064"/>
                        </w:tabs>
                        <w:jc w:val="both"/>
                      </w:pPr>
                      <w:r w:rsidRPr="005C3EEA">
                        <w:rPr>
                          <w:noProof/>
                          <w:lang w:eastAsia="fr-FR"/>
                        </w:rPr>
                        <w:drawing>
                          <wp:inline distT="0" distB="0" distL="0" distR="0">
                            <wp:extent cx="3482951" cy="2077517"/>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01717" cy="2088710"/>
                                    </a:xfrm>
                                    <a:prstGeom prst="rect">
                                      <a:avLst/>
                                    </a:prstGeom>
                                    <a:noFill/>
                                    <a:ln>
                                      <a:noFill/>
                                    </a:ln>
                                  </pic:spPr>
                                </pic:pic>
                              </a:graphicData>
                            </a:graphic>
                          </wp:inline>
                        </w:drawing>
                      </w:r>
                    </w:p>
                    <w:p w:rsidR="00146325" w:rsidRPr="005F7DC0" w:rsidRDefault="00146325" w:rsidP="00F72482">
                      <w:pPr>
                        <w:tabs>
                          <w:tab w:val="left" w:pos="1064"/>
                        </w:tabs>
                        <w:spacing w:before="0" w:after="0" w:line="240" w:lineRule="auto"/>
                        <w:jc w:val="both"/>
                        <w:rPr>
                          <w:sz w:val="16"/>
                          <w:szCs w:val="16"/>
                        </w:rPr>
                      </w:pPr>
                      <w:r w:rsidRPr="005F7DC0">
                        <w:rPr>
                          <w:sz w:val="16"/>
                          <w:szCs w:val="16"/>
                        </w:rPr>
                        <w:t>Source :</w:t>
                      </w:r>
                      <w:r>
                        <w:rPr>
                          <w:sz w:val="16"/>
                          <w:szCs w:val="16"/>
                        </w:rPr>
                        <w:t xml:space="preserve"> INS (profil pauvreté </w:t>
                      </w:r>
                      <w:r w:rsidRPr="005F7DC0">
                        <w:rPr>
                          <w:sz w:val="16"/>
                          <w:szCs w:val="16"/>
                        </w:rPr>
                        <w:t>2011 &amp; 2014)</w:t>
                      </w:r>
                    </w:p>
                  </w:txbxContent>
                </v:textbox>
                <w10:wrap type="square" anchorx="margin"/>
              </v:shape>
            </w:pict>
          </mc:Fallback>
        </mc:AlternateContent>
      </w:r>
      <w:r w:rsidR="00CC17FD" w:rsidRPr="006866D3">
        <w:rPr>
          <w:rFonts w:ascii="Nyala" w:hAnsi="Nyala"/>
          <w:sz w:val="28"/>
          <w:szCs w:val="28"/>
        </w:rPr>
        <w:t xml:space="preserve">Lors des </w:t>
      </w:r>
      <w:r w:rsidR="000821B5" w:rsidRPr="006866D3">
        <w:rPr>
          <w:rFonts w:ascii="Nyala" w:hAnsi="Nyala"/>
          <w:sz w:val="28"/>
          <w:szCs w:val="28"/>
        </w:rPr>
        <w:t>enquêtes quadr</w:t>
      </w:r>
      <w:r w:rsidR="0019322B" w:rsidRPr="006866D3">
        <w:rPr>
          <w:rFonts w:ascii="Nyala" w:hAnsi="Nyala"/>
          <w:sz w:val="28"/>
          <w:szCs w:val="28"/>
        </w:rPr>
        <w:t>iennales</w:t>
      </w:r>
      <w:r w:rsidR="00AB4ACF">
        <w:rPr>
          <w:rFonts w:ascii="Nyala" w:hAnsi="Nyala"/>
          <w:sz w:val="28"/>
          <w:szCs w:val="28"/>
        </w:rPr>
        <w:t xml:space="preserve">de l’INS </w:t>
      </w:r>
      <w:r w:rsidR="00CC17FD" w:rsidRPr="006866D3">
        <w:rPr>
          <w:rFonts w:ascii="Nyala" w:hAnsi="Nyala"/>
          <w:sz w:val="28"/>
          <w:szCs w:val="28"/>
        </w:rPr>
        <w:t>(profil de pauvreté)</w:t>
      </w:r>
      <w:r w:rsidR="0019322B" w:rsidRPr="006866D3">
        <w:rPr>
          <w:rFonts w:ascii="Nyala" w:hAnsi="Nyala"/>
          <w:sz w:val="28"/>
          <w:szCs w:val="28"/>
        </w:rPr>
        <w:t xml:space="preserve">les ménages </w:t>
      </w:r>
      <w:r w:rsidR="000821B5" w:rsidRPr="006866D3">
        <w:rPr>
          <w:rFonts w:ascii="Nyala" w:hAnsi="Nyala"/>
          <w:sz w:val="28"/>
          <w:szCs w:val="28"/>
        </w:rPr>
        <w:t xml:space="preserve">sont </w:t>
      </w:r>
      <w:r w:rsidR="0019322B" w:rsidRPr="006866D3">
        <w:rPr>
          <w:rFonts w:ascii="Nyala" w:hAnsi="Nyala"/>
          <w:sz w:val="28"/>
          <w:szCs w:val="28"/>
        </w:rPr>
        <w:t>interrogés</w:t>
      </w:r>
      <w:r w:rsidR="000821B5" w:rsidRPr="006866D3">
        <w:rPr>
          <w:rFonts w:ascii="Nyala" w:hAnsi="Nyala"/>
          <w:sz w:val="28"/>
          <w:szCs w:val="28"/>
        </w:rPr>
        <w:t xml:space="preserve"> en deux périodes distinctes de l’année</w:t>
      </w:r>
      <w:r w:rsidR="00CC17FD" w:rsidRPr="006866D3">
        <w:rPr>
          <w:rFonts w:ascii="Nyala" w:hAnsi="Nyala"/>
          <w:sz w:val="28"/>
          <w:szCs w:val="28"/>
        </w:rPr>
        <w:t> ;</w:t>
      </w:r>
      <w:r w:rsidR="000821B5" w:rsidRPr="006866D3">
        <w:rPr>
          <w:rFonts w:ascii="Nyala" w:hAnsi="Nyala"/>
          <w:sz w:val="28"/>
          <w:szCs w:val="28"/>
        </w:rPr>
        <w:t xml:space="preserve"> ce qui permet de déterminer les ménages qui </w:t>
      </w:r>
      <w:r w:rsidR="00AB4ACF">
        <w:rPr>
          <w:rFonts w:ascii="Nyala" w:hAnsi="Nyala"/>
          <w:sz w:val="28"/>
          <w:szCs w:val="28"/>
        </w:rPr>
        <w:t xml:space="preserve">sont </w:t>
      </w:r>
      <w:r w:rsidR="00CC17FD" w:rsidRPr="006866D3">
        <w:rPr>
          <w:rFonts w:ascii="Nyala" w:hAnsi="Nyala"/>
          <w:sz w:val="28"/>
          <w:szCs w:val="28"/>
        </w:rPr>
        <w:t xml:space="preserve">chroniquement en </w:t>
      </w:r>
      <w:r w:rsidR="008023C4" w:rsidRPr="006866D3">
        <w:rPr>
          <w:rFonts w:ascii="Nyala" w:hAnsi="Nyala"/>
          <w:sz w:val="28"/>
          <w:szCs w:val="28"/>
        </w:rPr>
        <w:t xml:space="preserve">insécurité alimentaire modéré (IAM) et en insécurité alimentaire sévère (IAS). </w:t>
      </w:r>
    </w:p>
    <w:p w:rsidR="002949A8" w:rsidRDefault="008023C4" w:rsidP="000500A5">
      <w:pPr>
        <w:jc w:val="both"/>
        <w:rPr>
          <w:rFonts w:ascii="Nyala" w:hAnsi="Nyala"/>
          <w:sz w:val="28"/>
          <w:szCs w:val="28"/>
        </w:rPr>
      </w:pPr>
      <w:r>
        <w:rPr>
          <w:rFonts w:ascii="Nyala" w:hAnsi="Nyala"/>
          <w:sz w:val="28"/>
          <w:szCs w:val="28"/>
        </w:rPr>
        <w:t>C</w:t>
      </w:r>
      <w:r w:rsidR="00CC17FD" w:rsidRPr="006866D3">
        <w:rPr>
          <w:rFonts w:ascii="Nyala" w:hAnsi="Nyala"/>
          <w:sz w:val="28"/>
          <w:szCs w:val="28"/>
        </w:rPr>
        <w:t xml:space="preserve">es </w:t>
      </w:r>
      <w:r w:rsidR="0019322B" w:rsidRPr="006866D3">
        <w:rPr>
          <w:rFonts w:ascii="Nyala" w:hAnsi="Nyala"/>
          <w:sz w:val="28"/>
          <w:szCs w:val="28"/>
        </w:rPr>
        <w:t xml:space="preserve">enquêtes font ressortir une augmentation de la proportion de ménages ruraux en IAM chronique </w:t>
      </w:r>
      <w:r w:rsidR="00CC17FD" w:rsidRPr="006866D3">
        <w:rPr>
          <w:rFonts w:ascii="Nyala" w:hAnsi="Nyala"/>
          <w:sz w:val="28"/>
          <w:szCs w:val="28"/>
        </w:rPr>
        <w:t xml:space="preserve">de </w:t>
      </w:r>
      <w:r w:rsidR="0019322B" w:rsidRPr="006866D3">
        <w:rPr>
          <w:rFonts w:ascii="Nyala" w:hAnsi="Nyala"/>
          <w:sz w:val="28"/>
          <w:szCs w:val="28"/>
        </w:rPr>
        <w:t>29% à 32,4% et ce</w:t>
      </w:r>
      <w:r w:rsidR="00CC17FD" w:rsidRPr="006866D3">
        <w:rPr>
          <w:rFonts w:ascii="Nyala" w:hAnsi="Nyala"/>
          <w:sz w:val="28"/>
          <w:szCs w:val="28"/>
        </w:rPr>
        <w:t xml:space="preserve">ux en IAS </w:t>
      </w:r>
      <w:r w:rsidR="0019322B" w:rsidRPr="006866D3">
        <w:rPr>
          <w:rFonts w:ascii="Nyala" w:hAnsi="Nyala"/>
          <w:sz w:val="28"/>
          <w:szCs w:val="28"/>
        </w:rPr>
        <w:t>chronique de 12,3% à 19,4%</w:t>
      </w:r>
      <w:r w:rsidR="00E63BCE" w:rsidRPr="006866D3">
        <w:rPr>
          <w:rFonts w:ascii="Nyala" w:hAnsi="Nyala"/>
          <w:sz w:val="28"/>
          <w:szCs w:val="28"/>
        </w:rPr>
        <w:t xml:space="preserve"> (</w:t>
      </w:r>
      <w:r w:rsidR="00E63BCE" w:rsidRPr="006866D3">
        <w:rPr>
          <w:rFonts w:ascii="Nyala" w:hAnsi="Nyala"/>
          <w:b/>
          <w:sz w:val="28"/>
          <w:szCs w:val="28"/>
        </w:rPr>
        <w:t xml:space="preserve">figure </w:t>
      </w:r>
      <w:r w:rsidR="00D24025">
        <w:rPr>
          <w:rFonts w:ascii="Nyala" w:hAnsi="Nyala"/>
          <w:b/>
          <w:sz w:val="28"/>
          <w:szCs w:val="28"/>
        </w:rPr>
        <w:t>14</w:t>
      </w:r>
      <w:r w:rsidR="00E63BCE" w:rsidRPr="006866D3">
        <w:rPr>
          <w:rFonts w:ascii="Nyala" w:hAnsi="Nyala"/>
          <w:sz w:val="28"/>
          <w:szCs w:val="28"/>
        </w:rPr>
        <w:t>)</w:t>
      </w:r>
      <w:r w:rsidR="0019322B" w:rsidRPr="006866D3">
        <w:rPr>
          <w:rFonts w:ascii="Nyala" w:hAnsi="Nyala"/>
          <w:sz w:val="28"/>
          <w:szCs w:val="28"/>
        </w:rPr>
        <w:t xml:space="preserve">. </w:t>
      </w:r>
    </w:p>
    <w:p w:rsidR="00267138" w:rsidRDefault="0019322B" w:rsidP="000500A5">
      <w:pPr>
        <w:jc w:val="both"/>
        <w:rPr>
          <w:rFonts w:ascii="Nyala" w:hAnsi="Nyala"/>
          <w:sz w:val="28"/>
          <w:szCs w:val="28"/>
        </w:rPr>
      </w:pPr>
      <w:r w:rsidRPr="006866D3">
        <w:rPr>
          <w:rFonts w:ascii="Nyala" w:hAnsi="Nyala"/>
          <w:sz w:val="28"/>
          <w:szCs w:val="28"/>
        </w:rPr>
        <w:t xml:space="preserve">Les ménages </w:t>
      </w:r>
      <w:r w:rsidR="00CC17FD" w:rsidRPr="006866D3">
        <w:rPr>
          <w:rFonts w:ascii="Nyala" w:hAnsi="Nyala"/>
          <w:sz w:val="28"/>
          <w:szCs w:val="28"/>
        </w:rPr>
        <w:t xml:space="preserve">urbains </w:t>
      </w:r>
      <w:r w:rsidRPr="006866D3">
        <w:rPr>
          <w:rFonts w:ascii="Nyala" w:hAnsi="Nyala"/>
          <w:sz w:val="28"/>
          <w:szCs w:val="28"/>
        </w:rPr>
        <w:t xml:space="preserve">sont </w:t>
      </w:r>
      <w:r w:rsidR="00CC17FD" w:rsidRPr="006866D3">
        <w:rPr>
          <w:rFonts w:ascii="Nyala" w:hAnsi="Nyala"/>
          <w:sz w:val="28"/>
          <w:szCs w:val="28"/>
        </w:rPr>
        <w:t xml:space="preserve">relativement </w:t>
      </w:r>
      <w:r w:rsidRPr="006866D3">
        <w:rPr>
          <w:rFonts w:ascii="Nyala" w:hAnsi="Nyala"/>
          <w:sz w:val="28"/>
          <w:szCs w:val="28"/>
        </w:rPr>
        <w:t xml:space="preserve">moins </w:t>
      </w:r>
      <w:r w:rsidR="00267138" w:rsidRPr="006866D3">
        <w:rPr>
          <w:rFonts w:ascii="Nyala" w:hAnsi="Nyala"/>
          <w:sz w:val="28"/>
          <w:szCs w:val="28"/>
        </w:rPr>
        <w:t>touchés</w:t>
      </w:r>
      <w:r w:rsidR="00CC17FD" w:rsidRPr="006866D3">
        <w:rPr>
          <w:rFonts w:ascii="Nyala" w:hAnsi="Nyala"/>
          <w:sz w:val="28"/>
          <w:szCs w:val="28"/>
        </w:rPr>
        <w:t xml:space="preserve"> ; </w:t>
      </w:r>
      <w:r w:rsidRPr="006866D3">
        <w:rPr>
          <w:rFonts w:ascii="Nyala" w:hAnsi="Nyala"/>
          <w:sz w:val="28"/>
          <w:szCs w:val="28"/>
        </w:rPr>
        <w:t>mais les proportions restent relativement élevées</w:t>
      </w:r>
      <w:r w:rsidR="00CC17FD" w:rsidRPr="006866D3">
        <w:rPr>
          <w:rFonts w:ascii="Nyala" w:hAnsi="Nyala"/>
          <w:sz w:val="28"/>
          <w:szCs w:val="28"/>
        </w:rPr>
        <w:t xml:space="preserve"> ; </w:t>
      </w:r>
      <w:r w:rsidR="006E74AA">
        <w:rPr>
          <w:rFonts w:ascii="Nyala" w:hAnsi="Nyala"/>
          <w:sz w:val="28"/>
          <w:szCs w:val="28"/>
        </w:rPr>
        <w:t>e</w:t>
      </w:r>
      <w:r w:rsidR="006E74AA" w:rsidRPr="006866D3">
        <w:rPr>
          <w:rFonts w:ascii="Nyala" w:hAnsi="Nyala"/>
          <w:sz w:val="28"/>
          <w:szCs w:val="28"/>
        </w:rPr>
        <w:t xml:space="preserve">n </w:t>
      </w:r>
      <w:r w:rsidR="00267138" w:rsidRPr="006866D3">
        <w:rPr>
          <w:rFonts w:ascii="Nyala" w:hAnsi="Nyala"/>
          <w:sz w:val="28"/>
          <w:szCs w:val="28"/>
        </w:rPr>
        <w:t xml:space="preserve">2014, </w:t>
      </w:r>
      <w:r w:rsidR="00F72482" w:rsidRPr="006866D3">
        <w:rPr>
          <w:rFonts w:ascii="Nyala" w:hAnsi="Nyala"/>
          <w:sz w:val="28"/>
          <w:szCs w:val="28"/>
        </w:rPr>
        <w:t xml:space="preserve">1 </w:t>
      </w:r>
      <w:r w:rsidR="00267138" w:rsidRPr="006866D3">
        <w:rPr>
          <w:rFonts w:ascii="Nyala" w:hAnsi="Nyala"/>
          <w:sz w:val="28"/>
          <w:szCs w:val="28"/>
        </w:rPr>
        <w:t xml:space="preserve">ménage </w:t>
      </w:r>
      <w:r w:rsidR="00C739AF">
        <w:rPr>
          <w:rFonts w:ascii="Nyala" w:hAnsi="Nyala"/>
          <w:sz w:val="28"/>
          <w:szCs w:val="28"/>
        </w:rPr>
        <w:t>urbain</w:t>
      </w:r>
      <w:r w:rsidR="00F72482" w:rsidRPr="006866D3">
        <w:rPr>
          <w:rFonts w:ascii="Nyala" w:hAnsi="Nyala"/>
          <w:sz w:val="28"/>
          <w:szCs w:val="28"/>
        </w:rPr>
        <w:t>sur 7 et 1 rural sur 5 étaient en IAS chronique</w:t>
      </w:r>
      <w:r w:rsidR="00E63BCE" w:rsidRPr="006866D3">
        <w:rPr>
          <w:rFonts w:ascii="Nyala" w:hAnsi="Nyala"/>
          <w:sz w:val="28"/>
          <w:szCs w:val="28"/>
        </w:rPr>
        <w:t>.</w:t>
      </w:r>
    </w:p>
    <w:p w:rsidR="009D7724" w:rsidRDefault="009D7724" w:rsidP="000500A5">
      <w:pPr>
        <w:jc w:val="both"/>
        <w:rPr>
          <w:rFonts w:ascii="Nyala" w:hAnsi="Nyala"/>
          <w:sz w:val="28"/>
          <w:szCs w:val="28"/>
        </w:rPr>
      </w:pPr>
    </w:p>
    <w:p w:rsidR="009D7724" w:rsidRDefault="009D7724" w:rsidP="000500A5">
      <w:pPr>
        <w:jc w:val="both"/>
        <w:rPr>
          <w:rFonts w:ascii="Nyala" w:hAnsi="Nyala"/>
          <w:sz w:val="28"/>
          <w:szCs w:val="28"/>
        </w:rPr>
      </w:pPr>
    </w:p>
    <w:p w:rsidR="009D7724" w:rsidRDefault="009D7724" w:rsidP="000500A5">
      <w:pPr>
        <w:jc w:val="both"/>
        <w:rPr>
          <w:rFonts w:ascii="Nyala" w:hAnsi="Nyala"/>
          <w:sz w:val="28"/>
          <w:szCs w:val="28"/>
        </w:rPr>
      </w:pPr>
    </w:p>
    <w:p w:rsidR="00084312" w:rsidRPr="002949A8" w:rsidRDefault="00084312" w:rsidP="000500A5">
      <w:pPr>
        <w:jc w:val="both"/>
        <w:rPr>
          <w:rStyle w:val="Rfrenceintense"/>
          <w:sz w:val="28"/>
          <w:szCs w:val="28"/>
        </w:rPr>
      </w:pPr>
      <w:r w:rsidRPr="002949A8">
        <w:rPr>
          <w:rStyle w:val="Rfrenceintense"/>
          <w:sz w:val="28"/>
          <w:szCs w:val="28"/>
        </w:rPr>
        <w:t>Prévalence selon la région de résidence</w:t>
      </w:r>
    </w:p>
    <w:p w:rsidR="00FA3640" w:rsidRPr="006866D3" w:rsidRDefault="00146983" w:rsidP="000500A5">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892736" behindDoc="0" locked="0" layoutInCell="1" allowOverlap="1" wp14:anchorId="74F4A3A6">
                <wp:simplePos x="0" y="0"/>
                <wp:positionH relativeFrom="margin">
                  <wp:posOffset>2014220</wp:posOffset>
                </wp:positionH>
                <wp:positionV relativeFrom="paragraph">
                  <wp:posOffset>300355</wp:posOffset>
                </wp:positionV>
                <wp:extent cx="4438015" cy="2839085"/>
                <wp:effectExtent l="0" t="0" r="13335" b="10160"/>
                <wp:wrapSquare wrapText="bothSides"/>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015" cy="2839085"/>
                        </a:xfrm>
                        <a:prstGeom prst="rect">
                          <a:avLst/>
                        </a:prstGeom>
                        <a:noFill/>
                        <a:ln w="6350">
                          <a:solidFill>
                            <a:prstClr val="black"/>
                          </a:solidFill>
                        </a:ln>
                        <a:effectLst/>
                      </wps:spPr>
                      <wps:txbx>
                        <w:txbxContent>
                          <w:p w:rsidR="00146325" w:rsidRDefault="00146325" w:rsidP="00FA3640">
                            <w:pPr>
                              <w:pStyle w:val="Lgende"/>
                              <w:keepNext/>
                              <w:jc w:val="both"/>
                            </w:pPr>
                            <w:bookmarkStart w:id="287" w:name="_Toc526120081"/>
                            <w:r>
                              <w:t xml:space="preserve">Figure </w:t>
                            </w:r>
                            <w:r w:rsidR="00C73EE5">
                              <w:fldChar w:fldCharType="begin"/>
                            </w:r>
                            <w:r w:rsidR="00C73EE5">
                              <w:instrText xml:space="preserve"> SEQ Figure \* ARABIC </w:instrText>
                            </w:r>
                            <w:r w:rsidR="00C73EE5">
                              <w:fldChar w:fldCharType="separate"/>
                            </w:r>
                            <w:r>
                              <w:rPr>
                                <w:noProof/>
                              </w:rPr>
                              <w:t>15</w:t>
                            </w:r>
                            <w:r w:rsidR="00C73EE5">
                              <w:rPr>
                                <w:noProof/>
                              </w:rPr>
                              <w:fldChar w:fldCharType="end"/>
                            </w:r>
                            <w:r>
                              <w:t xml:space="preserve"> – Prévalence de l’insécurité alimentaire selon les régions du Niger</w:t>
                            </w:r>
                            <w:bookmarkEnd w:id="287"/>
                          </w:p>
                          <w:p w:rsidR="00146325" w:rsidRDefault="00146325" w:rsidP="00FA3640">
                            <w:pPr>
                              <w:jc w:val="both"/>
                            </w:pPr>
                            <w:r w:rsidRPr="00E407C2">
                              <w:rPr>
                                <w:noProof/>
                                <w:lang w:eastAsia="fr-FR"/>
                              </w:rPr>
                              <w:drawing>
                                <wp:inline distT="0" distB="0" distL="0" distR="0">
                                  <wp:extent cx="3512539" cy="1761232"/>
                                  <wp:effectExtent l="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0149" cy="1775076"/>
                                          </a:xfrm>
                                          <a:prstGeom prst="rect">
                                            <a:avLst/>
                                          </a:prstGeom>
                                          <a:noFill/>
                                          <a:ln>
                                            <a:noFill/>
                                          </a:ln>
                                        </pic:spPr>
                                      </pic:pic>
                                    </a:graphicData>
                                  </a:graphic>
                                </wp:inline>
                              </w:drawing>
                            </w:r>
                          </w:p>
                          <w:p w:rsidR="00146325" w:rsidRPr="00CB118D" w:rsidRDefault="00146325" w:rsidP="00FA3640">
                            <w:pPr>
                              <w:spacing w:before="0" w:after="0" w:line="240" w:lineRule="auto"/>
                              <w:jc w:val="both"/>
                              <w:rPr>
                                <w:sz w:val="16"/>
                                <w:szCs w:val="16"/>
                              </w:rPr>
                            </w:pPr>
                            <w:r w:rsidRPr="00CB118D">
                              <w:rPr>
                                <w:sz w:val="16"/>
                                <w:szCs w:val="16"/>
                              </w:rPr>
                              <w:t>Source : SAP-INS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4F4A3A6" id="Zone de texte 97" o:spid="_x0000_s1044" type="#_x0000_t202" style="position:absolute;left:0;text-align:left;margin-left:158.6pt;margin-top:23.65pt;width:349.45pt;height:223.55pt;z-index:2518927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" filled="f" strokeweight=".5pt">
                <v:path arrowok="t"/>
                <v:textbox style="mso-fit-shape-to-text:t">
                  <w:txbxContent>
                    <w:p w:rsidR="00146325" w:rsidRDefault="00146325" w:rsidP="00FA3640">
                      <w:pPr>
                        <w:pStyle w:val="Lgende"/>
                        <w:keepNext/>
                        <w:jc w:val="both"/>
                      </w:pPr>
                      <w:bookmarkStart w:id="288" w:name="_Toc526120081"/>
                      <w:r>
                        <w:t xml:space="preserve">Figure </w:t>
                      </w:r>
                      <w:r w:rsidR="00C73EE5">
                        <w:fldChar w:fldCharType="begin"/>
                      </w:r>
                      <w:r w:rsidR="00C73EE5">
                        <w:instrText xml:space="preserve"> SEQ Figure \* ARABIC </w:instrText>
                      </w:r>
                      <w:r w:rsidR="00C73EE5">
                        <w:fldChar w:fldCharType="separate"/>
                      </w:r>
                      <w:r>
                        <w:rPr>
                          <w:noProof/>
                        </w:rPr>
                        <w:t>15</w:t>
                      </w:r>
                      <w:r w:rsidR="00C73EE5">
                        <w:rPr>
                          <w:noProof/>
                        </w:rPr>
                        <w:fldChar w:fldCharType="end"/>
                      </w:r>
                      <w:r>
                        <w:t xml:space="preserve"> – Prévalence de l’insécurité alimentaire selon les régions du Niger</w:t>
                      </w:r>
                      <w:bookmarkEnd w:id="288"/>
                    </w:p>
                    <w:p w:rsidR="00146325" w:rsidRDefault="00146325" w:rsidP="00FA3640">
                      <w:pPr>
                        <w:jc w:val="both"/>
                      </w:pPr>
                      <w:r w:rsidRPr="00E407C2">
                        <w:rPr>
                          <w:noProof/>
                          <w:lang w:eastAsia="fr-FR"/>
                        </w:rPr>
                        <w:drawing>
                          <wp:inline distT="0" distB="0" distL="0" distR="0">
                            <wp:extent cx="3512539" cy="1761232"/>
                            <wp:effectExtent l="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0149" cy="1775076"/>
                                    </a:xfrm>
                                    <a:prstGeom prst="rect">
                                      <a:avLst/>
                                    </a:prstGeom>
                                    <a:noFill/>
                                    <a:ln>
                                      <a:noFill/>
                                    </a:ln>
                                  </pic:spPr>
                                </pic:pic>
                              </a:graphicData>
                            </a:graphic>
                          </wp:inline>
                        </w:drawing>
                      </w:r>
                    </w:p>
                    <w:p w:rsidR="00146325" w:rsidRPr="00CB118D" w:rsidRDefault="00146325" w:rsidP="00FA3640">
                      <w:pPr>
                        <w:spacing w:before="0" w:after="0" w:line="240" w:lineRule="auto"/>
                        <w:jc w:val="both"/>
                        <w:rPr>
                          <w:sz w:val="16"/>
                          <w:szCs w:val="16"/>
                        </w:rPr>
                      </w:pPr>
                      <w:r w:rsidRPr="00CB118D">
                        <w:rPr>
                          <w:sz w:val="16"/>
                          <w:szCs w:val="16"/>
                        </w:rPr>
                        <w:t>Source : SAP-INS</w:t>
                      </w:r>
                    </w:p>
                  </w:txbxContent>
                </v:textbox>
                <w10:wrap type="square" anchorx="margin"/>
              </v:shape>
            </w:pict>
          </mc:Fallback>
        </mc:AlternateContent>
      </w:r>
      <w:r w:rsidR="00F049CE">
        <w:rPr>
          <w:rFonts w:ascii="Nyala" w:hAnsi="Nyala"/>
          <w:sz w:val="28"/>
          <w:szCs w:val="28"/>
        </w:rPr>
        <w:t xml:space="preserve">La prévalence de l’insécurité alimentaire est variable d’une année à l’autre pour une même région. Pour l’année 2016, </w:t>
      </w:r>
      <w:r w:rsidR="00FA3640" w:rsidRPr="006866D3">
        <w:rPr>
          <w:rFonts w:ascii="Nyala" w:hAnsi="Nyala"/>
          <w:sz w:val="28"/>
          <w:szCs w:val="28"/>
        </w:rPr>
        <w:t xml:space="preserve">les huit régions du pays peuvent être regroupées en 3 catégories : </w:t>
      </w:r>
      <w:r w:rsidR="002C067C" w:rsidRPr="006866D3">
        <w:rPr>
          <w:rFonts w:ascii="Nyala" w:hAnsi="Nyala"/>
          <w:sz w:val="28"/>
          <w:szCs w:val="28"/>
        </w:rPr>
        <w:t xml:space="preserve">a) </w:t>
      </w:r>
      <w:r w:rsidR="00FA3640" w:rsidRPr="006866D3">
        <w:rPr>
          <w:rFonts w:ascii="Nyala" w:hAnsi="Nyala"/>
          <w:sz w:val="28"/>
          <w:szCs w:val="28"/>
        </w:rPr>
        <w:t xml:space="preserve">moins de 50% de la population régionale en sécurité alimentaire : Tahoua; </w:t>
      </w:r>
      <w:r w:rsidR="002C067C" w:rsidRPr="006866D3">
        <w:rPr>
          <w:rFonts w:ascii="Nyala" w:hAnsi="Nyala"/>
          <w:sz w:val="28"/>
          <w:szCs w:val="28"/>
        </w:rPr>
        <w:t xml:space="preserve">b) </w:t>
      </w:r>
      <w:r w:rsidR="00FA3640" w:rsidRPr="006866D3">
        <w:rPr>
          <w:rFonts w:ascii="Nyala" w:hAnsi="Nyala"/>
          <w:sz w:val="28"/>
          <w:szCs w:val="28"/>
        </w:rPr>
        <w:t>entre la moitié et moins des deux tiers en sécurité alimentaire : Tillabéry, Diffa et Agadez</w:t>
      </w:r>
      <w:r w:rsidR="002C067C" w:rsidRPr="006866D3">
        <w:rPr>
          <w:rFonts w:ascii="Nyala" w:hAnsi="Nyala"/>
          <w:sz w:val="28"/>
          <w:szCs w:val="28"/>
        </w:rPr>
        <w:t xml:space="preserve"> ; c) </w:t>
      </w:r>
      <w:r w:rsidR="00FA3640" w:rsidRPr="006866D3">
        <w:rPr>
          <w:rFonts w:ascii="Nyala" w:hAnsi="Nyala"/>
          <w:sz w:val="28"/>
          <w:szCs w:val="28"/>
        </w:rPr>
        <w:t>plus des deux tiers en sécurité alimentaire : Zinder, Dosso, Niamey et Maradi</w:t>
      </w:r>
      <w:r w:rsidR="00AE18D5" w:rsidRPr="006866D3">
        <w:rPr>
          <w:rFonts w:ascii="Nyala" w:hAnsi="Nyala"/>
          <w:b/>
          <w:sz w:val="28"/>
          <w:szCs w:val="28"/>
        </w:rPr>
        <w:t>(</w:t>
      </w:r>
      <w:r w:rsidR="008A1883" w:rsidRPr="006866D3">
        <w:rPr>
          <w:rFonts w:ascii="Nyala" w:hAnsi="Nyala"/>
          <w:b/>
          <w:sz w:val="28"/>
          <w:szCs w:val="28"/>
        </w:rPr>
        <w:t xml:space="preserve">figure </w:t>
      </w:r>
      <w:r w:rsidR="00D24025">
        <w:rPr>
          <w:rFonts w:ascii="Nyala" w:hAnsi="Nyala"/>
          <w:b/>
          <w:sz w:val="28"/>
          <w:szCs w:val="28"/>
        </w:rPr>
        <w:t>15</w:t>
      </w:r>
      <w:r w:rsidR="00AE18D5" w:rsidRPr="006866D3">
        <w:rPr>
          <w:rFonts w:ascii="Nyala" w:hAnsi="Nyala"/>
          <w:sz w:val="28"/>
          <w:szCs w:val="28"/>
        </w:rPr>
        <w:t>)</w:t>
      </w:r>
      <w:r w:rsidR="00FA3640" w:rsidRPr="006866D3">
        <w:rPr>
          <w:rFonts w:ascii="Nyala" w:hAnsi="Nyala"/>
          <w:sz w:val="28"/>
          <w:szCs w:val="28"/>
        </w:rPr>
        <w:t xml:space="preserve">. </w:t>
      </w:r>
    </w:p>
    <w:p w:rsidR="00FA3640" w:rsidRPr="006866D3" w:rsidRDefault="00AE18D5" w:rsidP="00FA3640">
      <w:pPr>
        <w:jc w:val="both"/>
        <w:rPr>
          <w:rFonts w:ascii="Nyala" w:hAnsi="Nyala"/>
          <w:sz w:val="28"/>
          <w:szCs w:val="28"/>
        </w:rPr>
      </w:pPr>
      <w:r w:rsidRPr="006866D3">
        <w:rPr>
          <w:rFonts w:ascii="Nyala" w:hAnsi="Nyala"/>
          <w:sz w:val="28"/>
          <w:szCs w:val="28"/>
        </w:rPr>
        <w:t xml:space="preserve">A l’intérieur d’une même région, il existe une variabilité spatiale quant à la vulnérabilité à l’insécurité alimentaire. Ainsi, les départements administratifs peuvent être classés selon leur </w:t>
      </w:r>
      <w:r w:rsidR="00FA3640" w:rsidRPr="006866D3">
        <w:rPr>
          <w:rFonts w:ascii="Nyala" w:hAnsi="Nyala"/>
          <w:sz w:val="28"/>
          <w:szCs w:val="28"/>
        </w:rPr>
        <w:t>degré de sensibilité traduit par un indice de vulnérabilité sur une échelle de 0 (pas sensible) à 100 (extrêmement sensible).</w:t>
      </w:r>
    </w:p>
    <w:p w:rsidR="00084312" w:rsidRDefault="00084312" w:rsidP="00FA3640">
      <w:pPr>
        <w:jc w:val="both"/>
        <w:rPr>
          <w:rFonts w:ascii="Nyala" w:hAnsi="Nyala"/>
          <w:sz w:val="28"/>
          <w:szCs w:val="28"/>
        </w:rPr>
      </w:pPr>
    </w:p>
    <w:p w:rsidR="00084312" w:rsidRPr="009B11E1" w:rsidRDefault="00084312" w:rsidP="00FA3640">
      <w:pPr>
        <w:jc w:val="both"/>
        <w:rPr>
          <w:rStyle w:val="Rfrenceintense"/>
          <w:sz w:val="28"/>
          <w:szCs w:val="28"/>
        </w:rPr>
      </w:pPr>
      <w:r w:rsidRPr="009B11E1">
        <w:rPr>
          <w:rStyle w:val="Rfrenceintense"/>
          <w:sz w:val="28"/>
          <w:szCs w:val="28"/>
        </w:rPr>
        <w:t>Prévalence selon le département de résidence</w:t>
      </w:r>
    </w:p>
    <w:p w:rsidR="00AE18D5" w:rsidRDefault="00FA3640" w:rsidP="00FA3640">
      <w:pPr>
        <w:jc w:val="both"/>
        <w:rPr>
          <w:rFonts w:ascii="Nyala" w:hAnsi="Nyala"/>
          <w:sz w:val="28"/>
          <w:szCs w:val="28"/>
        </w:rPr>
      </w:pPr>
      <w:r w:rsidRPr="006866D3">
        <w:rPr>
          <w:rFonts w:ascii="Nyala" w:hAnsi="Nyala"/>
          <w:sz w:val="28"/>
          <w:szCs w:val="28"/>
        </w:rPr>
        <w:t>Tous les départements administratifs sont vulnérables à un degré ou à un autre à l’insécurité alimentaire. Cette vulnérabilité varie d’une année à l’autre ; mais en tenant compte de l’évolution de l’Indice de Vulnérabilité sur une période de 10 ans (2004-2013), les départements peuvent être classés en 6 groupes de vulnérabilité</w:t>
      </w:r>
      <w:r w:rsidR="00AB4ACF">
        <w:rPr>
          <w:rFonts w:ascii="Nyala" w:hAnsi="Nyala"/>
          <w:sz w:val="28"/>
          <w:szCs w:val="28"/>
        </w:rPr>
        <w:t xml:space="preserve">. L’indice de vulnérabilité détermine le niveau de sensibilité, la récurrence et l’incidence </w:t>
      </w:r>
      <w:r w:rsidR="00571101">
        <w:rPr>
          <w:rFonts w:ascii="Nyala" w:hAnsi="Nyala"/>
          <w:sz w:val="28"/>
          <w:szCs w:val="28"/>
        </w:rPr>
        <w:t>de l’insécurité alimentaire</w:t>
      </w:r>
      <w:r w:rsidRPr="006866D3">
        <w:rPr>
          <w:rFonts w:ascii="Nyala" w:hAnsi="Nyala"/>
          <w:sz w:val="28"/>
          <w:szCs w:val="28"/>
        </w:rPr>
        <w:t> (</w:t>
      </w:r>
      <w:r w:rsidR="00C977B5" w:rsidRPr="006866D3">
        <w:rPr>
          <w:rFonts w:ascii="Nyala" w:hAnsi="Nyala"/>
          <w:b/>
          <w:sz w:val="28"/>
          <w:szCs w:val="28"/>
        </w:rPr>
        <w:t>figure 1</w:t>
      </w:r>
      <w:r w:rsidR="00D24025">
        <w:rPr>
          <w:rFonts w:ascii="Nyala" w:hAnsi="Nyala"/>
          <w:b/>
          <w:sz w:val="28"/>
          <w:szCs w:val="28"/>
        </w:rPr>
        <w:t>6</w:t>
      </w:r>
      <w:r w:rsidR="00C977B5" w:rsidRPr="006866D3">
        <w:rPr>
          <w:rFonts w:ascii="Nyala" w:hAnsi="Nyala"/>
          <w:sz w:val="28"/>
          <w:szCs w:val="28"/>
        </w:rPr>
        <w:t>)</w:t>
      </w:r>
      <w:r w:rsidRPr="006866D3">
        <w:rPr>
          <w:rFonts w:ascii="Nyala" w:hAnsi="Nyala"/>
          <w:sz w:val="28"/>
          <w:szCs w:val="28"/>
        </w:rPr>
        <w:t xml:space="preserve">. </w:t>
      </w:r>
    </w:p>
    <w:p w:rsidR="00417CDD" w:rsidRPr="006866D3" w:rsidRDefault="00417CDD" w:rsidP="00417CDD">
      <w:pPr>
        <w:jc w:val="both"/>
        <w:rPr>
          <w:rFonts w:ascii="Nyala" w:hAnsi="Nyala"/>
          <w:sz w:val="28"/>
          <w:szCs w:val="28"/>
        </w:rPr>
      </w:pPr>
      <w:r w:rsidRPr="006866D3">
        <w:rPr>
          <w:rFonts w:ascii="Nyala" w:hAnsi="Nyala"/>
          <w:sz w:val="28"/>
          <w:szCs w:val="28"/>
        </w:rPr>
        <w:t xml:space="preserve">Les départements les moins sensibles à l’insécurité alimentaire sont ceux qui sont situés dans les zones agroécologiques à pluviométrie favorable (Gaya), disposant d’un potentiel d’irrigation (Boboye, Birni N’Konni) et/ou des opportunités économiques (villes et marchés transfrontaliers) pour les ménages. A contrario, les plus vulnérables sont situés dans les zones faiblement arrosées (Ouallam, Abalak, Tillabéry) et/ou les alternatives économiques sont moins évidentes pour les ménages (Arlit).  </w:t>
      </w:r>
    </w:p>
    <w:p w:rsidR="00417CDD" w:rsidRDefault="00417CDD" w:rsidP="00417CDD">
      <w:pPr>
        <w:jc w:val="both"/>
        <w:rPr>
          <w:rFonts w:ascii="Nyala" w:hAnsi="Nyala"/>
          <w:sz w:val="28"/>
          <w:szCs w:val="28"/>
        </w:rPr>
      </w:pPr>
      <w:r w:rsidRPr="006866D3">
        <w:rPr>
          <w:rFonts w:ascii="Nyala" w:hAnsi="Nyala"/>
          <w:sz w:val="28"/>
          <w:szCs w:val="28"/>
        </w:rPr>
        <w:t>Ainsi, les efforts d’atténuation de la vulnérabilité et de prise en charge des personnes affectées devraient être ajustés selon les localités, les causes structurelles de l’accès et de l’utilisation des aliments et nutriments et des chocs exceptionnels que peuvent subir les ménages selon leur statut socioéconomique.</w:t>
      </w:r>
    </w:p>
    <w:p w:rsidR="00071E82" w:rsidRDefault="00071E82" w:rsidP="00071E82">
      <w:r>
        <w:t>.</w:t>
      </w:r>
    </w:p>
    <w:p w:rsidR="00417CDD" w:rsidRDefault="00417CDD" w:rsidP="00FA3640">
      <w:pPr>
        <w:jc w:val="both"/>
        <w:rPr>
          <w:rFonts w:ascii="Nyala" w:hAnsi="Nyala"/>
          <w:sz w:val="28"/>
          <w:szCs w:val="28"/>
        </w:rPr>
      </w:pPr>
    </w:p>
    <w:p w:rsidR="00C977B5" w:rsidRPr="006866D3" w:rsidRDefault="00146983" w:rsidP="00C977B5">
      <w:pPr>
        <w:rPr>
          <w:rFonts w:ascii="Nyala" w:hAnsi="Nyala"/>
          <w:sz w:val="28"/>
          <w:szCs w:val="28"/>
        </w:rPr>
      </w:pPr>
      <w:r>
        <w:rPr>
          <w:noProof/>
          <w:sz w:val="28"/>
          <w:szCs w:val="28"/>
          <w:lang w:eastAsia="fr-FR"/>
        </w:rPr>
        <mc:AlternateContent>
          <mc:Choice Requires="wps">
            <w:drawing>
              <wp:anchor distT="0" distB="0" distL="114300" distR="114300" simplePos="0" relativeHeight="251927552" behindDoc="0" locked="0" layoutInCell="1" allowOverlap="1" wp14:anchorId="216F9ADA">
                <wp:simplePos x="0" y="0"/>
                <wp:positionH relativeFrom="margin">
                  <wp:align>left</wp:align>
                </wp:positionH>
                <wp:positionV relativeFrom="paragraph">
                  <wp:posOffset>0</wp:posOffset>
                </wp:positionV>
                <wp:extent cx="5767070" cy="7904480"/>
                <wp:effectExtent l="0" t="0" r="24130" b="20320"/>
                <wp:wrapSquare wrapText="bothSides"/>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7070" cy="7904480"/>
                        </a:xfrm>
                        <a:prstGeom prst="rect">
                          <a:avLst/>
                        </a:prstGeom>
                        <a:noFill/>
                        <a:ln w="6350">
                          <a:solidFill>
                            <a:prstClr val="black"/>
                          </a:solidFill>
                        </a:ln>
                        <a:effectLst/>
                      </wps:spPr>
                      <wps:txbx>
                        <w:txbxContent>
                          <w:p w:rsidR="00146325" w:rsidRDefault="00146325" w:rsidP="0002053E">
                            <w:pPr>
                              <w:pStyle w:val="Lgende"/>
                              <w:keepNext/>
                              <w:jc w:val="both"/>
                            </w:pPr>
                            <w:bookmarkStart w:id="289" w:name="_Toc526120082"/>
                            <w:r>
                              <w:t xml:space="preserve">Figure </w:t>
                            </w:r>
                            <w:r w:rsidR="00C73EE5">
                              <w:fldChar w:fldCharType="begin"/>
                            </w:r>
                            <w:r w:rsidR="00C73EE5">
                              <w:instrText xml:space="preserve"> SEQ Figure \* ARABIC </w:instrText>
                            </w:r>
                            <w:r w:rsidR="00C73EE5">
                              <w:fldChar w:fldCharType="separate"/>
                            </w:r>
                            <w:r>
                              <w:rPr>
                                <w:noProof/>
                              </w:rPr>
                              <w:t>16</w:t>
                            </w:r>
                            <w:r w:rsidR="00C73EE5">
                              <w:rPr>
                                <w:noProof/>
                              </w:rPr>
                              <w:fldChar w:fldCharType="end"/>
                            </w:r>
                            <w:r>
                              <w:t xml:space="preserve"> - Degré de vulnérabilité des départements administratifs à l'insécurité alimentaire</w:t>
                            </w:r>
                            <w:bookmarkEnd w:id="289"/>
                          </w:p>
                          <w:p w:rsidR="00146325" w:rsidRDefault="00146325" w:rsidP="00C977B5">
                            <w:pPr>
                              <w:jc w:val="both"/>
                              <w:rPr>
                                <w:rFonts w:ascii="Nyala" w:hAnsi="Nyala"/>
                                <w:sz w:val="24"/>
                                <w:szCs w:val="24"/>
                              </w:rPr>
                            </w:pPr>
                            <w:r w:rsidRPr="00AB169E">
                              <w:rPr>
                                <w:noProof/>
                                <w:lang w:eastAsia="fr-FR"/>
                              </w:rPr>
                              <w:drawing>
                                <wp:inline distT="0" distB="0" distL="0" distR="0">
                                  <wp:extent cx="5586730" cy="67818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86730" cy="6781800"/>
                                          </a:xfrm>
                                          <a:prstGeom prst="rect">
                                            <a:avLst/>
                                          </a:prstGeom>
                                          <a:noFill/>
                                          <a:ln>
                                            <a:noFill/>
                                          </a:ln>
                                        </pic:spPr>
                                      </pic:pic>
                                    </a:graphicData>
                                  </a:graphic>
                                </wp:inline>
                              </w:drawing>
                            </w:r>
                          </w:p>
                          <w:p w:rsidR="00146325" w:rsidRPr="00CB118D" w:rsidRDefault="00146325" w:rsidP="00C977B5">
                            <w:pPr>
                              <w:spacing w:before="0" w:after="0" w:line="240" w:lineRule="auto"/>
                              <w:jc w:val="both"/>
                              <w:rPr>
                                <w:rFonts w:ascii="Nyala" w:hAnsi="Nyala"/>
                                <w:sz w:val="16"/>
                                <w:szCs w:val="16"/>
                              </w:rPr>
                            </w:pPr>
                            <w:r w:rsidRPr="00CB118D">
                              <w:rPr>
                                <w:rFonts w:ascii="Nyala" w:hAnsi="Nyala"/>
                                <w:sz w:val="16"/>
                                <w:szCs w:val="16"/>
                              </w:rPr>
                              <w:t>Source : SAP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6F9ADA" id="Zone de texte 74" o:spid="_x0000_s1045" type="#_x0000_t202" style="position:absolute;margin-left:0;margin-top:0;width:454.1pt;height:622.4pt;z-index:25192755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" filled="f" strokeweight=".5pt">
                <v:path arrowok="t"/>
                <v:textbox>
                  <w:txbxContent>
                    <w:p w:rsidR="00146325" w:rsidRDefault="00146325" w:rsidP="0002053E">
                      <w:pPr>
                        <w:pStyle w:val="Lgende"/>
                        <w:keepNext/>
                        <w:jc w:val="both"/>
                      </w:pPr>
                      <w:bookmarkStart w:id="290" w:name="_Toc526120082"/>
                      <w:r>
                        <w:t xml:space="preserve">Figure </w:t>
                      </w:r>
                      <w:r w:rsidR="00C73EE5">
                        <w:fldChar w:fldCharType="begin"/>
                      </w:r>
                      <w:r w:rsidR="00C73EE5">
                        <w:instrText xml:space="preserve"> SEQ Figure \* ARABIC </w:instrText>
                      </w:r>
                      <w:r w:rsidR="00C73EE5">
                        <w:fldChar w:fldCharType="separate"/>
                      </w:r>
                      <w:r>
                        <w:rPr>
                          <w:noProof/>
                        </w:rPr>
                        <w:t>16</w:t>
                      </w:r>
                      <w:r w:rsidR="00C73EE5">
                        <w:rPr>
                          <w:noProof/>
                        </w:rPr>
                        <w:fldChar w:fldCharType="end"/>
                      </w:r>
                      <w:r>
                        <w:t xml:space="preserve"> - Degré de vulnérabilité des départements administratifs à l'insécurité alimentaire</w:t>
                      </w:r>
                      <w:bookmarkEnd w:id="290"/>
                    </w:p>
                    <w:p w:rsidR="00146325" w:rsidRDefault="00146325" w:rsidP="00C977B5">
                      <w:pPr>
                        <w:jc w:val="both"/>
                        <w:rPr>
                          <w:rFonts w:ascii="Nyala" w:hAnsi="Nyala"/>
                          <w:sz w:val="24"/>
                          <w:szCs w:val="24"/>
                        </w:rPr>
                      </w:pPr>
                      <w:r w:rsidRPr="00AB169E">
                        <w:rPr>
                          <w:noProof/>
                          <w:lang w:eastAsia="fr-FR"/>
                        </w:rPr>
                        <w:drawing>
                          <wp:inline distT="0" distB="0" distL="0" distR="0">
                            <wp:extent cx="5586730" cy="67818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86730" cy="6781800"/>
                                    </a:xfrm>
                                    <a:prstGeom prst="rect">
                                      <a:avLst/>
                                    </a:prstGeom>
                                    <a:noFill/>
                                    <a:ln>
                                      <a:noFill/>
                                    </a:ln>
                                  </pic:spPr>
                                </pic:pic>
                              </a:graphicData>
                            </a:graphic>
                          </wp:inline>
                        </w:drawing>
                      </w:r>
                    </w:p>
                    <w:p w:rsidR="00146325" w:rsidRPr="00CB118D" w:rsidRDefault="00146325" w:rsidP="00C977B5">
                      <w:pPr>
                        <w:spacing w:before="0" w:after="0" w:line="240" w:lineRule="auto"/>
                        <w:jc w:val="both"/>
                        <w:rPr>
                          <w:rFonts w:ascii="Nyala" w:hAnsi="Nyala"/>
                          <w:sz w:val="16"/>
                          <w:szCs w:val="16"/>
                        </w:rPr>
                      </w:pPr>
                      <w:r w:rsidRPr="00CB118D">
                        <w:rPr>
                          <w:rFonts w:ascii="Nyala" w:hAnsi="Nyala"/>
                          <w:sz w:val="16"/>
                          <w:szCs w:val="16"/>
                        </w:rPr>
                        <w:t>Source : SAP</w:t>
                      </w:r>
                    </w:p>
                  </w:txbxContent>
                </v:textbox>
                <w10:wrap type="square" anchorx="margin"/>
              </v:shape>
            </w:pict>
          </mc:Fallback>
        </mc:AlternateContent>
      </w:r>
    </w:p>
    <w:p w:rsidR="00440825" w:rsidRPr="005132EA" w:rsidRDefault="00440825" w:rsidP="00440825">
      <w:pPr>
        <w:jc w:val="both"/>
        <w:rPr>
          <w:rFonts w:ascii="Nyala" w:hAnsi="Nyala"/>
          <w:sz w:val="28"/>
          <w:szCs w:val="28"/>
        </w:rPr>
      </w:pPr>
      <w:r>
        <w:rPr>
          <w:rFonts w:ascii="Nyala" w:hAnsi="Nyala"/>
          <w:sz w:val="28"/>
          <w:szCs w:val="28"/>
        </w:rPr>
        <w:t xml:space="preserve">Par contre l’analyse de la sécurité alimentaire, réalisée par le PAM (PAM, 2018) dans le cadre de l’Analyse intégrée du contexte (AIC) a plutôt fait ressortir que certains départements comme </w:t>
      </w:r>
      <w:r w:rsidRPr="005132EA">
        <w:rPr>
          <w:rFonts w:ascii="Nyala" w:hAnsi="Nyala"/>
          <w:sz w:val="28"/>
          <w:szCs w:val="28"/>
        </w:rPr>
        <w:t xml:space="preserve"> Ngourti, Nguigmi et  Bosso, (ancien département de Nguigmi),  T, Malbaza et  Konni (ancien département de Konni),  Ayerou (partie de ancien département de Tillaberi) sont de niveau faible de récurrence de l’insécurité alimentaire et les départements de Dakoro,  Keita,  Tahoua,  Bagaroua (partie de l’ancien département d’Illéla),   Abala,  Filingué et  Tagazar (ancien département de Filingué)</w:t>
      </w:r>
      <w:r>
        <w:rPr>
          <w:rFonts w:ascii="Nyala" w:hAnsi="Nyala"/>
          <w:sz w:val="28"/>
          <w:szCs w:val="28"/>
        </w:rPr>
        <w:t>,  Kollo,  Ouallam  et  Banib</w:t>
      </w:r>
      <w:r w:rsidRPr="005132EA">
        <w:rPr>
          <w:rFonts w:ascii="Nyala" w:hAnsi="Nyala"/>
          <w:sz w:val="28"/>
          <w:szCs w:val="28"/>
        </w:rPr>
        <w:t xml:space="preserve">angou (ancien département de Ouallam) sont caractérisés par un niveau d’insécurité alimentaire élevé (PAM, 2018). </w:t>
      </w:r>
    </w:p>
    <w:p w:rsidR="00440825" w:rsidRDefault="00440825" w:rsidP="00440825">
      <w:pPr>
        <w:jc w:val="both"/>
        <w:rPr>
          <w:rFonts w:ascii="Nyala" w:hAnsi="Nyala"/>
          <w:sz w:val="28"/>
          <w:szCs w:val="28"/>
        </w:rPr>
      </w:pPr>
      <w:r w:rsidRPr="005132EA">
        <w:rPr>
          <w:rFonts w:ascii="Nyala" w:hAnsi="Nyala"/>
          <w:sz w:val="28"/>
          <w:szCs w:val="28"/>
        </w:rPr>
        <w:t>L’AIC permet de combiner récurrence de l’insécurité alimentaire</w:t>
      </w:r>
      <w:r w:rsidR="00440FAF">
        <w:rPr>
          <w:rFonts w:ascii="Nyala" w:hAnsi="Nyala"/>
          <w:sz w:val="28"/>
          <w:szCs w:val="28"/>
        </w:rPr>
        <w:t xml:space="preserve"> et exposition aux </w:t>
      </w:r>
      <w:r w:rsidRPr="005132EA">
        <w:rPr>
          <w:rFonts w:ascii="Nyala" w:hAnsi="Nyala"/>
          <w:sz w:val="28"/>
          <w:szCs w:val="28"/>
        </w:rPr>
        <w:t xml:space="preserve"> chocs ; ce qui permet de répartir les </w:t>
      </w:r>
      <w:r>
        <w:rPr>
          <w:rFonts w:ascii="Nyala" w:hAnsi="Nyala"/>
          <w:sz w:val="28"/>
          <w:szCs w:val="28"/>
        </w:rPr>
        <w:t xml:space="preserve">définir 9 zones AIC </w:t>
      </w:r>
      <w:r w:rsidRPr="00440FAF">
        <w:rPr>
          <w:rFonts w:ascii="Nyala" w:hAnsi="Nyala"/>
          <w:b/>
          <w:sz w:val="28"/>
          <w:szCs w:val="28"/>
        </w:rPr>
        <w:t>(Tableau</w:t>
      </w:r>
      <w:r w:rsidR="00440FAF">
        <w:rPr>
          <w:rFonts w:ascii="Nyala" w:hAnsi="Nyala"/>
          <w:sz w:val="28"/>
          <w:szCs w:val="28"/>
        </w:rPr>
        <w:t>1</w:t>
      </w:r>
      <w:r>
        <w:rPr>
          <w:rFonts w:ascii="Nyala" w:hAnsi="Nyala"/>
          <w:sz w:val="28"/>
          <w:szCs w:val="28"/>
        </w:rPr>
        <w:t>). L’indicateur utilisé pour l’insécurité alimentaire est le Score de Consommation alimentaire. Les chocs pris en compte sont la sécheresse et les inondations.</w:t>
      </w:r>
    </w:p>
    <w:p w:rsidR="00440FAF" w:rsidRDefault="00440FAF" w:rsidP="00440825">
      <w:pPr>
        <w:jc w:val="both"/>
        <w:rPr>
          <w:rFonts w:ascii="Nyala" w:hAnsi="Nyala"/>
          <w:sz w:val="28"/>
          <w:szCs w:val="28"/>
        </w:rPr>
      </w:pPr>
    </w:p>
    <w:p w:rsidR="00440825" w:rsidRDefault="00440FAF" w:rsidP="00440FAF">
      <w:pPr>
        <w:pStyle w:val="Lgende"/>
        <w:rPr>
          <w:rFonts w:ascii="Nyala" w:hAnsi="Nyala"/>
          <w:sz w:val="28"/>
          <w:szCs w:val="28"/>
        </w:rPr>
      </w:pPr>
      <w:bookmarkStart w:id="291" w:name="_Toc526120055"/>
      <w:r>
        <w:t xml:space="preserve">Tableau </w:t>
      </w:r>
      <w:r w:rsidR="00D639F2">
        <w:fldChar w:fldCharType="begin"/>
      </w:r>
      <w:r>
        <w:instrText xml:space="preserve"> SEQ Tableau \* ARABIC </w:instrText>
      </w:r>
      <w:r w:rsidR="00D639F2">
        <w:fldChar w:fldCharType="separate"/>
      </w:r>
      <w:r>
        <w:rPr>
          <w:noProof/>
        </w:rPr>
        <w:t>1</w:t>
      </w:r>
      <w:r w:rsidR="00D639F2">
        <w:fldChar w:fldCharType="end"/>
      </w:r>
      <w:r>
        <w:t xml:space="preserve"> Zones AIC</w:t>
      </w:r>
      <w:bookmarkEnd w:id="291"/>
    </w:p>
    <w:tbl>
      <w:tblPr>
        <w:tblpPr w:leftFromText="180" w:rightFromText="180" w:vertAnchor="text" w:horzAnchor="margin" w:tblpY="88"/>
        <w:tblW w:w="5000" w:type="pct"/>
        <w:tblBorders>
          <w:top w:val="single" w:sz="4" w:space="0" w:color="0081C3"/>
          <w:left w:val="single" w:sz="4" w:space="0" w:color="0081C3"/>
          <w:bottom w:val="single" w:sz="4" w:space="0" w:color="0081C3"/>
          <w:right w:val="single" w:sz="4" w:space="0" w:color="0081C3"/>
          <w:insideH w:val="single" w:sz="4" w:space="0" w:color="0081C3"/>
          <w:insideV w:val="single" w:sz="4" w:space="0" w:color="0081C3"/>
        </w:tblBorders>
        <w:tblLayout w:type="fixed"/>
        <w:tblLook w:val="04A0" w:firstRow="1" w:lastRow="0" w:firstColumn="1" w:lastColumn="0" w:noHBand="0" w:noVBand="1"/>
      </w:tblPr>
      <w:tblGrid>
        <w:gridCol w:w="1601"/>
        <w:gridCol w:w="2562"/>
        <w:gridCol w:w="2562"/>
        <w:gridCol w:w="2563"/>
      </w:tblGrid>
      <w:tr w:rsidR="00440825" w:rsidRPr="002D1588" w:rsidTr="00440FAF">
        <w:trPr>
          <w:trHeight w:val="20"/>
        </w:trPr>
        <w:tc>
          <w:tcPr>
            <w:tcW w:w="862" w:type="pct"/>
            <w:vMerge w:val="restart"/>
            <w:shd w:val="clear" w:color="auto" w:fill="DAEFD3" w:themeFill="accent1" w:themeFillTint="33"/>
          </w:tcPr>
          <w:p w:rsidR="00440825" w:rsidRPr="00984AC7" w:rsidRDefault="00440825" w:rsidP="00440FAF">
            <w:pPr>
              <w:spacing w:before="40" w:after="40"/>
              <w:jc w:val="center"/>
              <w:rPr>
                <w:rFonts w:ascii="Calibri" w:eastAsia="Times New Roman" w:hAnsi="Calibri" w:cs="Times New Roman"/>
                <w:b/>
                <w:lang w:eastAsia="en-GB"/>
              </w:rPr>
            </w:pPr>
            <w:r w:rsidRPr="00984AC7">
              <w:rPr>
                <w:rFonts w:ascii="Calibri" w:eastAsia="Times New Roman" w:hAnsi="Calibri" w:cs="Times New Roman"/>
                <w:b/>
                <w:lang w:eastAsia="en-GB"/>
              </w:rPr>
              <w:t>Exposition aux Chocs Naturels</w:t>
            </w:r>
          </w:p>
        </w:tc>
        <w:tc>
          <w:tcPr>
            <w:tcW w:w="4138" w:type="pct"/>
            <w:gridSpan w:val="3"/>
            <w:shd w:val="clear" w:color="auto" w:fill="DAEFD3" w:themeFill="accent1" w:themeFillTint="33"/>
          </w:tcPr>
          <w:p w:rsidR="00440825" w:rsidRPr="00984AC7" w:rsidRDefault="00440825" w:rsidP="00440FAF">
            <w:pPr>
              <w:spacing w:before="40" w:after="40"/>
              <w:jc w:val="center"/>
              <w:rPr>
                <w:rFonts w:ascii="Calibri" w:eastAsia="Times New Roman" w:hAnsi="Calibri" w:cs="Times New Roman"/>
                <w:b/>
                <w:lang w:eastAsia="en-GB"/>
              </w:rPr>
            </w:pPr>
            <w:r w:rsidRPr="00984AC7">
              <w:rPr>
                <w:rFonts w:ascii="Calibri" w:eastAsia="Times New Roman" w:hAnsi="Calibri" w:cs="Times New Roman"/>
                <w:b/>
                <w:lang w:eastAsia="en-GB"/>
              </w:rPr>
              <w:t>Récurrence de l’Insécurité Alimentaire au-dessus du seuil</w:t>
            </w:r>
          </w:p>
        </w:tc>
      </w:tr>
      <w:tr w:rsidR="00440825" w:rsidRPr="00984AC7" w:rsidTr="00440FAF">
        <w:trPr>
          <w:trHeight w:val="260"/>
        </w:trPr>
        <w:tc>
          <w:tcPr>
            <w:tcW w:w="862" w:type="pct"/>
            <w:vMerge/>
            <w:shd w:val="clear" w:color="auto" w:fill="DAEFD3" w:themeFill="accent1" w:themeFillTint="33"/>
          </w:tcPr>
          <w:p w:rsidR="00440825" w:rsidRPr="00984AC7" w:rsidRDefault="00440825" w:rsidP="00440FAF">
            <w:pPr>
              <w:spacing w:before="40" w:after="40"/>
              <w:jc w:val="center"/>
              <w:rPr>
                <w:rFonts w:ascii="Calibri" w:eastAsia="Times New Roman" w:hAnsi="Calibri" w:cs="Times New Roman"/>
                <w:b/>
                <w:lang w:eastAsia="en-GB"/>
              </w:rPr>
            </w:pPr>
          </w:p>
        </w:tc>
        <w:tc>
          <w:tcPr>
            <w:tcW w:w="1379" w:type="pct"/>
            <w:shd w:val="clear" w:color="auto" w:fill="DAEFD3" w:themeFill="accent1" w:themeFillTint="33"/>
            <w:noWrap/>
            <w:hideMark/>
          </w:tcPr>
          <w:p w:rsidR="00440825" w:rsidRPr="00984AC7" w:rsidRDefault="00440825" w:rsidP="00440FAF">
            <w:pPr>
              <w:spacing w:before="40" w:after="40"/>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FAIBLE</w:t>
            </w:r>
          </w:p>
        </w:tc>
        <w:tc>
          <w:tcPr>
            <w:tcW w:w="1379" w:type="pct"/>
            <w:shd w:val="clear" w:color="auto" w:fill="DAEFD3" w:themeFill="accent1" w:themeFillTint="33"/>
            <w:noWrap/>
            <w:vAlign w:val="center"/>
            <w:hideMark/>
          </w:tcPr>
          <w:p w:rsidR="00440825" w:rsidRPr="00984AC7" w:rsidRDefault="00440825" w:rsidP="00440FAF">
            <w:pPr>
              <w:spacing w:before="40" w:after="40"/>
              <w:jc w:val="center"/>
              <w:rPr>
                <w:rFonts w:ascii="Calibri" w:eastAsia="Times New Roman" w:hAnsi="Calibri" w:cs="Times New Roman"/>
                <w:b/>
                <w:bCs/>
                <w:color w:val="000000"/>
                <w:lang w:eastAsia="en-GB"/>
              </w:rPr>
            </w:pPr>
            <w:r w:rsidRPr="00984AC7">
              <w:rPr>
                <w:rFonts w:ascii="Calibri" w:eastAsia="Times New Roman" w:hAnsi="Calibri" w:cs="Times New Roman"/>
                <w:b/>
                <w:bCs/>
                <w:color w:val="000000"/>
                <w:lang w:eastAsia="en-GB"/>
              </w:rPr>
              <w:t>MEDIUM</w:t>
            </w:r>
          </w:p>
        </w:tc>
        <w:tc>
          <w:tcPr>
            <w:tcW w:w="1379" w:type="pct"/>
            <w:shd w:val="clear" w:color="auto" w:fill="DAEFD3" w:themeFill="accent1" w:themeFillTint="33"/>
            <w:noWrap/>
            <w:vAlign w:val="center"/>
            <w:hideMark/>
          </w:tcPr>
          <w:p w:rsidR="00440825" w:rsidRPr="00984AC7" w:rsidRDefault="00440825" w:rsidP="00440FAF">
            <w:pPr>
              <w:spacing w:before="40" w:after="40"/>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ÉLEVÉ</w:t>
            </w:r>
          </w:p>
        </w:tc>
      </w:tr>
      <w:tr w:rsidR="00440825" w:rsidRPr="00984AC7" w:rsidTr="00440FAF">
        <w:trPr>
          <w:trHeight w:val="20"/>
        </w:trPr>
        <w:tc>
          <w:tcPr>
            <w:tcW w:w="862" w:type="pct"/>
            <w:shd w:val="clear" w:color="auto" w:fill="DAEFD3" w:themeFill="accent1" w:themeFillTint="33"/>
          </w:tcPr>
          <w:p w:rsidR="00440825" w:rsidRPr="00984AC7" w:rsidRDefault="00440825" w:rsidP="00440FAF">
            <w:pPr>
              <w:spacing w:before="40" w:after="40"/>
              <w:jc w:val="center"/>
              <w:rPr>
                <w:rFonts w:ascii="Calibri" w:eastAsia="Times New Roman" w:hAnsi="Calibri" w:cs="Times New Roman"/>
                <w:b/>
                <w:lang w:eastAsia="en-GB"/>
              </w:rPr>
            </w:pPr>
            <w:r>
              <w:rPr>
                <w:rFonts w:ascii="Calibri" w:eastAsia="Times New Roman" w:hAnsi="Calibri" w:cs="Times New Roman"/>
                <w:b/>
                <w:lang w:eastAsia="en-GB"/>
              </w:rPr>
              <w:t>FAIBLE</w:t>
            </w:r>
          </w:p>
        </w:tc>
        <w:tc>
          <w:tcPr>
            <w:tcW w:w="1379" w:type="pct"/>
            <w:shd w:val="clear" w:color="auto" w:fill="CCFF99"/>
          </w:tcPr>
          <w:p w:rsidR="00440825" w:rsidRPr="00984AC7" w:rsidRDefault="00440825" w:rsidP="00440FAF">
            <w:pPr>
              <w:spacing w:before="40" w:after="40"/>
              <w:jc w:val="center"/>
              <w:rPr>
                <w:rFonts w:ascii="Calibri" w:eastAsia="Times New Roman" w:hAnsi="Calibri" w:cs="Times New Roman"/>
                <w:b/>
                <w:lang w:eastAsia="en-GB"/>
              </w:rPr>
            </w:pPr>
            <w:r>
              <w:rPr>
                <w:rFonts w:ascii="Calibri" w:eastAsia="Times New Roman" w:hAnsi="Calibri" w:cs="Times New Roman"/>
                <w:b/>
                <w:lang w:eastAsia="en-GB"/>
              </w:rPr>
              <w:t>Zone</w:t>
            </w:r>
            <w:r w:rsidRPr="00984AC7">
              <w:rPr>
                <w:rFonts w:ascii="Calibri" w:eastAsia="Times New Roman" w:hAnsi="Calibri" w:cs="Times New Roman"/>
                <w:b/>
                <w:lang w:eastAsia="en-GB"/>
              </w:rPr>
              <w:t xml:space="preserve"> 5</w:t>
            </w:r>
            <w:r w:rsidR="00275782">
              <w:rPr>
                <w:rFonts w:ascii="Calibri" w:eastAsia="Times New Roman" w:hAnsi="Calibri" w:cs="Times New Roman"/>
                <w:b/>
                <w:lang w:eastAsia="en-GB"/>
              </w:rPr>
              <w:t xml:space="preserve"> (9)</w:t>
            </w:r>
          </w:p>
        </w:tc>
        <w:tc>
          <w:tcPr>
            <w:tcW w:w="1379" w:type="pct"/>
            <w:shd w:val="clear" w:color="auto" w:fill="FFC969"/>
            <w:vAlign w:val="center"/>
          </w:tcPr>
          <w:p w:rsidR="00440825" w:rsidRPr="00984AC7" w:rsidRDefault="00440825" w:rsidP="00440FAF">
            <w:pPr>
              <w:spacing w:before="40" w:after="40"/>
              <w:jc w:val="center"/>
              <w:rPr>
                <w:rFonts w:ascii="Calibri" w:eastAsia="Times New Roman" w:hAnsi="Calibri" w:cs="Times New Roman"/>
                <w:b/>
                <w:lang w:eastAsia="en-GB"/>
              </w:rPr>
            </w:pPr>
            <w:r>
              <w:rPr>
                <w:rFonts w:ascii="Calibri" w:eastAsia="Times New Roman" w:hAnsi="Calibri" w:cs="Times New Roman"/>
                <w:b/>
                <w:lang w:eastAsia="en-GB"/>
              </w:rPr>
              <w:t>Zone</w:t>
            </w:r>
            <w:r w:rsidRPr="00984AC7">
              <w:rPr>
                <w:rFonts w:ascii="Calibri" w:eastAsia="Times New Roman" w:hAnsi="Calibri" w:cs="Times New Roman"/>
                <w:b/>
                <w:lang w:eastAsia="en-GB"/>
              </w:rPr>
              <w:t xml:space="preserve"> 3B</w:t>
            </w:r>
            <w:r w:rsidR="00275782">
              <w:rPr>
                <w:rFonts w:ascii="Calibri" w:eastAsia="Times New Roman" w:hAnsi="Calibri" w:cs="Times New Roman"/>
                <w:b/>
                <w:lang w:eastAsia="en-GB"/>
              </w:rPr>
              <w:t xml:space="preserve"> (6)</w:t>
            </w:r>
          </w:p>
        </w:tc>
        <w:tc>
          <w:tcPr>
            <w:tcW w:w="1379" w:type="pct"/>
            <w:shd w:val="clear" w:color="auto" w:fill="FFA401"/>
            <w:vAlign w:val="center"/>
          </w:tcPr>
          <w:p w:rsidR="00440825" w:rsidRPr="00984AC7" w:rsidRDefault="00440825" w:rsidP="00440FAF">
            <w:pPr>
              <w:spacing w:before="40" w:after="40"/>
              <w:jc w:val="center"/>
              <w:rPr>
                <w:rFonts w:ascii="Calibri" w:eastAsia="Times New Roman" w:hAnsi="Calibri" w:cs="Times New Roman"/>
                <w:b/>
                <w:lang w:eastAsia="en-GB"/>
              </w:rPr>
            </w:pPr>
            <w:r>
              <w:rPr>
                <w:rFonts w:ascii="Calibri" w:eastAsia="Times New Roman" w:hAnsi="Calibri" w:cs="Times New Roman"/>
                <w:b/>
                <w:lang w:eastAsia="en-GB"/>
              </w:rPr>
              <w:t>Zone</w:t>
            </w:r>
            <w:r w:rsidRPr="00984AC7">
              <w:rPr>
                <w:rFonts w:ascii="Calibri" w:eastAsia="Times New Roman" w:hAnsi="Calibri" w:cs="Times New Roman"/>
                <w:b/>
                <w:lang w:eastAsia="en-GB"/>
              </w:rPr>
              <w:t xml:space="preserve"> 3A</w:t>
            </w:r>
            <w:r w:rsidR="00275782">
              <w:rPr>
                <w:rFonts w:ascii="Calibri" w:eastAsia="Times New Roman" w:hAnsi="Calibri" w:cs="Times New Roman"/>
                <w:b/>
                <w:lang w:eastAsia="en-GB"/>
              </w:rPr>
              <w:t xml:space="preserve"> (5)</w:t>
            </w:r>
          </w:p>
        </w:tc>
      </w:tr>
      <w:tr w:rsidR="00440825" w:rsidRPr="00984AC7" w:rsidTr="00440FAF">
        <w:trPr>
          <w:trHeight w:val="20"/>
        </w:trPr>
        <w:tc>
          <w:tcPr>
            <w:tcW w:w="862" w:type="pct"/>
            <w:shd w:val="clear" w:color="auto" w:fill="DAEFD3" w:themeFill="accent1" w:themeFillTint="33"/>
          </w:tcPr>
          <w:p w:rsidR="00440825" w:rsidRPr="00984AC7" w:rsidRDefault="00440825" w:rsidP="00440FAF">
            <w:pPr>
              <w:spacing w:before="40" w:after="40"/>
              <w:jc w:val="center"/>
              <w:rPr>
                <w:rFonts w:ascii="Calibri" w:eastAsia="Times New Roman" w:hAnsi="Calibri" w:cs="Times New Roman"/>
                <w:b/>
                <w:lang w:eastAsia="en-GB"/>
              </w:rPr>
            </w:pPr>
            <w:r w:rsidRPr="00984AC7">
              <w:rPr>
                <w:rFonts w:ascii="Calibri" w:eastAsia="Times New Roman" w:hAnsi="Calibri" w:cs="Times New Roman"/>
                <w:b/>
                <w:lang w:eastAsia="en-GB"/>
              </w:rPr>
              <w:t>MOYENNE</w:t>
            </w:r>
          </w:p>
        </w:tc>
        <w:tc>
          <w:tcPr>
            <w:tcW w:w="1379" w:type="pct"/>
            <w:shd w:val="clear" w:color="auto" w:fill="FFFF99"/>
          </w:tcPr>
          <w:p w:rsidR="00440825" w:rsidRPr="00984AC7" w:rsidRDefault="00440825" w:rsidP="00440FAF">
            <w:pPr>
              <w:spacing w:before="40" w:after="40"/>
              <w:jc w:val="center"/>
              <w:rPr>
                <w:rFonts w:ascii="Calibri" w:eastAsia="Times New Roman" w:hAnsi="Calibri" w:cs="Times New Roman"/>
                <w:b/>
                <w:lang w:eastAsia="en-GB"/>
              </w:rPr>
            </w:pPr>
            <w:r>
              <w:rPr>
                <w:rFonts w:ascii="Calibri" w:eastAsia="Times New Roman" w:hAnsi="Calibri" w:cs="Times New Roman"/>
                <w:b/>
                <w:lang w:eastAsia="en-GB"/>
              </w:rPr>
              <w:t>Zone</w:t>
            </w:r>
            <w:r w:rsidRPr="00984AC7">
              <w:rPr>
                <w:rFonts w:ascii="Calibri" w:eastAsia="Times New Roman" w:hAnsi="Calibri" w:cs="Times New Roman"/>
                <w:b/>
                <w:lang w:eastAsia="en-GB"/>
              </w:rPr>
              <w:t xml:space="preserve"> 4 B</w:t>
            </w:r>
            <w:r w:rsidR="00275782">
              <w:rPr>
                <w:rFonts w:ascii="Calibri" w:eastAsia="Times New Roman" w:hAnsi="Calibri" w:cs="Times New Roman"/>
                <w:b/>
                <w:lang w:eastAsia="en-GB"/>
              </w:rPr>
              <w:t xml:space="preserve"> (8)</w:t>
            </w:r>
          </w:p>
        </w:tc>
        <w:tc>
          <w:tcPr>
            <w:tcW w:w="1379" w:type="pct"/>
            <w:shd w:val="clear" w:color="auto" w:fill="FF6161"/>
            <w:vAlign w:val="center"/>
          </w:tcPr>
          <w:p w:rsidR="00440825" w:rsidRPr="00984AC7" w:rsidRDefault="00440825" w:rsidP="00440FAF">
            <w:pPr>
              <w:spacing w:before="40" w:after="40"/>
              <w:jc w:val="center"/>
              <w:rPr>
                <w:rFonts w:ascii="Calibri" w:eastAsia="Times New Roman" w:hAnsi="Calibri" w:cs="Times New Roman"/>
                <w:b/>
                <w:lang w:eastAsia="en-GB"/>
              </w:rPr>
            </w:pPr>
            <w:r>
              <w:rPr>
                <w:rFonts w:ascii="Calibri" w:eastAsia="Times New Roman" w:hAnsi="Calibri" w:cs="Times New Roman"/>
                <w:b/>
                <w:lang w:eastAsia="en-GB"/>
              </w:rPr>
              <w:t>Zone</w:t>
            </w:r>
            <w:r w:rsidRPr="00984AC7">
              <w:rPr>
                <w:rFonts w:ascii="Calibri" w:eastAsia="Times New Roman" w:hAnsi="Calibri" w:cs="Times New Roman"/>
                <w:b/>
                <w:lang w:eastAsia="en-GB"/>
              </w:rPr>
              <w:t xml:space="preserve"> 2 B</w:t>
            </w:r>
            <w:r w:rsidR="00275782">
              <w:rPr>
                <w:rFonts w:ascii="Calibri" w:eastAsia="Times New Roman" w:hAnsi="Calibri" w:cs="Times New Roman"/>
                <w:b/>
                <w:lang w:eastAsia="en-GB"/>
              </w:rPr>
              <w:t xml:space="preserve"> (4)</w:t>
            </w:r>
          </w:p>
        </w:tc>
        <w:tc>
          <w:tcPr>
            <w:tcW w:w="1379" w:type="pct"/>
            <w:shd w:val="clear" w:color="auto" w:fill="9954CC"/>
            <w:vAlign w:val="center"/>
          </w:tcPr>
          <w:p w:rsidR="00440825" w:rsidRPr="00984AC7" w:rsidRDefault="00440825" w:rsidP="00440FAF">
            <w:pPr>
              <w:spacing w:before="40" w:after="40"/>
              <w:jc w:val="center"/>
              <w:rPr>
                <w:rFonts w:ascii="Calibri" w:eastAsia="Times New Roman" w:hAnsi="Calibri" w:cs="Times New Roman"/>
                <w:b/>
                <w:color w:val="FFFFFF" w:themeColor="background1"/>
                <w:lang w:eastAsia="en-GB"/>
              </w:rPr>
            </w:pPr>
            <w:r>
              <w:rPr>
                <w:rFonts w:ascii="Calibri" w:eastAsia="Times New Roman" w:hAnsi="Calibri" w:cs="Times New Roman"/>
                <w:b/>
                <w:color w:val="FFFFFF" w:themeColor="background1"/>
                <w:lang w:eastAsia="en-GB"/>
              </w:rPr>
              <w:t>Zone</w:t>
            </w:r>
            <w:r w:rsidRPr="00984AC7">
              <w:rPr>
                <w:rFonts w:ascii="Calibri" w:eastAsia="Times New Roman" w:hAnsi="Calibri" w:cs="Times New Roman"/>
                <w:b/>
                <w:color w:val="FFFFFF" w:themeColor="background1"/>
                <w:lang w:eastAsia="en-GB"/>
              </w:rPr>
              <w:t xml:space="preserve"> 1 B</w:t>
            </w:r>
            <w:r w:rsidR="00275782">
              <w:rPr>
                <w:rFonts w:ascii="Calibri" w:eastAsia="Times New Roman" w:hAnsi="Calibri" w:cs="Times New Roman"/>
                <w:b/>
                <w:color w:val="FFFFFF" w:themeColor="background1"/>
                <w:lang w:eastAsia="en-GB"/>
              </w:rPr>
              <w:t xml:space="preserve"> (2)</w:t>
            </w:r>
          </w:p>
        </w:tc>
      </w:tr>
      <w:tr w:rsidR="00440825" w:rsidRPr="00984AC7" w:rsidTr="00440FAF">
        <w:trPr>
          <w:trHeight w:val="20"/>
        </w:trPr>
        <w:tc>
          <w:tcPr>
            <w:tcW w:w="862" w:type="pct"/>
            <w:shd w:val="clear" w:color="auto" w:fill="DAEFD3" w:themeFill="accent1" w:themeFillTint="33"/>
          </w:tcPr>
          <w:p w:rsidR="00440825" w:rsidRPr="00984AC7" w:rsidRDefault="00440825" w:rsidP="00440FAF">
            <w:pPr>
              <w:spacing w:before="40" w:after="40"/>
              <w:jc w:val="center"/>
              <w:rPr>
                <w:rFonts w:ascii="Calibri" w:eastAsia="Times New Roman" w:hAnsi="Calibri" w:cs="Times New Roman"/>
                <w:b/>
                <w:lang w:eastAsia="en-GB"/>
              </w:rPr>
            </w:pPr>
            <w:r>
              <w:rPr>
                <w:rFonts w:ascii="Calibri" w:eastAsia="Times New Roman" w:hAnsi="Calibri" w:cs="Times New Roman"/>
                <w:b/>
                <w:lang w:eastAsia="en-GB"/>
              </w:rPr>
              <w:t>ÉLEVÉ</w:t>
            </w:r>
          </w:p>
        </w:tc>
        <w:tc>
          <w:tcPr>
            <w:tcW w:w="1379" w:type="pct"/>
            <w:shd w:val="clear" w:color="auto" w:fill="FFFF00"/>
          </w:tcPr>
          <w:p w:rsidR="00440825" w:rsidRPr="00984AC7" w:rsidRDefault="00440825" w:rsidP="00440FAF">
            <w:pPr>
              <w:spacing w:before="40" w:after="40"/>
              <w:jc w:val="center"/>
              <w:rPr>
                <w:rFonts w:ascii="Calibri" w:eastAsia="Times New Roman" w:hAnsi="Calibri" w:cs="Times New Roman"/>
                <w:b/>
                <w:lang w:eastAsia="en-GB"/>
              </w:rPr>
            </w:pPr>
            <w:r>
              <w:rPr>
                <w:rFonts w:ascii="Calibri" w:eastAsia="Times New Roman" w:hAnsi="Calibri" w:cs="Times New Roman"/>
                <w:b/>
                <w:lang w:eastAsia="en-GB"/>
              </w:rPr>
              <w:t>Zone</w:t>
            </w:r>
            <w:r w:rsidRPr="00984AC7">
              <w:rPr>
                <w:rFonts w:ascii="Calibri" w:eastAsia="Times New Roman" w:hAnsi="Calibri" w:cs="Times New Roman"/>
                <w:b/>
                <w:lang w:eastAsia="en-GB"/>
              </w:rPr>
              <w:t xml:space="preserve"> 4 A</w:t>
            </w:r>
            <w:r w:rsidR="00275782">
              <w:rPr>
                <w:rFonts w:ascii="Calibri" w:eastAsia="Times New Roman" w:hAnsi="Calibri" w:cs="Times New Roman"/>
                <w:b/>
                <w:lang w:eastAsia="en-GB"/>
              </w:rPr>
              <w:t xml:space="preserve"> (7)</w:t>
            </w:r>
          </w:p>
        </w:tc>
        <w:tc>
          <w:tcPr>
            <w:tcW w:w="1379" w:type="pct"/>
            <w:shd w:val="clear" w:color="auto" w:fill="FF0000"/>
            <w:vAlign w:val="center"/>
          </w:tcPr>
          <w:p w:rsidR="00440825" w:rsidRPr="00984AC7" w:rsidRDefault="00440825" w:rsidP="00440FAF">
            <w:pPr>
              <w:spacing w:before="40" w:after="40"/>
              <w:jc w:val="center"/>
              <w:rPr>
                <w:rFonts w:ascii="Calibri" w:eastAsia="Times New Roman" w:hAnsi="Calibri" w:cs="Times New Roman"/>
                <w:b/>
                <w:lang w:eastAsia="en-GB"/>
              </w:rPr>
            </w:pPr>
            <w:r>
              <w:rPr>
                <w:rFonts w:ascii="Calibri" w:eastAsia="Times New Roman" w:hAnsi="Calibri" w:cs="Times New Roman"/>
                <w:b/>
                <w:lang w:eastAsia="en-GB"/>
              </w:rPr>
              <w:t>Zone</w:t>
            </w:r>
            <w:r w:rsidRPr="00984AC7">
              <w:rPr>
                <w:rFonts w:ascii="Calibri" w:eastAsia="Times New Roman" w:hAnsi="Calibri" w:cs="Times New Roman"/>
                <w:b/>
                <w:lang w:eastAsia="en-GB"/>
              </w:rPr>
              <w:t xml:space="preserve"> 2 A</w:t>
            </w:r>
            <w:r w:rsidR="00275782">
              <w:rPr>
                <w:rFonts w:ascii="Calibri" w:eastAsia="Times New Roman" w:hAnsi="Calibri" w:cs="Times New Roman"/>
                <w:b/>
                <w:lang w:eastAsia="en-GB"/>
              </w:rPr>
              <w:t xml:space="preserve"> (3)</w:t>
            </w:r>
          </w:p>
        </w:tc>
        <w:tc>
          <w:tcPr>
            <w:tcW w:w="1379" w:type="pct"/>
            <w:shd w:val="clear" w:color="auto" w:fill="7030A0"/>
            <w:vAlign w:val="center"/>
          </w:tcPr>
          <w:p w:rsidR="00440825" w:rsidRPr="00984AC7" w:rsidRDefault="00440825" w:rsidP="00440FAF">
            <w:pPr>
              <w:spacing w:before="40" w:after="40"/>
              <w:jc w:val="center"/>
              <w:rPr>
                <w:rFonts w:ascii="Calibri" w:eastAsia="Times New Roman" w:hAnsi="Calibri" w:cs="Times New Roman"/>
                <w:b/>
                <w:color w:val="FFFFFF"/>
                <w:lang w:eastAsia="en-GB"/>
              </w:rPr>
            </w:pPr>
            <w:r>
              <w:rPr>
                <w:rFonts w:ascii="Calibri" w:eastAsia="Times New Roman" w:hAnsi="Calibri" w:cs="Times New Roman"/>
                <w:b/>
                <w:color w:val="FFFFFF"/>
                <w:lang w:eastAsia="en-GB"/>
              </w:rPr>
              <w:t>Zone</w:t>
            </w:r>
            <w:r w:rsidRPr="00984AC7">
              <w:rPr>
                <w:rFonts w:ascii="Calibri" w:eastAsia="Times New Roman" w:hAnsi="Calibri" w:cs="Times New Roman"/>
                <w:b/>
                <w:color w:val="FFFFFF"/>
                <w:lang w:eastAsia="en-GB"/>
              </w:rPr>
              <w:t xml:space="preserve"> 1 A</w:t>
            </w:r>
            <w:r w:rsidR="00275782">
              <w:rPr>
                <w:rFonts w:ascii="Calibri" w:eastAsia="Times New Roman" w:hAnsi="Calibri" w:cs="Times New Roman"/>
                <w:b/>
                <w:color w:val="FFFFFF"/>
                <w:lang w:eastAsia="en-GB"/>
              </w:rPr>
              <w:t xml:space="preserve"> (1)</w:t>
            </w:r>
          </w:p>
        </w:tc>
      </w:tr>
    </w:tbl>
    <w:p w:rsidR="00440825" w:rsidRPr="005132EA" w:rsidRDefault="00440825" w:rsidP="00440825">
      <w:pPr>
        <w:spacing w:before="0" w:line="240" w:lineRule="auto"/>
        <w:rPr>
          <w:rFonts w:ascii="Nyala" w:hAnsi="Nyala"/>
          <w:sz w:val="18"/>
          <w:szCs w:val="18"/>
        </w:rPr>
      </w:pPr>
      <w:r w:rsidRPr="005132EA">
        <w:rPr>
          <w:rFonts w:ascii="Nyala" w:hAnsi="Nyala"/>
          <w:sz w:val="18"/>
          <w:szCs w:val="18"/>
        </w:rPr>
        <w:t>Source : PAM -AIC, 2018</w:t>
      </w:r>
    </w:p>
    <w:p w:rsidR="00440FAF" w:rsidRDefault="00440FAF" w:rsidP="00440825">
      <w:pPr>
        <w:jc w:val="both"/>
        <w:rPr>
          <w:rFonts w:ascii="Nyala" w:hAnsi="Nyala"/>
          <w:sz w:val="28"/>
          <w:szCs w:val="28"/>
        </w:rPr>
      </w:pPr>
    </w:p>
    <w:p w:rsidR="00440825" w:rsidRDefault="00146983" w:rsidP="00440825">
      <w:pPr>
        <w:jc w:val="both"/>
        <w:rPr>
          <w:rFonts w:ascii="Nyala" w:hAnsi="Nyala"/>
          <w:sz w:val="28"/>
          <w:szCs w:val="28"/>
        </w:rPr>
      </w:pPr>
      <w:r>
        <w:rPr>
          <w:noProof/>
          <w:lang w:eastAsia="fr-FR"/>
        </w:rPr>
        <mc:AlternateContent>
          <mc:Choice Requires="wps">
            <w:drawing>
              <wp:anchor distT="0" distB="0" distL="114300" distR="114300" simplePos="0" relativeHeight="252004352" behindDoc="0" locked="0" layoutInCell="1" allowOverlap="1" wp14:anchorId="5F7A4ECA">
                <wp:simplePos x="0" y="0"/>
                <wp:positionH relativeFrom="margin">
                  <wp:posOffset>1778000</wp:posOffset>
                </wp:positionH>
                <wp:positionV relativeFrom="paragraph">
                  <wp:posOffset>126365</wp:posOffset>
                </wp:positionV>
                <wp:extent cx="1828800" cy="1828800"/>
                <wp:effectExtent l="0" t="0" r="19685" b="28575"/>
                <wp:wrapSquare wrapText="bothSides"/>
                <wp:docPr id="77"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solidFill>
                            <a:prstClr val="black"/>
                          </a:solidFill>
                        </a:ln>
                        <a:effectLst/>
                      </wps:spPr>
                      <wps:txbx>
                        <w:txbxContent>
                          <w:p w:rsidR="00146325" w:rsidRDefault="00146325" w:rsidP="00440FAF">
                            <w:pPr>
                              <w:pStyle w:val="Lgende"/>
                              <w:keepNext/>
                              <w:jc w:val="both"/>
                            </w:pPr>
                            <w:r>
                              <w:t xml:space="preserve">carte </w:t>
                            </w:r>
                            <w:r w:rsidR="00C73EE5">
                              <w:fldChar w:fldCharType="begin"/>
                            </w:r>
                            <w:r w:rsidR="00C73EE5">
                              <w:instrText xml:space="preserve"> SEQ carte \* ARABIC </w:instrText>
                            </w:r>
                            <w:r w:rsidR="00C73EE5">
                              <w:fldChar w:fldCharType="separate"/>
                            </w:r>
                            <w:r>
                              <w:rPr>
                                <w:noProof/>
                              </w:rPr>
                              <w:t>1</w:t>
                            </w:r>
                            <w:r w:rsidR="00C73EE5">
                              <w:rPr>
                                <w:noProof/>
                              </w:rPr>
                              <w:fldChar w:fldCharType="end"/>
                            </w:r>
                            <w:r>
                              <w:t xml:space="preserve"> départements du Niger classés selon les zones AIC</w:t>
                            </w:r>
                          </w:p>
                          <w:p w:rsidR="00146325" w:rsidRPr="00672169" w:rsidRDefault="00146325" w:rsidP="00440FAF">
                            <w:pPr>
                              <w:jc w:val="both"/>
                              <w:rPr>
                                <w:noProof/>
                              </w:rPr>
                            </w:pPr>
                            <w:r>
                              <w:rPr>
                                <w:noProof/>
                                <w:lang w:eastAsia="fr-FR"/>
                              </w:rPr>
                              <w:drawing>
                                <wp:inline distT="0" distB="0" distL="0" distR="0">
                                  <wp:extent cx="3482502" cy="2470987"/>
                                  <wp:effectExtent l="0" t="0" r="3810" b="571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86464" cy="2473798"/>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7A4ECA" id="Zone de texte 77" o:spid="_x0000_s1046" type="#_x0000_t202" style="position:absolute;left:0;text-align:left;margin-left:140pt;margin-top:9.95pt;width:2in;height:2in;z-index:2520043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" filled="f" strokeweight=".5pt">
                <v:path arrowok="t"/>
                <v:textbox style="mso-fit-shape-to-text:t">
                  <w:txbxContent>
                    <w:p w:rsidR="00146325" w:rsidRDefault="00146325" w:rsidP="00440FAF">
                      <w:pPr>
                        <w:pStyle w:val="Lgende"/>
                        <w:keepNext/>
                        <w:jc w:val="both"/>
                      </w:pPr>
                      <w:r>
                        <w:t xml:space="preserve">carte </w:t>
                      </w:r>
                      <w:r w:rsidR="00C73EE5">
                        <w:fldChar w:fldCharType="begin"/>
                      </w:r>
                      <w:r w:rsidR="00C73EE5">
                        <w:instrText xml:space="preserve"> SEQ carte \* ARABIC </w:instrText>
                      </w:r>
                      <w:r w:rsidR="00C73EE5">
                        <w:fldChar w:fldCharType="separate"/>
                      </w:r>
                      <w:r>
                        <w:rPr>
                          <w:noProof/>
                        </w:rPr>
                        <w:t>1</w:t>
                      </w:r>
                      <w:r w:rsidR="00C73EE5">
                        <w:rPr>
                          <w:noProof/>
                        </w:rPr>
                        <w:fldChar w:fldCharType="end"/>
                      </w:r>
                      <w:r>
                        <w:t xml:space="preserve"> départements du Niger classés selon les zones AIC</w:t>
                      </w:r>
                    </w:p>
                    <w:p w:rsidR="00146325" w:rsidRPr="00672169" w:rsidRDefault="00146325" w:rsidP="00440FAF">
                      <w:pPr>
                        <w:jc w:val="both"/>
                        <w:rPr>
                          <w:noProof/>
                        </w:rPr>
                      </w:pPr>
                      <w:r>
                        <w:rPr>
                          <w:noProof/>
                          <w:lang w:eastAsia="fr-FR"/>
                        </w:rPr>
                        <w:drawing>
                          <wp:inline distT="0" distB="0" distL="0" distR="0">
                            <wp:extent cx="3482502" cy="2470987"/>
                            <wp:effectExtent l="0" t="0" r="3810" b="571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86464" cy="2473798"/>
                                    </a:xfrm>
                                    <a:prstGeom prst="rect">
                                      <a:avLst/>
                                    </a:prstGeom>
                                  </pic:spPr>
                                </pic:pic>
                              </a:graphicData>
                            </a:graphic>
                          </wp:inline>
                        </w:drawing>
                      </w:r>
                    </w:p>
                  </w:txbxContent>
                </v:textbox>
                <w10:wrap type="square" anchorx="margin"/>
              </v:shape>
            </w:pict>
          </mc:Fallback>
        </mc:AlternateContent>
      </w:r>
    </w:p>
    <w:p w:rsidR="00440FAF" w:rsidRDefault="00440FAF" w:rsidP="00440825">
      <w:pPr>
        <w:jc w:val="both"/>
        <w:rPr>
          <w:rFonts w:ascii="Nyala" w:hAnsi="Nyala"/>
          <w:sz w:val="28"/>
          <w:szCs w:val="28"/>
        </w:rPr>
      </w:pPr>
    </w:p>
    <w:p w:rsidR="006C6EC5" w:rsidRDefault="00440825" w:rsidP="00872E78">
      <w:pPr>
        <w:jc w:val="both"/>
        <w:rPr>
          <w:rFonts w:ascii="Nyala" w:hAnsi="Nyala"/>
          <w:sz w:val="28"/>
          <w:szCs w:val="28"/>
        </w:rPr>
      </w:pPr>
      <w:r>
        <w:rPr>
          <w:rFonts w:ascii="Nyala" w:hAnsi="Nyala"/>
          <w:sz w:val="28"/>
          <w:szCs w:val="28"/>
        </w:rPr>
        <w:t xml:space="preserve">La </w:t>
      </w:r>
      <w:r w:rsidR="00275782">
        <w:rPr>
          <w:rFonts w:ascii="Nyala" w:hAnsi="Nyala"/>
          <w:sz w:val="28"/>
          <w:szCs w:val="28"/>
        </w:rPr>
        <w:t xml:space="preserve">carte </w:t>
      </w:r>
      <w:r>
        <w:rPr>
          <w:rFonts w:ascii="Nyala" w:hAnsi="Nyala"/>
          <w:sz w:val="28"/>
          <w:szCs w:val="28"/>
        </w:rPr>
        <w:t>illustre le classement des différents départements selon les deux paramètres pris en compte pour la période 2013-2017</w:t>
      </w:r>
    </w:p>
    <w:p w:rsidR="00440825" w:rsidRDefault="00440825" w:rsidP="00872E78">
      <w:pPr>
        <w:jc w:val="both"/>
        <w:rPr>
          <w:rFonts w:ascii="Nyala" w:hAnsi="Nyala"/>
          <w:sz w:val="28"/>
          <w:szCs w:val="28"/>
        </w:rPr>
      </w:pPr>
    </w:p>
    <w:p w:rsidR="009D7724" w:rsidRDefault="009D7724">
      <w:pPr>
        <w:rPr>
          <w:rFonts w:ascii="Nyala" w:hAnsi="Nyala"/>
          <w:sz w:val="28"/>
          <w:szCs w:val="28"/>
        </w:rPr>
      </w:pPr>
    </w:p>
    <w:p w:rsidR="00440825" w:rsidRDefault="00440825">
      <w:pPr>
        <w:rPr>
          <w:rFonts w:ascii="Nyala" w:hAnsi="Nyala"/>
          <w:sz w:val="28"/>
          <w:szCs w:val="28"/>
        </w:rPr>
      </w:pPr>
      <w:r>
        <w:rPr>
          <w:rFonts w:ascii="Nyala" w:hAnsi="Nyala"/>
          <w:sz w:val="28"/>
          <w:szCs w:val="28"/>
        </w:rPr>
        <w:br w:type="page"/>
      </w:r>
    </w:p>
    <w:p w:rsidR="006C6EC5" w:rsidRPr="006C6EC5" w:rsidRDefault="006C6EC5" w:rsidP="00141D20">
      <w:pPr>
        <w:pStyle w:val="Titre3"/>
        <w:numPr>
          <w:ilvl w:val="2"/>
          <w:numId w:val="2"/>
        </w:numPr>
      </w:pPr>
      <w:bookmarkStart w:id="292" w:name="_Toc526119971"/>
      <w:r w:rsidRPr="006C6EC5">
        <w:t>Enjeux et défis de la réduction de la sous-alimentation</w:t>
      </w:r>
      <w:bookmarkEnd w:id="292"/>
    </w:p>
    <w:p w:rsidR="00A92566" w:rsidRPr="00141D20" w:rsidRDefault="00A92566" w:rsidP="00B31C14">
      <w:pPr>
        <w:jc w:val="both"/>
        <w:rPr>
          <w:rFonts w:ascii="Nyala" w:hAnsi="Nyala"/>
          <w:bCs/>
          <w:color w:val="000000"/>
          <w:sz w:val="28"/>
          <w:szCs w:val="28"/>
          <w:lang w:eastAsia="fr-FR"/>
        </w:rPr>
      </w:pPr>
      <w:bookmarkStart w:id="293" w:name="_Toc525045978"/>
      <w:bookmarkStart w:id="294" w:name="_Toc525046029"/>
      <w:bookmarkStart w:id="295" w:name="_Toc525046080"/>
      <w:bookmarkStart w:id="296" w:name="_Toc525393554"/>
      <w:bookmarkStart w:id="297" w:name="_Toc525396811"/>
      <w:bookmarkEnd w:id="293"/>
      <w:bookmarkEnd w:id="294"/>
      <w:bookmarkEnd w:id="295"/>
      <w:bookmarkEnd w:id="296"/>
      <w:bookmarkEnd w:id="297"/>
    </w:p>
    <w:p w:rsidR="00A92566" w:rsidRPr="009B11E1" w:rsidRDefault="00A92566" w:rsidP="00A92566">
      <w:pPr>
        <w:jc w:val="both"/>
        <w:rPr>
          <w:rStyle w:val="Rfrenceintense"/>
          <w:sz w:val="28"/>
          <w:szCs w:val="28"/>
        </w:rPr>
      </w:pPr>
      <w:bookmarkStart w:id="298" w:name="_Toc525046081"/>
      <w:bookmarkStart w:id="299" w:name="_Toc525234553"/>
      <w:bookmarkStart w:id="300" w:name="_Toc525235077"/>
      <w:bookmarkStart w:id="301" w:name="_Toc525322212"/>
      <w:bookmarkEnd w:id="298"/>
      <w:bookmarkEnd w:id="299"/>
      <w:bookmarkEnd w:id="300"/>
      <w:bookmarkEnd w:id="301"/>
      <w:r w:rsidRPr="009B11E1">
        <w:rPr>
          <w:rStyle w:val="Rfrenceintense"/>
          <w:sz w:val="28"/>
          <w:szCs w:val="28"/>
        </w:rPr>
        <w:t>De la réduction de la prévalence de l’insécurité alimentaire</w:t>
      </w:r>
    </w:p>
    <w:p w:rsidR="00A92566" w:rsidRDefault="00A92566" w:rsidP="00A92566">
      <w:pPr>
        <w:jc w:val="both"/>
        <w:rPr>
          <w:rFonts w:ascii="Nyala" w:hAnsi="Nyala"/>
          <w:sz w:val="28"/>
          <w:szCs w:val="28"/>
        </w:rPr>
      </w:pPr>
      <w:r w:rsidRPr="006866D3">
        <w:rPr>
          <w:rFonts w:ascii="Nyala" w:hAnsi="Nyala"/>
          <w:sz w:val="28"/>
          <w:szCs w:val="28"/>
        </w:rPr>
        <w:t xml:space="preserve">Sur la période de 2008 à 2016, il a été recensé près de 4 millions de personnes/an en insécurité alimentaire </w:t>
      </w:r>
      <w:r>
        <w:rPr>
          <w:rFonts w:ascii="Nyala" w:hAnsi="Nyala"/>
          <w:sz w:val="28"/>
          <w:szCs w:val="28"/>
        </w:rPr>
        <w:t xml:space="preserve">environ </w:t>
      </w:r>
      <w:r w:rsidRPr="006866D3">
        <w:rPr>
          <w:rFonts w:ascii="Nyala" w:hAnsi="Nyala"/>
          <w:sz w:val="28"/>
          <w:szCs w:val="28"/>
        </w:rPr>
        <w:t xml:space="preserve">(1 million en insécurité alimentaire sévère et </w:t>
      </w:r>
      <w:r>
        <w:rPr>
          <w:rFonts w:ascii="Nyala" w:hAnsi="Nyala"/>
          <w:sz w:val="28"/>
          <w:szCs w:val="28"/>
        </w:rPr>
        <w:t>3</w:t>
      </w:r>
      <w:r w:rsidRPr="006866D3">
        <w:rPr>
          <w:rFonts w:ascii="Nyala" w:hAnsi="Nyala"/>
          <w:sz w:val="28"/>
          <w:szCs w:val="28"/>
        </w:rPr>
        <w:t xml:space="preserve"> millions en insécurité modérée) avec de fortes variations d’une année à l’autre soit une prévalence moyenne d’environ 5,6% et 14%. Ainsi, en 2013-2014 moins de 100 000 personnes étant </w:t>
      </w:r>
      <w:r>
        <w:rPr>
          <w:rFonts w:ascii="Nyala" w:hAnsi="Nyala"/>
          <w:sz w:val="28"/>
          <w:szCs w:val="28"/>
        </w:rPr>
        <w:t xml:space="preserve">en insécurité alimentaire </w:t>
      </w:r>
      <w:r w:rsidRPr="006866D3">
        <w:rPr>
          <w:rFonts w:ascii="Nyala" w:hAnsi="Nyala"/>
          <w:sz w:val="28"/>
          <w:szCs w:val="28"/>
        </w:rPr>
        <w:t>sévère alors qu’ils étaient plus de 2,73 millions en 2009/2010, soit 21,5% de la population. En 2016, sur une population rurale de 17 097 315 habitants, 53% étaient en sécurité alimentaire, 12,4% étaient en insécurité alimentaire sévère ou modérée et 32,4% en situation de risque de basculement vers l’insécurité alimentaire (INS-SAP, 2016)</w:t>
      </w:r>
      <w:r w:rsidRPr="006866D3">
        <w:rPr>
          <w:rStyle w:val="Appelnotedebasdep"/>
          <w:rFonts w:ascii="Nyala" w:hAnsi="Nyala"/>
          <w:sz w:val="28"/>
          <w:szCs w:val="28"/>
        </w:rPr>
        <w:footnoteReference w:id="9"/>
      </w:r>
      <w:r w:rsidRPr="006866D3">
        <w:rPr>
          <w:rFonts w:ascii="Nyala" w:hAnsi="Nyala"/>
          <w:sz w:val="28"/>
          <w:szCs w:val="28"/>
        </w:rPr>
        <w:t xml:space="preserve">. </w:t>
      </w:r>
    </w:p>
    <w:p w:rsidR="00751930" w:rsidRDefault="00146983" w:rsidP="00A92566">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983872" behindDoc="0" locked="0" layoutInCell="1" allowOverlap="1" wp14:anchorId="2346D2E5">
                <wp:simplePos x="0" y="0"/>
                <wp:positionH relativeFrom="margin">
                  <wp:align>right</wp:align>
                </wp:positionH>
                <wp:positionV relativeFrom="paragraph">
                  <wp:posOffset>29845</wp:posOffset>
                </wp:positionV>
                <wp:extent cx="4023360" cy="2844800"/>
                <wp:effectExtent l="0" t="0" r="15240" b="12700"/>
                <wp:wrapSquare wrapText="bothSides"/>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2844800"/>
                        </a:xfrm>
                        <a:prstGeom prst="rect">
                          <a:avLst/>
                        </a:prstGeom>
                        <a:noFill/>
                        <a:ln w="6350">
                          <a:solidFill>
                            <a:prstClr val="black"/>
                          </a:solidFill>
                        </a:ln>
                        <a:effectLst/>
                      </wps:spPr>
                      <wps:txbx>
                        <w:txbxContent>
                          <w:p w:rsidR="00146325" w:rsidRDefault="00146325" w:rsidP="00A92566">
                            <w:pPr>
                              <w:pStyle w:val="Lgende"/>
                              <w:keepNext/>
                              <w:jc w:val="both"/>
                            </w:pPr>
                            <w:bookmarkStart w:id="302" w:name="_Toc526120083"/>
                            <w:r>
                              <w:t xml:space="preserve">Figure </w:t>
                            </w:r>
                            <w:r w:rsidR="00C73EE5">
                              <w:fldChar w:fldCharType="begin"/>
                            </w:r>
                            <w:r w:rsidR="00C73EE5">
                              <w:instrText xml:space="preserve"> SEQ Figure \* ARABIC </w:instrText>
                            </w:r>
                            <w:r w:rsidR="00C73EE5">
                              <w:fldChar w:fldCharType="separate"/>
                            </w:r>
                            <w:r>
                              <w:rPr>
                                <w:noProof/>
                              </w:rPr>
                              <w:t>17</w:t>
                            </w:r>
                            <w:r w:rsidR="00C73EE5">
                              <w:rPr>
                                <w:noProof/>
                              </w:rPr>
                              <w:fldChar w:fldCharType="end"/>
                            </w:r>
                            <w:r>
                              <w:t xml:space="preserve"> - Tendance évolutive du nombre de personnes en insécurité alimentaire</w:t>
                            </w:r>
                            <w:bookmarkEnd w:id="302"/>
                          </w:p>
                          <w:p w:rsidR="00146325" w:rsidRDefault="00146325" w:rsidP="00A92566">
                            <w:pPr>
                              <w:jc w:val="both"/>
                            </w:pPr>
                            <w:r w:rsidRPr="008023C4">
                              <w:rPr>
                                <w:noProof/>
                                <w:lang w:eastAsia="fr-FR"/>
                              </w:rPr>
                              <w:drawing>
                                <wp:inline distT="0" distB="0" distL="0" distR="0">
                                  <wp:extent cx="3582238" cy="1902259"/>
                                  <wp:effectExtent l="0" t="0" r="0"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86124" cy="1904322"/>
                                          </a:xfrm>
                                          <a:prstGeom prst="rect">
                                            <a:avLst/>
                                          </a:prstGeom>
                                          <a:noFill/>
                                          <a:ln>
                                            <a:noFill/>
                                          </a:ln>
                                        </pic:spPr>
                                      </pic:pic>
                                    </a:graphicData>
                                  </a:graphic>
                                </wp:inline>
                              </w:drawing>
                            </w:r>
                          </w:p>
                          <w:p w:rsidR="00146325" w:rsidRPr="00F465B5" w:rsidRDefault="00146325" w:rsidP="00A92566">
                            <w:pPr>
                              <w:spacing w:before="0" w:after="0" w:line="240" w:lineRule="auto"/>
                              <w:jc w:val="both"/>
                              <w:rPr>
                                <w:sz w:val="16"/>
                                <w:szCs w:val="16"/>
                              </w:rPr>
                            </w:pPr>
                            <w:r w:rsidRPr="00F465B5">
                              <w:rPr>
                                <w:sz w:val="16"/>
                                <w:szCs w:val="16"/>
                              </w:rPr>
                              <w:t>Source : Enquêtes vulnérabilité INS et PDES 2017-2021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46D2E5" id="Zone de texte 49" o:spid="_x0000_s1047" type="#_x0000_t202" style="position:absolute;left:0;text-align:left;margin-left:265.6pt;margin-top:2.35pt;width:316.8pt;height:224pt;z-index:25198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" filled="f" strokeweight=".5pt">
                <v:path arrowok="t"/>
                <v:textbox>
                  <w:txbxContent>
                    <w:p w:rsidR="00146325" w:rsidRDefault="00146325" w:rsidP="00A92566">
                      <w:pPr>
                        <w:pStyle w:val="Lgende"/>
                        <w:keepNext/>
                        <w:jc w:val="both"/>
                      </w:pPr>
                      <w:bookmarkStart w:id="303" w:name="_Toc526120083"/>
                      <w:r>
                        <w:t xml:space="preserve">Figure </w:t>
                      </w:r>
                      <w:r w:rsidR="00C73EE5">
                        <w:fldChar w:fldCharType="begin"/>
                      </w:r>
                      <w:r w:rsidR="00C73EE5">
                        <w:instrText xml:space="preserve"> SEQ Figure \* ARABIC </w:instrText>
                      </w:r>
                      <w:r w:rsidR="00C73EE5">
                        <w:fldChar w:fldCharType="separate"/>
                      </w:r>
                      <w:r>
                        <w:rPr>
                          <w:noProof/>
                        </w:rPr>
                        <w:t>17</w:t>
                      </w:r>
                      <w:r w:rsidR="00C73EE5">
                        <w:rPr>
                          <w:noProof/>
                        </w:rPr>
                        <w:fldChar w:fldCharType="end"/>
                      </w:r>
                      <w:r>
                        <w:t xml:space="preserve"> - Tendance évolutive du nombre de personnes en insécurité alimentaire</w:t>
                      </w:r>
                      <w:bookmarkEnd w:id="303"/>
                    </w:p>
                    <w:p w:rsidR="00146325" w:rsidRDefault="00146325" w:rsidP="00A92566">
                      <w:pPr>
                        <w:jc w:val="both"/>
                      </w:pPr>
                      <w:r w:rsidRPr="008023C4">
                        <w:rPr>
                          <w:noProof/>
                          <w:lang w:eastAsia="fr-FR"/>
                        </w:rPr>
                        <w:drawing>
                          <wp:inline distT="0" distB="0" distL="0" distR="0">
                            <wp:extent cx="3582238" cy="1902259"/>
                            <wp:effectExtent l="0" t="0" r="0"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86124" cy="1904322"/>
                                    </a:xfrm>
                                    <a:prstGeom prst="rect">
                                      <a:avLst/>
                                    </a:prstGeom>
                                    <a:noFill/>
                                    <a:ln>
                                      <a:noFill/>
                                    </a:ln>
                                  </pic:spPr>
                                </pic:pic>
                              </a:graphicData>
                            </a:graphic>
                          </wp:inline>
                        </w:drawing>
                      </w:r>
                    </w:p>
                    <w:p w:rsidR="00146325" w:rsidRPr="00F465B5" w:rsidRDefault="00146325" w:rsidP="00A92566">
                      <w:pPr>
                        <w:spacing w:before="0" w:after="0" w:line="240" w:lineRule="auto"/>
                        <w:jc w:val="both"/>
                        <w:rPr>
                          <w:sz w:val="16"/>
                          <w:szCs w:val="16"/>
                        </w:rPr>
                      </w:pPr>
                      <w:r w:rsidRPr="00F465B5">
                        <w:rPr>
                          <w:sz w:val="16"/>
                          <w:szCs w:val="16"/>
                        </w:rPr>
                        <w:t>Source : Enquêtes vulnérabilité INS et PDES 2017-2021</w:t>
                      </w:r>
                    </w:p>
                  </w:txbxContent>
                </v:textbox>
                <w10:wrap type="square" anchorx="margin"/>
              </v:shape>
            </w:pict>
          </mc:Fallback>
        </mc:AlternateContent>
      </w:r>
      <w:r w:rsidR="00751930" w:rsidRPr="006866D3">
        <w:rPr>
          <w:rFonts w:ascii="Nyala" w:hAnsi="Nyala"/>
          <w:sz w:val="28"/>
          <w:szCs w:val="28"/>
        </w:rPr>
        <w:t xml:space="preserve">Pour maintenir, le niveau de prévalence de l’insécurité alimentaire sévère et modéré à 1% et 11% de </w:t>
      </w:r>
      <w:r w:rsidR="008979F9">
        <w:rPr>
          <w:rFonts w:ascii="Nyala" w:hAnsi="Nyala"/>
          <w:sz w:val="28"/>
          <w:szCs w:val="28"/>
        </w:rPr>
        <w:t>la population (</w:t>
      </w:r>
      <w:r w:rsidR="00751930" w:rsidRPr="006866D3">
        <w:rPr>
          <w:rFonts w:ascii="Nyala" w:hAnsi="Nyala"/>
          <w:sz w:val="28"/>
          <w:szCs w:val="28"/>
        </w:rPr>
        <w:t>PDES 2017-2021), le Niger doit s’attendre à une augmentation en valeur absolue du nombre de personnes à soutenir ; en 2030, elles atteindraient 3,2 millions de personnes (</w:t>
      </w:r>
      <w:r w:rsidR="00751930" w:rsidRPr="006866D3">
        <w:rPr>
          <w:rFonts w:ascii="Nyala" w:hAnsi="Nyala"/>
          <w:b/>
          <w:sz w:val="28"/>
          <w:szCs w:val="28"/>
        </w:rPr>
        <w:t>Figure 1</w:t>
      </w:r>
      <w:r w:rsidR="00D24025">
        <w:rPr>
          <w:rFonts w:ascii="Nyala" w:hAnsi="Nyala"/>
          <w:b/>
          <w:sz w:val="28"/>
          <w:szCs w:val="28"/>
        </w:rPr>
        <w:t>7</w:t>
      </w:r>
      <w:r w:rsidR="00751930" w:rsidRPr="006866D3">
        <w:rPr>
          <w:rFonts w:ascii="Nyala" w:hAnsi="Nyala"/>
          <w:sz w:val="28"/>
          <w:szCs w:val="28"/>
        </w:rPr>
        <w:t>).</w:t>
      </w:r>
    </w:p>
    <w:p w:rsidR="002D137E" w:rsidRDefault="002D137E" w:rsidP="00A92566">
      <w:pPr>
        <w:jc w:val="both"/>
        <w:rPr>
          <w:rFonts w:ascii="Nyala" w:hAnsi="Nyala"/>
          <w:sz w:val="28"/>
          <w:szCs w:val="28"/>
        </w:rPr>
      </w:pPr>
    </w:p>
    <w:p w:rsidR="003B1AE5" w:rsidRPr="00141D20" w:rsidRDefault="00751930" w:rsidP="0020633B">
      <w:pPr>
        <w:jc w:val="both"/>
        <w:rPr>
          <w:rFonts w:ascii="Nyala" w:hAnsi="Nyala"/>
          <w:i/>
          <w:sz w:val="28"/>
          <w:szCs w:val="28"/>
        </w:rPr>
      </w:pPr>
      <w:r w:rsidRPr="00141D20">
        <w:rPr>
          <w:rFonts w:ascii="Nyala" w:hAnsi="Nyala"/>
          <w:i/>
          <w:sz w:val="28"/>
          <w:szCs w:val="28"/>
        </w:rPr>
        <w:t xml:space="preserve">Cette perspective </w:t>
      </w:r>
      <w:r w:rsidR="0044040C" w:rsidRPr="00141D20">
        <w:rPr>
          <w:rFonts w:ascii="Nyala" w:hAnsi="Nyala"/>
          <w:i/>
          <w:sz w:val="28"/>
          <w:szCs w:val="28"/>
        </w:rPr>
        <w:t>doit d’ores et déjà inciter les pouvoirs publics le</w:t>
      </w:r>
      <w:r w:rsidR="00A92566" w:rsidRPr="00141D20">
        <w:rPr>
          <w:rFonts w:ascii="Nyala" w:hAnsi="Nyala"/>
          <w:i/>
          <w:sz w:val="28"/>
          <w:szCs w:val="28"/>
        </w:rPr>
        <w:t xml:space="preserve">s pouvoirs publics </w:t>
      </w:r>
      <w:r w:rsidR="0044040C" w:rsidRPr="00141D20">
        <w:rPr>
          <w:rFonts w:ascii="Nyala" w:hAnsi="Nyala"/>
          <w:i/>
          <w:sz w:val="28"/>
          <w:szCs w:val="28"/>
        </w:rPr>
        <w:t>à</w:t>
      </w:r>
      <w:r w:rsidR="003B1AE5" w:rsidRPr="00141D20">
        <w:rPr>
          <w:rFonts w:ascii="Nyala" w:hAnsi="Nyala"/>
          <w:i/>
          <w:sz w:val="28"/>
          <w:szCs w:val="28"/>
        </w:rPr>
        <w:t> :</w:t>
      </w:r>
    </w:p>
    <w:p w:rsidR="003B2D57" w:rsidRPr="00141D20" w:rsidRDefault="003B2D57" w:rsidP="00141D20">
      <w:pPr>
        <w:pStyle w:val="Paragraphedeliste"/>
        <w:numPr>
          <w:ilvl w:val="0"/>
          <w:numId w:val="53"/>
        </w:numPr>
        <w:jc w:val="both"/>
        <w:rPr>
          <w:rFonts w:ascii="Nyala" w:hAnsi="Nyala"/>
          <w:i/>
          <w:sz w:val="28"/>
          <w:szCs w:val="28"/>
        </w:rPr>
      </w:pPr>
      <w:r w:rsidRPr="00141D20">
        <w:rPr>
          <w:rFonts w:ascii="Nyala" w:hAnsi="Nyala"/>
          <w:i/>
          <w:sz w:val="28"/>
          <w:szCs w:val="28"/>
        </w:rPr>
        <w:t>concevoir</w:t>
      </w:r>
      <w:r w:rsidR="0044040C" w:rsidRPr="00141D20">
        <w:rPr>
          <w:rFonts w:ascii="Nyala" w:hAnsi="Nyala"/>
          <w:i/>
          <w:sz w:val="28"/>
          <w:szCs w:val="28"/>
        </w:rPr>
        <w:t xml:space="preserve"> et implanter des  mécanismes complémentaires de protection sociale, en sus des filets sociaux dont le financement est supporté par les ressources extérieures</w:t>
      </w:r>
      <w:r w:rsidR="003B1AE5" w:rsidRPr="00141D20">
        <w:rPr>
          <w:rFonts w:ascii="Nyala" w:hAnsi="Nyala"/>
          <w:i/>
          <w:sz w:val="28"/>
          <w:szCs w:val="28"/>
        </w:rPr>
        <w:t xml:space="preserve"> ; </w:t>
      </w:r>
      <w:r w:rsidRPr="00141D20">
        <w:rPr>
          <w:rFonts w:ascii="Nyala" w:hAnsi="Nyala"/>
          <w:i/>
          <w:sz w:val="28"/>
          <w:szCs w:val="28"/>
        </w:rPr>
        <w:t xml:space="preserve">D’ores et déjà, il y a lieu de prévoir en conséquence les mécanismes pertinents et soutenables pour alléger les souffrances humaines et reconstituer les capacités productives des plus affectées tout en ménageant le budget de l’Etat. A ce niveau, les systèmes d’assurance agricole ou toute autre forme de mutualisation des risques par les ménages eux-mêmes sont à étudier. </w:t>
      </w:r>
    </w:p>
    <w:p w:rsidR="00854D53" w:rsidRPr="00141D20" w:rsidRDefault="00854D53" w:rsidP="00141D20">
      <w:pPr>
        <w:pStyle w:val="Paragraphedeliste"/>
        <w:ind w:left="1080"/>
        <w:jc w:val="both"/>
        <w:rPr>
          <w:rFonts w:ascii="Nyala" w:hAnsi="Nyala"/>
          <w:i/>
          <w:sz w:val="28"/>
          <w:szCs w:val="28"/>
        </w:rPr>
      </w:pPr>
    </w:p>
    <w:p w:rsidR="003B1AE5" w:rsidRPr="00141D20" w:rsidRDefault="003B2D57" w:rsidP="00141D20">
      <w:pPr>
        <w:pStyle w:val="Paragraphedeliste"/>
        <w:numPr>
          <w:ilvl w:val="0"/>
          <w:numId w:val="53"/>
        </w:numPr>
        <w:jc w:val="both"/>
        <w:rPr>
          <w:rFonts w:ascii="Nyala" w:hAnsi="Nyala"/>
          <w:i/>
          <w:sz w:val="28"/>
          <w:szCs w:val="28"/>
        </w:rPr>
      </w:pPr>
      <w:r w:rsidRPr="00141D20">
        <w:rPr>
          <w:rFonts w:ascii="Nyala" w:hAnsi="Nyala"/>
          <w:bCs/>
          <w:i/>
          <w:color w:val="000000"/>
          <w:sz w:val="28"/>
          <w:szCs w:val="28"/>
          <w:lang w:eastAsia="fr-FR"/>
        </w:rPr>
        <w:t xml:space="preserve">promouvoir l’utilisation dans la ration journalière du ménage des légumineuses, des sous-produits animaux et des fruits et légumes au détriment des céréales en améliorant leur production et leur mise en marché. </w:t>
      </w:r>
    </w:p>
    <w:p w:rsidR="00854D53" w:rsidRPr="00141D20" w:rsidRDefault="00854D53" w:rsidP="00141D20">
      <w:pPr>
        <w:pStyle w:val="Paragraphedeliste"/>
        <w:ind w:left="1080"/>
        <w:jc w:val="both"/>
        <w:rPr>
          <w:rFonts w:ascii="Nyala" w:hAnsi="Nyala"/>
          <w:i/>
          <w:sz w:val="28"/>
          <w:szCs w:val="28"/>
        </w:rPr>
      </w:pPr>
    </w:p>
    <w:p w:rsidR="003B1AE5" w:rsidRPr="00141D20" w:rsidRDefault="006948D7" w:rsidP="00141D20">
      <w:pPr>
        <w:pStyle w:val="Paragraphedeliste"/>
        <w:numPr>
          <w:ilvl w:val="0"/>
          <w:numId w:val="53"/>
        </w:numPr>
        <w:jc w:val="both"/>
        <w:rPr>
          <w:rFonts w:ascii="Nyala" w:hAnsi="Nyala"/>
          <w:i/>
          <w:sz w:val="28"/>
          <w:szCs w:val="28"/>
        </w:rPr>
      </w:pPr>
      <w:r w:rsidRPr="00141D20">
        <w:rPr>
          <w:rFonts w:ascii="Nyala" w:hAnsi="Nyala"/>
          <w:i/>
          <w:sz w:val="28"/>
          <w:szCs w:val="28"/>
        </w:rPr>
        <w:t>réduire la vulnérabilité des producteurs agricoles par des mesures incitatives pour un accroissement durable</w:t>
      </w:r>
      <w:r w:rsidR="003B2D57" w:rsidRPr="00141D20">
        <w:rPr>
          <w:rFonts w:ascii="Nyala" w:hAnsi="Nyala"/>
          <w:i/>
          <w:sz w:val="28"/>
          <w:szCs w:val="28"/>
        </w:rPr>
        <w:t xml:space="preserve">, </w:t>
      </w:r>
      <w:r w:rsidR="003B1AE5" w:rsidRPr="00141D20">
        <w:rPr>
          <w:rFonts w:ascii="Nyala" w:hAnsi="Nyala"/>
          <w:i/>
          <w:sz w:val="28"/>
          <w:szCs w:val="28"/>
        </w:rPr>
        <w:t xml:space="preserve">la diversification </w:t>
      </w:r>
      <w:r w:rsidRPr="00141D20">
        <w:rPr>
          <w:rFonts w:ascii="Nyala" w:hAnsi="Nyala"/>
          <w:i/>
          <w:sz w:val="28"/>
          <w:szCs w:val="28"/>
        </w:rPr>
        <w:t>de leur produ</w:t>
      </w:r>
      <w:r w:rsidR="003B1AE5" w:rsidRPr="00141D20">
        <w:rPr>
          <w:rFonts w:ascii="Nyala" w:hAnsi="Nyala"/>
          <w:i/>
          <w:sz w:val="28"/>
          <w:szCs w:val="28"/>
        </w:rPr>
        <w:t xml:space="preserve">ctions (pour autoconsommation) </w:t>
      </w:r>
      <w:r w:rsidRPr="00141D20">
        <w:rPr>
          <w:rFonts w:ascii="Nyala" w:hAnsi="Nyala"/>
          <w:i/>
          <w:sz w:val="28"/>
          <w:szCs w:val="28"/>
        </w:rPr>
        <w:t xml:space="preserve">et </w:t>
      </w:r>
      <w:r w:rsidR="003B2D57" w:rsidRPr="00141D20">
        <w:rPr>
          <w:rFonts w:ascii="Nyala" w:hAnsi="Nyala"/>
          <w:i/>
          <w:sz w:val="28"/>
          <w:szCs w:val="28"/>
        </w:rPr>
        <w:t>l’accroissement de leur pouvoir d’achat et de leur</w:t>
      </w:r>
      <w:r w:rsidRPr="00141D20">
        <w:rPr>
          <w:rFonts w:ascii="Nyala" w:hAnsi="Nyala"/>
          <w:i/>
          <w:sz w:val="28"/>
          <w:szCs w:val="28"/>
        </w:rPr>
        <w:t xml:space="preserve"> revenu</w:t>
      </w:r>
      <w:r w:rsidR="003B1AE5" w:rsidRPr="00141D20">
        <w:rPr>
          <w:rFonts w:ascii="Nyala" w:hAnsi="Nyala"/>
          <w:i/>
          <w:sz w:val="28"/>
          <w:szCs w:val="28"/>
        </w:rPr>
        <w:t>;</w:t>
      </w:r>
    </w:p>
    <w:p w:rsidR="00854D53" w:rsidRPr="00141D20" w:rsidRDefault="00854D53" w:rsidP="00141D20">
      <w:pPr>
        <w:pStyle w:val="Paragraphedeliste"/>
        <w:ind w:left="1080"/>
        <w:jc w:val="both"/>
        <w:rPr>
          <w:rFonts w:ascii="Nyala" w:hAnsi="Nyala"/>
          <w:i/>
          <w:sz w:val="28"/>
          <w:szCs w:val="28"/>
        </w:rPr>
      </w:pPr>
    </w:p>
    <w:p w:rsidR="003B1AE5" w:rsidRPr="00141D20" w:rsidRDefault="006948D7" w:rsidP="00141D20">
      <w:pPr>
        <w:pStyle w:val="Paragraphedeliste"/>
        <w:numPr>
          <w:ilvl w:val="0"/>
          <w:numId w:val="53"/>
        </w:numPr>
        <w:jc w:val="both"/>
        <w:rPr>
          <w:rFonts w:ascii="Nyala" w:hAnsi="Nyala"/>
          <w:i/>
          <w:sz w:val="28"/>
          <w:szCs w:val="28"/>
        </w:rPr>
      </w:pPr>
      <w:r w:rsidRPr="00141D20">
        <w:rPr>
          <w:rFonts w:ascii="Nyala" w:hAnsi="Nyala"/>
          <w:i/>
          <w:sz w:val="28"/>
          <w:szCs w:val="28"/>
        </w:rPr>
        <w:t>accroître l’accessibilité des ménages ruraux ou urbains aux aliments et nutriments dont ils ont besoin par l’éducation, la création d’</w:t>
      </w:r>
      <w:r w:rsidR="003B1AE5" w:rsidRPr="00141D20">
        <w:rPr>
          <w:rFonts w:ascii="Nyala" w:hAnsi="Nyala"/>
          <w:i/>
          <w:sz w:val="28"/>
          <w:szCs w:val="28"/>
        </w:rPr>
        <w:t xml:space="preserve">emplois permanents et l’approvisionnement des marchés ; </w:t>
      </w:r>
    </w:p>
    <w:p w:rsidR="00854D53" w:rsidRPr="00141D20" w:rsidRDefault="00854D53" w:rsidP="00141D20">
      <w:pPr>
        <w:pStyle w:val="Paragraphedeliste"/>
        <w:ind w:left="1080"/>
        <w:jc w:val="both"/>
        <w:rPr>
          <w:rFonts w:ascii="Nyala" w:hAnsi="Nyala"/>
          <w:i/>
          <w:sz w:val="28"/>
          <w:szCs w:val="28"/>
        </w:rPr>
      </w:pPr>
    </w:p>
    <w:p w:rsidR="003B2D57" w:rsidRPr="00141D20" w:rsidRDefault="003B2D57" w:rsidP="00141D20">
      <w:pPr>
        <w:pStyle w:val="Paragraphedeliste"/>
        <w:numPr>
          <w:ilvl w:val="0"/>
          <w:numId w:val="53"/>
        </w:numPr>
        <w:jc w:val="both"/>
        <w:rPr>
          <w:rFonts w:ascii="Nyala" w:hAnsi="Nyala"/>
          <w:i/>
          <w:sz w:val="28"/>
          <w:szCs w:val="28"/>
        </w:rPr>
      </w:pPr>
      <w:r w:rsidRPr="00141D20">
        <w:rPr>
          <w:rFonts w:ascii="Nyala" w:hAnsi="Nyala"/>
          <w:i/>
          <w:sz w:val="28"/>
          <w:szCs w:val="28"/>
        </w:rPr>
        <w:t xml:space="preserve">promouvoir </w:t>
      </w:r>
      <w:r w:rsidR="00A92566" w:rsidRPr="00141D20">
        <w:rPr>
          <w:rFonts w:ascii="Nyala" w:hAnsi="Nyala"/>
          <w:i/>
          <w:sz w:val="28"/>
          <w:szCs w:val="28"/>
        </w:rPr>
        <w:t xml:space="preserve">l’équité </w:t>
      </w:r>
      <w:r w:rsidRPr="00141D20">
        <w:rPr>
          <w:rFonts w:ascii="Nyala" w:hAnsi="Nyala"/>
          <w:i/>
          <w:sz w:val="28"/>
          <w:szCs w:val="28"/>
        </w:rPr>
        <w:t xml:space="preserve">au sein du ménage et en faveur des enfants de 6 à 23 mois et autres personnes vulnérables, </w:t>
      </w:r>
      <w:r w:rsidR="00A92566" w:rsidRPr="00141D20">
        <w:rPr>
          <w:rFonts w:ascii="Nyala" w:hAnsi="Nyala"/>
          <w:i/>
          <w:sz w:val="28"/>
          <w:szCs w:val="28"/>
        </w:rPr>
        <w:t>pour une alimentation saine et équilibrée</w:t>
      </w:r>
      <w:r w:rsidRPr="00141D20">
        <w:rPr>
          <w:rFonts w:ascii="Nyala" w:hAnsi="Nyala"/>
          <w:i/>
          <w:sz w:val="28"/>
          <w:szCs w:val="28"/>
        </w:rPr>
        <w:t xml:space="preserve">. </w:t>
      </w:r>
    </w:p>
    <w:p w:rsidR="00AB169E" w:rsidRDefault="00AB169E" w:rsidP="001C2518">
      <w:pPr>
        <w:spacing w:line="259" w:lineRule="auto"/>
        <w:contextualSpacing/>
        <w:jc w:val="both"/>
        <w:rPr>
          <w:rFonts w:ascii="Nyala" w:hAnsi="Nyala"/>
          <w:bCs/>
          <w:color w:val="000000"/>
          <w:sz w:val="28"/>
          <w:szCs w:val="28"/>
          <w:lang w:eastAsia="fr-FR"/>
        </w:rPr>
      </w:pPr>
      <w:bookmarkStart w:id="304" w:name="_Toc525044447"/>
      <w:bookmarkStart w:id="305" w:name="_Toc525044813"/>
      <w:bookmarkStart w:id="306" w:name="_Toc525044956"/>
      <w:bookmarkStart w:id="307" w:name="_Toc525045159"/>
      <w:bookmarkStart w:id="308" w:name="_Toc525045376"/>
      <w:bookmarkStart w:id="309" w:name="_Toc525045563"/>
      <w:bookmarkStart w:id="310" w:name="_Toc525045638"/>
      <w:bookmarkStart w:id="311" w:name="_Toc525234555"/>
      <w:bookmarkStart w:id="312" w:name="_Toc525235079"/>
      <w:bookmarkStart w:id="313" w:name="_Toc525322214"/>
      <w:bookmarkEnd w:id="304"/>
      <w:bookmarkEnd w:id="305"/>
      <w:bookmarkEnd w:id="306"/>
      <w:bookmarkEnd w:id="307"/>
      <w:bookmarkEnd w:id="308"/>
      <w:bookmarkEnd w:id="309"/>
      <w:bookmarkEnd w:id="310"/>
      <w:bookmarkEnd w:id="311"/>
      <w:bookmarkEnd w:id="312"/>
      <w:bookmarkEnd w:id="313"/>
    </w:p>
    <w:p w:rsidR="00AB169E" w:rsidRPr="009B11E1" w:rsidRDefault="000A4B43" w:rsidP="00141D20">
      <w:pPr>
        <w:jc w:val="both"/>
        <w:rPr>
          <w:rStyle w:val="Rfrenceintense"/>
          <w:sz w:val="28"/>
          <w:szCs w:val="28"/>
        </w:rPr>
      </w:pPr>
      <w:r w:rsidRPr="009B11E1">
        <w:rPr>
          <w:rStyle w:val="Rfrenceintense"/>
          <w:sz w:val="28"/>
          <w:szCs w:val="28"/>
        </w:rPr>
        <w:t>D</w:t>
      </w:r>
      <w:r w:rsidR="00F8447D" w:rsidRPr="009B11E1">
        <w:rPr>
          <w:rStyle w:val="Rfrenceintense"/>
          <w:sz w:val="28"/>
          <w:szCs w:val="28"/>
        </w:rPr>
        <w:t xml:space="preserve">u suivi et évaluation </w:t>
      </w:r>
      <w:r w:rsidRPr="009B11E1">
        <w:rPr>
          <w:rStyle w:val="Rfrenceintense"/>
          <w:sz w:val="28"/>
          <w:szCs w:val="28"/>
        </w:rPr>
        <w:t>de la prévalence de l’insécurité alimentaire</w:t>
      </w:r>
    </w:p>
    <w:p w:rsidR="00324848" w:rsidRDefault="003705AF" w:rsidP="00141D20">
      <w:pPr>
        <w:contextualSpacing/>
        <w:jc w:val="both"/>
        <w:rPr>
          <w:rFonts w:ascii="Nyala" w:hAnsi="Nyala"/>
          <w:bCs/>
          <w:color w:val="000000"/>
          <w:sz w:val="28"/>
          <w:szCs w:val="28"/>
          <w:lang w:eastAsia="fr-FR"/>
        </w:rPr>
      </w:pPr>
      <w:r>
        <w:rPr>
          <w:rFonts w:ascii="Nyala" w:hAnsi="Nyala"/>
          <w:bCs/>
          <w:color w:val="000000"/>
          <w:sz w:val="28"/>
          <w:szCs w:val="28"/>
          <w:lang w:eastAsia="fr-FR"/>
        </w:rPr>
        <w:t xml:space="preserve">Les mesures de la prévalence de l’insécurité alimentaire au Niger reposent sur un ensemble d’indicateurs proxy </w:t>
      </w:r>
      <w:r w:rsidR="00BC4B7E">
        <w:rPr>
          <w:rFonts w:ascii="Nyala" w:hAnsi="Nyala"/>
          <w:bCs/>
          <w:color w:val="000000"/>
          <w:sz w:val="28"/>
          <w:szCs w:val="28"/>
          <w:lang w:eastAsia="fr-FR"/>
        </w:rPr>
        <w:t xml:space="preserve">portant sur les consommations alimentaires des ménages estimées sur la base de l’apport calorique ou </w:t>
      </w:r>
      <w:r w:rsidR="001E2922">
        <w:rPr>
          <w:rFonts w:ascii="Nyala" w:hAnsi="Nyala"/>
          <w:bCs/>
          <w:color w:val="000000"/>
          <w:sz w:val="28"/>
          <w:szCs w:val="28"/>
          <w:lang w:eastAsia="fr-FR"/>
        </w:rPr>
        <w:t xml:space="preserve">de </w:t>
      </w:r>
      <w:r w:rsidR="00A40CF3">
        <w:rPr>
          <w:rFonts w:ascii="Nyala" w:hAnsi="Nyala"/>
          <w:bCs/>
          <w:color w:val="000000"/>
          <w:sz w:val="28"/>
          <w:szCs w:val="28"/>
          <w:lang w:eastAsia="fr-FR"/>
        </w:rPr>
        <w:t>la diversification du régime</w:t>
      </w:r>
      <w:r w:rsidR="00BC4B7E">
        <w:rPr>
          <w:rFonts w:ascii="Nyala" w:hAnsi="Nyala"/>
          <w:bCs/>
          <w:color w:val="000000"/>
          <w:sz w:val="28"/>
          <w:szCs w:val="28"/>
          <w:lang w:eastAsia="fr-FR"/>
        </w:rPr>
        <w:t>.</w:t>
      </w:r>
      <w:r w:rsidR="00324848">
        <w:rPr>
          <w:rFonts w:ascii="Nyala" w:hAnsi="Nyala"/>
          <w:bCs/>
          <w:color w:val="000000"/>
          <w:sz w:val="28"/>
          <w:szCs w:val="28"/>
          <w:lang w:eastAsia="fr-FR"/>
        </w:rPr>
        <w:t xml:space="preserve">Les mesures se font annuellement dans le cadre des EVIAM pour mieux cibler les actions de soutien (au cours de l’année) aux populations vulnérables ou périodiquement (tous les 3 ans) dans le cadre des ECVMA et profil de pauvreté dans une perspective d’évaluation et d’élaboration de politiques publiques. </w:t>
      </w:r>
    </w:p>
    <w:p w:rsidR="0023565B" w:rsidRDefault="0023565B" w:rsidP="001C2518">
      <w:pPr>
        <w:spacing w:line="259" w:lineRule="auto"/>
        <w:contextualSpacing/>
        <w:jc w:val="both"/>
        <w:rPr>
          <w:rFonts w:ascii="Nyala" w:hAnsi="Nyala"/>
          <w:bCs/>
          <w:color w:val="000000"/>
          <w:sz w:val="28"/>
          <w:szCs w:val="28"/>
          <w:lang w:eastAsia="fr-FR"/>
        </w:rPr>
      </w:pPr>
    </w:p>
    <w:p w:rsidR="005D56F1" w:rsidRDefault="005D56F1" w:rsidP="00141D20">
      <w:pPr>
        <w:contextualSpacing/>
        <w:jc w:val="both"/>
        <w:rPr>
          <w:rFonts w:ascii="Nyala" w:hAnsi="Nyala"/>
          <w:bCs/>
          <w:color w:val="000000"/>
          <w:sz w:val="28"/>
          <w:szCs w:val="28"/>
          <w:lang w:eastAsia="fr-FR"/>
        </w:rPr>
      </w:pPr>
      <w:r>
        <w:rPr>
          <w:rFonts w:ascii="Nyala" w:hAnsi="Nyala"/>
          <w:bCs/>
          <w:color w:val="000000"/>
          <w:sz w:val="28"/>
          <w:szCs w:val="28"/>
          <w:lang w:eastAsia="fr-FR"/>
        </w:rPr>
        <w:t>Les enquêtes EVIAM sont un instantané de la situation alimentaire des ménages à un moment relativement favorable de l’année (après les récoltes céréalières et pendant la période des cultures maraîchères) ; elles ne permettent pas de saisir la réalité de l’évolution des régimes alimentaires et se limitent seulement au milieu rural. Cependant, il est possible d’utiliser les données recueillies dans une analyse tendancielle prospective.</w:t>
      </w:r>
    </w:p>
    <w:p w:rsidR="005D56F1" w:rsidRDefault="005D56F1" w:rsidP="001C2518">
      <w:pPr>
        <w:spacing w:line="259" w:lineRule="auto"/>
        <w:contextualSpacing/>
        <w:jc w:val="both"/>
        <w:rPr>
          <w:rFonts w:ascii="Nyala" w:hAnsi="Nyala"/>
          <w:bCs/>
          <w:color w:val="000000"/>
          <w:sz w:val="28"/>
          <w:szCs w:val="28"/>
          <w:lang w:eastAsia="fr-FR"/>
        </w:rPr>
      </w:pPr>
    </w:p>
    <w:p w:rsidR="005D56F1" w:rsidRDefault="005D56F1" w:rsidP="00141D20">
      <w:pPr>
        <w:contextualSpacing/>
        <w:jc w:val="both"/>
        <w:rPr>
          <w:rFonts w:ascii="Nyala" w:hAnsi="Nyala"/>
          <w:bCs/>
          <w:color w:val="000000"/>
          <w:sz w:val="28"/>
          <w:szCs w:val="28"/>
          <w:lang w:eastAsia="fr-FR"/>
        </w:rPr>
      </w:pPr>
      <w:r>
        <w:rPr>
          <w:rFonts w:ascii="Nyala" w:hAnsi="Nyala"/>
          <w:bCs/>
          <w:color w:val="000000"/>
          <w:sz w:val="28"/>
          <w:szCs w:val="28"/>
          <w:lang w:eastAsia="fr-FR"/>
        </w:rPr>
        <w:t xml:space="preserve">Les ECVMA ont </w:t>
      </w:r>
      <w:r w:rsidR="00A1711C">
        <w:rPr>
          <w:rFonts w:ascii="Nyala" w:hAnsi="Nyala"/>
          <w:bCs/>
          <w:color w:val="000000"/>
          <w:sz w:val="28"/>
          <w:szCs w:val="28"/>
          <w:lang w:eastAsia="fr-FR"/>
        </w:rPr>
        <w:t xml:space="preserve">deux </w:t>
      </w:r>
      <w:r>
        <w:rPr>
          <w:rFonts w:ascii="Nyala" w:hAnsi="Nyala"/>
          <w:bCs/>
          <w:color w:val="000000"/>
          <w:sz w:val="28"/>
          <w:szCs w:val="28"/>
          <w:lang w:eastAsia="fr-FR"/>
        </w:rPr>
        <w:t>avantage</w:t>
      </w:r>
      <w:r w:rsidR="008F3044">
        <w:rPr>
          <w:rFonts w:ascii="Nyala" w:hAnsi="Nyala"/>
          <w:bCs/>
          <w:color w:val="000000"/>
          <w:sz w:val="28"/>
          <w:szCs w:val="28"/>
          <w:lang w:eastAsia="fr-FR"/>
        </w:rPr>
        <w:t>s</w:t>
      </w:r>
      <w:r>
        <w:rPr>
          <w:rFonts w:ascii="Nyala" w:hAnsi="Nyala"/>
          <w:bCs/>
          <w:color w:val="000000"/>
          <w:sz w:val="28"/>
          <w:szCs w:val="28"/>
          <w:lang w:eastAsia="fr-FR"/>
        </w:rPr>
        <w:t> : i) elles se font à deux périodes clés de l’année (post-récolte céréalière et en période de soudure) ; ce qui permet d’</w:t>
      </w:r>
      <w:r w:rsidR="008F3044">
        <w:rPr>
          <w:rFonts w:ascii="Nyala" w:hAnsi="Nyala"/>
          <w:bCs/>
          <w:color w:val="000000"/>
          <w:sz w:val="28"/>
          <w:szCs w:val="28"/>
          <w:lang w:eastAsia="fr-FR"/>
        </w:rPr>
        <w:t>apprécier le caractère chronique ou conjoncturel de l’insécurité alimentaire des ménages ; ii) les mêmes ménages sont suivis d’une enquête à l’autre (en principe) ; ce qui permet d’apprécier les changements opérés au niveau des m</w:t>
      </w:r>
      <w:r w:rsidR="00A1711C">
        <w:rPr>
          <w:rFonts w:ascii="Nyala" w:hAnsi="Nyala"/>
          <w:bCs/>
          <w:color w:val="000000"/>
          <w:sz w:val="28"/>
          <w:szCs w:val="28"/>
          <w:lang w:eastAsia="fr-FR"/>
        </w:rPr>
        <w:t xml:space="preserve">énages. </w:t>
      </w:r>
    </w:p>
    <w:p w:rsidR="005D56F1" w:rsidRDefault="005D56F1" w:rsidP="00141D20">
      <w:pPr>
        <w:contextualSpacing/>
        <w:jc w:val="both"/>
        <w:rPr>
          <w:rFonts w:ascii="Nyala" w:hAnsi="Nyala"/>
          <w:bCs/>
          <w:color w:val="000000"/>
          <w:sz w:val="28"/>
          <w:szCs w:val="28"/>
          <w:lang w:eastAsia="fr-FR"/>
        </w:rPr>
      </w:pPr>
    </w:p>
    <w:p w:rsidR="00A1711C" w:rsidRDefault="0023565B" w:rsidP="00141D20">
      <w:pPr>
        <w:contextualSpacing/>
        <w:jc w:val="both"/>
        <w:rPr>
          <w:rFonts w:ascii="Nyala" w:hAnsi="Nyala"/>
          <w:bCs/>
          <w:color w:val="000000"/>
          <w:sz w:val="28"/>
          <w:szCs w:val="28"/>
          <w:lang w:eastAsia="fr-FR"/>
        </w:rPr>
      </w:pPr>
      <w:r>
        <w:rPr>
          <w:rFonts w:ascii="Nyala" w:hAnsi="Nyala"/>
          <w:bCs/>
          <w:color w:val="000000"/>
          <w:sz w:val="28"/>
          <w:szCs w:val="28"/>
          <w:lang w:eastAsia="fr-FR"/>
        </w:rPr>
        <w:t>Aussi, est-ce tout à f</w:t>
      </w:r>
      <w:r w:rsidR="008F3044">
        <w:rPr>
          <w:rFonts w:ascii="Nyala" w:hAnsi="Nyala"/>
          <w:bCs/>
          <w:color w:val="000000"/>
          <w:sz w:val="28"/>
          <w:szCs w:val="28"/>
          <w:lang w:eastAsia="fr-FR"/>
        </w:rPr>
        <w:t>a</w:t>
      </w:r>
      <w:r>
        <w:rPr>
          <w:rFonts w:ascii="Nyala" w:hAnsi="Nyala"/>
          <w:bCs/>
          <w:color w:val="000000"/>
          <w:sz w:val="28"/>
          <w:szCs w:val="28"/>
          <w:lang w:eastAsia="fr-FR"/>
        </w:rPr>
        <w:t>it compréhensible</w:t>
      </w:r>
      <w:r w:rsidR="008F3044">
        <w:rPr>
          <w:rFonts w:ascii="Nyala" w:hAnsi="Nyala"/>
          <w:bCs/>
          <w:color w:val="000000"/>
          <w:sz w:val="28"/>
          <w:szCs w:val="28"/>
          <w:lang w:eastAsia="fr-FR"/>
        </w:rPr>
        <w:t xml:space="preserve">, le choix qui a été fait d’utiliser les données des ECVMA pour le suivi de la mesure de l’ODD2 (INS, Métadonnées des ODD). </w:t>
      </w:r>
      <w:r w:rsidR="00A1711C">
        <w:rPr>
          <w:rFonts w:ascii="Nyala" w:hAnsi="Nyala"/>
          <w:bCs/>
          <w:color w:val="000000"/>
          <w:sz w:val="28"/>
          <w:szCs w:val="28"/>
          <w:lang w:eastAsia="fr-FR"/>
        </w:rPr>
        <w:t xml:space="preserve">Toutefois, entre deux ECVMA, les données des EVIAM restent très pertinentes pour évaluer la prévalence de l’Insécurité alimentaire et faciliter le ciblage des zones et des groupes sociaux à soutenir. </w:t>
      </w:r>
    </w:p>
    <w:p w:rsidR="002D137E" w:rsidRDefault="002D137E" w:rsidP="001C2518">
      <w:pPr>
        <w:spacing w:line="259" w:lineRule="auto"/>
        <w:contextualSpacing/>
        <w:jc w:val="both"/>
        <w:rPr>
          <w:rFonts w:ascii="Nyala" w:hAnsi="Nyala"/>
          <w:bCs/>
          <w:color w:val="000000"/>
          <w:sz w:val="28"/>
          <w:szCs w:val="28"/>
          <w:lang w:eastAsia="fr-FR"/>
        </w:rPr>
      </w:pPr>
    </w:p>
    <w:p w:rsidR="002D137E" w:rsidRPr="00141D20" w:rsidRDefault="002D137E" w:rsidP="001C2518">
      <w:pPr>
        <w:spacing w:line="259" w:lineRule="auto"/>
        <w:contextualSpacing/>
        <w:jc w:val="both"/>
        <w:rPr>
          <w:rFonts w:ascii="Nyala" w:hAnsi="Nyala"/>
          <w:bCs/>
          <w:i/>
          <w:color w:val="000000"/>
          <w:sz w:val="28"/>
          <w:szCs w:val="28"/>
          <w:lang w:eastAsia="fr-FR"/>
        </w:rPr>
      </w:pPr>
      <w:r w:rsidRPr="00141D20">
        <w:rPr>
          <w:rFonts w:ascii="Nyala" w:hAnsi="Nyala"/>
          <w:bCs/>
          <w:i/>
          <w:color w:val="000000"/>
          <w:sz w:val="28"/>
          <w:szCs w:val="28"/>
          <w:lang w:eastAsia="fr-FR"/>
        </w:rPr>
        <w:t xml:space="preserve">Ainsi, il serait souhaitable d’adopter un système harmonisé d’évaluation de l’insécurité alimentation basée sur des enquêtes annuelles combinant l’approche de suivi permanent d’un certain nombre de ménages (de l’ECVMA) et l’approche d’un tirage au sort des ménages à enquêter (approche EVIAM). Il s’agit de disposer de données et informations pertinentes permettant d’élaborer les plans annuels de soutien aux personnes en situation d’urgence </w:t>
      </w:r>
      <w:r>
        <w:rPr>
          <w:rFonts w:ascii="Nyala" w:hAnsi="Nyala"/>
          <w:bCs/>
          <w:i/>
          <w:color w:val="000000"/>
          <w:sz w:val="28"/>
          <w:szCs w:val="28"/>
          <w:lang w:eastAsia="fr-FR"/>
        </w:rPr>
        <w:t xml:space="preserve">humanitaire </w:t>
      </w:r>
      <w:r w:rsidRPr="00141D20">
        <w:rPr>
          <w:rFonts w:ascii="Nyala" w:hAnsi="Nyala"/>
          <w:bCs/>
          <w:i/>
          <w:color w:val="000000"/>
          <w:sz w:val="28"/>
          <w:szCs w:val="28"/>
          <w:lang w:eastAsia="fr-FR"/>
        </w:rPr>
        <w:t>d’une part, et d’évaluer les effets des politiques publiques sur la situation alimentaire et nutritionnelle des ménages</w:t>
      </w:r>
      <w:r>
        <w:rPr>
          <w:rFonts w:ascii="Nyala" w:hAnsi="Nyala"/>
          <w:bCs/>
          <w:i/>
          <w:color w:val="000000"/>
          <w:sz w:val="28"/>
          <w:szCs w:val="28"/>
          <w:lang w:eastAsia="fr-FR"/>
        </w:rPr>
        <w:t>, d’autre part</w:t>
      </w:r>
      <w:r w:rsidRPr="00141D20">
        <w:rPr>
          <w:rFonts w:ascii="Nyala" w:hAnsi="Nyala"/>
          <w:bCs/>
          <w:i/>
          <w:color w:val="000000"/>
          <w:sz w:val="28"/>
          <w:szCs w:val="28"/>
          <w:lang w:eastAsia="fr-FR"/>
        </w:rPr>
        <w:t xml:space="preserve">. </w:t>
      </w:r>
    </w:p>
    <w:p w:rsidR="004B64B5" w:rsidRDefault="004B64B5" w:rsidP="001C2518">
      <w:pPr>
        <w:spacing w:line="259" w:lineRule="auto"/>
        <w:contextualSpacing/>
        <w:jc w:val="both"/>
        <w:rPr>
          <w:rFonts w:ascii="Nyala" w:hAnsi="Nyala"/>
          <w:bCs/>
          <w:color w:val="000000"/>
          <w:sz w:val="28"/>
          <w:szCs w:val="28"/>
          <w:lang w:eastAsia="fr-FR"/>
        </w:rPr>
      </w:pPr>
    </w:p>
    <w:p w:rsidR="00324848" w:rsidRDefault="00324848" w:rsidP="001C2518">
      <w:pPr>
        <w:spacing w:line="259" w:lineRule="auto"/>
        <w:contextualSpacing/>
        <w:jc w:val="both"/>
        <w:rPr>
          <w:rFonts w:ascii="Nyala" w:hAnsi="Nyala"/>
          <w:bCs/>
          <w:color w:val="000000"/>
          <w:sz w:val="28"/>
          <w:szCs w:val="28"/>
          <w:lang w:eastAsia="fr-FR"/>
        </w:rPr>
      </w:pPr>
    </w:p>
    <w:p w:rsidR="005870DE" w:rsidRPr="00141D20" w:rsidRDefault="002D3EE3" w:rsidP="00F049CE">
      <w:pPr>
        <w:jc w:val="both"/>
        <w:rPr>
          <w:rStyle w:val="Rfrenceintense"/>
          <w:rFonts w:ascii="Nyala" w:hAnsi="Nyala"/>
          <w:sz w:val="28"/>
          <w:szCs w:val="28"/>
        </w:rPr>
      </w:pPr>
      <w:r w:rsidRPr="00141D20">
        <w:rPr>
          <w:rStyle w:val="Rfrenceintense"/>
          <w:rFonts w:ascii="Nyala" w:hAnsi="Nyala"/>
          <w:sz w:val="28"/>
          <w:szCs w:val="28"/>
        </w:rPr>
        <w:t xml:space="preserve">Des indicateurs de mesure de l’insécurité alimentaire </w:t>
      </w:r>
    </w:p>
    <w:p w:rsidR="00155412" w:rsidRDefault="00155412" w:rsidP="00141D20">
      <w:pPr>
        <w:contextualSpacing/>
        <w:jc w:val="both"/>
        <w:rPr>
          <w:rFonts w:ascii="Nyala" w:hAnsi="Nyala"/>
          <w:color w:val="000000"/>
          <w:sz w:val="28"/>
          <w:szCs w:val="28"/>
          <w:lang w:eastAsia="fr-FR"/>
        </w:rPr>
      </w:pPr>
      <w:r>
        <w:rPr>
          <w:rFonts w:ascii="Nyala" w:hAnsi="Nyala"/>
          <w:color w:val="000000"/>
          <w:sz w:val="28"/>
          <w:szCs w:val="28"/>
          <w:lang w:eastAsia="fr-FR"/>
        </w:rPr>
        <w:t>L’utilisation d’une diversité d’approche</w:t>
      </w:r>
      <w:r w:rsidR="00A92566">
        <w:rPr>
          <w:rFonts w:ascii="Nyala" w:hAnsi="Nyala"/>
          <w:color w:val="000000"/>
          <w:sz w:val="28"/>
          <w:szCs w:val="28"/>
          <w:lang w:eastAsia="fr-FR"/>
        </w:rPr>
        <w:t>s</w:t>
      </w:r>
      <w:r>
        <w:rPr>
          <w:rFonts w:ascii="Nyala" w:hAnsi="Nyala"/>
          <w:color w:val="000000"/>
          <w:sz w:val="28"/>
          <w:szCs w:val="28"/>
          <w:lang w:eastAsia="fr-FR"/>
        </w:rPr>
        <w:t xml:space="preserve"> d’évaluation de l’insécurité alimentaire peut conduire à des écarts dans l’estimation de la prévalence. C’est le cas pour l’année 2016, où avec le SCA, il a été identifié 18% de ménages avec un régime alimentaire pauvre et avec le SDA, 20% avec un </w:t>
      </w:r>
      <w:r w:rsidRPr="00B554EE">
        <w:rPr>
          <w:rFonts w:ascii="Nyala" w:hAnsi="Nyala"/>
          <w:bCs/>
          <w:color w:val="000000"/>
          <w:sz w:val="28"/>
          <w:szCs w:val="28"/>
          <w:lang w:eastAsia="fr-FR"/>
        </w:rPr>
        <w:t>régime</w:t>
      </w:r>
      <w:r>
        <w:rPr>
          <w:rFonts w:ascii="Nyala" w:hAnsi="Nyala"/>
          <w:color w:val="000000"/>
          <w:sz w:val="28"/>
          <w:szCs w:val="28"/>
          <w:lang w:eastAsia="fr-FR"/>
        </w:rPr>
        <w:t xml:space="preserve"> également pauvre et peu diversifié (</w:t>
      </w:r>
      <w:r w:rsidRPr="009B11E1">
        <w:rPr>
          <w:rFonts w:ascii="Nyala" w:hAnsi="Nyala"/>
          <w:b/>
          <w:color w:val="000000"/>
          <w:sz w:val="28"/>
          <w:szCs w:val="28"/>
          <w:lang w:eastAsia="fr-FR"/>
        </w:rPr>
        <w:t>figure</w:t>
      </w:r>
      <w:r w:rsidR="00923FDC" w:rsidRPr="009B11E1">
        <w:rPr>
          <w:rFonts w:ascii="Nyala" w:hAnsi="Nyala"/>
          <w:b/>
          <w:color w:val="000000"/>
          <w:sz w:val="28"/>
          <w:szCs w:val="28"/>
          <w:lang w:eastAsia="fr-FR"/>
        </w:rPr>
        <w:t xml:space="preserve"> 18</w:t>
      </w:r>
      <w:r>
        <w:rPr>
          <w:rFonts w:ascii="Nyala" w:hAnsi="Nyala"/>
          <w:color w:val="000000"/>
          <w:sz w:val="28"/>
          <w:szCs w:val="28"/>
          <w:lang w:eastAsia="fr-FR"/>
        </w:rPr>
        <w:t xml:space="preserve">). </w:t>
      </w:r>
    </w:p>
    <w:p w:rsidR="00155412" w:rsidRPr="00AA4A81" w:rsidRDefault="00146983" w:rsidP="00155412">
      <w:pPr>
        <w:spacing w:line="259" w:lineRule="auto"/>
        <w:contextualSpacing/>
        <w:jc w:val="both"/>
        <w:rPr>
          <w:rFonts w:ascii="Nyala" w:hAnsi="Nyala"/>
          <w:color w:val="000000"/>
          <w:sz w:val="28"/>
          <w:szCs w:val="28"/>
          <w:lang w:eastAsia="fr-FR"/>
        </w:rPr>
      </w:pPr>
      <w:r>
        <w:rPr>
          <w:noProof/>
          <w:lang w:eastAsia="fr-FR"/>
        </w:rPr>
        <mc:AlternateContent>
          <mc:Choice Requires="wps">
            <w:drawing>
              <wp:anchor distT="0" distB="0" distL="114300" distR="114300" simplePos="0" relativeHeight="251981824" behindDoc="0" locked="0" layoutInCell="1" allowOverlap="1" wp14:anchorId="1E0679A6">
                <wp:simplePos x="0" y="0"/>
                <wp:positionH relativeFrom="margin">
                  <wp:posOffset>38735</wp:posOffset>
                </wp:positionH>
                <wp:positionV relativeFrom="paragraph">
                  <wp:posOffset>156210</wp:posOffset>
                </wp:positionV>
                <wp:extent cx="1828800" cy="1828800"/>
                <wp:effectExtent l="0" t="0" r="24130" b="26670"/>
                <wp:wrapSquare wrapText="bothSides"/>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solidFill>
                            <a:prstClr val="black"/>
                          </a:solidFill>
                        </a:ln>
                        <a:effectLst/>
                      </wps:spPr>
                      <wps:txbx>
                        <w:txbxContent>
                          <w:p w:rsidR="00146325" w:rsidRDefault="00146325" w:rsidP="009B11E1">
                            <w:pPr>
                              <w:pStyle w:val="Lgende"/>
                              <w:keepNext/>
                              <w:jc w:val="both"/>
                            </w:pPr>
                            <w:bookmarkStart w:id="314" w:name="_Toc526120084"/>
                            <w:r>
                              <w:t xml:space="preserve">Figure </w:t>
                            </w:r>
                            <w:r w:rsidR="00C73EE5">
                              <w:fldChar w:fldCharType="begin"/>
                            </w:r>
                            <w:r w:rsidR="00C73EE5">
                              <w:instrText xml:space="preserve"> SEQ Figure \* ARABIC </w:instrText>
                            </w:r>
                            <w:r w:rsidR="00C73EE5">
                              <w:fldChar w:fldCharType="separate"/>
                            </w:r>
                            <w:r>
                              <w:rPr>
                                <w:noProof/>
                              </w:rPr>
                              <w:t>18</w:t>
                            </w:r>
                            <w:r w:rsidR="00C73EE5">
                              <w:rPr>
                                <w:noProof/>
                              </w:rPr>
                              <w:fldChar w:fldCharType="end"/>
                            </w:r>
                            <w:r>
                              <w:t xml:space="preserve"> - prévalence de l'insécurité alimentaire selon le SCA et le SDA</w:t>
                            </w:r>
                            <w:bookmarkEnd w:id="314"/>
                          </w:p>
                          <w:p w:rsidR="00146325" w:rsidRPr="00732711" w:rsidRDefault="00146325" w:rsidP="00155412">
                            <w:pPr>
                              <w:jc w:val="both"/>
                            </w:pPr>
                            <w:r w:rsidRPr="002D3EE3">
                              <w:rPr>
                                <w:rStyle w:val="Rfrenceintense"/>
                                <w:b w:val="0"/>
                                <w:bCs w:val="0"/>
                                <w:i w:val="0"/>
                                <w:iCs w:val="0"/>
                                <w:caps w:val="0"/>
                                <w:noProof/>
                                <w:color w:val="auto"/>
                                <w:lang w:eastAsia="fr-FR"/>
                              </w:rPr>
                              <w:drawing>
                                <wp:inline distT="0" distB="0" distL="0" distR="0">
                                  <wp:extent cx="5680503" cy="1926077"/>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81406" cy="192638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E0679A6" id="Zone de texte 117" o:spid="_x0000_s1048" type="#_x0000_t202" style="position:absolute;left:0;text-align:left;margin-left:3.05pt;margin-top:12.3pt;width:2in;height:2in;z-index:2519818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" filled="f" strokeweight=".5pt">
                <v:path arrowok="t"/>
                <v:textbox style="mso-fit-shape-to-text:t">
                  <w:txbxContent>
                    <w:p w:rsidR="00146325" w:rsidRDefault="00146325" w:rsidP="009B11E1">
                      <w:pPr>
                        <w:pStyle w:val="Lgende"/>
                        <w:keepNext/>
                        <w:jc w:val="both"/>
                      </w:pPr>
                      <w:bookmarkStart w:id="315" w:name="_Toc526120084"/>
                      <w:r>
                        <w:t xml:space="preserve">Figure </w:t>
                      </w:r>
                      <w:r w:rsidR="00C73EE5">
                        <w:fldChar w:fldCharType="begin"/>
                      </w:r>
                      <w:r w:rsidR="00C73EE5">
                        <w:instrText xml:space="preserve"> SEQ Figure \* ARABIC </w:instrText>
                      </w:r>
                      <w:r w:rsidR="00C73EE5">
                        <w:fldChar w:fldCharType="separate"/>
                      </w:r>
                      <w:r>
                        <w:rPr>
                          <w:noProof/>
                        </w:rPr>
                        <w:t>18</w:t>
                      </w:r>
                      <w:r w:rsidR="00C73EE5">
                        <w:rPr>
                          <w:noProof/>
                        </w:rPr>
                        <w:fldChar w:fldCharType="end"/>
                      </w:r>
                      <w:r>
                        <w:t xml:space="preserve"> - prévalence de l'insécurité alimentaire selon le SCA et le SDA</w:t>
                      </w:r>
                      <w:bookmarkEnd w:id="315"/>
                    </w:p>
                    <w:p w:rsidR="00146325" w:rsidRPr="00732711" w:rsidRDefault="00146325" w:rsidP="00155412">
                      <w:pPr>
                        <w:jc w:val="both"/>
                      </w:pPr>
                      <w:r w:rsidRPr="002D3EE3">
                        <w:rPr>
                          <w:rStyle w:val="Rfrenceintense"/>
                          <w:b w:val="0"/>
                          <w:bCs w:val="0"/>
                          <w:i w:val="0"/>
                          <w:iCs w:val="0"/>
                          <w:caps w:val="0"/>
                          <w:noProof/>
                          <w:color w:val="auto"/>
                          <w:lang w:eastAsia="fr-FR"/>
                        </w:rPr>
                        <w:drawing>
                          <wp:inline distT="0" distB="0" distL="0" distR="0">
                            <wp:extent cx="5680503" cy="1926077"/>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81406" cy="1926383"/>
                                    </a:xfrm>
                                    <a:prstGeom prst="rect">
                                      <a:avLst/>
                                    </a:prstGeom>
                                    <a:noFill/>
                                    <a:ln>
                                      <a:noFill/>
                                    </a:ln>
                                  </pic:spPr>
                                </pic:pic>
                              </a:graphicData>
                            </a:graphic>
                          </wp:inline>
                        </w:drawing>
                      </w:r>
                    </w:p>
                  </w:txbxContent>
                </v:textbox>
                <w10:wrap type="square" anchorx="margin"/>
              </v:shape>
            </w:pict>
          </mc:Fallback>
        </mc:AlternateContent>
      </w:r>
    </w:p>
    <w:p w:rsidR="00155412" w:rsidRDefault="00155412" w:rsidP="00155412">
      <w:pPr>
        <w:jc w:val="both"/>
        <w:rPr>
          <w:rStyle w:val="Rfrenceintense"/>
        </w:rPr>
      </w:pPr>
    </w:p>
    <w:p w:rsidR="00FC4F08" w:rsidRPr="00141D20" w:rsidRDefault="000560A5" w:rsidP="00141D20">
      <w:pPr>
        <w:contextualSpacing/>
        <w:jc w:val="both"/>
        <w:rPr>
          <w:rFonts w:ascii="Nyala" w:hAnsi="Nyala"/>
          <w:bCs/>
          <w:color w:val="000000"/>
          <w:sz w:val="28"/>
          <w:szCs w:val="28"/>
          <w:lang w:eastAsia="fr-FR"/>
        </w:rPr>
      </w:pPr>
      <w:r w:rsidRPr="00141D20">
        <w:rPr>
          <w:rFonts w:ascii="Nyala" w:hAnsi="Nyala"/>
          <w:color w:val="000000"/>
          <w:sz w:val="28"/>
          <w:szCs w:val="28"/>
          <w:lang w:eastAsia="fr-FR"/>
        </w:rPr>
        <w:t>L’insé</w:t>
      </w:r>
      <w:r w:rsidRPr="00B554EE">
        <w:rPr>
          <w:rFonts w:ascii="Nyala" w:hAnsi="Nyala"/>
          <w:bCs/>
          <w:color w:val="000000"/>
          <w:sz w:val="28"/>
          <w:szCs w:val="28"/>
          <w:lang w:eastAsia="fr-FR"/>
        </w:rPr>
        <w:t xml:space="preserve">curité alimentaire est mesurée par rapport à la disponibilité des produits alimentaires ou l’accessibilité des ménages. </w:t>
      </w:r>
      <w:r w:rsidRPr="00141D20">
        <w:rPr>
          <w:rFonts w:ascii="Nyala" w:hAnsi="Nyala"/>
          <w:bCs/>
          <w:color w:val="000000"/>
          <w:sz w:val="28"/>
          <w:szCs w:val="28"/>
          <w:lang w:eastAsia="fr-FR"/>
        </w:rPr>
        <w:t xml:space="preserve">La disponibilité est appréciée sur la base des productions agricoles et animales locales enregistrées ou estimées, les stocks et les importations tout au long de l’année. Ne sont pris en considération que les produits de base non transformés (à l’exception des produits laitiers et de la viande). </w:t>
      </w:r>
    </w:p>
    <w:p w:rsidR="00FC4F08" w:rsidRPr="00141D20" w:rsidRDefault="00FC4F08" w:rsidP="00141D20">
      <w:pPr>
        <w:contextualSpacing/>
        <w:jc w:val="both"/>
        <w:rPr>
          <w:rFonts w:ascii="Nyala" w:hAnsi="Nyala"/>
          <w:bCs/>
          <w:color w:val="000000"/>
          <w:sz w:val="28"/>
          <w:szCs w:val="28"/>
          <w:lang w:eastAsia="fr-FR"/>
        </w:rPr>
      </w:pPr>
    </w:p>
    <w:p w:rsidR="00293DF4" w:rsidRPr="00141D20" w:rsidRDefault="00FC4F08" w:rsidP="00141D20">
      <w:pPr>
        <w:contextualSpacing/>
        <w:jc w:val="both"/>
        <w:rPr>
          <w:rFonts w:ascii="Nyala" w:hAnsi="Nyala"/>
          <w:bCs/>
          <w:color w:val="000000"/>
          <w:sz w:val="28"/>
          <w:szCs w:val="28"/>
          <w:lang w:eastAsia="fr-FR"/>
        </w:rPr>
      </w:pPr>
      <w:r w:rsidRPr="00141D20">
        <w:rPr>
          <w:rFonts w:ascii="Nyala" w:hAnsi="Nyala"/>
          <w:bCs/>
          <w:color w:val="000000"/>
          <w:sz w:val="28"/>
          <w:szCs w:val="28"/>
          <w:lang w:eastAsia="fr-FR"/>
        </w:rPr>
        <w:t xml:space="preserve">L’accessibilité est mesurée sur la base du panier de la ménagère dont la composition </w:t>
      </w:r>
      <w:r w:rsidR="00155412" w:rsidRPr="00141D20">
        <w:rPr>
          <w:rFonts w:ascii="Nyala" w:hAnsi="Nyala"/>
          <w:bCs/>
          <w:color w:val="000000"/>
          <w:sz w:val="28"/>
          <w:szCs w:val="28"/>
          <w:lang w:eastAsia="fr-FR"/>
        </w:rPr>
        <w:t xml:space="preserve">diffère </w:t>
      </w:r>
      <w:r w:rsidR="00033AD0" w:rsidRPr="00141D20">
        <w:rPr>
          <w:rFonts w:ascii="Nyala" w:hAnsi="Nyala"/>
          <w:bCs/>
          <w:color w:val="000000"/>
          <w:sz w:val="28"/>
          <w:szCs w:val="28"/>
          <w:lang w:eastAsia="fr-FR"/>
        </w:rPr>
        <w:t xml:space="preserve">légèrement </w:t>
      </w:r>
      <w:r w:rsidRPr="00141D20">
        <w:rPr>
          <w:rFonts w:ascii="Nyala" w:hAnsi="Nyala"/>
          <w:bCs/>
          <w:color w:val="000000"/>
          <w:sz w:val="28"/>
          <w:szCs w:val="28"/>
          <w:lang w:eastAsia="fr-FR"/>
        </w:rPr>
        <w:t>selon l’approche d’évaluation de</w:t>
      </w:r>
      <w:r w:rsidR="00B677BD">
        <w:rPr>
          <w:rFonts w:ascii="Nyala" w:hAnsi="Nyala"/>
          <w:bCs/>
          <w:color w:val="000000"/>
          <w:sz w:val="28"/>
          <w:szCs w:val="28"/>
          <w:lang w:eastAsia="fr-FR"/>
        </w:rPr>
        <w:t xml:space="preserve"> l’insécurité alimentaire (</w:t>
      </w:r>
      <w:r w:rsidRPr="00B677BD">
        <w:rPr>
          <w:rFonts w:ascii="Nyala" w:hAnsi="Nyala"/>
          <w:b/>
          <w:bCs/>
          <w:color w:val="000000"/>
          <w:sz w:val="28"/>
          <w:szCs w:val="28"/>
          <w:lang w:eastAsia="fr-FR"/>
        </w:rPr>
        <w:t xml:space="preserve">Tableau </w:t>
      </w:r>
      <w:r w:rsidR="00440FAF">
        <w:rPr>
          <w:rFonts w:ascii="Nyala" w:hAnsi="Nyala"/>
          <w:b/>
          <w:bCs/>
          <w:color w:val="000000"/>
          <w:sz w:val="28"/>
          <w:szCs w:val="28"/>
          <w:lang w:eastAsia="fr-FR"/>
        </w:rPr>
        <w:t>2</w:t>
      </w:r>
      <w:r w:rsidRPr="00141D20">
        <w:rPr>
          <w:rFonts w:ascii="Nyala" w:hAnsi="Nyala"/>
          <w:bCs/>
          <w:color w:val="000000"/>
          <w:sz w:val="28"/>
          <w:szCs w:val="28"/>
          <w:lang w:eastAsia="fr-FR"/>
        </w:rPr>
        <w:t>)</w:t>
      </w:r>
      <w:r w:rsidR="00155412" w:rsidRPr="00141D20">
        <w:rPr>
          <w:rFonts w:ascii="Nyala" w:hAnsi="Nyala"/>
          <w:bCs/>
          <w:color w:val="000000"/>
          <w:sz w:val="28"/>
          <w:szCs w:val="28"/>
          <w:lang w:eastAsia="fr-FR"/>
        </w:rPr>
        <w:t>.</w:t>
      </w:r>
    </w:p>
    <w:p w:rsidR="00854D53" w:rsidRPr="00141D20" w:rsidRDefault="00854D53" w:rsidP="00141D20">
      <w:pPr>
        <w:spacing w:line="259" w:lineRule="auto"/>
        <w:contextualSpacing/>
        <w:jc w:val="both"/>
        <w:rPr>
          <w:rFonts w:ascii="Nyala" w:hAnsi="Nyala"/>
          <w:color w:val="000000"/>
          <w:sz w:val="28"/>
          <w:szCs w:val="28"/>
          <w:lang w:eastAsia="fr-FR"/>
        </w:rPr>
      </w:pPr>
    </w:p>
    <w:p w:rsidR="00293DF4" w:rsidRPr="002949A8" w:rsidRDefault="002949A8" w:rsidP="002949A8">
      <w:pPr>
        <w:pStyle w:val="Lgende"/>
        <w:rPr>
          <w:rFonts w:ascii="Nyala" w:hAnsi="Nyala"/>
          <w:iCs/>
          <w:caps/>
          <w:color w:val="000000"/>
          <w:sz w:val="28"/>
          <w:szCs w:val="28"/>
          <w:lang w:eastAsia="fr-FR"/>
        </w:rPr>
      </w:pPr>
      <w:bookmarkStart w:id="316" w:name="_Toc526120056"/>
      <w:r>
        <w:t xml:space="preserve">Tableau </w:t>
      </w:r>
      <w:r w:rsidR="00D639F2">
        <w:fldChar w:fldCharType="begin"/>
      </w:r>
      <w:r w:rsidR="00440FAF">
        <w:instrText xml:space="preserve"> SEQ Tableau \* ARABIC </w:instrText>
      </w:r>
      <w:r w:rsidR="00D639F2">
        <w:fldChar w:fldCharType="separate"/>
      </w:r>
      <w:r w:rsidR="00440FAF">
        <w:rPr>
          <w:noProof/>
        </w:rPr>
        <w:t>2</w:t>
      </w:r>
      <w:r w:rsidR="00D639F2">
        <w:fldChar w:fldCharType="end"/>
      </w:r>
      <w:r>
        <w:t xml:space="preserve"> - Panier de la ménagère selon les différentes approches de mesure de la sécurité alimentaire</w:t>
      </w:r>
      <w:bookmarkEnd w:id="316"/>
    </w:p>
    <w:tbl>
      <w:tblPr>
        <w:tblStyle w:val="Grilledutableau"/>
        <w:tblW w:w="0" w:type="auto"/>
        <w:tblLook w:val="04A0" w:firstRow="1" w:lastRow="0" w:firstColumn="1" w:lastColumn="0" w:noHBand="0" w:noVBand="1"/>
      </w:tblPr>
      <w:tblGrid>
        <w:gridCol w:w="2405"/>
        <w:gridCol w:w="6657"/>
      </w:tblGrid>
      <w:tr w:rsidR="002949A8" w:rsidTr="00141D20">
        <w:tc>
          <w:tcPr>
            <w:tcW w:w="2405" w:type="dxa"/>
          </w:tcPr>
          <w:p w:rsidR="002949A8" w:rsidRPr="002949A8" w:rsidRDefault="002949A8" w:rsidP="004B64B5">
            <w:pPr>
              <w:spacing w:line="259" w:lineRule="auto"/>
              <w:contextualSpacing/>
              <w:jc w:val="both"/>
              <w:rPr>
                <w:rFonts w:ascii="Nyala" w:hAnsi="Nyala"/>
                <w:color w:val="000000"/>
                <w:sz w:val="24"/>
                <w:szCs w:val="24"/>
                <w:lang w:eastAsia="fr-FR"/>
              </w:rPr>
            </w:pPr>
            <w:r w:rsidRPr="002949A8">
              <w:rPr>
                <w:rFonts w:ascii="Nyala" w:hAnsi="Nyala"/>
                <w:color w:val="000000"/>
                <w:sz w:val="24"/>
                <w:szCs w:val="24"/>
                <w:lang w:eastAsia="fr-FR"/>
              </w:rPr>
              <w:t>Approche d’évaluation</w:t>
            </w:r>
          </w:p>
        </w:tc>
        <w:tc>
          <w:tcPr>
            <w:tcW w:w="6657" w:type="dxa"/>
          </w:tcPr>
          <w:p w:rsidR="002949A8" w:rsidRPr="002949A8" w:rsidRDefault="002949A8" w:rsidP="007354B4">
            <w:pPr>
              <w:spacing w:line="259" w:lineRule="auto"/>
              <w:contextualSpacing/>
              <w:jc w:val="both"/>
              <w:rPr>
                <w:rFonts w:ascii="Nyala" w:hAnsi="Nyala"/>
                <w:color w:val="000000"/>
                <w:sz w:val="24"/>
                <w:szCs w:val="24"/>
                <w:lang w:eastAsia="fr-FR"/>
              </w:rPr>
            </w:pPr>
            <w:r w:rsidRPr="002949A8">
              <w:rPr>
                <w:rFonts w:ascii="Nyala" w:hAnsi="Nyala"/>
                <w:color w:val="000000"/>
                <w:sz w:val="24"/>
                <w:szCs w:val="24"/>
                <w:lang w:eastAsia="fr-FR"/>
              </w:rPr>
              <w:t>Groupe d’aliments</w:t>
            </w:r>
          </w:p>
        </w:tc>
      </w:tr>
      <w:tr w:rsidR="007354B4" w:rsidTr="00141D20">
        <w:tc>
          <w:tcPr>
            <w:tcW w:w="2405" w:type="dxa"/>
          </w:tcPr>
          <w:p w:rsidR="007354B4" w:rsidRPr="002949A8" w:rsidRDefault="007354B4" w:rsidP="004B64B5">
            <w:pPr>
              <w:spacing w:line="259" w:lineRule="auto"/>
              <w:contextualSpacing/>
              <w:jc w:val="both"/>
              <w:rPr>
                <w:rFonts w:ascii="Nyala" w:hAnsi="Nyala"/>
                <w:color w:val="000000"/>
                <w:sz w:val="24"/>
                <w:szCs w:val="24"/>
                <w:lang w:eastAsia="fr-FR"/>
              </w:rPr>
            </w:pPr>
            <w:r w:rsidRPr="002949A8">
              <w:rPr>
                <w:rFonts w:ascii="Nyala" w:hAnsi="Nyala"/>
                <w:color w:val="000000"/>
                <w:sz w:val="24"/>
                <w:szCs w:val="24"/>
                <w:lang w:eastAsia="fr-FR"/>
              </w:rPr>
              <w:t>Bilan alimentaire (</w:t>
            </w:r>
            <w:r w:rsidR="000560A5" w:rsidRPr="002949A8">
              <w:rPr>
                <w:rFonts w:ascii="Nyala" w:hAnsi="Nyala"/>
                <w:color w:val="000000"/>
                <w:sz w:val="24"/>
                <w:szCs w:val="24"/>
                <w:lang w:eastAsia="fr-FR"/>
              </w:rPr>
              <w:t xml:space="preserve">disponibilité selon </w:t>
            </w:r>
            <w:r w:rsidR="00293DF4" w:rsidRPr="002949A8">
              <w:rPr>
                <w:rFonts w:ascii="Nyala" w:hAnsi="Nyala"/>
                <w:color w:val="000000"/>
                <w:sz w:val="24"/>
                <w:szCs w:val="24"/>
                <w:lang w:eastAsia="fr-FR"/>
              </w:rPr>
              <w:t>apport calorique</w:t>
            </w:r>
            <w:r w:rsidR="000560A5" w:rsidRPr="002949A8">
              <w:rPr>
                <w:rFonts w:ascii="Nyala" w:hAnsi="Nyala"/>
                <w:color w:val="000000"/>
                <w:sz w:val="24"/>
                <w:szCs w:val="24"/>
                <w:lang w:eastAsia="fr-FR"/>
              </w:rPr>
              <w:t xml:space="preserve"> des productions </w:t>
            </w:r>
            <w:r w:rsidR="00293DF4" w:rsidRPr="002949A8">
              <w:rPr>
                <w:rFonts w:ascii="Nyala" w:hAnsi="Nyala"/>
                <w:color w:val="000000"/>
                <w:sz w:val="24"/>
                <w:szCs w:val="24"/>
                <w:lang w:eastAsia="fr-FR"/>
              </w:rPr>
              <w:t xml:space="preserve"> (Rapport de Campagne Agricole (DS, MAGEL)</w:t>
            </w:r>
          </w:p>
        </w:tc>
        <w:tc>
          <w:tcPr>
            <w:tcW w:w="6657" w:type="dxa"/>
          </w:tcPr>
          <w:p w:rsidR="007354B4" w:rsidRPr="002949A8" w:rsidRDefault="00293DF4" w:rsidP="007354B4">
            <w:pPr>
              <w:spacing w:line="259" w:lineRule="auto"/>
              <w:contextualSpacing/>
              <w:jc w:val="both"/>
              <w:rPr>
                <w:rFonts w:ascii="Nyala" w:hAnsi="Nyala"/>
                <w:color w:val="000000"/>
                <w:sz w:val="24"/>
                <w:szCs w:val="24"/>
                <w:lang w:eastAsia="fr-FR"/>
              </w:rPr>
            </w:pPr>
            <w:r w:rsidRPr="002949A8">
              <w:rPr>
                <w:rFonts w:ascii="Nyala" w:hAnsi="Nyala"/>
                <w:color w:val="000000"/>
                <w:sz w:val="24"/>
                <w:szCs w:val="24"/>
                <w:lang w:eastAsia="fr-FR"/>
              </w:rPr>
              <w:t>1) céréales : Mil, Sorgho, Maïs, Fonio ; Riz, blé ; 2) racines et tubercules : Manioc, Igname, Pomme de terre, Patate douce ; 3) fruits : Mangue, Agrumes, Pastèques, Melon ; 4) légumes : oignon, tomate, chou, courges, jaxatu, aubergine, carotte, moringa, laitue ; 5) légumineuse ; niébé, dolique, voandzou, 6) oléagineux Arachide, sésame ; 7) épices et stimulants : poivron, piment ; 8) viande ; 9) lait et produits laitiers ; 10) poisson</w:t>
            </w:r>
          </w:p>
        </w:tc>
      </w:tr>
      <w:tr w:rsidR="00B95835" w:rsidTr="00141D20">
        <w:tc>
          <w:tcPr>
            <w:tcW w:w="2405" w:type="dxa"/>
          </w:tcPr>
          <w:p w:rsidR="00B95835" w:rsidRPr="002949A8" w:rsidRDefault="002E7F0D" w:rsidP="004B64B5">
            <w:pPr>
              <w:spacing w:line="259" w:lineRule="auto"/>
              <w:contextualSpacing/>
              <w:jc w:val="both"/>
              <w:rPr>
                <w:rFonts w:ascii="Nyala" w:hAnsi="Nyala"/>
                <w:color w:val="000000"/>
                <w:sz w:val="24"/>
                <w:szCs w:val="24"/>
                <w:lang w:eastAsia="fr-FR"/>
              </w:rPr>
            </w:pPr>
            <w:r w:rsidRPr="002949A8">
              <w:rPr>
                <w:rFonts w:ascii="Nyala" w:hAnsi="Nyala"/>
                <w:color w:val="000000"/>
                <w:sz w:val="24"/>
                <w:szCs w:val="24"/>
                <w:lang w:eastAsia="fr-FR"/>
              </w:rPr>
              <w:t xml:space="preserve">Panier de consommation alimentaire </w:t>
            </w:r>
            <w:r w:rsidR="007354B4" w:rsidRPr="002949A8">
              <w:rPr>
                <w:rFonts w:ascii="Nyala" w:hAnsi="Nyala"/>
                <w:color w:val="000000"/>
                <w:sz w:val="24"/>
                <w:szCs w:val="24"/>
                <w:lang w:eastAsia="fr-FR"/>
              </w:rPr>
              <w:t xml:space="preserve">– </w:t>
            </w:r>
            <w:r w:rsidR="000560A5" w:rsidRPr="002949A8">
              <w:rPr>
                <w:rFonts w:ascii="Nyala" w:hAnsi="Nyala"/>
                <w:color w:val="000000"/>
                <w:sz w:val="24"/>
                <w:szCs w:val="24"/>
                <w:lang w:eastAsia="fr-FR"/>
              </w:rPr>
              <w:t xml:space="preserve">Accessibilité selon </w:t>
            </w:r>
            <w:r w:rsidR="007354B4" w:rsidRPr="002949A8">
              <w:rPr>
                <w:rFonts w:ascii="Nyala" w:hAnsi="Nyala"/>
                <w:color w:val="000000"/>
                <w:sz w:val="24"/>
                <w:szCs w:val="24"/>
                <w:lang w:eastAsia="fr-FR"/>
              </w:rPr>
              <w:t>apport calorique (</w:t>
            </w:r>
            <w:r w:rsidR="00B95835" w:rsidRPr="002949A8">
              <w:rPr>
                <w:rFonts w:ascii="Nyala" w:hAnsi="Nyala"/>
                <w:color w:val="000000"/>
                <w:sz w:val="24"/>
                <w:szCs w:val="24"/>
                <w:lang w:eastAsia="fr-FR"/>
              </w:rPr>
              <w:t>ECVMA et Profil de Pauvreté)</w:t>
            </w:r>
          </w:p>
        </w:tc>
        <w:tc>
          <w:tcPr>
            <w:tcW w:w="6657" w:type="dxa"/>
          </w:tcPr>
          <w:p w:rsidR="00B95835" w:rsidRPr="002949A8" w:rsidRDefault="00B95835" w:rsidP="001A0938">
            <w:pPr>
              <w:spacing w:line="259" w:lineRule="auto"/>
              <w:contextualSpacing/>
              <w:jc w:val="both"/>
              <w:rPr>
                <w:rFonts w:ascii="Nyala" w:hAnsi="Nyala"/>
                <w:color w:val="000000"/>
                <w:sz w:val="24"/>
                <w:szCs w:val="24"/>
                <w:lang w:eastAsia="fr-FR"/>
              </w:rPr>
            </w:pPr>
            <w:r w:rsidRPr="002949A8">
              <w:rPr>
                <w:rFonts w:ascii="Nyala" w:hAnsi="Nyala"/>
                <w:color w:val="000000"/>
                <w:sz w:val="24"/>
                <w:szCs w:val="24"/>
                <w:lang w:eastAsia="fr-FR"/>
              </w:rPr>
              <w:t xml:space="preserve">1) </w:t>
            </w:r>
            <w:r w:rsidR="002E7F0D" w:rsidRPr="002949A8">
              <w:rPr>
                <w:rFonts w:ascii="Nyala" w:hAnsi="Nyala"/>
                <w:color w:val="000000"/>
                <w:sz w:val="24"/>
                <w:szCs w:val="24"/>
                <w:lang w:eastAsia="fr-FR"/>
              </w:rPr>
              <w:t xml:space="preserve">céréales : </w:t>
            </w:r>
            <w:r w:rsidRPr="002949A8">
              <w:rPr>
                <w:rFonts w:ascii="Nyala" w:hAnsi="Nyala"/>
                <w:color w:val="000000"/>
                <w:sz w:val="24"/>
                <w:szCs w:val="24"/>
                <w:lang w:eastAsia="fr-FR"/>
              </w:rPr>
              <w:t xml:space="preserve">Mil, </w:t>
            </w:r>
            <w:r w:rsidR="002E7F0D" w:rsidRPr="002949A8">
              <w:rPr>
                <w:rFonts w:ascii="Nyala" w:hAnsi="Nyala"/>
                <w:color w:val="000000"/>
                <w:sz w:val="24"/>
                <w:szCs w:val="24"/>
                <w:lang w:eastAsia="fr-FR"/>
              </w:rPr>
              <w:t xml:space="preserve">Sorgho, </w:t>
            </w:r>
            <w:r w:rsidRPr="002949A8">
              <w:rPr>
                <w:rFonts w:ascii="Nyala" w:hAnsi="Nyala"/>
                <w:color w:val="000000"/>
                <w:sz w:val="24"/>
                <w:szCs w:val="24"/>
                <w:lang w:eastAsia="fr-FR"/>
              </w:rPr>
              <w:t xml:space="preserve">Riz, </w:t>
            </w:r>
            <w:r w:rsidR="002E7F0D" w:rsidRPr="002949A8">
              <w:rPr>
                <w:rFonts w:ascii="Nyala" w:hAnsi="Nyala"/>
                <w:color w:val="000000"/>
                <w:sz w:val="24"/>
                <w:szCs w:val="24"/>
                <w:lang w:eastAsia="fr-FR"/>
              </w:rPr>
              <w:t>maïs</w:t>
            </w:r>
            <w:r w:rsidRPr="002949A8">
              <w:rPr>
                <w:rFonts w:ascii="Nyala" w:hAnsi="Nyala"/>
                <w:color w:val="000000"/>
                <w:sz w:val="24"/>
                <w:szCs w:val="24"/>
                <w:lang w:eastAsia="fr-FR"/>
              </w:rPr>
              <w:t xml:space="preserve">, </w:t>
            </w:r>
            <w:r w:rsidR="007354B4" w:rsidRPr="002949A8">
              <w:rPr>
                <w:rFonts w:ascii="Nyala" w:hAnsi="Nyala"/>
                <w:color w:val="000000"/>
                <w:sz w:val="24"/>
                <w:szCs w:val="24"/>
                <w:lang w:eastAsia="fr-FR"/>
              </w:rPr>
              <w:t>autres produits céréaliers (pain et pâtes alimentaires</w:t>
            </w:r>
            <w:r w:rsidRPr="002949A8">
              <w:rPr>
                <w:rFonts w:ascii="Nyala" w:hAnsi="Nyala"/>
                <w:color w:val="000000"/>
                <w:sz w:val="24"/>
                <w:szCs w:val="24"/>
                <w:lang w:eastAsia="fr-FR"/>
              </w:rPr>
              <w:t xml:space="preserve">) </w:t>
            </w:r>
            <w:r w:rsidR="007354B4" w:rsidRPr="002949A8">
              <w:rPr>
                <w:rFonts w:ascii="Nyala" w:hAnsi="Nyala"/>
                <w:color w:val="000000"/>
                <w:sz w:val="24"/>
                <w:szCs w:val="24"/>
                <w:lang w:eastAsia="fr-FR"/>
              </w:rPr>
              <w:t xml:space="preserve"> v</w:t>
            </w:r>
            <w:r w:rsidR="002E7F0D" w:rsidRPr="002949A8">
              <w:rPr>
                <w:rFonts w:ascii="Nyala" w:hAnsi="Nyala"/>
                <w:color w:val="000000"/>
                <w:sz w:val="24"/>
                <w:szCs w:val="24"/>
                <w:lang w:eastAsia="fr-FR"/>
              </w:rPr>
              <w:t> : farine de manioc, patate douce, igname ; 3) feuilles et légumes : feuille de baobab, oignon, Gombo, 4) légumineuses : haricots secs 5)</w:t>
            </w:r>
            <w:r w:rsidR="007354B4" w:rsidRPr="002949A8">
              <w:rPr>
                <w:rFonts w:ascii="Nyala" w:hAnsi="Nyala"/>
                <w:color w:val="000000"/>
                <w:sz w:val="24"/>
                <w:szCs w:val="24"/>
                <w:lang w:eastAsia="fr-FR"/>
              </w:rPr>
              <w:t xml:space="preserve">datte ; 6) viandes bœuf, mouton, chèvre, volaille ; 7) lait : frais ou caillé ; 8) huile : palme, arachide, ; 9) canne à sucre ; 10) sucre ; 11) autres produits : sel, piment, cube maggi, soumbala ; </w:t>
            </w:r>
          </w:p>
        </w:tc>
      </w:tr>
      <w:tr w:rsidR="00B95835" w:rsidTr="00141D20">
        <w:tc>
          <w:tcPr>
            <w:tcW w:w="2405" w:type="dxa"/>
          </w:tcPr>
          <w:p w:rsidR="00B95835" w:rsidRPr="002949A8" w:rsidRDefault="00B95835" w:rsidP="002949A8">
            <w:pPr>
              <w:spacing w:line="259" w:lineRule="auto"/>
              <w:contextualSpacing/>
              <w:jc w:val="both"/>
              <w:rPr>
                <w:rFonts w:ascii="Nyala" w:hAnsi="Nyala"/>
                <w:color w:val="000000"/>
                <w:sz w:val="24"/>
                <w:szCs w:val="24"/>
                <w:lang w:eastAsia="fr-FR"/>
              </w:rPr>
            </w:pPr>
            <w:r w:rsidRPr="002949A8">
              <w:rPr>
                <w:rFonts w:ascii="Nyala" w:hAnsi="Nyala"/>
                <w:color w:val="000000"/>
                <w:sz w:val="24"/>
                <w:szCs w:val="24"/>
                <w:lang w:eastAsia="fr-FR"/>
              </w:rPr>
              <w:t>S</w:t>
            </w:r>
            <w:r w:rsidR="002949A8" w:rsidRPr="002949A8">
              <w:rPr>
                <w:rFonts w:ascii="Nyala" w:hAnsi="Nyala"/>
                <w:color w:val="000000"/>
                <w:sz w:val="24"/>
                <w:szCs w:val="24"/>
                <w:lang w:eastAsia="fr-FR"/>
              </w:rPr>
              <w:t xml:space="preserve">core de consommation alimentaire </w:t>
            </w:r>
            <w:r w:rsidRPr="002949A8">
              <w:rPr>
                <w:rFonts w:ascii="Nyala" w:hAnsi="Nyala"/>
                <w:color w:val="000000"/>
                <w:sz w:val="24"/>
                <w:szCs w:val="24"/>
                <w:lang w:eastAsia="fr-FR"/>
              </w:rPr>
              <w:t>(EVIAM)</w:t>
            </w:r>
          </w:p>
        </w:tc>
        <w:tc>
          <w:tcPr>
            <w:tcW w:w="6657" w:type="dxa"/>
          </w:tcPr>
          <w:p w:rsidR="00B95835" w:rsidRPr="002949A8" w:rsidRDefault="00B95835" w:rsidP="004B64B5">
            <w:pPr>
              <w:spacing w:line="259" w:lineRule="auto"/>
              <w:contextualSpacing/>
              <w:jc w:val="both"/>
              <w:rPr>
                <w:rFonts w:ascii="Nyala" w:hAnsi="Nyala"/>
                <w:color w:val="000000"/>
                <w:sz w:val="24"/>
                <w:szCs w:val="24"/>
                <w:lang w:eastAsia="fr-FR"/>
              </w:rPr>
            </w:pPr>
            <w:r w:rsidRPr="002949A8">
              <w:rPr>
                <w:rFonts w:ascii="Nyala" w:hAnsi="Nyala"/>
                <w:color w:val="000000"/>
                <w:sz w:val="24"/>
                <w:szCs w:val="24"/>
                <w:lang w:eastAsia="fr-FR"/>
              </w:rPr>
              <w:t>1) Céréales et tubercules ; 2) feuilles et légumes ; 3) légumineuses ; 4) fruits ; 5) lait et produits laitiers ; 6) protéines animales ; 7) huile ; 8) sucre</w:t>
            </w:r>
          </w:p>
        </w:tc>
      </w:tr>
      <w:tr w:rsidR="00B95835" w:rsidTr="00141D20">
        <w:tc>
          <w:tcPr>
            <w:tcW w:w="2405" w:type="dxa"/>
          </w:tcPr>
          <w:p w:rsidR="00B95835" w:rsidRPr="002949A8" w:rsidRDefault="00B95835" w:rsidP="002949A8">
            <w:pPr>
              <w:spacing w:line="259" w:lineRule="auto"/>
              <w:contextualSpacing/>
              <w:jc w:val="both"/>
              <w:rPr>
                <w:rFonts w:ascii="Nyala" w:hAnsi="Nyala"/>
                <w:color w:val="000000"/>
                <w:sz w:val="24"/>
                <w:szCs w:val="24"/>
                <w:lang w:eastAsia="fr-FR"/>
              </w:rPr>
            </w:pPr>
            <w:r w:rsidRPr="002949A8">
              <w:rPr>
                <w:rFonts w:ascii="Nyala" w:hAnsi="Nyala"/>
                <w:color w:val="000000"/>
                <w:sz w:val="24"/>
                <w:szCs w:val="24"/>
                <w:lang w:eastAsia="fr-FR"/>
              </w:rPr>
              <w:t>S</w:t>
            </w:r>
            <w:r w:rsidR="002949A8" w:rsidRPr="002949A8">
              <w:rPr>
                <w:rFonts w:ascii="Nyala" w:hAnsi="Nyala"/>
                <w:color w:val="000000"/>
                <w:sz w:val="24"/>
                <w:szCs w:val="24"/>
                <w:lang w:eastAsia="fr-FR"/>
              </w:rPr>
              <w:t xml:space="preserve">core de diversité alimentaire </w:t>
            </w:r>
            <w:r w:rsidRPr="002949A8">
              <w:rPr>
                <w:rFonts w:ascii="Nyala" w:hAnsi="Nyala"/>
                <w:color w:val="000000"/>
                <w:sz w:val="24"/>
                <w:szCs w:val="24"/>
                <w:lang w:eastAsia="fr-FR"/>
              </w:rPr>
              <w:t>(EVIAM)</w:t>
            </w:r>
          </w:p>
        </w:tc>
        <w:tc>
          <w:tcPr>
            <w:tcW w:w="6657" w:type="dxa"/>
          </w:tcPr>
          <w:p w:rsidR="00B95835" w:rsidRPr="002949A8" w:rsidRDefault="00B95835" w:rsidP="00B95835">
            <w:pPr>
              <w:spacing w:line="259" w:lineRule="auto"/>
              <w:contextualSpacing/>
              <w:jc w:val="both"/>
              <w:rPr>
                <w:rFonts w:ascii="Nyala" w:hAnsi="Nyala"/>
                <w:color w:val="000000"/>
                <w:sz w:val="24"/>
                <w:szCs w:val="24"/>
                <w:lang w:eastAsia="fr-FR"/>
              </w:rPr>
            </w:pPr>
            <w:r w:rsidRPr="002949A8">
              <w:rPr>
                <w:rFonts w:ascii="Nyala" w:hAnsi="Nyala"/>
                <w:color w:val="000000"/>
                <w:sz w:val="24"/>
                <w:szCs w:val="24"/>
                <w:lang w:eastAsia="fr-FR"/>
              </w:rPr>
              <w:t xml:space="preserve">1) céréales  ; 2) racines  et  tubercules  ;  3) légumineuses,  noix  et  graines  ;  légumes  ; 4) fruits   </w:t>
            </w:r>
          </w:p>
          <w:p w:rsidR="00B95835" w:rsidRPr="002949A8" w:rsidRDefault="00B95835" w:rsidP="00B95835">
            <w:pPr>
              <w:spacing w:line="259" w:lineRule="auto"/>
              <w:contextualSpacing/>
              <w:jc w:val="both"/>
              <w:rPr>
                <w:rFonts w:ascii="Nyala" w:hAnsi="Nyala"/>
                <w:color w:val="000000"/>
                <w:sz w:val="24"/>
                <w:szCs w:val="24"/>
                <w:lang w:eastAsia="fr-FR"/>
              </w:rPr>
            </w:pPr>
            <w:r w:rsidRPr="002949A8">
              <w:rPr>
                <w:rFonts w:ascii="Nyala" w:hAnsi="Nyala"/>
                <w:color w:val="000000"/>
                <w:sz w:val="24"/>
                <w:szCs w:val="24"/>
                <w:lang w:eastAsia="fr-FR"/>
              </w:rPr>
              <w:t>5) viande ; 6) œufs ; 7) poisson et fruits de mer ; 8) lait et produits laitiers ; 9) huiles et graisses ; 10)</w:t>
            </w:r>
          </w:p>
          <w:p w:rsidR="00B95835" w:rsidRPr="002949A8" w:rsidRDefault="00B95835" w:rsidP="004B64B5">
            <w:pPr>
              <w:spacing w:line="259" w:lineRule="auto"/>
              <w:contextualSpacing/>
              <w:jc w:val="both"/>
              <w:rPr>
                <w:rFonts w:ascii="Nyala" w:hAnsi="Nyala"/>
                <w:color w:val="000000"/>
                <w:sz w:val="24"/>
                <w:szCs w:val="24"/>
                <w:lang w:eastAsia="fr-FR"/>
              </w:rPr>
            </w:pPr>
            <w:r w:rsidRPr="002949A8">
              <w:rPr>
                <w:rFonts w:ascii="Nyala" w:hAnsi="Nyala"/>
                <w:color w:val="000000"/>
                <w:sz w:val="24"/>
                <w:szCs w:val="24"/>
                <w:lang w:eastAsia="fr-FR"/>
              </w:rPr>
              <w:t>11) sucre ; 12) épices, condiments et boissons.</w:t>
            </w:r>
          </w:p>
        </w:tc>
      </w:tr>
    </w:tbl>
    <w:p w:rsidR="00900870" w:rsidRDefault="00900870" w:rsidP="00141D20">
      <w:pPr>
        <w:spacing w:line="259" w:lineRule="auto"/>
        <w:contextualSpacing/>
        <w:jc w:val="both"/>
        <w:rPr>
          <w:rFonts w:ascii="Nyala" w:hAnsi="Nyala"/>
          <w:color w:val="000000"/>
          <w:sz w:val="28"/>
          <w:szCs w:val="28"/>
          <w:lang w:eastAsia="fr-FR"/>
        </w:rPr>
      </w:pPr>
    </w:p>
    <w:p w:rsidR="00155412" w:rsidRDefault="00155412" w:rsidP="00141D20">
      <w:pPr>
        <w:contextualSpacing/>
        <w:jc w:val="both"/>
        <w:rPr>
          <w:rFonts w:ascii="Nyala" w:hAnsi="Nyala"/>
          <w:color w:val="000000"/>
          <w:sz w:val="28"/>
          <w:szCs w:val="28"/>
          <w:lang w:eastAsia="fr-FR"/>
        </w:rPr>
      </w:pPr>
    </w:p>
    <w:p w:rsidR="003F7431" w:rsidRPr="00141D20" w:rsidRDefault="003F7431" w:rsidP="00141D20">
      <w:pPr>
        <w:contextualSpacing/>
        <w:jc w:val="both"/>
        <w:rPr>
          <w:rFonts w:ascii="Nyala" w:hAnsi="Nyala"/>
          <w:color w:val="000000"/>
          <w:sz w:val="28"/>
          <w:szCs w:val="28"/>
          <w:lang w:eastAsia="fr-FR"/>
        </w:rPr>
      </w:pPr>
      <w:r>
        <w:rPr>
          <w:rFonts w:ascii="Nyala" w:hAnsi="Nyala"/>
          <w:color w:val="000000"/>
          <w:sz w:val="28"/>
          <w:szCs w:val="28"/>
          <w:lang w:eastAsia="fr-FR"/>
        </w:rPr>
        <w:t>Par ailleurs, il est à préciser que dans la pratique, la ration calorique ou le SDA ne sont pas les seuls éléments pris en compte dans la prévalence de l’insécurité alimentaire.</w:t>
      </w:r>
      <w:r w:rsidR="005A2C8A">
        <w:rPr>
          <w:rFonts w:ascii="Nyala" w:hAnsi="Nyala"/>
          <w:color w:val="000000"/>
          <w:sz w:val="28"/>
          <w:szCs w:val="28"/>
          <w:lang w:eastAsia="fr-FR"/>
        </w:rPr>
        <w:t xml:space="preserve"> L’INS utilise une </w:t>
      </w:r>
      <w:r w:rsidRPr="003F7431">
        <w:rPr>
          <w:rFonts w:ascii="Nyala" w:hAnsi="Nyala"/>
          <w:color w:val="000000"/>
          <w:sz w:val="28"/>
          <w:szCs w:val="28"/>
          <w:lang w:eastAsia="fr-FR"/>
        </w:rPr>
        <w:t xml:space="preserve">méthode d’Analyse en Composantes Principales (ACP) </w:t>
      </w:r>
      <w:r w:rsidR="005A2C8A">
        <w:rPr>
          <w:rFonts w:ascii="Nyala" w:hAnsi="Nyala"/>
          <w:color w:val="000000"/>
          <w:sz w:val="28"/>
          <w:szCs w:val="28"/>
          <w:lang w:eastAsia="fr-FR"/>
        </w:rPr>
        <w:t xml:space="preserve">et une </w:t>
      </w:r>
      <w:r w:rsidRPr="003F7431">
        <w:rPr>
          <w:rFonts w:ascii="Nyala" w:hAnsi="Nyala"/>
          <w:color w:val="000000"/>
          <w:sz w:val="28"/>
          <w:szCs w:val="28"/>
          <w:lang w:eastAsia="fr-FR"/>
        </w:rPr>
        <w:t>classification hiérarchique à partir de 5 indicateurs  choisis pour refléter les (3) piliers de la sécurité alimentaire à savoir la disponibilité, l’ac</w:t>
      </w:r>
      <w:r w:rsidR="002D137E">
        <w:rPr>
          <w:rFonts w:ascii="Nyala" w:hAnsi="Nyala"/>
          <w:color w:val="000000"/>
          <w:sz w:val="28"/>
          <w:szCs w:val="28"/>
          <w:lang w:eastAsia="fr-FR"/>
        </w:rPr>
        <w:t>cessibilité et l’utilisation : l</w:t>
      </w:r>
      <w:r w:rsidR="005A2C8A">
        <w:rPr>
          <w:rFonts w:ascii="Nyala" w:hAnsi="Nyala"/>
          <w:color w:val="000000"/>
          <w:sz w:val="28"/>
          <w:szCs w:val="28"/>
          <w:lang w:eastAsia="fr-FR"/>
        </w:rPr>
        <w:t xml:space="preserve">e </w:t>
      </w:r>
      <w:r w:rsidR="005A2C8A" w:rsidRPr="00141D20">
        <w:rPr>
          <w:rFonts w:ascii="Nyala" w:hAnsi="Nyala"/>
          <w:color w:val="000000"/>
          <w:sz w:val="28"/>
          <w:szCs w:val="28"/>
          <w:lang w:eastAsia="fr-FR"/>
        </w:rPr>
        <w:t xml:space="preserve">Score </w:t>
      </w:r>
      <w:r w:rsidR="002D137E">
        <w:rPr>
          <w:rFonts w:ascii="Nyala" w:hAnsi="Nyala"/>
          <w:color w:val="000000"/>
          <w:sz w:val="28"/>
          <w:szCs w:val="28"/>
          <w:lang w:eastAsia="fr-FR"/>
        </w:rPr>
        <w:t>de la consommation alimentaire ; l</w:t>
      </w:r>
      <w:r w:rsidR="005A2C8A">
        <w:rPr>
          <w:rFonts w:ascii="Nyala" w:hAnsi="Nyala"/>
          <w:color w:val="000000"/>
          <w:sz w:val="28"/>
          <w:szCs w:val="28"/>
          <w:lang w:eastAsia="fr-FR"/>
        </w:rPr>
        <w:t>a d</w:t>
      </w:r>
      <w:r w:rsidRPr="00141D20">
        <w:rPr>
          <w:rFonts w:ascii="Nyala" w:hAnsi="Nyala"/>
          <w:color w:val="000000"/>
          <w:sz w:val="28"/>
          <w:szCs w:val="28"/>
          <w:lang w:eastAsia="fr-FR"/>
        </w:rPr>
        <w:t>urée déclarée de</w:t>
      </w:r>
      <w:r w:rsidR="002D137E">
        <w:rPr>
          <w:rFonts w:ascii="Nyala" w:hAnsi="Nyala"/>
          <w:color w:val="000000"/>
          <w:sz w:val="28"/>
          <w:szCs w:val="28"/>
          <w:lang w:eastAsia="fr-FR"/>
        </w:rPr>
        <w:t>s stocks alimentaires du ménage ; l</w:t>
      </w:r>
      <w:r w:rsidR="005A2C8A">
        <w:rPr>
          <w:rFonts w:ascii="Nyala" w:hAnsi="Nyala"/>
          <w:color w:val="000000"/>
          <w:sz w:val="28"/>
          <w:szCs w:val="28"/>
          <w:lang w:eastAsia="fr-FR"/>
        </w:rPr>
        <w:t>a p</w:t>
      </w:r>
      <w:r w:rsidRPr="00141D20">
        <w:rPr>
          <w:rFonts w:ascii="Nyala" w:hAnsi="Nyala"/>
          <w:color w:val="000000"/>
          <w:sz w:val="28"/>
          <w:szCs w:val="28"/>
          <w:lang w:eastAsia="fr-FR"/>
        </w:rPr>
        <w:t>osse</w:t>
      </w:r>
      <w:r w:rsidR="002D137E">
        <w:rPr>
          <w:rFonts w:ascii="Nyala" w:hAnsi="Nyala"/>
          <w:color w:val="000000"/>
          <w:sz w:val="28"/>
          <w:szCs w:val="28"/>
          <w:lang w:eastAsia="fr-FR"/>
        </w:rPr>
        <w:t>ssion de bétail (nombre d’UBT); l</w:t>
      </w:r>
      <w:r w:rsidR="005A2C8A">
        <w:rPr>
          <w:rFonts w:ascii="Nyala" w:hAnsi="Nyala"/>
          <w:color w:val="000000"/>
          <w:sz w:val="28"/>
          <w:szCs w:val="28"/>
          <w:lang w:eastAsia="fr-FR"/>
        </w:rPr>
        <w:t>a p</w:t>
      </w:r>
      <w:r w:rsidRPr="00141D20">
        <w:rPr>
          <w:rFonts w:ascii="Nyala" w:hAnsi="Nyala"/>
          <w:color w:val="000000"/>
          <w:sz w:val="28"/>
          <w:szCs w:val="28"/>
          <w:lang w:eastAsia="fr-FR"/>
        </w:rPr>
        <w:t>art des dépenses aliment</w:t>
      </w:r>
      <w:r w:rsidR="002D137E">
        <w:rPr>
          <w:rFonts w:ascii="Nyala" w:hAnsi="Nyala"/>
          <w:color w:val="000000"/>
          <w:sz w:val="28"/>
          <w:szCs w:val="28"/>
          <w:lang w:eastAsia="fr-FR"/>
        </w:rPr>
        <w:t>aires dans les dépenses totales ; l</w:t>
      </w:r>
      <w:r w:rsidR="005A2C8A">
        <w:rPr>
          <w:rFonts w:ascii="Nyala" w:hAnsi="Nyala"/>
          <w:color w:val="000000"/>
          <w:sz w:val="28"/>
          <w:szCs w:val="28"/>
          <w:lang w:eastAsia="fr-FR"/>
        </w:rPr>
        <w:t>’i</w:t>
      </w:r>
      <w:r w:rsidRPr="00141D20">
        <w:rPr>
          <w:rFonts w:ascii="Nyala" w:hAnsi="Nyala"/>
          <w:color w:val="000000"/>
          <w:sz w:val="28"/>
          <w:szCs w:val="28"/>
          <w:lang w:eastAsia="fr-FR"/>
        </w:rPr>
        <w:t>ndice des stratégies d’adaptation développées par les ménages</w:t>
      </w:r>
    </w:p>
    <w:p w:rsidR="00854D53" w:rsidRDefault="00854D53" w:rsidP="00141D20">
      <w:pPr>
        <w:spacing w:line="259" w:lineRule="auto"/>
        <w:contextualSpacing/>
        <w:jc w:val="both"/>
        <w:rPr>
          <w:rFonts w:ascii="Nyala" w:hAnsi="Nyala"/>
          <w:color w:val="000000"/>
          <w:sz w:val="28"/>
          <w:szCs w:val="28"/>
          <w:lang w:eastAsia="fr-FR"/>
        </w:rPr>
      </w:pPr>
    </w:p>
    <w:p w:rsidR="00155412" w:rsidRDefault="005A2C8A" w:rsidP="00141D20">
      <w:pPr>
        <w:spacing w:line="259" w:lineRule="auto"/>
        <w:contextualSpacing/>
        <w:jc w:val="both"/>
        <w:rPr>
          <w:rFonts w:ascii="Nyala" w:hAnsi="Nyala"/>
          <w:color w:val="000000"/>
          <w:sz w:val="28"/>
          <w:szCs w:val="28"/>
          <w:lang w:eastAsia="fr-FR"/>
        </w:rPr>
      </w:pPr>
      <w:r>
        <w:rPr>
          <w:rFonts w:ascii="Nyala" w:hAnsi="Nyala"/>
          <w:color w:val="000000"/>
          <w:sz w:val="28"/>
          <w:szCs w:val="28"/>
          <w:lang w:eastAsia="fr-FR"/>
        </w:rPr>
        <w:t>Le profil typique des ménages en insécurité alimentaire est résumé comme suit :</w:t>
      </w:r>
    </w:p>
    <w:p w:rsidR="002949A8" w:rsidRDefault="002949A8" w:rsidP="00141D20">
      <w:pPr>
        <w:spacing w:line="259" w:lineRule="auto"/>
        <w:contextualSpacing/>
        <w:jc w:val="both"/>
        <w:rPr>
          <w:rFonts w:ascii="Nyala" w:hAnsi="Nyala"/>
          <w:color w:val="000000"/>
          <w:sz w:val="28"/>
          <w:szCs w:val="28"/>
          <w:lang w:eastAsia="fr-FR"/>
        </w:rPr>
      </w:pPr>
    </w:p>
    <w:p w:rsidR="002949A8" w:rsidRDefault="002949A8" w:rsidP="00141D20">
      <w:pPr>
        <w:spacing w:line="259" w:lineRule="auto"/>
        <w:contextualSpacing/>
        <w:jc w:val="both"/>
        <w:rPr>
          <w:rFonts w:ascii="Nyala" w:hAnsi="Nyala"/>
          <w:color w:val="000000"/>
          <w:sz w:val="28"/>
          <w:szCs w:val="28"/>
          <w:lang w:eastAsia="fr-FR"/>
        </w:rPr>
      </w:pPr>
    </w:p>
    <w:p w:rsidR="002949A8" w:rsidRDefault="002949A8" w:rsidP="002949A8">
      <w:pPr>
        <w:pStyle w:val="Lgende"/>
        <w:rPr>
          <w:rFonts w:ascii="Nyala" w:hAnsi="Nyala"/>
          <w:color w:val="000000"/>
          <w:sz w:val="28"/>
          <w:szCs w:val="28"/>
          <w:lang w:eastAsia="fr-FR"/>
        </w:rPr>
      </w:pPr>
      <w:bookmarkStart w:id="317" w:name="_Toc526120057"/>
      <w:r>
        <w:t xml:space="preserve">Tableau </w:t>
      </w:r>
      <w:r w:rsidR="00D639F2">
        <w:fldChar w:fldCharType="begin"/>
      </w:r>
      <w:r w:rsidR="00440FAF">
        <w:instrText xml:space="preserve"> SEQ Tableau \* ARABIC </w:instrText>
      </w:r>
      <w:r w:rsidR="00D639F2">
        <w:fldChar w:fldCharType="separate"/>
      </w:r>
      <w:r w:rsidR="00440FAF">
        <w:rPr>
          <w:noProof/>
        </w:rPr>
        <w:t>3</w:t>
      </w:r>
      <w:r w:rsidR="00D639F2">
        <w:fldChar w:fldCharType="end"/>
      </w:r>
      <w:r>
        <w:t xml:space="preserve"> - profil typique des ménages en insécurité alimentaire (source INS)</w:t>
      </w:r>
      <w:bookmarkEnd w:id="317"/>
    </w:p>
    <w:p w:rsidR="005A2C8A" w:rsidRDefault="005A2C8A" w:rsidP="00141D20">
      <w:pPr>
        <w:spacing w:line="259" w:lineRule="auto"/>
        <w:contextualSpacing/>
        <w:jc w:val="both"/>
        <w:rPr>
          <w:rFonts w:ascii="Nyala" w:hAnsi="Nyala"/>
          <w:color w:val="000000"/>
          <w:sz w:val="28"/>
          <w:szCs w:val="28"/>
          <w:lang w:eastAsia="fr-FR"/>
        </w:rPr>
      </w:pPr>
    </w:p>
    <w:tbl>
      <w:tblPr>
        <w:tblStyle w:val="Grilledutableau"/>
        <w:tblW w:w="0" w:type="auto"/>
        <w:tblLook w:val="04A0" w:firstRow="1" w:lastRow="0" w:firstColumn="1" w:lastColumn="0" w:noHBand="0" w:noVBand="1"/>
      </w:tblPr>
      <w:tblGrid>
        <w:gridCol w:w="4531"/>
        <w:gridCol w:w="4531"/>
      </w:tblGrid>
      <w:tr w:rsidR="005A2C8A" w:rsidTr="005A2C8A">
        <w:tc>
          <w:tcPr>
            <w:tcW w:w="4531" w:type="dxa"/>
          </w:tcPr>
          <w:p w:rsidR="005A2C8A" w:rsidRPr="00141D20" w:rsidRDefault="005A2C8A" w:rsidP="00155412">
            <w:pPr>
              <w:spacing w:line="259" w:lineRule="auto"/>
              <w:contextualSpacing/>
              <w:jc w:val="both"/>
              <w:rPr>
                <w:rFonts w:ascii="Nyala" w:hAnsi="Nyala"/>
                <w:color w:val="000000"/>
                <w:lang w:eastAsia="fr-FR"/>
              </w:rPr>
            </w:pPr>
            <w:r w:rsidRPr="00141D20">
              <w:rPr>
                <w:rFonts w:ascii="Nyala" w:hAnsi="Nyala"/>
                <w:color w:val="000000"/>
                <w:sz w:val="20"/>
                <w:szCs w:val="20"/>
                <w:lang w:eastAsia="fr-FR"/>
              </w:rPr>
              <w:t>Les ménages en situation d’insécurité alimentaire sévère</w:t>
            </w:r>
          </w:p>
        </w:tc>
        <w:tc>
          <w:tcPr>
            <w:tcW w:w="4531" w:type="dxa"/>
          </w:tcPr>
          <w:p w:rsidR="005A2C8A" w:rsidRPr="00141D20" w:rsidRDefault="005A2C8A" w:rsidP="00155412">
            <w:pPr>
              <w:spacing w:line="259" w:lineRule="auto"/>
              <w:contextualSpacing/>
              <w:jc w:val="both"/>
              <w:rPr>
                <w:rFonts w:ascii="Nyala" w:hAnsi="Nyala"/>
                <w:color w:val="000000"/>
                <w:lang w:eastAsia="fr-FR"/>
              </w:rPr>
            </w:pPr>
            <w:r w:rsidRPr="00141D20">
              <w:rPr>
                <w:rFonts w:ascii="Nyala" w:hAnsi="Nyala"/>
                <w:color w:val="000000"/>
                <w:sz w:val="20"/>
                <w:szCs w:val="20"/>
                <w:lang w:eastAsia="fr-FR"/>
              </w:rPr>
              <w:t>Les ménages en situation d’insécurité alimentaire modérée</w:t>
            </w:r>
          </w:p>
        </w:tc>
      </w:tr>
      <w:tr w:rsidR="005A2C8A" w:rsidTr="00141D20">
        <w:trPr>
          <w:trHeight w:val="1134"/>
        </w:trPr>
        <w:tc>
          <w:tcPr>
            <w:tcW w:w="4531" w:type="dxa"/>
          </w:tcPr>
          <w:p w:rsidR="005A2C8A" w:rsidRPr="00141D20" w:rsidRDefault="005A2C8A" w:rsidP="00141D20">
            <w:pPr>
              <w:numPr>
                <w:ilvl w:val="0"/>
                <w:numId w:val="51"/>
              </w:numPr>
              <w:tabs>
                <w:tab w:val="num" w:pos="2160"/>
              </w:tabs>
              <w:spacing w:before="100" w:after="200" w:line="259" w:lineRule="auto"/>
              <w:contextualSpacing/>
              <w:jc w:val="both"/>
              <w:rPr>
                <w:rFonts w:ascii="Nyala" w:hAnsi="Nyala"/>
                <w:color w:val="000000"/>
                <w:lang w:eastAsia="fr-FR"/>
              </w:rPr>
            </w:pPr>
            <w:r w:rsidRPr="00141D20">
              <w:rPr>
                <w:rFonts w:ascii="Nyala" w:hAnsi="Nyala"/>
                <w:color w:val="000000"/>
                <w:sz w:val="20"/>
                <w:szCs w:val="20"/>
                <w:lang w:eastAsia="fr-FR"/>
              </w:rPr>
              <w:t>un stock alimentaire d’une durée moyenne de moins d’un mois (0,1 moi);</w:t>
            </w:r>
          </w:p>
          <w:p w:rsidR="005A2C8A" w:rsidRPr="00141D20" w:rsidRDefault="005A2C8A" w:rsidP="00141D20">
            <w:pPr>
              <w:numPr>
                <w:ilvl w:val="0"/>
                <w:numId w:val="51"/>
              </w:numPr>
              <w:tabs>
                <w:tab w:val="num" w:pos="2160"/>
              </w:tabs>
              <w:spacing w:before="100" w:after="200" w:line="259" w:lineRule="auto"/>
              <w:contextualSpacing/>
              <w:jc w:val="both"/>
              <w:rPr>
                <w:rFonts w:ascii="Nyala" w:hAnsi="Nyala"/>
                <w:color w:val="000000"/>
                <w:lang w:eastAsia="fr-FR"/>
              </w:rPr>
            </w:pPr>
            <w:r w:rsidRPr="00141D20">
              <w:rPr>
                <w:rFonts w:ascii="Nyala" w:hAnsi="Nyala"/>
                <w:color w:val="000000"/>
                <w:sz w:val="20"/>
                <w:szCs w:val="20"/>
                <w:lang w:eastAsia="fr-FR"/>
              </w:rPr>
              <w:t>l’adoption de plusieurs stratégies de survie;</w:t>
            </w:r>
          </w:p>
          <w:p w:rsidR="005A2C8A" w:rsidRPr="00141D20" w:rsidRDefault="005A2C8A" w:rsidP="00141D20">
            <w:pPr>
              <w:numPr>
                <w:ilvl w:val="0"/>
                <w:numId w:val="51"/>
              </w:numPr>
              <w:tabs>
                <w:tab w:val="num" w:pos="2160"/>
              </w:tabs>
              <w:spacing w:before="100" w:after="200" w:line="259" w:lineRule="auto"/>
              <w:contextualSpacing/>
              <w:jc w:val="both"/>
              <w:rPr>
                <w:rFonts w:ascii="Nyala" w:hAnsi="Nyala"/>
                <w:color w:val="000000"/>
                <w:lang w:eastAsia="fr-FR"/>
              </w:rPr>
            </w:pPr>
            <w:r w:rsidRPr="00141D20">
              <w:rPr>
                <w:rFonts w:ascii="Nyala" w:hAnsi="Nyala"/>
                <w:color w:val="000000"/>
                <w:sz w:val="20"/>
                <w:szCs w:val="20"/>
                <w:lang w:eastAsia="fr-FR"/>
              </w:rPr>
              <w:t>la possession de moins d’une UBT en moyenne (0,1);</w:t>
            </w:r>
          </w:p>
          <w:p w:rsidR="005A2C8A" w:rsidRPr="00141D20" w:rsidRDefault="005A2C8A" w:rsidP="00141D20">
            <w:pPr>
              <w:numPr>
                <w:ilvl w:val="0"/>
                <w:numId w:val="51"/>
              </w:numPr>
              <w:tabs>
                <w:tab w:val="num" w:pos="2160"/>
              </w:tabs>
              <w:spacing w:before="100" w:after="200" w:line="259" w:lineRule="auto"/>
              <w:contextualSpacing/>
              <w:jc w:val="both"/>
              <w:rPr>
                <w:rFonts w:ascii="Nyala" w:hAnsi="Nyala"/>
                <w:color w:val="000000"/>
                <w:lang w:eastAsia="fr-FR"/>
              </w:rPr>
            </w:pPr>
            <w:r w:rsidRPr="00141D20">
              <w:rPr>
                <w:rFonts w:ascii="Nyala" w:hAnsi="Nyala"/>
                <w:color w:val="000000"/>
                <w:sz w:val="20"/>
                <w:szCs w:val="20"/>
                <w:lang w:eastAsia="fr-FR"/>
              </w:rPr>
              <w:t>une part très importante des dépenses alimentaires dans les dépenses totales;</w:t>
            </w:r>
          </w:p>
          <w:p w:rsidR="005A2C8A" w:rsidRPr="00141D20" w:rsidRDefault="005A2C8A" w:rsidP="00141D20">
            <w:pPr>
              <w:numPr>
                <w:ilvl w:val="0"/>
                <w:numId w:val="51"/>
              </w:numPr>
              <w:tabs>
                <w:tab w:val="num" w:pos="2160"/>
              </w:tabs>
              <w:spacing w:before="100" w:after="200" w:line="259" w:lineRule="auto"/>
              <w:contextualSpacing/>
              <w:jc w:val="both"/>
              <w:rPr>
                <w:rFonts w:ascii="Nyala" w:hAnsi="Nyala"/>
                <w:color w:val="000000"/>
                <w:lang w:eastAsia="fr-FR"/>
              </w:rPr>
            </w:pPr>
            <w:r w:rsidRPr="00141D20">
              <w:rPr>
                <w:rFonts w:ascii="Nyala" w:hAnsi="Nyala"/>
                <w:color w:val="000000"/>
                <w:sz w:val="20"/>
                <w:szCs w:val="20"/>
                <w:lang w:eastAsia="fr-FR"/>
              </w:rPr>
              <w:t>une consommation alimentaire pauvre (SCA compris entre 0 et 28).</w:t>
            </w:r>
          </w:p>
          <w:p w:rsidR="005A2C8A" w:rsidRPr="00141D20" w:rsidRDefault="005A2C8A" w:rsidP="00155412">
            <w:pPr>
              <w:spacing w:line="259" w:lineRule="auto"/>
              <w:contextualSpacing/>
              <w:jc w:val="both"/>
              <w:rPr>
                <w:rFonts w:ascii="Nyala" w:hAnsi="Nyala"/>
                <w:color w:val="000000"/>
                <w:lang w:eastAsia="fr-FR"/>
              </w:rPr>
            </w:pPr>
          </w:p>
        </w:tc>
        <w:tc>
          <w:tcPr>
            <w:tcW w:w="4531" w:type="dxa"/>
          </w:tcPr>
          <w:p w:rsidR="005A2C8A" w:rsidRPr="00141D20" w:rsidRDefault="005A2C8A" w:rsidP="00141D20">
            <w:pPr>
              <w:numPr>
                <w:ilvl w:val="0"/>
                <w:numId w:val="52"/>
              </w:numPr>
              <w:tabs>
                <w:tab w:val="num" w:pos="2160"/>
              </w:tabs>
              <w:spacing w:before="100" w:after="200" w:line="259" w:lineRule="auto"/>
              <w:contextualSpacing/>
              <w:jc w:val="both"/>
              <w:rPr>
                <w:rFonts w:ascii="Nyala" w:hAnsi="Nyala"/>
                <w:color w:val="000000"/>
                <w:lang w:eastAsia="fr-FR"/>
              </w:rPr>
            </w:pPr>
            <w:r w:rsidRPr="00141D20">
              <w:rPr>
                <w:rFonts w:ascii="Nyala" w:hAnsi="Nyala"/>
                <w:color w:val="000000"/>
                <w:sz w:val="20"/>
                <w:szCs w:val="20"/>
                <w:lang w:eastAsia="fr-FR"/>
              </w:rPr>
              <w:t>un stock alimentaire d’une durée moyenne proche de 1 moi (0,8);</w:t>
            </w:r>
          </w:p>
          <w:p w:rsidR="005A2C8A" w:rsidRPr="00141D20" w:rsidRDefault="005A2C8A" w:rsidP="00141D20">
            <w:pPr>
              <w:numPr>
                <w:ilvl w:val="0"/>
                <w:numId w:val="52"/>
              </w:numPr>
              <w:tabs>
                <w:tab w:val="num" w:pos="2160"/>
              </w:tabs>
              <w:spacing w:before="100" w:after="200" w:line="259" w:lineRule="auto"/>
              <w:contextualSpacing/>
              <w:jc w:val="both"/>
              <w:rPr>
                <w:rFonts w:ascii="Nyala" w:hAnsi="Nyala"/>
                <w:color w:val="000000"/>
                <w:lang w:eastAsia="fr-FR"/>
              </w:rPr>
            </w:pPr>
            <w:r w:rsidRPr="00141D20">
              <w:rPr>
                <w:rFonts w:ascii="Nyala" w:hAnsi="Nyala"/>
                <w:color w:val="000000"/>
                <w:sz w:val="20"/>
                <w:szCs w:val="20"/>
                <w:lang w:eastAsia="fr-FR"/>
              </w:rPr>
              <w:t>la possession de moins d’une UBT en moyenne (0,4);</w:t>
            </w:r>
          </w:p>
          <w:p w:rsidR="005A2C8A" w:rsidRPr="00141D20" w:rsidRDefault="005A2C8A" w:rsidP="00141D20">
            <w:pPr>
              <w:numPr>
                <w:ilvl w:val="0"/>
                <w:numId w:val="52"/>
              </w:numPr>
              <w:tabs>
                <w:tab w:val="num" w:pos="2160"/>
              </w:tabs>
              <w:spacing w:before="100" w:after="200" w:line="259" w:lineRule="auto"/>
              <w:contextualSpacing/>
              <w:jc w:val="both"/>
              <w:rPr>
                <w:rFonts w:ascii="Nyala" w:hAnsi="Nyala"/>
                <w:color w:val="000000"/>
                <w:lang w:eastAsia="fr-FR"/>
              </w:rPr>
            </w:pPr>
            <w:r w:rsidRPr="00141D20">
              <w:rPr>
                <w:rFonts w:ascii="Nyala" w:hAnsi="Nyala"/>
                <w:color w:val="000000"/>
                <w:sz w:val="20"/>
                <w:szCs w:val="20"/>
                <w:lang w:eastAsia="fr-FR"/>
              </w:rPr>
              <w:t>l’adoption de quelques stratégies de survie ;</w:t>
            </w:r>
          </w:p>
          <w:p w:rsidR="005A2C8A" w:rsidRPr="00141D20" w:rsidRDefault="005A2C8A" w:rsidP="00141D20">
            <w:pPr>
              <w:numPr>
                <w:ilvl w:val="0"/>
                <w:numId w:val="52"/>
              </w:numPr>
              <w:tabs>
                <w:tab w:val="num" w:pos="2160"/>
              </w:tabs>
              <w:spacing w:before="100" w:after="200" w:line="259" w:lineRule="auto"/>
              <w:contextualSpacing/>
              <w:jc w:val="both"/>
              <w:rPr>
                <w:rFonts w:ascii="Nyala" w:hAnsi="Nyala"/>
                <w:color w:val="000000"/>
                <w:lang w:eastAsia="fr-FR"/>
              </w:rPr>
            </w:pPr>
            <w:r w:rsidRPr="00141D20">
              <w:rPr>
                <w:rFonts w:ascii="Nyala" w:hAnsi="Nyala"/>
                <w:color w:val="000000"/>
                <w:sz w:val="20"/>
                <w:szCs w:val="20"/>
                <w:lang w:eastAsia="fr-FR"/>
              </w:rPr>
              <w:t>une part importante des dépenses alimentaires dans les dépenses totales</w:t>
            </w:r>
          </w:p>
          <w:p w:rsidR="005A2C8A" w:rsidRPr="00141D20" w:rsidRDefault="005A2C8A" w:rsidP="00141D20">
            <w:pPr>
              <w:numPr>
                <w:ilvl w:val="0"/>
                <w:numId w:val="52"/>
              </w:numPr>
              <w:tabs>
                <w:tab w:val="num" w:pos="2160"/>
              </w:tabs>
              <w:spacing w:before="100" w:after="200" w:line="259" w:lineRule="auto"/>
              <w:contextualSpacing/>
              <w:jc w:val="both"/>
              <w:rPr>
                <w:rFonts w:ascii="Nyala" w:hAnsi="Nyala"/>
                <w:color w:val="000000"/>
                <w:lang w:eastAsia="fr-FR"/>
              </w:rPr>
            </w:pPr>
            <w:r w:rsidRPr="00141D20">
              <w:rPr>
                <w:rFonts w:ascii="Nyala" w:hAnsi="Nyala"/>
                <w:color w:val="000000"/>
                <w:sz w:val="20"/>
                <w:szCs w:val="20"/>
                <w:lang w:eastAsia="fr-FR"/>
              </w:rPr>
              <w:t>une consommation alimentaire limite (SCA compris entre 28 et 42).</w:t>
            </w:r>
          </w:p>
        </w:tc>
      </w:tr>
    </w:tbl>
    <w:p w:rsidR="005A2C8A" w:rsidRDefault="005A2C8A" w:rsidP="00141D20">
      <w:pPr>
        <w:spacing w:line="259" w:lineRule="auto"/>
        <w:contextualSpacing/>
        <w:jc w:val="both"/>
        <w:rPr>
          <w:rFonts w:ascii="Nyala" w:hAnsi="Nyala"/>
          <w:color w:val="000000"/>
          <w:sz w:val="28"/>
          <w:szCs w:val="28"/>
          <w:lang w:eastAsia="fr-FR"/>
        </w:rPr>
      </w:pPr>
    </w:p>
    <w:p w:rsidR="00860EF5" w:rsidRDefault="00693803">
      <w:pPr>
        <w:jc w:val="both"/>
        <w:rPr>
          <w:rFonts w:ascii="Nyala" w:hAnsi="Nyala"/>
          <w:color w:val="000000"/>
          <w:sz w:val="28"/>
          <w:szCs w:val="28"/>
          <w:lang w:eastAsia="fr-FR"/>
        </w:rPr>
      </w:pPr>
      <w:r>
        <w:rPr>
          <w:rFonts w:ascii="Nyala" w:hAnsi="Nyala"/>
          <w:color w:val="000000"/>
          <w:sz w:val="28"/>
          <w:szCs w:val="28"/>
          <w:lang w:eastAsia="fr-FR"/>
        </w:rPr>
        <w:t xml:space="preserve">Certes, le Niger a opté pour une mesure des progrès de la cible 2.1 de l’ODD2 fondée sur l’apport calorique et le SDA ; mais comme il peut être constaté, dans les différents profils d’insécurité alimentaire dressés annuellement, c’est le SCA qui est mis en avant. </w:t>
      </w:r>
      <w:r w:rsidR="00860EF5">
        <w:rPr>
          <w:rFonts w:ascii="Nyala" w:hAnsi="Nyala"/>
          <w:color w:val="000000"/>
          <w:sz w:val="28"/>
          <w:szCs w:val="28"/>
          <w:lang w:eastAsia="fr-FR"/>
        </w:rPr>
        <w:t>D</w:t>
      </w:r>
      <w:r>
        <w:rPr>
          <w:rFonts w:ascii="Nyala" w:hAnsi="Nyala"/>
          <w:color w:val="000000"/>
          <w:sz w:val="28"/>
          <w:szCs w:val="28"/>
          <w:lang w:eastAsia="fr-FR"/>
        </w:rPr>
        <w:t>es différences (minimes) existent dans la composition du panier de la ménagère</w:t>
      </w:r>
      <w:r w:rsidR="00860EF5">
        <w:rPr>
          <w:rFonts w:ascii="Nyala" w:hAnsi="Nyala"/>
          <w:color w:val="000000"/>
          <w:sz w:val="28"/>
          <w:szCs w:val="28"/>
          <w:lang w:eastAsia="fr-FR"/>
        </w:rPr>
        <w:t xml:space="preserve">, d’un paramètre à l’autre. </w:t>
      </w:r>
    </w:p>
    <w:p w:rsidR="00D4342A" w:rsidRPr="00141D20" w:rsidRDefault="00860EF5">
      <w:pPr>
        <w:jc w:val="both"/>
        <w:rPr>
          <w:rFonts w:ascii="Nyala" w:hAnsi="Nyala"/>
          <w:i/>
          <w:color w:val="000000"/>
          <w:sz w:val="28"/>
          <w:szCs w:val="28"/>
          <w:lang w:eastAsia="fr-FR"/>
        </w:rPr>
      </w:pPr>
      <w:r w:rsidRPr="00141D20">
        <w:rPr>
          <w:rFonts w:ascii="Nyala" w:hAnsi="Nyala"/>
          <w:i/>
          <w:color w:val="000000"/>
          <w:sz w:val="28"/>
          <w:szCs w:val="28"/>
          <w:lang w:eastAsia="fr-FR"/>
        </w:rPr>
        <w:t>Aussi, est-il suggéré d’envisager une harmonisation des types des produits à considérer et d’ajouter le SCA dans les paramètres à considérer pour le suivi de la prévalence de l’insécurité alimentaire. Le SCA est tout aussi pertinent</w:t>
      </w:r>
      <w:r w:rsidR="00D4342A" w:rsidRPr="00141D20">
        <w:rPr>
          <w:rFonts w:ascii="Nyala" w:hAnsi="Nyala"/>
          <w:i/>
          <w:color w:val="000000"/>
          <w:sz w:val="28"/>
          <w:szCs w:val="28"/>
          <w:lang w:eastAsia="fr-FR"/>
        </w:rPr>
        <w:t xml:space="preserve"> que le SDA pour refléter les  conditions  d’accès  économique  des  ménages  aux  aliments, d’autant que pour une grande proportion de ménages (y compris les producteurs agricoles), l’acquisition de tous les produits alimentaires (à un moment ou un autre de l’année) peut nécessiter des ressources. </w:t>
      </w:r>
    </w:p>
    <w:p w:rsidR="00417CDD" w:rsidRDefault="00417CDD" w:rsidP="00AB169E">
      <w:pPr>
        <w:jc w:val="both"/>
        <w:rPr>
          <w:rFonts w:ascii="Nyala" w:hAnsi="Nyala"/>
          <w:sz w:val="28"/>
          <w:szCs w:val="28"/>
        </w:rPr>
      </w:pPr>
    </w:p>
    <w:p w:rsidR="00EB03C7" w:rsidRDefault="00AF1784" w:rsidP="00141D20">
      <w:pPr>
        <w:pStyle w:val="Titre2"/>
        <w:numPr>
          <w:ilvl w:val="1"/>
          <w:numId w:val="2"/>
        </w:numPr>
        <w:rPr>
          <w:sz w:val="28"/>
          <w:szCs w:val="28"/>
        </w:rPr>
      </w:pPr>
      <w:bookmarkStart w:id="318" w:name="_Toc525410049"/>
      <w:bookmarkStart w:id="319" w:name="_Toc525561798"/>
      <w:bookmarkStart w:id="320" w:name="_Toc525562043"/>
      <w:bookmarkStart w:id="321" w:name="_Toc525562577"/>
      <w:bookmarkStart w:id="322" w:name="_Toc525563432"/>
      <w:bookmarkStart w:id="323" w:name="_Toc525563792"/>
      <w:bookmarkStart w:id="324" w:name="_Toc525564753"/>
      <w:bookmarkStart w:id="325" w:name="_Toc525566617"/>
      <w:bookmarkStart w:id="326" w:name="_Toc525688735"/>
      <w:bookmarkStart w:id="327" w:name="_Toc525410050"/>
      <w:bookmarkStart w:id="328" w:name="_Toc525561799"/>
      <w:bookmarkStart w:id="329" w:name="_Toc525562044"/>
      <w:bookmarkStart w:id="330" w:name="_Toc525562578"/>
      <w:bookmarkStart w:id="331" w:name="_Toc525563433"/>
      <w:bookmarkStart w:id="332" w:name="_Toc525563793"/>
      <w:bookmarkStart w:id="333" w:name="_Toc525564754"/>
      <w:bookmarkStart w:id="334" w:name="_Toc525566618"/>
      <w:bookmarkStart w:id="335" w:name="_Toc525688736"/>
      <w:bookmarkStart w:id="336" w:name="_Toc525235081"/>
      <w:bookmarkStart w:id="337" w:name="_Toc525322216"/>
      <w:bookmarkStart w:id="338" w:name="_Toc525392245"/>
      <w:bookmarkStart w:id="339" w:name="_Toc525392396"/>
      <w:bookmarkStart w:id="340" w:name="_Toc525392538"/>
      <w:bookmarkStart w:id="341" w:name="_Toc525392736"/>
      <w:bookmarkStart w:id="342" w:name="_Toc525392952"/>
      <w:bookmarkStart w:id="343" w:name="_Toc525393337"/>
      <w:bookmarkStart w:id="344" w:name="_Toc525396907"/>
      <w:bookmarkStart w:id="345" w:name="_Toc525396997"/>
      <w:bookmarkStart w:id="346" w:name="_Toc525397178"/>
      <w:bookmarkStart w:id="347" w:name="_Toc525410051"/>
      <w:bookmarkStart w:id="348" w:name="_Toc525561800"/>
      <w:bookmarkStart w:id="349" w:name="_Toc525562045"/>
      <w:bookmarkStart w:id="350" w:name="_Toc525562579"/>
      <w:bookmarkStart w:id="351" w:name="_Toc525563434"/>
      <w:bookmarkStart w:id="352" w:name="_Toc525563794"/>
      <w:bookmarkStart w:id="353" w:name="_Toc525564755"/>
      <w:bookmarkStart w:id="354" w:name="_Toc525566619"/>
      <w:bookmarkStart w:id="355" w:name="_Toc525688737"/>
      <w:bookmarkStart w:id="356" w:name="_Toc525235082"/>
      <w:bookmarkStart w:id="357" w:name="_Toc525322217"/>
      <w:bookmarkStart w:id="358" w:name="_Toc525392246"/>
      <w:bookmarkStart w:id="359" w:name="_Toc525392397"/>
      <w:bookmarkStart w:id="360" w:name="_Toc525392539"/>
      <w:bookmarkStart w:id="361" w:name="_Toc525392737"/>
      <w:bookmarkStart w:id="362" w:name="_Toc525392953"/>
      <w:bookmarkStart w:id="363" w:name="_Toc525393338"/>
      <w:bookmarkStart w:id="364" w:name="_Toc525396908"/>
      <w:bookmarkStart w:id="365" w:name="_Toc525396998"/>
      <w:bookmarkStart w:id="366" w:name="_Toc525397179"/>
      <w:bookmarkStart w:id="367" w:name="_Toc525410052"/>
      <w:bookmarkStart w:id="368" w:name="_Toc525561801"/>
      <w:bookmarkStart w:id="369" w:name="_Toc525562046"/>
      <w:bookmarkStart w:id="370" w:name="_Toc525562580"/>
      <w:bookmarkStart w:id="371" w:name="_Toc525563435"/>
      <w:bookmarkStart w:id="372" w:name="_Toc525563795"/>
      <w:bookmarkStart w:id="373" w:name="_Toc525564756"/>
      <w:bookmarkStart w:id="374" w:name="_Toc525566620"/>
      <w:bookmarkStart w:id="375" w:name="_Toc525688738"/>
      <w:bookmarkStart w:id="376" w:name="_Toc526119972"/>
      <w:bookmarkStart w:id="377" w:name="_Hlk523658864"/>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Pr>
          <w:sz w:val="28"/>
          <w:szCs w:val="28"/>
        </w:rPr>
        <w:t xml:space="preserve">Analyse </w:t>
      </w:r>
      <w:r w:rsidR="00AB4F6D" w:rsidRPr="006866D3">
        <w:rPr>
          <w:sz w:val="28"/>
          <w:szCs w:val="28"/>
        </w:rPr>
        <w:t xml:space="preserve">de la prévalence de </w:t>
      </w:r>
      <w:r w:rsidR="00EB03C7" w:rsidRPr="006866D3">
        <w:rPr>
          <w:sz w:val="28"/>
          <w:szCs w:val="28"/>
        </w:rPr>
        <w:t>la malnutrition</w:t>
      </w:r>
      <w:bookmarkEnd w:id="376"/>
    </w:p>
    <w:p w:rsidR="00F77928" w:rsidRPr="00141D20" w:rsidRDefault="00FC392F" w:rsidP="00141D20">
      <w:pPr>
        <w:tabs>
          <w:tab w:val="left" w:pos="2140"/>
        </w:tabs>
      </w:pPr>
      <w:r>
        <w:tab/>
      </w:r>
    </w:p>
    <w:bookmarkEnd w:id="377"/>
    <w:p w:rsidR="00116C2E" w:rsidRPr="006866D3" w:rsidRDefault="00116C2E" w:rsidP="00116C2E">
      <w:pPr>
        <w:jc w:val="both"/>
        <w:rPr>
          <w:rFonts w:ascii="Nyala" w:hAnsi="Nyala"/>
          <w:sz w:val="28"/>
          <w:szCs w:val="28"/>
        </w:rPr>
      </w:pPr>
      <w:r w:rsidRPr="006866D3">
        <w:rPr>
          <w:rFonts w:ascii="Nyala" w:hAnsi="Nyala"/>
          <w:sz w:val="28"/>
          <w:szCs w:val="28"/>
        </w:rPr>
        <w:t>Selon l’UNSCN –United Nations System/Standing Committee on Nutrition(2013), la Sécurité Nutritionnelle (SN) ‘’ existe quand, toutes les personnes, à  tout moment, ont un accès physique, social et économique à la nourriture, qui est consommé,  en quantité et qualité suffisante pour répondre à leurs besoins et préférences alimentaires, et est soutenu par  un environnement adéquate d'assainissement, de services de santé et de soins, permettant une vie saine et active.’’ (UNSCN, 2013).</w:t>
      </w:r>
    </w:p>
    <w:p w:rsidR="00116C2E" w:rsidRPr="006866D3" w:rsidRDefault="00116C2E" w:rsidP="00116C2E">
      <w:pPr>
        <w:jc w:val="both"/>
        <w:rPr>
          <w:rFonts w:ascii="Nyala" w:hAnsi="Nyala"/>
          <w:sz w:val="28"/>
          <w:szCs w:val="28"/>
        </w:rPr>
      </w:pPr>
      <w:bookmarkStart w:id="378" w:name="_Hlk523658836"/>
      <w:r w:rsidRPr="006866D3">
        <w:rPr>
          <w:rFonts w:ascii="Nyala" w:hAnsi="Nyala"/>
          <w:sz w:val="28"/>
          <w:szCs w:val="28"/>
        </w:rPr>
        <w:t xml:space="preserve">La malnutrition revêt plusieurs formes : la dénutrition qui est un état pathologique résultant d'apports nutritionnels insuffisants  (carences en micronutriments (anémie, avitaminoses, carences en minéraux) ; la  sous nutrition (malnutrition aigüe, malnutrition chronique, insuffisance pondérale) et la  surnutrition (surpoids, obésité, maladies non transmissibles). </w:t>
      </w:r>
    </w:p>
    <w:bookmarkEnd w:id="378"/>
    <w:p w:rsidR="00116C2E" w:rsidRDefault="00116C2E" w:rsidP="00116C2E">
      <w:pPr>
        <w:jc w:val="both"/>
        <w:rPr>
          <w:rFonts w:ascii="Nyala" w:hAnsi="Nyala"/>
          <w:sz w:val="28"/>
          <w:szCs w:val="28"/>
        </w:rPr>
      </w:pPr>
      <w:r w:rsidRPr="006866D3">
        <w:rPr>
          <w:rFonts w:ascii="Nyala" w:hAnsi="Nyala"/>
          <w:sz w:val="28"/>
          <w:szCs w:val="28"/>
        </w:rPr>
        <w:t>Au Niger, l’attention est davantage accordée à la sous nutrition notamment des enfants et des femmes. Cette forme de malnutrition est due non seulement à une insuffisance de l’alimentation tant en quantité qu’en qualité, mais peut également résulter de différentes interactions entre la santé, les soins, l’éducation, l’assainissement et l’hygiène, l’accès aux ressources, l’autonomisation des femmes, etc.</w:t>
      </w:r>
    </w:p>
    <w:p w:rsidR="00F77928" w:rsidRDefault="00F77928" w:rsidP="00116C2E">
      <w:pPr>
        <w:jc w:val="both"/>
        <w:rPr>
          <w:rFonts w:ascii="Nyala" w:hAnsi="Nyala"/>
          <w:sz w:val="28"/>
          <w:szCs w:val="28"/>
        </w:rPr>
      </w:pPr>
    </w:p>
    <w:p w:rsidR="00F77928" w:rsidRPr="00141D20" w:rsidRDefault="00F77928" w:rsidP="00141D20">
      <w:pPr>
        <w:pStyle w:val="Titre3"/>
        <w:numPr>
          <w:ilvl w:val="2"/>
          <w:numId w:val="2"/>
        </w:numPr>
        <w:rPr>
          <w:sz w:val="28"/>
          <w:szCs w:val="28"/>
        </w:rPr>
      </w:pPr>
      <w:bookmarkStart w:id="379" w:name="_Toc526119973"/>
      <w:r w:rsidRPr="00141D20">
        <w:rPr>
          <w:sz w:val="28"/>
          <w:szCs w:val="28"/>
        </w:rPr>
        <w:t>Indicateurs de mesure de la malnutrition</w:t>
      </w:r>
      <w:bookmarkEnd w:id="379"/>
    </w:p>
    <w:p w:rsidR="00F77928" w:rsidRPr="006866D3" w:rsidRDefault="00F77928" w:rsidP="00116C2E">
      <w:pPr>
        <w:jc w:val="both"/>
        <w:rPr>
          <w:rFonts w:ascii="Nyala" w:hAnsi="Nyala"/>
          <w:sz w:val="28"/>
          <w:szCs w:val="28"/>
        </w:rPr>
      </w:pPr>
    </w:p>
    <w:p w:rsidR="00872E78" w:rsidRPr="006866D3" w:rsidRDefault="00872E78" w:rsidP="00116C2E">
      <w:pPr>
        <w:jc w:val="both"/>
        <w:rPr>
          <w:rFonts w:ascii="Nyala" w:hAnsi="Nyala"/>
          <w:sz w:val="28"/>
          <w:szCs w:val="28"/>
        </w:rPr>
      </w:pPr>
      <w:r w:rsidRPr="006866D3">
        <w:rPr>
          <w:rFonts w:ascii="Nyala" w:hAnsi="Nyala"/>
          <w:sz w:val="28"/>
          <w:szCs w:val="28"/>
        </w:rPr>
        <w:t xml:space="preserve">La prévalence de la malnutrition est évaluée selon la croissance et le poids de l’enfant ; elle est variable selon les années et les localités et même la situation socioéconomique des familles. </w:t>
      </w:r>
    </w:p>
    <w:p w:rsidR="00F77928" w:rsidRPr="00141D20" w:rsidRDefault="00F77928" w:rsidP="00141D20">
      <w:pPr>
        <w:pStyle w:val="Titre3"/>
        <w:numPr>
          <w:ilvl w:val="2"/>
          <w:numId w:val="2"/>
        </w:numPr>
      </w:pPr>
      <w:bookmarkStart w:id="380" w:name="_Toc525392249"/>
      <w:bookmarkStart w:id="381" w:name="_Toc525392400"/>
      <w:bookmarkStart w:id="382" w:name="_Toc525392542"/>
      <w:bookmarkStart w:id="383" w:name="_Toc525392740"/>
      <w:bookmarkStart w:id="384" w:name="_Toc525392956"/>
      <w:bookmarkStart w:id="385" w:name="_Toc525393341"/>
      <w:bookmarkStart w:id="386" w:name="_Toc525396911"/>
      <w:bookmarkStart w:id="387" w:name="_Toc525397001"/>
      <w:bookmarkStart w:id="388" w:name="_Toc525397182"/>
      <w:bookmarkStart w:id="389" w:name="_Toc525410055"/>
      <w:bookmarkStart w:id="390" w:name="_Toc525561804"/>
      <w:bookmarkStart w:id="391" w:name="_Toc525562049"/>
      <w:bookmarkStart w:id="392" w:name="_Toc525562583"/>
      <w:bookmarkStart w:id="393" w:name="_Toc525563438"/>
      <w:bookmarkStart w:id="394" w:name="_Toc525563798"/>
      <w:bookmarkStart w:id="395" w:name="_Toc525564759"/>
      <w:bookmarkStart w:id="396" w:name="_Toc525566623"/>
      <w:bookmarkStart w:id="397" w:name="_Toc525688741"/>
      <w:bookmarkStart w:id="398" w:name="_Toc526119974"/>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00141D20">
        <w:t>Prévalence et cartographie de la malnutrition</w:t>
      </w:r>
      <w:bookmarkEnd w:id="398"/>
    </w:p>
    <w:p w:rsidR="00F77928" w:rsidRDefault="00146983" w:rsidP="00F77928">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948032" behindDoc="0" locked="0" layoutInCell="1" allowOverlap="1" wp14:anchorId="685FF0CA">
                <wp:simplePos x="0" y="0"/>
                <wp:positionH relativeFrom="margin">
                  <wp:align>right</wp:align>
                </wp:positionH>
                <wp:positionV relativeFrom="paragraph">
                  <wp:posOffset>363220</wp:posOffset>
                </wp:positionV>
                <wp:extent cx="4361815" cy="3433445"/>
                <wp:effectExtent l="0" t="0" r="19685" b="13335"/>
                <wp:wrapSquare wrapText="bothSides"/>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3433445"/>
                        </a:xfrm>
                        <a:prstGeom prst="rect">
                          <a:avLst/>
                        </a:prstGeom>
                        <a:noFill/>
                        <a:ln w="6350">
                          <a:solidFill>
                            <a:prstClr val="black"/>
                          </a:solidFill>
                        </a:ln>
                        <a:effectLst/>
                      </wps:spPr>
                      <wps:txbx>
                        <w:txbxContent>
                          <w:p w:rsidR="00146325" w:rsidRDefault="00146325" w:rsidP="00440FAF">
                            <w:pPr>
                              <w:pStyle w:val="Lgende"/>
                              <w:keepNext/>
                              <w:jc w:val="both"/>
                            </w:pPr>
                            <w:r>
                              <w:t xml:space="preserve">Carte </w:t>
                            </w:r>
                            <w:r w:rsidR="00C73EE5">
                              <w:fldChar w:fldCharType="begin"/>
                            </w:r>
                            <w:r w:rsidR="00C73EE5">
                              <w:instrText xml:space="preserve"> SEQ cart</w:instrText>
                            </w:r>
                            <w:r w:rsidR="00C73EE5">
                              <w:instrText xml:space="preserve">e \* ARABIC </w:instrText>
                            </w:r>
                            <w:r w:rsidR="00C73EE5">
                              <w:fldChar w:fldCharType="separate"/>
                            </w:r>
                            <w:r>
                              <w:rPr>
                                <w:noProof/>
                              </w:rPr>
                              <w:t>2</w:t>
                            </w:r>
                            <w:r w:rsidR="00C73EE5">
                              <w:rPr>
                                <w:noProof/>
                              </w:rPr>
                              <w:fldChar w:fldCharType="end"/>
                            </w:r>
                            <w:r>
                              <w:t xml:space="preserve"> - Zones d'insécurité alimentaire et nutritionnelle</w:t>
                            </w:r>
                          </w:p>
                          <w:p w:rsidR="00146325" w:rsidRDefault="00146325" w:rsidP="00F77928">
                            <w:pPr>
                              <w:shd w:val="clear" w:color="auto" w:fill="FFFFFF" w:themeFill="background1"/>
                              <w:spacing w:beforeAutospacing="1" w:after="100" w:afterAutospacing="1" w:line="240" w:lineRule="auto"/>
                              <w:jc w:val="both"/>
                              <w:rPr>
                                <w:noProof/>
                              </w:rPr>
                            </w:pPr>
                            <w:r>
                              <w:rPr>
                                <w:noProof/>
                                <w:lang w:eastAsia="fr-FR"/>
                              </w:rPr>
                              <w:drawing>
                                <wp:inline distT="0" distB="0" distL="0" distR="0">
                                  <wp:extent cx="3599498" cy="2289658"/>
                                  <wp:effectExtent l="0" t="0" r="1270" b="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41450" cy="2316344"/>
                                          </a:xfrm>
                                          <a:prstGeom prst="rect">
                                            <a:avLst/>
                                          </a:prstGeom>
                                          <a:noFill/>
                                          <a:ln>
                                            <a:noFill/>
                                          </a:ln>
                                          <a:extLst/>
                                        </pic:spPr>
                                      </pic:pic>
                                    </a:graphicData>
                                  </a:graphic>
                                </wp:inline>
                              </w:drawing>
                            </w:r>
                          </w:p>
                          <w:p w:rsidR="00146325" w:rsidRPr="00FC6DED" w:rsidRDefault="00146325" w:rsidP="00F77928">
                            <w:pPr>
                              <w:shd w:val="clear" w:color="auto" w:fill="FFFFFF" w:themeFill="background1"/>
                              <w:spacing w:before="0" w:after="0" w:line="240" w:lineRule="auto"/>
                              <w:jc w:val="both"/>
                              <w:rPr>
                                <w:noProof/>
                                <w:sz w:val="16"/>
                                <w:szCs w:val="16"/>
                              </w:rPr>
                            </w:pPr>
                            <w:r w:rsidRPr="00FC6DED">
                              <w:rPr>
                                <w:noProof/>
                                <w:sz w:val="16"/>
                                <w:szCs w:val="16"/>
                              </w:rPr>
                              <w:t>Source : Aboubacar, 2017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85FF0CA" id="Zone de texte 89" o:spid="_x0000_s1049" type="#_x0000_t202" style="position:absolute;left:0;text-align:left;margin-left:292.25pt;margin-top:28.6pt;width:343.45pt;height:270.35pt;z-index:25194803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" filled="f" strokeweight=".5pt">
                <v:path arrowok="t"/>
                <v:textbox style="mso-fit-shape-to-text:t">
                  <w:txbxContent>
                    <w:p w:rsidR="00146325" w:rsidRDefault="00146325" w:rsidP="00440FAF">
                      <w:pPr>
                        <w:pStyle w:val="Lgende"/>
                        <w:keepNext/>
                        <w:jc w:val="both"/>
                      </w:pPr>
                      <w:r>
                        <w:t xml:space="preserve">Carte </w:t>
                      </w:r>
                      <w:r w:rsidR="00C73EE5">
                        <w:fldChar w:fldCharType="begin"/>
                      </w:r>
                      <w:r w:rsidR="00C73EE5">
                        <w:instrText xml:space="preserve"> SEQ cart</w:instrText>
                      </w:r>
                      <w:r w:rsidR="00C73EE5">
                        <w:instrText xml:space="preserve">e \* ARABIC </w:instrText>
                      </w:r>
                      <w:r w:rsidR="00C73EE5">
                        <w:fldChar w:fldCharType="separate"/>
                      </w:r>
                      <w:r>
                        <w:rPr>
                          <w:noProof/>
                        </w:rPr>
                        <w:t>2</w:t>
                      </w:r>
                      <w:r w:rsidR="00C73EE5">
                        <w:rPr>
                          <w:noProof/>
                        </w:rPr>
                        <w:fldChar w:fldCharType="end"/>
                      </w:r>
                      <w:r>
                        <w:t xml:space="preserve"> - Zones d'insécurité alimentaire et nutritionnelle</w:t>
                      </w:r>
                    </w:p>
                    <w:p w:rsidR="00146325" w:rsidRDefault="00146325" w:rsidP="00F77928">
                      <w:pPr>
                        <w:shd w:val="clear" w:color="auto" w:fill="FFFFFF" w:themeFill="background1"/>
                        <w:spacing w:beforeAutospacing="1" w:after="100" w:afterAutospacing="1" w:line="240" w:lineRule="auto"/>
                        <w:jc w:val="both"/>
                        <w:rPr>
                          <w:noProof/>
                        </w:rPr>
                      </w:pPr>
                      <w:r>
                        <w:rPr>
                          <w:noProof/>
                          <w:lang w:eastAsia="fr-FR"/>
                        </w:rPr>
                        <w:drawing>
                          <wp:inline distT="0" distB="0" distL="0" distR="0">
                            <wp:extent cx="3599498" cy="2289658"/>
                            <wp:effectExtent l="0" t="0" r="1270" b="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41450" cy="2316344"/>
                                    </a:xfrm>
                                    <a:prstGeom prst="rect">
                                      <a:avLst/>
                                    </a:prstGeom>
                                    <a:noFill/>
                                    <a:ln>
                                      <a:noFill/>
                                    </a:ln>
                                    <a:extLst/>
                                  </pic:spPr>
                                </pic:pic>
                              </a:graphicData>
                            </a:graphic>
                          </wp:inline>
                        </w:drawing>
                      </w:r>
                    </w:p>
                    <w:p w:rsidR="00146325" w:rsidRPr="00FC6DED" w:rsidRDefault="00146325" w:rsidP="00F77928">
                      <w:pPr>
                        <w:shd w:val="clear" w:color="auto" w:fill="FFFFFF" w:themeFill="background1"/>
                        <w:spacing w:before="0" w:after="0" w:line="240" w:lineRule="auto"/>
                        <w:jc w:val="both"/>
                        <w:rPr>
                          <w:noProof/>
                          <w:sz w:val="16"/>
                          <w:szCs w:val="16"/>
                        </w:rPr>
                      </w:pPr>
                      <w:r w:rsidRPr="00FC6DED">
                        <w:rPr>
                          <w:noProof/>
                          <w:sz w:val="16"/>
                          <w:szCs w:val="16"/>
                        </w:rPr>
                        <w:t>Source : Aboubacar, 2017</w:t>
                      </w:r>
                    </w:p>
                  </w:txbxContent>
                </v:textbox>
                <w10:wrap type="square" anchorx="margin"/>
              </v:shape>
            </w:pict>
          </mc:Fallback>
        </mc:AlternateContent>
      </w:r>
      <w:r w:rsidR="00F77928" w:rsidRPr="006866D3">
        <w:rPr>
          <w:rFonts w:ascii="Nyala" w:hAnsi="Nyala"/>
          <w:sz w:val="28"/>
          <w:szCs w:val="28"/>
        </w:rPr>
        <w:t xml:space="preserve">La prévalence de la malnutrition varie selon les régions. Le taux de malnutrition chronique est supérieur à 40% dans les régions de Maradi, Zinder et Diffa et reste autour de 30% dans les cinq autres régions; la malnutrition aigüe chez les enfants de moins de 5 ans est supérieur à 15% à Maradi et varie de 14-15% au niveau du reste du pays; le taux de l’insuffisance pondérale est supérieur à 30% dans toutes les régions sauf Agadez (20-29%); et le taux d’anémie chez les femmes âgées de 15 à 49 ans est supérieur à 40% dans toutes les régions, sauf  Diffa (5-20%), comme l’illustre la </w:t>
      </w:r>
      <w:r w:rsidR="00D413AC">
        <w:rPr>
          <w:rFonts w:ascii="Nyala" w:hAnsi="Nyala"/>
          <w:b/>
          <w:sz w:val="28"/>
          <w:szCs w:val="28"/>
        </w:rPr>
        <w:t>Carte N°2</w:t>
      </w:r>
      <w:r w:rsidR="00F77928" w:rsidRPr="006866D3">
        <w:rPr>
          <w:rFonts w:ascii="Nyala" w:hAnsi="Nyala"/>
          <w:sz w:val="28"/>
          <w:szCs w:val="28"/>
        </w:rPr>
        <w:t>.</w:t>
      </w:r>
    </w:p>
    <w:p w:rsidR="004D4A4C" w:rsidRDefault="00F77928" w:rsidP="00F77928">
      <w:pPr>
        <w:jc w:val="both"/>
        <w:rPr>
          <w:rFonts w:ascii="Nyala" w:hAnsi="Nyala"/>
          <w:sz w:val="28"/>
          <w:szCs w:val="28"/>
        </w:rPr>
      </w:pPr>
      <w:r w:rsidRPr="006866D3">
        <w:rPr>
          <w:rFonts w:ascii="Nyala" w:hAnsi="Nyala"/>
          <w:sz w:val="28"/>
          <w:szCs w:val="28"/>
        </w:rPr>
        <w:t xml:space="preserve">La prévalence très élevée de l’anémie, que ce soit chez les femmes ou les enfants est un problème majeur de santé publique au niveau national et régional. </w:t>
      </w:r>
    </w:p>
    <w:p w:rsidR="004D4A4C" w:rsidRDefault="004D4A4C" w:rsidP="00F77928">
      <w:pPr>
        <w:jc w:val="both"/>
        <w:rPr>
          <w:rFonts w:ascii="Nyala" w:hAnsi="Nyala"/>
          <w:sz w:val="28"/>
          <w:szCs w:val="28"/>
        </w:rPr>
      </w:pPr>
    </w:p>
    <w:p w:rsidR="00F77928" w:rsidRDefault="00146983" w:rsidP="00F77928">
      <w:pPr>
        <w:jc w:val="both"/>
        <w:rPr>
          <w:rFonts w:ascii="Nyala" w:hAnsi="Nyala"/>
          <w:sz w:val="28"/>
          <w:szCs w:val="28"/>
        </w:rPr>
      </w:pPr>
      <w:r>
        <w:rPr>
          <w:rFonts w:ascii="Nyala" w:hAnsi="Nyala"/>
          <w:noProof/>
          <w:sz w:val="28"/>
          <w:szCs w:val="28"/>
          <w:lang w:eastAsia="fr-FR"/>
        </w:rPr>
        <mc:AlternateContent>
          <mc:Choice Requires="wps">
            <w:drawing>
              <wp:anchor distT="0" distB="0" distL="114300" distR="114300" simplePos="0" relativeHeight="251949056" behindDoc="0" locked="0" layoutInCell="1" allowOverlap="1" wp14:anchorId="0949D5C4">
                <wp:simplePos x="0" y="0"/>
                <wp:positionH relativeFrom="margin">
                  <wp:align>right</wp:align>
                </wp:positionH>
                <wp:positionV relativeFrom="paragraph">
                  <wp:posOffset>88900</wp:posOffset>
                </wp:positionV>
                <wp:extent cx="3506470" cy="2630805"/>
                <wp:effectExtent l="0" t="0" r="17780" b="20955"/>
                <wp:wrapSquare wrapText="bothSides"/>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6470" cy="2630805"/>
                        </a:xfrm>
                        <a:prstGeom prst="rect">
                          <a:avLst/>
                        </a:prstGeom>
                        <a:noFill/>
                        <a:ln w="6350">
                          <a:solidFill>
                            <a:prstClr val="black"/>
                          </a:solidFill>
                        </a:ln>
                        <a:effectLst/>
                      </wps:spPr>
                      <wps:txbx>
                        <w:txbxContent>
                          <w:p w:rsidR="00146325" w:rsidRDefault="00146325" w:rsidP="00F77928">
                            <w:pPr>
                              <w:pStyle w:val="Lgende"/>
                              <w:keepNext/>
                              <w:jc w:val="both"/>
                            </w:pPr>
                            <w:bookmarkStart w:id="399" w:name="_Toc526120085"/>
                            <w:r>
                              <w:t xml:space="preserve">Figure </w:t>
                            </w:r>
                            <w:r w:rsidR="00C73EE5">
                              <w:fldChar w:fldCharType="begin"/>
                            </w:r>
                            <w:r w:rsidR="00C73EE5">
                              <w:instrText xml:space="preserve"> SEQ Figure \* ARABIC </w:instrText>
                            </w:r>
                            <w:r w:rsidR="00C73EE5">
                              <w:fldChar w:fldCharType="separate"/>
                            </w:r>
                            <w:r>
                              <w:rPr>
                                <w:noProof/>
                              </w:rPr>
                              <w:t>19</w:t>
                            </w:r>
                            <w:r w:rsidR="00C73EE5">
                              <w:rPr>
                                <w:noProof/>
                              </w:rPr>
                              <w:fldChar w:fldCharType="end"/>
                            </w:r>
                            <w:r>
                              <w:t xml:space="preserve"> - Prévalence de la sous-nutrition aigue globale selon les régions</w:t>
                            </w:r>
                            <w:bookmarkEnd w:id="399"/>
                          </w:p>
                          <w:p w:rsidR="00146325" w:rsidRDefault="00146325" w:rsidP="00F77928">
                            <w:pPr>
                              <w:spacing w:after="0" w:line="240" w:lineRule="auto"/>
                              <w:jc w:val="both"/>
                              <w:textAlignment w:val="baseline"/>
                              <w:rPr>
                                <w:rFonts w:eastAsia="Times New Roman" w:cstheme="minorHAnsi"/>
                                <w:sz w:val="24"/>
                                <w:szCs w:val="24"/>
                                <w:lang w:eastAsia="fo-FO"/>
                              </w:rPr>
                            </w:pPr>
                            <w:r>
                              <w:rPr>
                                <w:noProof/>
                                <w:lang w:eastAsia="fr-FR"/>
                              </w:rPr>
                              <w:drawing>
                                <wp:inline distT="0" distB="0" distL="0" distR="0">
                                  <wp:extent cx="3140765" cy="1755627"/>
                                  <wp:effectExtent l="0" t="0" r="2540" b="0"/>
                                  <wp:docPr id="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79"/>
                                          <a:stretch>
                                            <a:fillRect/>
                                          </a:stretch>
                                        </pic:blipFill>
                                        <pic:spPr>
                                          <a:xfrm>
                                            <a:off x="0" y="0"/>
                                            <a:ext cx="3170544" cy="1772273"/>
                                          </a:xfrm>
                                          <a:prstGeom prst="rect">
                                            <a:avLst/>
                                          </a:prstGeom>
                                        </pic:spPr>
                                      </pic:pic>
                                    </a:graphicData>
                                  </a:graphic>
                                </wp:inline>
                              </w:drawing>
                            </w:r>
                          </w:p>
                          <w:p w:rsidR="00146325" w:rsidRPr="00FC6DED" w:rsidRDefault="00146325" w:rsidP="00F77928">
                            <w:pPr>
                              <w:spacing w:before="0" w:after="0" w:line="240" w:lineRule="auto"/>
                              <w:jc w:val="both"/>
                              <w:textAlignment w:val="baseline"/>
                              <w:rPr>
                                <w:rFonts w:ascii="Nyala" w:eastAsia="Times New Roman" w:hAnsi="Nyala" w:cstheme="minorHAnsi"/>
                                <w:sz w:val="16"/>
                                <w:szCs w:val="16"/>
                                <w:lang w:eastAsia="fo-FO"/>
                              </w:rPr>
                            </w:pPr>
                            <w:r w:rsidRPr="00FC6DED">
                              <w:rPr>
                                <w:rFonts w:ascii="Nyala" w:eastAsia="Times New Roman" w:hAnsi="Nyala" w:cstheme="minorHAnsi"/>
                                <w:sz w:val="16"/>
                                <w:szCs w:val="16"/>
                                <w:lang w:eastAsia="fo-FO"/>
                              </w:rPr>
                              <w:t>Aboubacar,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949D5C4" id="Zone de texte 90" o:spid="_x0000_s1050" type="#_x0000_t202" style="position:absolute;left:0;text-align:left;margin-left:224.9pt;margin-top:7pt;width:276.1pt;height:207.15pt;z-index:25194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" filled="f" strokeweight=".5pt">
                <v:path arrowok="t"/>
                <v:textbox style="mso-fit-shape-to-text:t">
                  <w:txbxContent>
                    <w:p w:rsidR="00146325" w:rsidRDefault="00146325" w:rsidP="00F77928">
                      <w:pPr>
                        <w:pStyle w:val="Lgende"/>
                        <w:keepNext/>
                        <w:jc w:val="both"/>
                      </w:pPr>
                      <w:bookmarkStart w:id="400" w:name="_Toc526120085"/>
                      <w:r>
                        <w:t xml:space="preserve">Figure </w:t>
                      </w:r>
                      <w:r w:rsidR="00C73EE5">
                        <w:fldChar w:fldCharType="begin"/>
                      </w:r>
                      <w:r w:rsidR="00C73EE5">
                        <w:instrText xml:space="preserve"> SEQ Figure \* ARABIC </w:instrText>
                      </w:r>
                      <w:r w:rsidR="00C73EE5">
                        <w:fldChar w:fldCharType="separate"/>
                      </w:r>
                      <w:r>
                        <w:rPr>
                          <w:noProof/>
                        </w:rPr>
                        <w:t>19</w:t>
                      </w:r>
                      <w:r w:rsidR="00C73EE5">
                        <w:rPr>
                          <w:noProof/>
                        </w:rPr>
                        <w:fldChar w:fldCharType="end"/>
                      </w:r>
                      <w:r>
                        <w:t xml:space="preserve"> - Prévalence de la sous-nutrition aigue globale selon les régions</w:t>
                      </w:r>
                      <w:bookmarkEnd w:id="400"/>
                    </w:p>
                    <w:p w:rsidR="00146325" w:rsidRDefault="00146325" w:rsidP="00F77928">
                      <w:pPr>
                        <w:spacing w:after="0" w:line="240" w:lineRule="auto"/>
                        <w:jc w:val="both"/>
                        <w:textAlignment w:val="baseline"/>
                        <w:rPr>
                          <w:rFonts w:eastAsia="Times New Roman" w:cstheme="minorHAnsi"/>
                          <w:sz w:val="24"/>
                          <w:szCs w:val="24"/>
                          <w:lang w:eastAsia="fo-FO"/>
                        </w:rPr>
                      </w:pPr>
                      <w:r>
                        <w:rPr>
                          <w:noProof/>
                          <w:lang w:eastAsia="fr-FR"/>
                        </w:rPr>
                        <w:drawing>
                          <wp:inline distT="0" distB="0" distL="0" distR="0">
                            <wp:extent cx="3140765" cy="1755627"/>
                            <wp:effectExtent l="0" t="0" r="2540" b="0"/>
                            <wp:docPr id="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79"/>
                                    <a:stretch>
                                      <a:fillRect/>
                                    </a:stretch>
                                  </pic:blipFill>
                                  <pic:spPr>
                                    <a:xfrm>
                                      <a:off x="0" y="0"/>
                                      <a:ext cx="3170544" cy="1772273"/>
                                    </a:xfrm>
                                    <a:prstGeom prst="rect">
                                      <a:avLst/>
                                    </a:prstGeom>
                                  </pic:spPr>
                                </pic:pic>
                              </a:graphicData>
                            </a:graphic>
                          </wp:inline>
                        </w:drawing>
                      </w:r>
                    </w:p>
                    <w:p w:rsidR="00146325" w:rsidRPr="00FC6DED" w:rsidRDefault="00146325" w:rsidP="00F77928">
                      <w:pPr>
                        <w:spacing w:before="0" w:after="0" w:line="240" w:lineRule="auto"/>
                        <w:jc w:val="both"/>
                        <w:textAlignment w:val="baseline"/>
                        <w:rPr>
                          <w:rFonts w:ascii="Nyala" w:eastAsia="Times New Roman" w:hAnsi="Nyala" w:cstheme="minorHAnsi"/>
                          <w:sz w:val="16"/>
                          <w:szCs w:val="16"/>
                          <w:lang w:eastAsia="fo-FO"/>
                        </w:rPr>
                      </w:pPr>
                      <w:r w:rsidRPr="00FC6DED">
                        <w:rPr>
                          <w:rFonts w:ascii="Nyala" w:eastAsia="Times New Roman" w:hAnsi="Nyala" w:cstheme="minorHAnsi"/>
                          <w:sz w:val="16"/>
                          <w:szCs w:val="16"/>
                          <w:lang w:eastAsia="fo-FO"/>
                        </w:rPr>
                        <w:t>Aboubacar, 2017</w:t>
                      </w:r>
                    </w:p>
                  </w:txbxContent>
                </v:textbox>
                <w10:wrap type="square" anchorx="margin"/>
              </v:shape>
            </w:pict>
          </mc:Fallback>
        </mc:AlternateContent>
      </w:r>
      <w:r w:rsidR="00F77928" w:rsidRPr="006866D3">
        <w:rPr>
          <w:rFonts w:ascii="Nyala" w:hAnsi="Nyala"/>
          <w:sz w:val="28"/>
          <w:szCs w:val="28"/>
        </w:rPr>
        <w:t>Les enfants de 6-59 mois de toutes les régions sont très touchés par l’anémie (formes modérées et sévères), avec la région de Diffa qui est la plus touchée (88%), mais toutes les régions sont bien au-dessus du seuil critique (40%) : Niamey (79%), Agadez et Zinder (76%), Dosso (75%) , Tahoua (74%), Tillabéry (70%) et Maradi (69%) (REACH, 2014). (</w:t>
      </w:r>
      <w:r w:rsidR="00F77928" w:rsidRPr="006866D3">
        <w:rPr>
          <w:rFonts w:ascii="Nyala" w:hAnsi="Nyala"/>
          <w:b/>
          <w:sz w:val="28"/>
          <w:szCs w:val="28"/>
        </w:rPr>
        <w:t xml:space="preserve">Figure </w:t>
      </w:r>
      <w:r w:rsidR="00D413AC">
        <w:rPr>
          <w:rFonts w:ascii="Nyala" w:hAnsi="Nyala"/>
          <w:b/>
          <w:sz w:val="28"/>
          <w:szCs w:val="28"/>
        </w:rPr>
        <w:t>19</w:t>
      </w:r>
      <w:r w:rsidR="00F77928" w:rsidRPr="006866D3">
        <w:rPr>
          <w:rFonts w:ascii="Nyala" w:hAnsi="Nyala"/>
          <w:sz w:val="28"/>
          <w:szCs w:val="28"/>
        </w:rPr>
        <w:t>).</w:t>
      </w:r>
    </w:p>
    <w:p w:rsidR="00F77928" w:rsidRPr="006866D3" w:rsidRDefault="00146983" w:rsidP="00F77928">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950080" behindDoc="0" locked="0" layoutInCell="1" allowOverlap="1" wp14:anchorId="3D31051C">
                <wp:simplePos x="0" y="0"/>
                <wp:positionH relativeFrom="margin">
                  <wp:posOffset>1995805</wp:posOffset>
                </wp:positionH>
                <wp:positionV relativeFrom="paragraph">
                  <wp:posOffset>809625</wp:posOffset>
                </wp:positionV>
                <wp:extent cx="4228465" cy="3110230"/>
                <wp:effectExtent l="0" t="0" r="19685" b="22860"/>
                <wp:wrapSquare wrapText="bothSides"/>
                <wp:docPr id="91"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8465" cy="3110230"/>
                        </a:xfrm>
                        <a:prstGeom prst="rect">
                          <a:avLst/>
                        </a:prstGeom>
                        <a:noFill/>
                        <a:ln w="6350">
                          <a:solidFill>
                            <a:prstClr val="black"/>
                          </a:solidFill>
                        </a:ln>
                        <a:effectLst/>
                      </wps:spPr>
                      <wps:txbx>
                        <w:txbxContent>
                          <w:p w:rsidR="00146325" w:rsidRDefault="00146325" w:rsidP="00F77928">
                            <w:pPr>
                              <w:pStyle w:val="Lgende"/>
                              <w:keepNext/>
                              <w:jc w:val="both"/>
                            </w:pPr>
                            <w:bookmarkStart w:id="401" w:name="_Toc526120086"/>
                            <w:r>
                              <w:t xml:space="preserve">Figure </w:t>
                            </w:r>
                            <w:r w:rsidR="00C73EE5">
                              <w:fldChar w:fldCharType="begin"/>
                            </w:r>
                            <w:r w:rsidR="00C73EE5">
                              <w:instrText xml:space="preserve"> SEQ Figure \* ARABIC </w:instrText>
                            </w:r>
                            <w:r w:rsidR="00C73EE5">
                              <w:fldChar w:fldCharType="separate"/>
                            </w:r>
                            <w:r>
                              <w:rPr>
                                <w:noProof/>
                              </w:rPr>
                              <w:t>20</w:t>
                            </w:r>
                            <w:r w:rsidR="00C73EE5">
                              <w:rPr>
                                <w:noProof/>
                              </w:rPr>
                              <w:fldChar w:fldCharType="end"/>
                            </w:r>
                            <w:r>
                              <w:t xml:space="preserve"> - Prévalence de la malnutrition chronique selon les régions</w:t>
                            </w:r>
                            <w:bookmarkEnd w:id="401"/>
                          </w:p>
                          <w:p w:rsidR="00146325" w:rsidRDefault="00146325" w:rsidP="00F77928">
                            <w:pPr>
                              <w:spacing w:beforeAutospacing="1" w:after="0" w:line="240" w:lineRule="auto"/>
                              <w:jc w:val="both"/>
                              <w:rPr>
                                <w:rFonts w:eastAsia="Times New Roman" w:cstheme="minorHAnsi"/>
                                <w:sz w:val="24"/>
                                <w:szCs w:val="24"/>
                                <w:lang w:eastAsia="fo-FO"/>
                              </w:rPr>
                            </w:pPr>
                            <w:r>
                              <w:rPr>
                                <w:noProof/>
                                <w:lang w:eastAsia="fr-FR"/>
                              </w:rPr>
                              <w:drawing>
                                <wp:inline distT="0" distB="0" distL="0" distR="0">
                                  <wp:extent cx="3458817" cy="1993541"/>
                                  <wp:effectExtent l="0" t="0" r="8890" b="6985"/>
                                  <wp:docPr id="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80"/>
                                          <a:stretch>
                                            <a:fillRect/>
                                          </a:stretch>
                                        </pic:blipFill>
                                        <pic:spPr>
                                          <a:xfrm>
                                            <a:off x="0" y="0"/>
                                            <a:ext cx="3475468" cy="2003138"/>
                                          </a:xfrm>
                                          <a:prstGeom prst="rect">
                                            <a:avLst/>
                                          </a:prstGeom>
                                        </pic:spPr>
                                      </pic:pic>
                                    </a:graphicData>
                                  </a:graphic>
                                </wp:inline>
                              </w:drawing>
                            </w:r>
                          </w:p>
                          <w:p w:rsidR="00146325" w:rsidRPr="00FA2E0F" w:rsidRDefault="00146325" w:rsidP="00F77928">
                            <w:pPr>
                              <w:spacing w:before="0" w:after="0" w:line="240" w:lineRule="auto"/>
                              <w:jc w:val="both"/>
                              <w:rPr>
                                <w:rFonts w:eastAsia="Times New Roman" w:cstheme="minorHAnsi"/>
                                <w:b/>
                                <w:sz w:val="16"/>
                                <w:szCs w:val="16"/>
                                <w:lang w:eastAsia="fo-FO"/>
                              </w:rPr>
                            </w:pPr>
                            <w:r>
                              <w:rPr>
                                <w:rFonts w:eastAsia="Times New Roman" w:cstheme="minorHAnsi"/>
                                <w:b/>
                                <w:sz w:val="16"/>
                                <w:szCs w:val="16"/>
                                <w:lang w:eastAsia="fo-FO"/>
                              </w:rPr>
                              <w:t>Source : (Aboubacar, 2017)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D31051C" id="Zone de texte 91" o:spid="_x0000_s1051" type="#_x0000_t202" style="position:absolute;left:0;text-align:left;margin-left:157.15pt;margin-top:63.75pt;width:332.95pt;height:244.9pt;z-index:2519500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" filled="f" strokeweight=".5pt">
                <v:path arrowok="t"/>
                <v:textbox style="mso-fit-shape-to-text:t">
                  <w:txbxContent>
                    <w:p w:rsidR="00146325" w:rsidRDefault="00146325" w:rsidP="00F77928">
                      <w:pPr>
                        <w:pStyle w:val="Lgende"/>
                        <w:keepNext/>
                        <w:jc w:val="both"/>
                      </w:pPr>
                      <w:bookmarkStart w:id="402" w:name="_Toc526120086"/>
                      <w:r>
                        <w:t xml:space="preserve">Figure </w:t>
                      </w:r>
                      <w:r w:rsidR="00C73EE5">
                        <w:fldChar w:fldCharType="begin"/>
                      </w:r>
                      <w:r w:rsidR="00C73EE5">
                        <w:instrText xml:space="preserve"> SEQ Figure \* ARABIC </w:instrText>
                      </w:r>
                      <w:r w:rsidR="00C73EE5">
                        <w:fldChar w:fldCharType="separate"/>
                      </w:r>
                      <w:r>
                        <w:rPr>
                          <w:noProof/>
                        </w:rPr>
                        <w:t>20</w:t>
                      </w:r>
                      <w:r w:rsidR="00C73EE5">
                        <w:rPr>
                          <w:noProof/>
                        </w:rPr>
                        <w:fldChar w:fldCharType="end"/>
                      </w:r>
                      <w:r>
                        <w:t xml:space="preserve"> - Prévalence de la malnutrition chronique selon les régions</w:t>
                      </w:r>
                      <w:bookmarkEnd w:id="402"/>
                    </w:p>
                    <w:p w:rsidR="00146325" w:rsidRDefault="00146325" w:rsidP="00F77928">
                      <w:pPr>
                        <w:spacing w:beforeAutospacing="1" w:after="0" w:line="240" w:lineRule="auto"/>
                        <w:jc w:val="both"/>
                        <w:rPr>
                          <w:rFonts w:eastAsia="Times New Roman" w:cstheme="minorHAnsi"/>
                          <w:sz w:val="24"/>
                          <w:szCs w:val="24"/>
                          <w:lang w:eastAsia="fo-FO"/>
                        </w:rPr>
                      </w:pPr>
                      <w:r>
                        <w:rPr>
                          <w:noProof/>
                          <w:lang w:eastAsia="fr-FR"/>
                        </w:rPr>
                        <w:drawing>
                          <wp:inline distT="0" distB="0" distL="0" distR="0">
                            <wp:extent cx="3458817" cy="1993541"/>
                            <wp:effectExtent l="0" t="0" r="8890" b="6985"/>
                            <wp:docPr id="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80"/>
                                    <a:stretch>
                                      <a:fillRect/>
                                    </a:stretch>
                                  </pic:blipFill>
                                  <pic:spPr>
                                    <a:xfrm>
                                      <a:off x="0" y="0"/>
                                      <a:ext cx="3475468" cy="2003138"/>
                                    </a:xfrm>
                                    <a:prstGeom prst="rect">
                                      <a:avLst/>
                                    </a:prstGeom>
                                  </pic:spPr>
                                </pic:pic>
                              </a:graphicData>
                            </a:graphic>
                          </wp:inline>
                        </w:drawing>
                      </w:r>
                    </w:p>
                    <w:p w:rsidR="00146325" w:rsidRPr="00FA2E0F" w:rsidRDefault="00146325" w:rsidP="00F77928">
                      <w:pPr>
                        <w:spacing w:before="0" w:after="0" w:line="240" w:lineRule="auto"/>
                        <w:jc w:val="both"/>
                        <w:rPr>
                          <w:rFonts w:eastAsia="Times New Roman" w:cstheme="minorHAnsi"/>
                          <w:b/>
                          <w:sz w:val="16"/>
                          <w:szCs w:val="16"/>
                          <w:lang w:eastAsia="fo-FO"/>
                        </w:rPr>
                      </w:pPr>
                      <w:r>
                        <w:rPr>
                          <w:rFonts w:eastAsia="Times New Roman" w:cstheme="minorHAnsi"/>
                          <w:b/>
                          <w:sz w:val="16"/>
                          <w:szCs w:val="16"/>
                          <w:lang w:eastAsia="fo-FO"/>
                        </w:rPr>
                        <w:t>Source : (Aboubacar, 2017)</w:t>
                      </w:r>
                    </w:p>
                  </w:txbxContent>
                </v:textbox>
                <w10:wrap type="square" anchorx="margin"/>
              </v:shape>
            </w:pict>
          </mc:Fallback>
        </mc:AlternateContent>
      </w:r>
      <w:r w:rsidR="00F77928" w:rsidRPr="006866D3">
        <w:rPr>
          <w:rFonts w:ascii="Nyala" w:hAnsi="Nyala"/>
          <w:sz w:val="28"/>
          <w:szCs w:val="28"/>
        </w:rPr>
        <w:t>Pour la malnutrition chronique, toutes les régions connaissent des taux au-dessus du seuil d’alerte (30%)  à l’exception de Niamey dont le taux reste proche des 20% (le taux cible). Maradi et Zinder enregistrent les taux de malnutrition chronique supérieurs à 50% (en 2015 et 2016) (</w:t>
      </w:r>
      <w:r w:rsidR="00F77928" w:rsidRPr="006866D3">
        <w:rPr>
          <w:rFonts w:ascii="Nyala" w:hAnsi="Nyala"/>
          <w:b/>
          <w:sz w:val="28"/>
          <w:szCs w:val="28"/>
        </w:rPr>
        <w:t xml:space="preserve">figure </w:t>
      </w:r>
      <w:r w:rsidR="00B50FC0">
        <w:rPr>
          <w:rFonts w:ascii="Nyala" w:hAnsi="Nyala"/>
          <w:b/>
          <w:sz w:val="28"/>
          <w:szCs w:val="28"/>
        </w:rPr>
        <w:t>2</w:t>
      </w:r>
      <w:r w:rsidR="00D413AC">
        <w:rPr>
          <w:rFonts w:ascii="Nyala" w:hAnsi="Nyala"/>
          <w:b/>
          <w:sz w:val="28"/>
          <w:szCs w:val="28"/>
        </w:rPr>
        <w:t>0</w:t>
      </w:r>
      <w:r w:rsidR="00F77928" w:rsidRPr="006866D3">
        <w:rPr>
          <w:rFonts w:ascii="Nyala" w:hAnsi="Nyala"/>
          <w:sz w:val="28"/>
          <w:szCs w:val="28"/>
        </w:rPr>
        <w:t>).</w:t>
      </w:r>
    </w:p>
    <w:p w:rsidR="001B10EC" w:rsidRDefault="00F77928" w:rsidP="00F77928">
      <w:pPr>
        <w:jc w:val="both"/>
        <w:rPr>
          <w:rFonts w:ascii="Nyala" w:hAnsi="Nyala"/>
          <w:sz w:val="28"/>
          <w:szCs w:val="28"/>
        </w:rPr>
      </w:pPr>
      <w:r w:rsidRPr="006866D3">
        <w:rPr>
          <w:rFonts w:ascii="Nyala" w:hAnsi="Nyala"/>
          <w:sz w:val="28"/>
          <w:szCs w:val="28"/>
        </w:rPr>
        <w:t xml:space="preserve">La sous-nutrition aigue globale a légèrement baissé pour toutes les régions, sauf Agadez (environ 10% en 2015 et environ 13% en 2016). En 2015, quatre régions (Diffa, Dosso, Maradi, Zinder) ont connu des prévalences comprises entre 15 et 17%; l’année 2016, les mêmes régions ont enregistré des niveaux variant près de 10 à 12%. Les régions de Dosso, Niamey, Tahoua et Tillabéry ont des niveaux variant entre 7 et 9%.  </w:t>
      </w:r>
    </w:p>
    <w:p w:rsidR="003D2EFE" w:rsidRPr="006866D3" w:rsidRDefault="003D2EFE" w:rsidP="00F77928">
      <w:pPr>
        <w:jc w:val="both"/>
        <w:rPr>
          <w:rFonts w:ascii="Nyala" w:hAnsi="Nyala"/>
          <w:sz w:val="28"/>
          <w:szCs w:val="28"/>
        </w:rPr>
      </w:pPr>
    </w:p>
    <w:p w:rsidR="00D93038" w:rsidRPr="006866D3" w:rsidRDefault="001B10EC" w:rsidP="0059103A">
      <w:pPr>
        <w:pStyle w:val="Paragraphedeliste"/>
        <w:numPr>
          <w:ilvl w:val="0"/>
          <w:numId w:val="14"/>
        </w:numPr>
        <w:jc w:val="both"/>
        <w:rPr>
          <w:rStyle w:val="Rfrenceple"/>
          <w:sz w:val="28"/>
          <w:szCs w:val="28"/>
        </w:rPr>
      </w:pPr>
      <w:r w:rsidRPr="006866D3">
        <w:rPr>
          <w:rStyle w:val="Rfrenceple"/>
          <w:sz w:val="28"/>
          <w:szCs w:val="28"/>
        </w:rPr>
        <w:t>M</w:t>
      </w:r>
      <w:r w:rsidR="00116C2E" w:rsidRPr="006866D3">
        <w:rPr>
          <w:rStyle w:val="Rfrenceple"/>
          <w:sz w:val="28"/>
          <w:szCs w:val="28"/>
        </w:rPr>
        <w:t>alnutrition fondée sur le</w:t>
      </w:r>
      <w:r w:rsidR="00D93038" w:rsidRPr="006866D3">
        <w:rPr>
          <w:rStyle w:val="Rfrenceple"/>
          <w:sz w:val="28"/>
          <w:szCs w:val="28"/>
        </w:rPr>
        <w:t>retard de croissance</w:t>
      </w:r>
      <w:r w:rsidR="00446AFC" w:rsidRPr="006866D3">
        <w:rPr>
          <w:rStyle w:val="Rfrenceple"/>
          <w:sz w:val="28"/>
          <w:szCs w:val="28"/>
        </w:rPr>
        <w:t xml:space="preserve"> (indicateur 2.2.1)</w:t>
      </w:r>
    </w:p>
    <w:p w:rsidR="002319A4" w:rsidRPr="006866D3" w:rsidRDefault="002319A4" w:rsidP="007777A4">
      <w:pPr>
        <w:jc w:val="both"/>
        <w:rPr>
          <w:rFonts w:ascii="Nyala" w:hAnsi="Nyala"/>
          <w:sz w:val="28"/>
          <w:szCs w:val="28"/>
        </w:rPr>
      </w:pPr>
      <w:r w:rsidRPr="006866D3">
        <w:rPr>
          <w:rFonts w:ascii="Nyala" w:hAnsi="Nyala"/>
          <w:sz w:val="28"/>
          <w:szCs w:val="28"/>
        </w:rPr>
        <w:t xml:space="preserve">Le retard de croissance traduit une situation de malnutrition chronique des enfants de 0 à 59 mois. </w:t>
      </w:r>
      <w:r w:rsidR="004502BE" w:rsidRPr="006866D3">
        <w:rPr>
          <w:rFonts w:ascii="Nyala" w:hAnsi="Nyala"/>
          <w:sz w:val="28"/>
          <w:szCs w:val="28"/>
        </w:rPr>
        <w:t xml:space="preserve">Selon l’enquête Nutrition de 2016 (INS), 46,5% des enfants de moins de </w:t>
      </w:r>
      <w:r w:rsidR="00D7361C" w:rsidRPr="006866D3">
        <w:rPr>
          <w:rFonts w:ascii="Nyala" w:hAnsi="Nyala"/>
          <w:sz w:val="28"/>
          <w:szCs w:val="28"/>
        </w:rPr>
        <w:t>5 ans</w:t>
      </w:r>
      <w:r w:rsidR="004502BE" w:rsidRPr="006866D3">
        <w:rPr>
          <w:rFonts w:ascii="Nyala" w:hAnsi="Nyala"/>
          <w:sz w:val="28"/>
          <w:szCs w:val="28"/>
        </w:rPr>
        <w:t xml:space="preserve"> ont un retard de croissance.</w:t>
      </w:r>
    </w:p>
    <w:p w:rsidR="00C076B9" w:rsidRPr="006866D3" w:rsidRDefault="00804B62" w:rsidP="00C076B9">
      <w:pPr>
        <w:jc w:val="both"/>
        <w:rPr>
          <w:sz w:val="28"/>
          <w:szCs w:val="28"/>
        </w:rPr>
      </w:pPr>
      <w:r w:rsidRPr="006866D3">
        <w:rPr>
          <w:rFonts w:ascii="Nyala" w:hAnsi="Nyala"/>
          <w:sz w:val="28"/>
          <w:szCs w:val="28"/>
        </w:rPr>
        <w:t>En 2016, ce</w:t>
      </w:r>
      <w:r w:rsidR="004502BE" w:rsidRPr="006866D3">
        <w:rPr>
          <w:rFonts w:ascii="Nyala" w:hAnsi="Nyala"/>
          <w:sz w:val="28"/>
          <w:szCs w:val="28"/>
        </w:rPr>
        <w:t xml:space="preserve"> retard de croissance touch</w:t>
      </w:r>
      <w:r w:rsidRPr="006866D3">
        <w:rPr>
          <w:rFonts w:ascii="Nyala" w:hAnsi="Nyala"/>
          <w:sz w:val="28"/>
          <w:szCs w:val="28"/>
        </w:rPr>
        <w:t>ait</w:t>
      </w:r>
      <w:r w:rsidR="004502BE" w:rsidRPr="006866D3">
        <w:rPr>
          <w:rFonts w:ascii="Nyala" w:hAnsi="Nyala"/>
          <w:sz w:val="28"/>
          <w:szCs w:val="28"/>
        </w:rPr>
        <w:t xml:space="preserve"> davantage les garçons que les filles (48,4% et 44,5% respectivement (figure </w:t>
      </w:r>
      <w:r w:rsidR="00D7361C" w:rsidRPr="006866D3">
        <w:rPr>
          <w:rFonts w:ascii="Nyala" w:hAnsi="Nyala"/>
          <w:sz w:val="28"/>
          <w:szCs w:val="28"/>
        </w:rPr>
        <w:t>14</w:t>
      </w:r>
      <w:r w:rsidR="004502BE" w:rsidRPr="006866D3">
        <w:rPr>
          <w:rFonts w:ascii="Nyala" w:hAnsi="Nyala"/>
          <w:sz w:val="28"/>
          <w:szCs w:val="28"/>
        </w:rPr>
        <w:t xml:space="preserve">) </w:t>
      </w:r>
      <w:r w:rsidR="002319A4" w:rsidRPr="006866D3">
        <w:rPr>
          <w:rFonts w:ascii="Nyala" w:hAnsi="Nyala"/>
          <w:sz w:val="28"/>
          <w:szCs w:val="28"/>
        </w:rPr>
        <w:t xml:space="preserve"> et davantage le milieu rural (45%) que le milieu urbain (33,8%)</w:t>
      </w:r>
      <w:r w:rsidR="007777A4" w:rsidRPr="006866D3">
        <w:rPr>
          <w:rFonts w:ascii="Nyala" w:hAnsi="Nyala"/>
          <w:sz w:val="28"/>
          <w:szCs w:val="28"/>
        </w:rPr>
        <w:t>. De plus, elle varie selon le lieu de résidence : elle</w:t>
      </w:r>
      <w:r w:rsidR="00C076B9" w:rsidRPr="006866D3">
        <w:rPr>
          <w:rFonts w:ascii="Nyala" w:hAnsi="Nyala"/>
          <w:sz w:val="28"/>
          <w:szCs w:val="28"/>
        </w:rPr>
        <w:t xml:space="preserve"> est</w:t>
      </w:r>
      <w:r w:rsidR="007777A4" w:rsidRPr="006866D3">
        <w:rPr>
          <w:rFonts w:ascii="Nyala" w:hAnsi="Nyala"/>
          <w:sz w:val="28"/>
          <w:szCs w:val="28"/>
        </w:rPr>
        <w:t xml:space="preserve"> de 55,5% dans la région de Maradi et 34% dans celle de </w:t>
      </w:r>
      <w:r w:rsidR="00063352" w:rsidRPr="006866D3">
        <w:rPr>
          <w:rFonts w:ascii="Nyala" w:hAnsi="Nyala"/>
          <w:sz w:val="28"/>
          <w:szCs w:val="28"/>
        </w:rPr>
        <w:t>Tillabéry</w:t>
      </w:r>
      <w:r w:rsidR="007777A4" w:rsidRPr="006866D3">
        <w:rPr>
          <w:rFonts w:ascii="Nyala" w:hAnsi="Nyala"/>
          <w:sz w:val="28"/>
          <w:szCs w:val="28"/>
        </w:rPr>
        <w:t> ; 39% pour la ville de Maradi et 19,2% pour celle de Niamey (INS, 2016).</w:t>
      </w:r>
    </w:p>
    <w:p w:rsidR="00C06EF7" w:rsidRDefault="003C01AB" w:rsidP="003C01AB">
      <w:pPr>
        <w:jc w:val="both"/>
        <w:rPr>
          <w:rFonts w:ascii="Nyala" w:hAnsi="Nyala"/>
          <w:sz w:val="28"/>
          <w:szCs w:val="28"/>
        </w:rPr>
      </w:pPr>
      <w:r w:rsidRPr="006866D3">
        <w:rPr>
          <w:rFonts w:ascii="Nyala" w:hAnsi="Nyala"/>
          <w:sz w:val="28"/>
          <w:szCs w:val="28"/>
        </w:rPr>
        <w:t xml:space="preserve">L’enquête démographique et de la Santé (EDSN) réalisée en 2017 par l’INS, montre que 45 % des enfants ont un retard de croissance, c’est à-dire qu’ils sont trop petits pour leur âge. La prévalence touche 16 % des enfants de moins de 6 mois contre 60 % des enfants entre 18 et 23 mois. Plus de la moitié des enfants ayant un retard de croissance (24 %) sont atteints de retard de croissance sévère. </w:t>
      </w:r>
    </w:p>
    <w:p w:rsidR="009D7724" w:rsidRDefault="009D7724" w:rsidP="003C01AB">
      <w:pPr>
        <w:jc w:val="both"/>
        <w:rPr>
          <w:rFonts w:ascii="Nyala" w:hAnsi="Nyala"/>
          <w:sz w:val="28"/>
          <w:szCs w:val="28"/>
        </w:rPr>
      </w:pPr>
    </w:p>
    <w:p w:rsidR="00D93038" w:rsidRPr="006866D3" w:rsidRDefault="00D6014F" w:rsidP="0020633B">
      <w:pPr>
        <w:pStyle w:val="Paragraphedeliste"/>
        <w:numPr>
          <w:ilvl w:val="0"/>
          <w:numId w:val="14"/>
        </w:numPr>
        <w:jc w:val="both"/>
        <w:rPr>
          <w:rStyle w:val="Rfrenceple"/>
          <w:sz w:val="28"/>
          <w:szCs w:val="28"/>
        </w:rPr>
      </w:pPr>
      <w:r w:rsidRPr="006866D3">
        <w:rPr>
          <w:rStyle w:val="Rfrenceple"/>
          <w:sz w:val="28"/>
          <w:szCs w:val="28"/>
        </w:rPr>
        <w:t>M</w:t>
      </w:r>
      <w:r w:rsidR="00D93038" w:rsidRPr="006866D3">
        <w:rPr>
          <w:rStyle w:val="Rfrenceple"/>
          <w:sz w:val="28"/>
          <w:szCs w:val="28"/>
        </w:rPr>
        <w:t>alnutrition</w:t>
      </w:r>
      <w:r w:rsidR="001B496C" w:rsidRPr="006866D3">
        <w:rPr>
          <w:rStyle w:val="Rfrenceple"/>
          <w:sz w:val="28"/>
          <w:szCs w:val="28"/>
        </w:rPr>
        <w:t xml:space="preserve"> fondée sur l’insuffisance </w:t>
      </w:r>
      <w:r w:rsidR="000F46A1" w:rsidRPr="006866D3">
        <w:rPr>
          <w:rStyle w:val="Rfrenceple"/>
          <w:sz w:val="28"/>
          <w:szCs w:val="28"/>
        </w:rPr>
        <w:t>pondérale</w:t>
      </w:r>
      <w:r w:rsidR="001B496C" w:rsidRPr="006866D3">
        <w:rPr>
          <w:rStyle w:val="Rfrenceple"/>
          <w:sz w:val="28"/>
          <w:szCs w:val="28"/>
        </w:rPr>
        <w:t xml:space="preserve"> (Indicateur 2.2.2)</w:t>
      </w:r>
    </w:p>
    <w:p w:rsidR="00E26326" w:rsidRPr="006866D3" w:rsidRDefault="005F3FF1">
      <w:pPr>
        <w:jc w:val="both"/>
        <w:rPr>
          <w:rFonts w:ascii="Nyala" w:hAnsi="Nyala"/>
          <w:sz w:val="28"/>
          <w:szCs w:val="28"/>
        </w:rPr>
      </w:pPr>
      <w:r w:rsidRPr="006866D3">
        <w:rPr>
          <w:rFonts w:ascii="Nyala" w:hAnsi="Nyala"/>
          <w:sz w:val="28"/>
          <w:szCs w:val="28"/>
        </w:rPr>
        <w:t xml:space="preserve">La </w:t>
      </w:r>
      <w:r w:rsidR="00E26326" w:rsidRPr="006866D3">
        <w:rPr>
          <w:rFonts w:ascii="Nyala" w:hAnsi="Nyala"/>
          <w:sz w:val="28"/>
          <w:szCs w:val="28"/>
        </w:rPr>
        <w:t xml:space="preserve">Prévalence de la malnutrition </w:t>
      </w:r>
      <w:r w:rsidRPr="006866D3">
        <w:rPr>
          <w:rFonts w:ascii="Nyala" w:hAnsi="Nyala"/>
          <w:sz w:val="28"/>
          <w:szCs w:val="28"/>
        </w:rPr>
        <w:t>est calculé</w:t>
      </w:r>
      <w:r w:rsidR="00EF1E17" w:rsidRPr="006866D3">
        <w:rPr>
          <w:rFonts w:ascii="Nyala" w:hAnsi="Nyala"/>
          <w:sz w:val="28"/>
          <w:szCs w:val="28"/>
        </w:rPr>
        <w:t>e</w:t>
      </w:r>
      <w:r w:rsidRPr="006866D3">
        <w:rPr>
          <w:rFonts w:ascii="Nyala" w:hAnsi="Nyala"/>
          <w:sz w:val="28"/>
          <w:szCs w:val="28"/>
        </w:rPr>
        <w:t xml:space="preserve"> selon l’</w:t>
      </w:r>
      <w:r w:rsidR="00E26326" w:rsidRPr="006866D3">
        <w:rPr>
          <w:rFonts w:ascii="Nyala" w:hAnsi="Nyala"/>
          <w:sz w:val="28"/>
          <w:szCs w:val="28"/>
        </w:rPr>
        <w:t>indice poids/taille supérieur à +2 écarts types ou inférieur à -2 écarts types par rapport à la moyenne des normes de croissance de l’enfant définies par l’OMS chez les enfants de moins de 5 ans, par forme (surpoids et émaciation)</w:t>
      </w:r>
    </w:p>
    <w:p w:rsidR="00872E78" w:rsidRPr="006866D3" w:rsidRDefault="009671A1">
      <w:pPr>
        <w:jc w:val="both"/>
        <w:rPr>
          <w:rFonts w:ascii="Nyala" w:hAnsi="Nyala"/>
          <w:sz w:val="28"/>
          <w:szCs w:val="28"/>
        </w:rPr>
      </w:pPr>
      <w:r w:rsidRPr="006866D3">
        <w:rPr>
          <w:rFonts w:ascii="Nyala" w:hAnsi="Nyala"/>
          <w:sz w:val="28"/>
          <w:szCs w:val="28"/>
        </w:rPr>
        <w:t>La proportion d’enfants de moins de 5 ans en insuffisance pondérale a enregistré une légère baisse entre 2015 et 201</w:t>
      </w:r>
      <w:r w:rsidR="005077DD" w:rsidRPr="006866D3">
        <w:rPr>
          <w:rFonts w:ascii="Nyala" w:hAnsi="Nyala"/>
          <w:sz w:val="28"/>
          <w:szCs w:val="28"/>
        </w:rPr>
        <w:t>6</w:t>
      </w:r>
      <w:r w:rsidRPr="006866D3">
        <w:rPr>
          <w:rFonts w:ascii="Nyala" w:hAnsi="Nyala"/>
          <w:sz w:val="28"/>
          <w:szCs w:val="28"/>
        </w:rPr>
        <w:t xml:space="preserve"> de 36,3% à 31,7%</w:t>
      </w:r>
      <w:r w:rsidR="005077DD" w:rsidRPr="006866D3">
        <w:rPr>
          <w:rFonts w:ascii="Nyala" w:hAnsi="Nyala"/>
          <w:sz w:val="28"/>
          <w:szCs w:val="28"/>
        </w:rPr>
        <w:t xml:space="preserve"> puis une hausse à 34,6% en 2017. Mais, globalement l’on observe une </w:t>
      </w:r>
      <w:r w:rsidRPr="006866D3">
        <w:rPr>
          <w:rFonts w:ascii="Nyala" w:hAnsi="Nyala"/>
          <w:sz w:val="28"/>
          <w:szCs w:val="28"/>
        </w:rPr>
        <w:t xml:space="preserve">tendance baissière depuis 1998, année au cours de laquelle près de 50% des enfants étaient en insuffisance pondérale. </w:t>
      </w:r>
    </w:p>
    <w:p w:rsidR="00CA7E68" w:rsidRDefault="00CA7E68" w:rsidP="00141D20">
      <w:pPr>
        <w:jc w:val="both"/>
        <w:rPr>
          <w:rFonts w:ascii="Nyala" w:hAnsi="Nyala"/>
          <w:sz w:val="28"/>
          <w:szCs w:val="28"/>
        </w:rPr>
      </w:pPr>
      <w:r w:rsidRPr="006866D3">
        <w:rPr>
          <w:rFonts w:ascii="Nyala" w:hAnsi="Nyala"/>
          <w:color w:val="000000" w:themeColor="text1"/>
          <w:sz w:val="28"/>
          <w:szCs w:val="28"/>
        </w:rPr>
        <w:t xml:space="preserve">En 2017, 15% des enfants de moins de cinq (5) ans sont émaciés et un tiers (1/3) d’entre eux (5 %) sont sévèrement émaciés. Selon le sexe, la prévalence varie de 13 % à 17 % selon que l’enfant est féminin ou masculin (EDSN, 2017). </w:t>
      </w:r>
      <w:r w:rsidRPr="006866D3">
        <w:rPr>
          <w:rFonts w:ascii="Nyala" w:hAnsi="Nyala"/>
          <w:sz w:val="28"/>
          <w:szCs w:val="28"/>
        </w:rPr>
        <w:t>Sans instruction de la mère, la prévalence est de 16 % ; elle tombe à  14 %  et 11 % respectivement lorsque la mère a un niveau primaire et secondaire ou plus (</w:t>
      </w:r>
      <w:r w:rsidR="00B677BD">
        <w:rPr>
          <w:rFonts w:ascii="Nyala" w:hAnsi="Nyala"/>
          <w:sz w:val="28"/>
          <w:szCs w:val="28"/>
        </w:rPr>
        <w:t xml:space="preserve">INS : </w:t>
      </w:r>
      <w:r w:rsidRPr="006866D3">
        <w:rPr>
          <w:rFonts w:ascii="Nyala" w:hAnsi="Nyala"/>
          <w:sz w:val="28"/>
          <w:szCs w:val="28"/>
        </w:rPr>
        <w:t>EDSN, 2017).</w:t>
      </w:r>
    </w:p>
    <w:p w:rsidR="00B44A08" w:rsidRDefault="00B44A08" w:rsidP="00141D20">
      <w:pPr>
        <w:jc w:val="both"/>
        <w:rPr>
          <w:rFonts w:ascii="Nyala" w:hAnsi="Nyala"/>
          <w:sz w:val="28"/>
          <w:szCs w:val="28"/>
        </w:rPr>
      </w:pPr>
    </w:p>
    <w:p w:rsidR="009D7724" w:rsidRPr="009D7724" w:rsidRDefault="009D7724" w:rsidP="009D7724">
      <w:pPr>
        <w:pStyle w:val="Titre3"/>
        <w:numPr>
          <w:ilvl w:val="2"/>
          <w:numId w:val="2"/>
        </w:numPr>
      </w:pPr>
      <w:bookmarkStart w:id="403" w:name="_Toc526119975"/>
      <w:r w:rsidRPr="009D7724">
        <w:t>Genre et malnutrition</w:t>
      </w:r>
      <w:bookmarkEnd w:id="403"/>
    </w:p>
    <w:p w:rsidR="009D7724" w:rsidRPr="006866D3" w:rsidRDefault="009D7724" w:rsidP="009D7724">
      <w:pPr>
        <w:tabs>
          <w:tab w:val="left" w:pos="1048"/>
        </w:tabs>
        <w:jc w:val="both"/>
        <w:rPr>
          <w:rFonts w:ascii="Nyala" w:hAnsi="Nyala"/>
          <w:sz w:val="28"/>
          <w:szCs w:val="28"/>
        </w:rPr>
      </w:pPr>
      <w:r w:rsidRPr="006866D3">
        <w:rPr>
          <w:rFonts w:ascii="Nyala" w:hAnsi="Nyala"/>
          <w:sz w:val="28"/>
          <w:szCs w:val="28"/>
        </w:rPr>
        <w:t xml:space="preserve">Les jeunes mères sont parmi les plus sujettes à la malnutrition ; elles sont peu informées et éduquées, elles ont un faible pouvoir décisionnel, et leurs enfants sont souvent atteints de malnutrition chronique et à une insuffisance pondérale à la naissance. Au Niger, les femmes en âge de procréer qui sont en sous nutrition (état de maigreur - IMC &lt; 18,5) représentent 19% (Aboubacar, 2017).  </w:t>
      </w:r>
    </w:p>
    <w:p w:rsidR="00B44A08" w:rsidRPr="00771124" w:rsidRDefault="009D7724" w:rsidP="009D7724">
      <w:pPr>
        <w:tabs>
          <w:tab w:val="left" w:pos="1048"/>
        </w:tabs>
        <w:jc w:val="both"/>
        <w:rPr>
          <w:rFonts w:ascii="Nyala" w:hAnsi="Nyala"/>
          <w:sz w:val="28"/>
          <w:szCs w:val="28"/>
        </w:rPr>
      </w:pPr>
      <w:r w:rsidRPr="006866D3">
        <w:rPr>
          <w:rFonts w:ascii="Nyala" w:hAnsi="Nyala"/>
          <w:sz w:val="28"/>
          <w:szCs w:val="28"/>
        </w:rPr>
        <w:t>Selon le PNSN 2016-2025, les taux de malnutrition, toutes formes confondues, indiquent que le Niger dépasse les seuils globalement admis par l’OMS. La situation des femmes en âge de procréation  (15 -49 ans) se caractérise par une double prévalence de la sous-</w:t>
      </w:r>
      <w:r w:rsidRPr="00771124">
        <w:rPr>
          <w:rFonts w:ascii="Nyala" w:hAnsi="Nyala"/>
          <w:sz w:val="28"/>
          <w:szCs w:val="28"/>
        </w:rPr>
        <w:t xml:space="preserve">nutrition  et de la surnutrition. En effet, il est noté que 16% des femmes enregistrent un déficit énergétique (IMC inférieur à 18,5) et 14%  un excédent les exposant aux maladies chroniques non transmissibles (hypertension, diabète). Environ 56% des femmes en âge de procréer sont anémiées. </w:t>
      </w:r>
    </w:p>
    <w:p w:rsidR="009D7724" w:rsidRPr="00771124" w:rsidRDefault="009D7724" w:rsidP="009D7724">
      <w:pPr>
        <w:tabs>
          <w:tab w:val="left" w:pos="1048"/>
        </w:tabs>
        <w:jc w:val="both"/>
        <w:rPr>
          <w:rFonts w:ascii="Nyala" w:hAnsi="Nyala"/>
          <w:sz w:val="28"/>
          <w:szCs w:val="28"/>
        </w:rPr>
      </w:pPr>
      <w:r w:rsidRPr="00771124">
        <w:rPr>
          <w:rFonts w:ascii="Nyala" w:hAnsi="Nyala"/>
          <w:sz w:val="28"/>
          <w:szCs w:val="28"/>
        </w:rPr>
        <w:t>Des carences en en micronutriments et en iode sont également notées. Plus de 80% de la population courent des risques des troubles  dus  aux  carences  en  iode.</w:t>
      </w:r>
    </w:p>
    <w:p w:rsidR="008B40F4" w:rsidRPr="00771124" w:rsidRDefault="008B40F4" w:rsidP="00B44A08">
      <w:pPr>
        <w:spacing w:after="160" w:line="259" w:lineRule="auto"/>
        <w:jc w:val="both"/>
        <w:rPr>
          <w:rFonts w:ascii="Nyala" w:hAnsi="Nyala" w:cstheme="minorHAnsi"/>
          <w:sz w:val="28"/>
          <w:szCs w:val="28"/>
        </w:rPr>
      </w:pPr>
      <w:r w:rsidRPr="00771124">
        <w:rPr>
          <w:rFonts w:ascii="Nyala" w:hAnsi="Nyala" w:cstheme="minorHAnsi"/>
          <w:sz w:val="28"/>
          <w:szCs w:val="28"/>
        </w:rPr>
        <w:t xml:space="preserve">Près de 53,3% des femmes de 15-49 ans souffrent de carence en fer. Le </w:t>
      </w:r>
      <w:r w:rsidRPr="00B7385B">
        <w:rPr>
          <w:rFonts w:ascii="Nyala" w:hAnsi="Nyala" w:cstheme="minorHAnsi"/>
          <w:b/>
          <w:sz w:val="28"/>
          <w:szCs w:val="28"/>
        </w:rPr>
        <w:t xml:space="preserve">tableau </w:t>
      </w:r>
      <w:r w:rsidR="00D413AC">
        <w:rPr>
          <w:rFonts w:ascii="Nyala" w:hAnsi="Nyala" w:cstheme="minorHAnsi"/>
          <w:b/>
          <w:sz w:val="28"/>
          <w:szCs w:val="28"/>
        </w:rPr>
        <w:t>4</w:t>
      </w:r>
      <w:r w:rsidRPr="00771124">
        <w:rPr>
          <w:rFonts w:ascii="Nyala" w:hAnsi="Nyala" w:cstheme="minorHAnsi"/>
          <w:sz w:val="28"/>
          <w:szCs w:val="28"/>
        </w:rPr>
        <w:t xml:space="preserve"> résume l’évolution de la prévalence de cette anémie de 2012 à 2017 ; celle-ci serait passée de 45,8% à 53,3%. Les femmes ayant peu d’instruction sont les plus touchées (5</w:t>
      </w:r>
      <w:r w:rsidR="00AB3BB1" w:rsidRPr="00771124">
        <w:rPr>
          <w:rFonts w:ascii="Nyala" w:hAnsi="Nyala" w:cstheme="minorHAnsi"/>
          <w:sz w:val="28"/>
          <w:szCs w:val="28"/>
        </w:rPr>
        <w:t xml:space="preserve">4,6 pour aucune instruction, 44,8 pour le primaire et 44,4% pour le secondaire et plus). </w:t>
      </w:r>
    </w:p>
    <w:p w:rsidR="008B40F4" w:rsidRDefault="008B40F4" w:rsidP="00B44A08">
      <w:pPr>
        <w:spacing w:after="160" w:line="259" w:lineRule="auto"/>
        <w:jc w:val="both"/>
        <w:rPr>
          <w:rFonts w:ascii="Nyala" w:hAnsi="Nyala" w:cstheme="minorHAnsi"/>
          <w:sz w:val="28"/>
          <w:szCs w:val="28"/>
        </w:rPr>
      </w:pPr>
    </w:p>
    <w:p w:rsidR="000658AF" w:rsidRPr="00771124" w:rsidRDefault="000658AF" w:rsidP="00B7385B">
      <w:pPr>
        <w:pStyle w:val="Lgende"/>
        <w:ind w:left="1416"/>
        <w:rPr>
          <w:rFonts w:ascii="Nyala" w:hAnsi="Nyala" w:cstheme="minorHAnsi"/>
          <w:sz w:val="28"/>
          <w:szCs w:val="28"/>
        </w:rPr>
      </w:pPr>
      <w:bookmarkStart w:id="404" w:name="_Toc526120058"/>
      <w:r>
        <w:t xml:space="preserve">Tableau </w:t>
      </w:r>
      <w:r w:rsidR="00D639F2">
        <w:fldChar w:fldCharType="begin"/>
      </w:r>
      <w:r w:rsidR="00440FAF">
        <w:instrText xml:space="preserve"> SEQ Tableau \* ARABIC </w:instrText>
      </w:r>
      <w:r w:rsidR="00D639F2">
        <w:fldChar w:fldCharType="separate"/>
      </w:r>
      <w:r w:rsidR="00440FAF">
        <w:rPr>
          <w:noProof/>
        </w:rPr>
        <w:t>4</w:t>
      </w:r>
      <w:r w:rsidR="00D639F2">
        <w:fldChar w:fldCharType="end"/>
      </w:r>
      <w:r>
        <w:t xml:space="preserve"> - Prévalence de l'anémie en 2012 et 2017</w:t>
      </w:r>
      <w:bookmarkEnd w:id="404"/>
    </w:p>
    <w:tbl>
      <w:tblPr>
        <w:tblW w:w="3600" w:type="dxa"/>
        <w:tblInd w:w="1341" w:type="dxa"/>
        <w:tblCellMar>
          <w:left w:w="70" w:type="dxa"/>
          <w:right w:w="70" w:type="dxa"/>
        </w:tblCellMar>
        <w:tblLook w:val="04A0" w:firstRow="1" w:lastRow="0" w:firstColumn="1" w:lastColumn="0" w:noHBand="0" w:noVBand="1"/>
      </w:tblPr>
      <w:tblGrid>
        <w:gridCol w:w="1200"/>
        <w:gridCol w:w="1200"/>
        <w:gridCol w:w="1200"/>
      </w:tblGrid>
      <w:tr w:rsidR="008B40F4" w:rsidRPr="008B40F4" w:rsidTr="00771124">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0F4" w:rsidRPr="008B40F4" w:rsidRDefault="008B40F4" w:rsidP="008B40F4">
            <w:pPr>
              <w:spacing w:before="0" w:after="0" w:line="240" w:lineRule="auto"/>
              <w:rPr>
                <w:rFonts w:ascii="Nyala" w:eastAsia="Times New Roman" w:hAnsi="Nyala" w:cs="Times New Roman"/>
                <w:color w:val="000000"/>
                <w:sz w:val="24"/>
                <w:szCs w:val="24"/>
                <w:lang w:eastAsia="fr-FR"/>
              </w:rPr>
            </w:pPr>
            <w:r w:rsidRPr="008B40F4">
              <w:rPr>
                <w:rFonts w:ascii="Nyala" w:eastAsia="Times New Roman" w:hAnsi="Nyala" w:cs="Times New Roman"/>
                <w:color w:val="000000"/>
                <w:sz w:val="24"/>
                <w:szCs w:val="24"/>
                <w:lang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B40F4" w:rsidRPr="008B40F4" w:rsidRDefault="008B40F4" w:rsidP="008B40F4">
            <w:pPr>
              <w:spacing w:before="0" w:after="0" w:line="240" w:lineRule="auto"/>
              <w:rPr>
                <w:rFonts w:ascii="Nyala" w:eastAsia="Times New Roman" w:hAnsi="Nyala" w:cs="Times New Roman"/>
                <w:color w:val="000000"/>
                <w:sz w:val="24"/>
                <w:szCs w:val="24"/>
                <w:lang w:eastAsia="fr-FR"/>
              </w:rPr>
            </w:pPr>
            <w:r w:rsidRPr="00771124">
              <w:rPr>
                <w:rFonts w:ascii="Nyala" w:eastAsia="Times New Roman" w:hAnsi="Nyala" w:cs="Times New Roman"/>
                <w:color w:val="000000"/>
                <w:sz w:val="24"/>
                <w:szCs w:val="24"/>
                <w:lang w:eastAsia="fr-FR"/>
              </w:rPr>
              <w:t>EDNS 20</w:t>
            </w:r>
            <w:r w:rsidRPr="008B40F4">
              <w:rPr>
                <w:rFonts w:ascii="Nyala" w:eastAsia="Times New Roman" w:hAnsi="Nyala" w:cs="Times New Roman"/>
                <w:color w:val="000000"/>
                <w:sz w:val="24"/>
                <w:szCs w:val="24"/>
                <w:lang w:eastAsia="fr-FR"/>
              </w:rPr>
              <w:t>12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B40F4" w:rsidRPr="008B40F4" w:rsidRDefault="008B40F4" w:rsidP="008B40F4">
            <w:pPr>
              <w:spacing w:before="0" w:after="0" w:line="240" w:lineRule="auto"/>
              <w:rPr>
                <w:rFonts w:ascii="Nyala" w:eastAsia="Times New Roman" w:hAnsi="Nyala" w:cs="Times New Roman"/>
                <w:color w:val="000000"/>
                <w:sz w:val="24"/>
                <w:szCs w:val="24"/>
                <w:lang w:eastAsia="fr-FR"/>
              </w:rPr>
            </w:pPr>
            <w:r w:rsidRPr="008B40F4">
              <w:rPr>
                <w:rFonts w:ascii="Nyala" w:eastAsia="Times New Roman" w:hAnsi="Nyala" w:cs="Times New Roman"/>
                <w:color w:val="000000"/>
                <w:sz w:val="24"/>
                <w:szCs w:val="24"/>
                <w:lang w:eastAsia="fr-FR"/>
              </w:rPr>
              <w:t>EDSN 2017</w:t>
            </w:r>
          </w:p>
        </w:tc>
      </w:tr>
      <w:tr w:rsidR="008B40F4" w:rsidRPr="008B40F4" w:rsidTr="0077112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B40F4" w:rsidRPr="008B40F4" w:rsidRDefault="008B40F4" w:rsidP="008B40F4">
            <w:pPr>
              <w:spacing w:before="0" w:after="0" w:line="240" w:lineRule="auto"/>
              <w:rPr>
                <w:rFonts w:ascii="Nyala" w:eastAsia="Times New Roman" w:hAnsi="Nyala" w:cs="Times New Roman"/>
                <w:color w:val="000000"/>
                <w:sz w:val="24"/>
                <w:szCs w:val="24"/>
                <w:lang w:eastAsia="fr-FR"/>
              </w:rPr>
            </w:pPr>
            <w:r w:rsidRPr="008B40F4">
              <w:rPr>
                <w:rFonts w:ascii="Nyala" w:eastAsia="Times New Roman" w:hAnsi="Nyala" w:cs="Times New Roman"/>
                <w:color w:val="000000"/>
                <w:sz w:val="24"/>
                <w:szCs w:val="24"/>
                <w:lang w:eastAsia="fr-FR"/>
              </w:rPr>
              <w:t>légère</w:t>
            </w:r>
          </w:p>
        </w:tc>
        <w:tc>
          <w:tcPr>
            <w:tcW w:w="1200" w:type="dxa"/>
            <w:tcBorders>
              <w:top w:val="nil"/>
              <w:left w:val="nil"/>
              <w:bottom w:val="single" w:sz="4" w:space="0" w:color="auto"/>
              <w:right w:val="single" w:sz="4" w:space="0" w:color="auto"/>
            </w:tcBorders>
            <w:shd w:val="clear" w:color="auto" w:fill="auto"/>
            <w:noWrap/>
            <w:vAlign w:val="bottom"/>
            <w:hideMark/>
          </w:tcPr>
          <w:p w:rsidR="008B40F4" w:rsidRPr="008B40F4" w:rsidRDefault="008B40F4" w:rsidP="008B40F4">
            <w:pPr>
              <w:spacing w:before="0" w:after="0" w:line="240" w:lineRule="auto"/>
              <w:jc w:val="right"/>
              <w:rPr>
                <w:rFonts w:ascii="Nyala" w:eastAsia="Times New Roman" w:hAnsi="Nyala" w:cs="Times New Roman"/>
                <w:color w:val="000000"/>
                <w:sz w:val="24"/>
                <w:szCs w:val="24"/>
                <w:lang w:eastAsia="fr-FR"/>
              </w:rPr>
            </w:pPr>
            <w:r w:rsidRPr="008B40F4">
              <w:rPr>
                <w:rFonts w:ascii="Nyala" w:eastAsia="Times New Roman" w:hAnsi="Nyala" w:cs="Times New Roman"/>
                <w:color w:val="000000"/>
                <w:sz w:val="24"/>
                <w:szCs w:val="24"/>
                <w:lang w:eastAsia="fr-FR"/>
              </w:rPr>
              <w:t>32,70%</w:t>
            </w:r>
          </w:p>
        </w:tc>
        <w:tc>
          <w:tcPr>
            <w:tcW w:w="1200" w:type="dxa"/>
            <w:tcBorders>
              <w:top w:val="nil"/>
              <w:left w:val="nil"/>
              <w:bottom w:val="single" w:sz="4" w:space="0" w:color="auto"/>
              <w:right w:val="single" w:sz="4" w:space="0" w:color="auto"/>
            </w:tcBorders>
            <w:shd w:val="clear" w:color="auto" w:fill="auto"/>
            <w:noWrap/>
            <w:vAlign w:val="bottom"/>
            <w:hideMark/>
          </w:tcPr>
          <w:p w:rsidR="008B40F4" w:rsidRPr="008B40F4" w:rsidRDefault="008B40F4" w:rsidP="008B40F4">
            <w:pPr>
              <w:spacing w:before="0" w:after="0" w:line="240" w:lineRule="auto"/>
              <w:jc w:val="right"/>
              <w:rPr>
                <w:rFonts w:ascii="Nyala" w:eastAsia="Times New Roman" w:hAnsi="Nyala" w:cs="Times New Roman"/>
                <w:color w:val="000000"/>
                <w:sz w:val="24"/>
                <w:szCs w:val="24"/>
                <w:lang w:eastAsia="fr-FR"/>
              </w:rPr>
            </w:pPr>
            <w:r w:rsidRPr="008B40F4">
              <w:rPr>
                <w:rFonts w:ascii="Nyala" w:eastAsia="Times New Roman" w:hAnsi="Nyala" w:cs="Times New Roman"/>
                <w:color w:val="000000"/>
                <w:sz w:val="24"/>
                <w:szCs w:val="24"/>
                <w:lang w:eastAsia="fr-FR"/>
              </w:rPr>
              <w:t>38,10%</w:t>
            </w:r>
          </w:p>
        </w:tc>
      </w:tr>
      <w:tr w:rsidR="008B40F4" w:rsidRPr="008B40F4" w:rsidTr="0077112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B40F4" w:rsidRPr="008B40F4" w:rsidRDefault="008B40F4" w:rsidP="008B40F4">
            <w:pPr>
              <w:spacing w:before="0" w:after="0" w:line="240" w:lineRule="auto"/>
              <w:rPr>
                <w:rFonts w:ascii="Nyala" w:eastAsia="Times New Roman" w:hAnsi="Nyala" w:cs="Times New Roman"/>
                <w:color w:val="000000"/>
                <w:sz w:val="24"/>
                <w:szCs w:val="24"/>
                <w:lang w:eastAsia="fr-FR"/>
              </w:rPr>
            </w:pPr>
            <w:r w:rsidRPr="008B40F4">
              <w:rPr>
                <w:rFonts w:ascii="Nyala" w:eastAsia="Times New Roman" w:hAnsi="Nyala" w:cs="Times New Roman"/>
                <w:color w:val="000000"/>
                <w:sz w:val="24"/>
                <w:szCs w:val="24"/>
                <w:lang w:eastAsia="fr-FR"/>
              </w:rPr>
              <w:t>modérée</w:t>
            </w:r>
          </w:p>
        </w:tc>
        <w:tc>
          <w:tcPr>
            <w:tcW w:w="1200" w:type="dxa"/>
            <w:tcBorders>
              <w:top w:val="nil"/>
              <w:left w:val="nil"/>
              <w:bottom w:val="single" w:sz="4" w:space="0" w:color="auto"/>
              <w:right w:val="single" w:sz="4" w:space="0" w:color="auto"/>
            </w:tcBorders>
            <w:shd w:val="clear" w:color="auto" w:fill="auto"/>
            <w:noWrap/>
            <w:vAlign w:val="bottom"/>
            <w:hideMark/>
          </w:tcPr>
          <w:p w:rsidR="008B40F4" w:rsidRPr="008B40F4" w:rsidRDefault="008B40F4" w:rsidP="008B40F4">
            <w:pPr>
              <w:spacing w:before="0" w:after="0" w:line="240" w:lineRule="auto"/>
              <w:jc w:val="right"/>
              <w:rPr>
                <w:rFonts w:ascii="Nyala" w:eastAsia="Times New Roman" w:hAnsi="Nyala" w:cs="Times New Roman"/>
                <w:color w:val="000000"/>
                <w:sz w:val="24"/>
                <w:szCs w:val="24"/>
                <w:lang w:eastAsia="fr-FR"/>
              </w:rPr>
            </w:pPr>
            <w:r w:rsidRPr="008B40F4">
              <w:rPr>
                <w:rFonts w:ascii="Nyala" w:eastAsia="Times New Roman" w:hAnsi="Nyala" w:cs="Times New Roman"/>
                <w:color w:val="000000"/>
                <w:sz w:val="24"/>
                <w:szCs w:val="24"/>
                <w:lang w:eastAsia="fr-FR"/>
              </w:rPr>
              <w:t>12,20%</w:t>
            </w:r>
          </w:p>
        </w:tc>
        <w:tc>
          <w:tcPr>
            <w:tcW w:w="1200" w:type="dxa"/>
            <w:tcBorders>
              <w:top w:val="nil"/>
              <w:left w:val="nil"/>
              <w:bottom w:val="single" w:sz="4" w:space="0" w:color="auto"/>
              <w:right w:val="single" w:sz="4" w:space="0" w:color="auto"/>
            </w:tcBorders>
            <w:shd w:val="clear" w:color="auto" w:fill="auto"/>
            <w:noWrap/>
            <w:vAlign w:val="bottom"/>
            <w:hideMark/>
          </w:tcPr>
          <w:p w:rsidR="008B40F4" w:rsidRPr="008B40F4" w:rsidRDefault="008B40F4" w:rsidP="008B40F4">
            <w:pPr>
              <w:spacing w:before="0" w:after="0" w:line="240" w:lineRule="auto"/>
              <w:jc w:val="right"/>
              <w:rPr>
                <w:rFonts w:ascii="Nyala" w:eastAsia="Times New Roman" w:hAnsi="Nyala" w:cs="Times New Roman"/>
                <w:color w:val="000000"/>
                <w:sz w:val="24"/>
                <w:szCs w:val="24"/>
                <w:lang w:eastAsia="fr-FR"/>
              </w:rPr>
            </w:pPr>
            <w:r w:rsidRPr="008B40F4">
              <w:rPr>
                <w:rFonts w:ascii="Nyala" w:eastAsia="Times New Roman" w:hAnsi="Nyala" w:cs="Times New Roman"/>
                <w:color w:val="000000"/>
                <w:sz w:val="24"/>
                <w:szCs w:val="24"/>
                <w:lang w:eastAsia="fr-FR"/>
              </w:rPr>
              <w:t>14,30%</w:t>
            </w:r>
          </w:p>
        </w:tc>
      </w:tr>
      <w:tr w:rsidR="008B40F4" w:rsidRPr="008B40F4" w:rsidTr="0077112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B40F4" w:rsidRPr="008B40F4" w:rsidRDefault="008B40F4" w:rsidP="008B40F4">
            <w:pPr>
              <w:spacing w:before="0" w:after="0" w:line="240" w:lineRule="auto"/>
              <w:rPr>
                <w:rFonts w:ascii="Nyala" w:eastAsia="Times New Roman" w:hAnsi="Nyala" w:cs="Times New Roman"/>
                <w:color w:val="000000"/>
                <w:sz w:val="24"/>
                <w:szCs w:val="24"/>
                <w:lang w:eastAsia="fr-FR"/>
              </w:rPr>
            </w:pPr>
            <w:r w:rsidRPr="008B40F4">
              <w:rPr>
                <w:rFonts w:ascii="Nyala" w:eastAsia="Times New Roman" w:hAnsi="Nyala" w:cs="Times New Roman"/>
                <w:color w:val="000000"/>
                <w:sz w:val="24"/>
                <w:szCs w:val="24"/>
                <w:lang w:eastAsia="fr-FR"/>
              </w:rPr>
              <w:t>sévère</w:t>
            </w:r>
          </w:p>
        </w:tc>
        <w:tc>
          <w:tcPr>
            <w:tcW w:w="1200" w:type="dxa"/>
            <w:tcBorders>
              <w:top w:val="nil"/>
              <w:left w:val="nil"/>
              <w:bottom w:val="single" w:sz="4" w:space="0" w:color="auto"/>
              <w:right w:val="single" w:sz="4" w:space="0" w:color="auto"/>
            </w:tcBorders>
            <w:shd w:val="clear" w:color="auto" w:fill="auto"/>
            <w:noWrap/>
            <w:vAlign w:val="bottom"/>
            <w:hideMark/>
          </w:tcPr>
          <w:p w:rsidR="008B40F4" w:rsidRPr="008B40F4" w:rsidRDefault="008B40F4" w:rsidP="008B40F4">
            <w:pPr>
              <w:spacing w:before="0" w:after="0" w:line="240" w:lineRule="auto"/>
              <w:jc w:val="right"/>
              <w:rPr>
                <w:rFonts w:ascii="Nyala" w:eastAsia="Times New Roman" w:hAnsi="Nyala" w:cs="Times New Roman"/>
                <w:color w:val="000000"/>
                <w:sz w:val="24"/>
                <w:szCs w:val="24"/>
                <w:lang w:eastAsia="fr-FR"/>
              </w:rPr>
            </w:pPr>
            <w:r w:rsidRPr="008B40F4">
              <w:rPr>
                <w:rFonts w:ascii="Nyala" w:eastAsia="Times New Roman" w:hAnsi="Nyala" w:cs="Times New Roman"/>
                <w:color w:val="000000"/>
                <w:sz w:val="24"/>
                <w:szCs w:val="24"/>
                <w:lang w:eastAsia="fr-FR"/>
              </w:rPr>
              <w:t>0,90%</w:t>
            </w:r>
          </w:p>
        </w:tc>
        <w:tc>
          <w:tcPr>
            <w:tcW w:w="1200" w:type="dxa"/>
            <w:tcBorders>
              <w:top w:val="nil"/>
              <w:left w:val="nil"/>
              <w:bottom w:val="single" w:sz="4" w:space="0" w:color="auto"/>
              <w:right w:val="single" w:sz="4" w:space="0" w:color="auto"/>
            </w:tcBorders>
            <w:shd w:val="clear" w:color="auto" w:fill="auto"/>
            <w:noWrap/>
            <w:vAlign w:val="bottom"/>
            <w:hideMark/>
          </w:tcPr>
          <w:p w:rsidR="008B40F4" w:rsidRPr="008B40F4" w:rsidRDefault="008B40F4" w:rsidP="008B40F4">
            <w:pPr>
              <w:spacing w:before="0" w:after="0" w:line="240" w:lineRule="auto"/>
              <w:jc w:val="right"/>
              <w:rPr>
                <w:rFonts w:ascii="Nyala" w:eastAsia="Times New Roman" w:hAnsi="Nyala" w:cs="Times New Roman"/>
                <w:color w:val="000000"/>
                <w:sz w:val="24"/>
                <w:szCs w:val="24"/>
                <w:lang w:eastAsia="fr-FR"/>
              </w:rPr>
            </w:pPr>
            <w:r w:rsidRPr="008B40F4">
              <w:rPr>
                <w:rFonts w:ascii="Nyala" w:eastAsia="Times New Roman" w:hAnsi="Nyala" w:cs="Times New Roman"/>
                <w:color w:val="000000"/>
                <w:sz w:val="24"/>
                <w:szCs w:val="24"/>
                <w:lang w:eastAsia="fr-FR"/>
              </w:rPr>
              <w:t>0,90%</w:t>
            </w:r>
          </w:p>
        </w:tc>
      </w:tr>
      <w:tr w:rsidR="008B40F4" w:rsidRPr="008B40F4" w:rsidTr="0077112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B40F4" w:rsidRPr="008B40F4" w:rsidRDefault="008B40F4" w:rsidP="008B40F4">
            <w:pPr>
              <w:spacing w:before="0" w:after="0" w:line="240" w:lineRule="auto"/>
              <w:rPr>
                <w:rFonts w:ascii="Nyala" w:eastAsia="Times New Roman" w:hAnsi="Nyala" w:cs="Times New Roman"/>
                <w:color w:val="000000"/>
                <w:sz w:val="24"/>
                <w:szCs w:val="24"/>
                <w:lang w:eastAsia="fr-FR"/>
              </w:rPr>
            </w:pPr>
            <w:r w:rsidRPr="008B40F4">
              <w:rPr>
                <w:rFonts w:ascii="Nyala" w:eastAsia="Times New Roman" w:hAnsi="Nyala" w:cs="Times New Roman"/>
                <w:color w:val="000000"/>
                <w:sz w:val="24"/>
                <w:szCs w:val="24"/>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8B40F4" w:rsidRPr="008B40F4" w:rsidRDefault="008B40F4" w:rsidP="008B40F4">
            <w:pPr>
              <w:spacing w:before="0" w:after="0" w:line="240" w:lineRule="auto"/>
              <w:jc w:val="right"/>
              <w:rPr>
                <w:rFonts w:ascii="Nyala" w:eastAsia="Times New Roman" w:hAnsi="Nyala" w:cs="Times New Roman"/>
                <w:color w:val="000000"/>
                <w:sz w:val="24"/>
                <w:szCs w:val="24"/>
                <w:lang w:eastAsia="fr-FR"/>
              </w:rPr>
            </w:pPr>
            <w:r w:rsidRPr="008B40F4">
              <w:rPr>
                <w:rFonts w:ascii="Nyala" w:eastAsia="Times New Roman" w:hAnsi="Nyala" w:cs="Times New Roman"/>
                <w:color w:val="000000"/>
                <w:sz w:val="24"/>
                <w:szCs w:val="24"/>
                <w:lang w:eastAsia="fr-FR"/>
              </w:rPr>
              <w:t>45,80%</w:t>
            </w:r>
          </w:p>
        </w:tc>
        <w:tc>
          <w:tcPr>
            <w:tcW w:w="1200" w:type="dxa"/>
            <w:tcBorders>
              <w:top w:val="nil"/>
              <w:left w:val="nil"/>
              <w:bottom w:val="single" w:sz="4" w:space="0" w:color="auto"/>
              <w:right w:val="single" w:sz="4" w:space="0" w:color="auto"/>
            </w:tcBorders>
            <w:shd w:val="clear" w:color="auto" w:fill="auto"/>
            <w:noWrap/>
            <w:vAlign w:val="bottom"/>
            <w:hideMark/>
          </w:tcPr>
          <w:p w:rsidR="008B40F4" w:rsidRPr="008B40F4" w:rsidRDefault="008B40F4" w:rsidP="008B40F4">
            <w:pPr>
              <w:spacing w:before="0" w:after="0" w:line="240" w:lineRule="auto"/>
              <w:jc w:val="right"/>
              <w:rPr>
                <w:rFonts w:ascii="Nyala" w:eastAsia="Times New Roman" w:hAnsi="Nyala" w:cs="Times New Roman"/>
                <w:color w:val="000000"/>
                <w:sz w:val="24"/>
                <w:szCs w:val="24"/>
                <w:lang w:eastAsia="fr-FR"/>
              </w:rPr>
            </w:pPr>
            <w:r w:rsidRPr="008B40F4">
              <w:rPr>
                <w:rFonts w:ascii="Nyala" w:eastAsia="Times New Roman" w:hAnsi="Nyala" w:cs="Times New Roman"/>
                <w:color w:val="000000"/>
                <w:sz w:val="24"/>
                <w:szCs w:val="24"/>
                <w:lang w:eastAsia="fr-FR"/>
              </w:rPr>
              <w:t>53,30%</w:t>
            </w:r>
          </w:p>
        </w:tc>
      </w:tr>
    </w:tbl>
    <w:p w:rsidR="008B40F4" w:rsidRPr="00771124" w:rsidRDefault="008B40F4" w:rsidP="00B44A08">
      <w:pPr>
        <w:spacing w:after="160" w:line="259" w:lineRule="auto"/>
        <w:jc w:val="both"/>
        <w:rPr>
          <w:rFonts w:ascii="Nyala" w:hAnsi="Nyala" w:cstheme="minorHAnsi"/>
          <w:sz w:val="28"/>
          <w:szCs w:val="28"/>
        </w:rPr>
      </w:pPr>
    </w:p>
    <w:p w:rsidR="00AB3BB1" w:rsidRPr="00771124" w:rsidRDefault="00AB3BB1" w:rsidP="00B44A08">
      <w:pPr>
        <w:spacing w:after="160" w:line="259" w:lineRule="auto"/>
        <w:jc w:val="both"/>
        <w:rPr>
          <w:rFonts w:ascii="Nyala" w:hAnsi="Nyala" w:cstheme="minorHAnsi"/>
          <w:sz w:val="28"/>
          <w:szCs w:val="28"/>
        </w:rPr>
      </w:pPr>
      <w:r w:rsidRPr="00771124">
        <w:rPr>
          <w:rFonts w:ascii="Nyala" w:hAnsi="Nyala" w:cstheme="minorHAnsi"/>
          <w:sz w:val="28"/>
          <w:szCs w:val="28"/>
        </w:rPr>
        <w:t xml:space="preserve">La prévalence de l’anémie chez les enfants de moins de 5 ans est moins élevée que chez les garçons (75,2% versus 79%). </w:t>
      </w:r>
    </w:p>
    <w:p w:rsidR="00AB3BB1" w:rsidRPr="00771124" w:rsidRDefault="00AB3BB1" w:rsidP="00B44A08">
      <w:pPr>
        <w:spacing w:after="160" w:line="259" w:lineRule="auto"/>
        <w:jc w:val="both"/>
        <w:rPr>
          <w:rFonts w:ascii="Nyala" w:hAnsi="Nyala" w:cstheme="minorHAnsi"/>
          <w:sz w:val="28"/>
          <w:szCs w:val="28"/>
        </w:rPr>
      </w:pPr>
      <w:r w:rsidRPr="00771124">
        <w:rPr>
          <w:rFonts w:ascii="Nyala" w:hAnsi="Nyala" w:cstheme="minorHAnsi"/>
          <w:sz w:val="28"/>
          <w:szCs w:val="28"/>
        </w:rPr>
        <w:t>Des différences sont également constatées selon le milieu de résidence</w:t>
      </w:r>
      <w:r w:rsidR="00771124" w:rsidRPr="00771124">
        <w:rPr>
          <w:rFonts w:ascii="Nyala" w:hAnsi="Nyala" w:cstheme="minorHAnsi"/>
          <w:sz w:val="28"/>
          <w:szCs w:val="28"/>
        </w:rPr>
        <w:t> ; les femmes et les enfants du milieu rural sont plus affectés que ceux des villes et ceux de la Région de Zinder les moins atteints. (</w:t>
      </w:r>
      <w:r w:rsidR="00771124" w:rsidRPr="00B7385B">
        <w:rPr>
          <w:rFonts w:ascii="Nyala" w:hAnsi="Nyala" w:cstheme="minorHAnsi"/>
          <w:b/>
          <w:sz w:val="28"/>
          <w:szCs w:val="28"/>
        </w:rPr>
        <w:t>Tableau</w:t>
      </w:r>
      <w:r w:rsidR="00D413AC">
        <w:rPr>
          <w:rFonts w:ascii="Nyala" w:hAnsi="Nyala" w:cstheme="minorHAnsi"/>
          <w:b/>
          <w:sz w:val="28"/>
          <w:szCs w:val="28"/>
        </w:rPr>
        <w:t xml:space="preserve"> 5</w:t>
      </w:r>
      <w:r w:rsidR="00771124" w:rsidRPr="00771124">
        <w:rPr>
          <w:rFonts w:ascii="Nyala" w:hAnsi="Nyala" w:cstheme="minorHAnsi"/>
          <w:sz w:val="28"/>
          <w:szCs w:val="28"/>
        </w:rPr>
        <w:t>)</w:t>
      </w:r>
    </w:p>
    <w:p w:rsidR="00AB3BB1" w:rsidRDefault="00AB3BB1" w:rsidP="00B44A08">
      <w:pPr>
        <w:spacing w:after="160" w:line="259" w:lineRule="auto"/>
        <w:jc w:val="both"/>
        <w:rPr>
          <w:rFonts w:ascii="Nyala" w:hAnsi="Nyala" w:cstheme="minorHAnsi"/>
          <w:sz w:val="28"/>
          <w:szCs w:val="28"/>
        </w:rPr>
      </w:pPr>
    </w:p>
    <w:p w:rsidR="000658AF" w:rsidRPr="00771124" w:rsidRDefault="000658AF" w:rsidP="00B7385B">
      <w:pPr>
        <w:pStyle w:val="Lgende"/>
        <w:ind w:left="1416"/>
        <w:rPr>
          <w:rFonts w:ascii="Nyala" w:hAnsi="Nyala" w:cstheme="minorHAnsi"/>
          <w:sz w:val="28"/>
          <w:szCs w:val="28"/>
        </w:rPr>
      </w:pPr>
      <w:bookmarkStart w:id="405" w:name="_Toc526120059"/>
      <w:r>
        <w:t xml:space="preserve">Tableau </w:t>
      </w:r>
      <w:r w:rsidR="00D639F2">
        <w:fldChar w:fldCharType="begin"/>
      </w:r>
      <w:r w:rsidR="00440FAF">
        <w:instrText xml:space="preserve"> SEQ Tableau \* ARABIC </w:instrText>
      </w:r>
      <w:r w:rsidR="00D639F2">
        <w:fldChar w:fldCharType="separate"/>
      </w:r>
      <w:r w:rsidR="00440FAF">
        <w:rPr>
          <w:noProof/>
        </w:rPr>
        <w:t>5</w:t>
      </w:r>
      <w:r w:rsidR="00D639F2">
        <w:fldChar w:fldCharType="end"/>
      </w:r>
      <w:r>
        <w:t xml:space="preserve"> - prévalence de l'anémie selon le milieu de résidence</w:t>
      </w:r>
      <w:bookmarkEnd w:id="405"/>
    </w:p>
    <w:tbl>
      <w:tblPr>
        <w:tblW w:w="5782" w:type="dxa"/>
        <w:tblInd w:w="1341" w:type="dxa"/>
        <w:tblCellMar>
          <w:left w:w="70" w:type="dxa"/>
          <w:right w:w="70" w:type="dxa"/>
        </w:tblCellMar>
        <w:tblLook w:val="04A0" w:firstRow="1" w:lastRow="0" w:firstColumn="1" w:lastColumn="0" w:noHBand="0" w:noVBand="1"/>
      </w:tblPr>
      <w:tblGrid>
        <w:gridCol w:w="1814"/>
        <w:gridCol w:w="2211"/>
        <w:gridCol w:w="1757"/>
      </w:tblGrid>
      <w:tr w:rsidR="00771124" w:rsidRPr="00AB3BB1" w:rsidTr="00B7385B">
        <w:trPr>
          <w:trHeight w:val="170"/>
        </w:trPr>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Résidence</w:t>
            </w:r>
          </w:p>
        </w:tc>
        <w:tc>
          <w:tcPr>
            <w:tcW w:w="2211" w:type="dxa"/>
            <w:tcBorders>
              <w:top w:val="single" w:sz="4" w:space="0" w:color="auto"/>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enfants 6-59mois</w:t>
            </w:r>
          </w:p>
        </w:tc>
        <w:tc>
          <w:tcPr>
            <w:tcW w:w="1757" w:type="dxa"/>
            <w:tcBorders>
              <w:top w:val="single" w:sz="4" w:space="0" w:color="auto"/>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femmes</w:t>
            </w:r>
          </w:p>
        </w:tc>
      </w:tr>
      <w:tr w:rsidR="00771124" w:rsidRPr="00AB3BB1" w:rsidTr="00B7385B">
        <w:trPr>
          <w:trHeight w:val="170"/>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Agadez</w:t>
            </w:r>
          </w:p>
        </w:tc>
        <w:tc>
          <w:tcPr>
            <w:tcW w:w="2211"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79,6</w:t>
            </w:r>
          </w:p>
        </w:tc>
        <w:tc>
          <w:tcPr>
            <w:tcW w:w="1757"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49,3</w:t>
            </w:r>
          </w:p>
        </w:tc>
      </w:tr>
      <w:tr w:rsidR="00771124" w:rsidRPr="00AB3BB1" w:rsidTr="00B7385B">
        <w:trPr>
          <w:trHeight w:val="170"/>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Diffa</w:t>
            </w:r>
          </w:p>
        </w:tc>
        <w:tc>
          <w:tcPr>
            <w:tcW w:w="2211"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68,6</w:t>
            </w:r>
          </w:p>
        </w:tc>
        <w:tc>
          <w:tcPr>
            <w:tcW w:w="1757"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39,7</w:t>
            </w:r>
          </w:p>
        </w:tc>
      </w:tr>
      <w:tr w:rsidR="00771124" w:rsidRPr="00AB3BB1" w:rsidTr="00B7385B">
        <w:trPr>
          <w:trHeight w:val="170"/>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Dosso</w:t>
            </w:r>
          </w:p>
        </w:tc>
        <w:tc>
          <w:tcPr>
            <w:tcW w:w="2211"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79,7</w:t>
            </w:r>
          </w:p>
        </w:tc>
        <w:tc>
          <w:tcPr>
            <w:tcW w:w="1757"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57,1</w:t>
            </w:r>
          </w:p>
        </w:tc>
      </w:tr>
      <w:tr w:rsidR="00771124" w:rsidRPr="00AB3BB1" w:rsidTr="00B7385B">
        <w:trPr>
          <w:trHeight w:val="170"/>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Maradi</w:t>
            </w:r>
          </w:p>
        </w:tc>
        <w:tc>
          <w:tcPr>
            <w:tcW w:w="2211"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76,5</w:t>
            </w:r>
          </w:p>
        </w:tc>
        <w:tc>
          <w:tcPr>
            <w:tcW w:w="1757"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55,2</w:t>
            </w:r>
          </w:p>
        </w:tc>
      </w:tr>
      <w:tr w:rsidR="00771124" w:rsidRPr="00AB3BB1" w:rsidTr="00B7385B">
        <w:trPr>
          <w:trHeight w:val="170"/>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Tahoua</w:t>
            </w:r>
          </w:p>
        </w:tc>
        <w:tc>
          <w:tcPr>
            <w:tcW w:w="2211"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72,8</w:t>
            </w:r>
          </w:p>
        </w:tc>
        <w:tc>
          <w:tcPr>
            <w:tcW w:w="1757"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51,2</w:t>
            </w:r>
          </w:p>
        </w:tc>
      </w:tr>
      <w:tr w:rsidR="00771124" w:rsidRPr="00AB3BB1" w:rsidTr="00B7385B">
        <w:trPr>
          <w:trHeight w:val="170"/>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Tillabery</w:t>
            </w:r>
          </w:p>
        </w:tc>
        <w:tc>
          <w:tcPr>
            <w:tcW w:w="2211"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80,9</w:t>
            </w:r>
          </w:p>
        </w:tc>
        <w:tc>
          <w:tcPr>
            <w:tcW w:w="1757"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56,1</w:t>
            </w:r>
          </w:p>
        </w:tc>
      </w:tr>
      <w:tr w:rsidR="00771124" w:rsidRPr="00AB3BB1" w:rsidTr="00B7385B">
        <w:trPr>
          <w:trHeight w:val="170"/>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Niamey</w:t>
            </w:r>
          </w:p>
        </w:tc>
        <w:tc>
          <w:tcPr>
            <w:tcW w:w="2211"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79</w:t>
            </w:r>
          </w:p>
        </w:tc>
        <w:tc>
          <w:tcPr>
            <w:tcW w:w="1757"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53,6</w:t>
            </w:r>
          </w:p>
        </w:tc>
      </w:tr>
      <w:tr w:rsidR="00771124" w:rsidRPr="00AB3BB1" w:rsidTr="00B7385B">
        <w:trPr>
          <w:trHeight w:val="170"/>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Zinder</w:t>
            </w:r>
          </w:p>
        </w:tc>
        <w:tc>
          <w:tcPr>
            <w:tcW w:w="2211"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67,3</w:t>
            </w:r>
          </w:p>
        </w:tc>
        <w:tc>
          <w:tcPr>
            <w:tcW w:w="1757"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45,7</w:t>
            </w:r>
          </w:p>
        </w:tc>
      </w:tr>
      <w:tr w:rsidR="00771124" w:rsidRPr="00AB3BB1" w:rsidTr="00B7385B">
        <w:trPr>
          <w:trHeight w:val="170"/>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 </w:t>
            </w:r>
          </w:p>
        </w:tc>
        <w:tc>
          <w:tcPr>
            <w:tcW w:w="2211"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 </w:t>
            </w:r>
          </w:p>
        </w:tc>
        <w:tc>
          <w:tcPr>
            <w:tcW w:w="1757"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 </w:t>
            </w:r>
          </w:p>
        </w:tc>
      </w:tr>
      <w:tr w:rsidR="00771124" w:rsidRPr="00AB3BB1" w:rsidTr="00B7385B">
        <w:trPr>
          <w:trHeight w:val="170"/>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Urbain</w:t>
            </w:r>
          </w:p>
        </w:tc>
        <w:tc>
          <w:tcPr>
            <w:tcW w:w="2211"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66,8</w:t>
            </w:r>
          </w:p>
        </w:tc>
        <w:tc>
          <w:tcPr>
            <w:tcW w:w="1757"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42,8</w:t>
            </w:r>
          </w:p>
        </w:tc>
      </w:tr>
      <w:tr w:rsidR="00771124" w:rsidRPr="00AB3BB1" w:rsidTr="00B7385B">
        <w:trPr>
          <w:trHeight w:val="170"/>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Rural</w:t>
            </w:r>
          </w:p>
        </w:tc>
        <w:tc>
          <w:tcPr>
            <w:tcW w:w="2211"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78,4</w:t>
            </w:r>
          </w:p>
        </w:tc>
        <w:tc>
          <w:tcPr>
            <w:tcW w:w="1757"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55,4</w:t>
            </w:r>
          </w:p>
        </w:tc>
      </w:tr>
      <w:tr w:rsidR="00771124" w:rsidRPr="00AB3BB1" w:rsidTr="00B7385B">
        <w:trPr>
          <w:trHeight w:val="170"/>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 </w:t>
            </w:r>
          </w:p>
        </w:tc>
        <w:tc>
          <w:tcPr>
            <w:tcW w:w="2211"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 </w:t>
            </w:r>
          </w:p>
        </w:tc>
        <w:tc>
          <w:tcPr>
            <w:tcW w:w="1757"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 </w:t>
            </w:r>
          </w:p>
        </w:tc>
      </w:tr>
      <w:tr w:rsidR="00771124" w:rsidRPr="00AB3BB1" w:rsidTr="00B7385B">
        <w:trPr>
          <w:trHeight w:val="170"/>
        </w:trPr>
        <w:tc>
          <w:tcPr>
            <w:tcW w:w="1814" w:type="dxa"/>
            <w:tcBorders>
              <w:top w:val="nil"/>
              <w:left w:val="single" w:sz="4" w:space="0" w:color="auto"/>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Niger</w:t>
            </w:r>
          </w:p>
        </w:tc>
        <w:tc>
          <w:tcPr>
            <w:tcW w:w="2211"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77</w:t>
            </w:r>
          </w:p>
        </w:tc>
        <w:tc>
          <w:tcPr>
            <w:tcW w:w="1757" w:type="dxa"/>
            <w:tcBorders>
              <w:top w:val="nil"/>
              <w:left w:val="nil"/>
              <w:bottom w:val="single" w:sz="4" w:space="0" w:color="auto"/>
              <w:right w:val="single" w:sz="4" w:space="0" w:color="auto"/>
            </w:tcBorders>
            <w:shd w:val="clear" w:color="auto" w:fill="auto"/>
            <w:noWrap/>
            <w:vAlign w:val="bottom"/>
            <w:hideMark/>
          </w:tcPr>
          <w:p w:rsidR="00AB3BB1" w:rsidRPr="00AB3BB1" w:rsidRDefault="00AB3BB1" w:rsidP="00AB3BB1">
            <w:pPr>
              <w:spacing w:before="0" w:after="0" w:line="240" w:lineRule="auto"/>
              <w:jc w:val="right"/>
              <w:rPr>
                <w:rFonts w:ascii="Nyala" w:eastAsia="Times New Roman" w:hAnsi="Nyala" w:cs="Times New Roman"/>
                <w:color w:val="000000"/>
                <w:sz w:val="24"/>
                <w:szCs w:val="24"/>
                <w:lang w:eastAsia="fr-FR"/>
              </w:rPr>
            </w:pPr>
            <w:r w:rsidRPr="00AB3BB1">
              <w:rPr>
                <w:rFonts w:ascii="Nyala" w:eastAsia="Times New Roman" w:hAnsi="Nyala" w:cs="Times New Roman"/>
                <w:color w:val="000000"/>
                <w:sz w:val="24"/>
                <w:szCs w:val="24"/>
                <w:lang w:eastAsia="fr-FR"/>
              </w:rPr>
              <w:t>53,3</w:t>
            </w:r>
          </w:p>
        </w:tc>
      </w:tr>
    </w:tbl>
    <w:p w:rsidR="00AB3BB1" w:rsidRPr="00771124" w:rsidRDefault="00AB3BB1" w:rsidP="00B44A08">
      <w:pPr>
        <w:spacing w:after="160" w:line="259" w:lineRule="auto"/>
        <w:jc w:val="both"/>
        <w:rPr>
          <w:rFonts w:ascii="Nyala" w:hAnsi="Nyala" w:cstheme="minorHAnsi"/>
          <w:sz w:val="28"/>
          <w:szCs w:val="28"/>
        </w:rPr>
      </w:pPr>
    </w:p>
    <w:p w:rsidR="00771124" w:rsidRPr="00771124" w:rsidRDefault="00B44A08" w:rsidP="00B44A08">
      <w:pPr>
        <w:spacing w:after="160" w:line="259" w:lineRule="auto"/>
        <w:jc w:val="both"/>
        <w:rPr>
          <w:rFonts w:ascii="Nyala" w:hAnsi="Nyala" w:cstheme="minorHAnsi"/>
          <w:sz w:val="28"/>
          <w:szCs w:val="28"/>
        </w:rPr>
      </w:pPr>
      <w:r w:rsidRPr="00771124">
        <w:rPr>
          <w:rFonts w:ascii="Nyala" w:hAnsi="Nyala" w:cstheme="minorHAnsi"/>
          <w:sz w:val="28"/>
          <w:szCs w:val="28"/>
        </w:rPr>
        <w:t>Les autres carences en micronutriments y compris en acide folique, vitamine A et zinc, sont égal</w:t>
      </w:r>
      <w:r w:rsidR="00771124" w:rsidRPr="00771124">
        <w:rPr>
          <w:rFonts w:ascii="Nyala" w:hAnsi="Nyala" w:cstheme="minorHAnsi"/>
          <w:sz w:val="28"/>
          <w:szCs w:val="28"/>
        </w:rPr>
        <w:t xml:space="preserve">ement élevés. </w:t>
      </w:r>
    </w:p>
    <w:p w:rsidR="00B44A08" w:rsidRPr="00771124" w:rsidRDefault="00B44A08" w:rsidP="00B44A08">
      <w:pPr>
        <w:pStyle w:val="NormalWeb"/>
        <w:spacing w:before="0" w:beforeAutospacing="0" w:after="0" w:afterAutospacing="0"/>
        <w:jc w:val="both"/>
        <w:rPr>
          <w:rFonts w:ascii="Nyala" w:hAnsi="Nyala"/>
          <w:sz w:val="28"/>
          <w:szCs w:val="28"/>
        </w:rPr>
      </w:pPr>
      <w:r w:rsidRPr="00771124">
        <w:rPr>
          <w:rFonts w:ascii="Nyala" w:eastAsiaTheme="majorEastAsia" w:hAnsi="Nyala" w:cstheme="majorBidi"/>
          <w:bCs/>
          <w:sz w:val="28"/>
          <w:szCs w:val="28"/>
        </w:rPr>
        <w:t>La prévalence élevée de l’</w:t>
      </w:r>
      <w:r w:rsidRPr="00771124">
        <w:rPr>
          <w:rFonts w:ascii="Nyala" w:eastAsiaTheme="majorEastAsia" w:hAnsi="Nyala" w:cstheme="majorBidi"/>
          <w:b/>
          <w:bCs/>
          <w:sz w:val="28"/>
          <w:szCs w:val="28"/>
        </w:rPr>
        <w:t>anémie</w:t>
      </w:r>
      <w:r w:rsidRPr="00771124">
        <w:rPr>
          <w:rFonts w:ascii="Nyala" w:eastAsiaTheme="majorEastAsia" w:hAnsi="Nyala" w:cstheme="majorBidi"/>
          <w:bCs/>
          <w:sz w:val="28"/>
          <w:szCs w:val="28"/>
        </w:rPr>
        <w:t>, que ce soit chez les femmes ou les enfants, constitue un problème de santé publique majeur.</w:t>
      </w:r>
    </w:p>
    <w:p w:rsidR="00B44A08" w:rsidRPr="00771124" w:rsidRDefault="00B44A08" w:rsidP="00B44A08">
      <w:pPr>
        <w:pStyle w:val="NormalWeb"/>
        <w:spacing w:before="0" w:beforeAutospacing="0" w:after="0" w:afterAutospacing="0"/>
        <w:rPr>
          <w:rFonts w:ascii="Nyala" w:hAnsi="Nyala"/>
          <w:sz w:val="28"/>
          <w:szCs w:val="28"/>
        </w:rPr>
      </w:pPr>
    </w:p>
    <w:p w:rsidR="00B44A08" w:rsidRDefault="00B44A08" w:rsidP="00141D20"/>
    <w:p w:rsidR="00FA2094" w:rsidRDefault="00FA2094" w:rsidP="00FA2094">
      <w:pPr>
        <w:pStyle w:val="Titre3"/>
        <w:numPr>
          <w:ilvl w:val="2"/>
          <w:numId w:val="2"/>
        </w:numPr>
        <w:rPr>
          <w:sz w:val="28"/>
          <w:szCs w:val="28"/>
        </w:rPr>
      </w:pPr>
      <w:bookmarkStart w:id="406" w:name="_Toc526119976"/>
      <w:r>
        <w:rPr>
          <w:sz w:val="28"/>
          <w:szCs w:val="28"/>
        </w:rPr>
        <w:t>Enjeux et défis pour l’atteinte de la cible 2.2</w:t>
      </w:r>
      <w:bookmarkEnd w:id="406"/>
    </w:p>
    <w:p w:rsidR="00FA2094" w:rsidRDefault="00FA2094" w:rsidP="00FA2094"/>
    <w:p w:rsidR="00FA2094" w:rsidRDefault="00FA2094" w:rsidP="00FA2094">
      <w:pPr>
        <w:jc w:val="both"/>
        <w:rPr>
          <w:rFonts w:ascii="Nyala" w:hAnsi="Nyala"/>
          <w:sz w:val="28"/>
          <w:szCs w:val="28"/>
        </w:rPr>
      </w:pPr>
      <w:r w:rsidRPr="006866D3">
        <w:rPr>
          <w:rFonts w:ascii="Nyala" w:hAnsi="Nyala"/>
          <w:sz w:val="28"/>
          <w:szCs w:val="28"/>
        </w:rPr>
        <w:t>Au Niger</w:t>
      </w:r>
      <w:r>
        <w:rPr>
          <w:rFonts w:ascii="Nyala" w:hAnsi="Nyala"/>
          <w:sz w:val="28"/>
          <w:szCs w:val="28"/>
        </w:rPr>
        <w:t>, malgré que l</w:t>
      </w:r>
      <w:r w:rsidRPr="006866D3">
        <w:rPr>
          <w:rFonts w:ascii="Nyala" w:hAnsi="Nyala"/>
          <w:sz w:val="28"/>
          <w:szCs w:val="28"/>
        </w:rPr>
        <w:t>a malnutrit</w:t>
      </w:r>
      <w:r>
        <w:rPr>
          <w:rFonts w:ascii="Nyala" w:hAnsi="Nyala"/>
          <w:sz w:val="28"/>
          <w:szCs w:val="28"/>
        </w:rPr>
        <w:t>ion revête plusieurs formes  (</w:t>
      </w:r>
      <w:r w:rsidRPr="006866D3">
        <w:rPr>
          <w:rFonts w:ascii="Nyala" w:hAnsi="Nyala"/>
          <w:sz w:val="28"/>
          <w:szCs w:val="28"/>
        </w:rPr>
        <w:t>dénutrition</w:t>
      </w:r>
      <w:r>
        <w:rPr>
          <w:rFonts w:ascii="Nyala" w:hAnsi="Nyala"/>
          <w:sz w:val="28"/>
          <w:szCs w:val="28"/>
        </w:rPr>
        <w:t xml:space="preserve">, sous nutrition, </w:t>
      </w:r>
      <w:r w:rsidRPr="006866D3">
        <w:rPr>
          <w:rFonts w:ascii="Nyala" w:hAnsi="Nyala"/>
          <w:sz w:val="28"/>
          <w:szCs w:val="28"/>
        </w:rPr>
        <w:t>surnutrition</w:t>
      </w:r>
      <w:r>
        <w:rPr>
          <w:rFonts w:ascii="Nyala" w:hAnsi="Nyala"/>
          <w:sz w:val="28"/>
          <w:szCs w:val="28"/>
        </w:rPr>
        <w:t xml:space="preserve">), </w:t>
      </w:r>
      <w:r w:rsidRPr="006866D3">
        <w:rPr>
          <w:rFonts w:ascii="Nyala" w:hAnsi="Nyala"/>
          <w:sz w:val="28"/>
          <w:szCs w:val="28"/>
        </w:rPr>
        <w:t xml:space="preserve">l’attention est davantage accordée à la </w:t>
      </w:r>
      <w:r w:rsidRPr="00141D20">
        <w:rPr>
          <w:rFonts w:ascii="Nyala" w:hAnsi="Nyala"/>
          <w:sz w:val="28"/>
          <w:szCs w:val="28"/>
        </w:rPr>
        <w:t>sous nutrition notamment des enfants et des femmes</w:t>
      </w:r>
      <w:r w:rsidRPr="006866D3">
        <w:rPr>
          <w:rFonts w:ascii="Nyala" w:hAnsi="Nyala"/>
          <w:sz w:val="28"/>
          <w:szCs w:val="28"/>
        </w:rPr>
        <w:t xml:space="preserve">. Cette forme de malnutrition est due non seulement à une insuffisance de l’alimentation tant en quantité qu’en qualité, mais peut également résulter de différentes interactions entre la santé, les soins, l’éducation, l’assainissement et l’hygiène, l’accès aux ressources, l’autonomisation des femmes, etc. </w:t>
      </w:r>
    </w:p>
    <w:p w:rsidR="002949A8" w:rsidRPr="006866D3" w:rsidRDefault="002949A8" w:rsidP="00FA2094">
      <w:pPr>
        <w:jc w:val="both"/>
        <w:rPr>
          <w:rFonts w:ascii="Nyala" w:hAnsi="Nyala"/>
          <w:sz w:val="28"/>
          <w:szCs w:val="28"/>
        </w:rPr>
      </w:pPr>
    </w:p>
    <w:p w:rsidR="00FA2094" w:rsidRPr="00AA4A81" w:rsidRDefault="00FA2094" w:rsidP="00FA2094">
      <w:pPr>
        <w:jc w:val="both"/>
        <w:rPr>
          <w:rStyle w:val="Rfrenceintense"/>
          <w:rFonts w:ascii="Nyala" w:hAnsi="Nyala"/>
          <w:sz w:val="28"/>
          <w:szCs w:val="28"/>
        </w:rPr>
      </w:pPr>
      <w:r>
        <w:rPr>
          <w:rStyle w:val="Rfrenceintense"/>
          <w:rFonts w:ascii="Nyala" w:hAnsi="Nyala"/>
          <w:sz w:val="28"/>
          <w:szCs w:val="28"/>
        </w:rPr>
        <w:t xml:space="preserve">de la </w:t>
      </w:r>
      <w:r w:rsidRPr="00AA4A81">
        <w:rPr>
          <w:rStyle w:val="Rfrenceintense"/>
          <w:rFonts w:ascii="Nyala" w:hAnsi="Nyala"/>
          <w:sz w:val="28"/>
          <w:szCs w:val="28"/>
        </w:rPr>
        <w:t>Réduction de la prévalence de la malnutrition</w:t>
      </w:r>
    </w:p>
    <w:p w:rsidR="00637561" w:rsidRDefault="00146983" w:rsidP="00FA2094">
      <w:pPr>
        <w:jc w:val="both"/>
        <w:rPr>
          <w:rFonts w:ascii="Nyala" w:hAnsi="Nyala"/>
          <w:sz w:val="28"/>
          <w:szCs w:val="28"/>
        </w:rPr>
      </w:pPr>
      <w:r>
        <w:rPr>
          <w:rFonts w:ascii="Nyala" w:hAnsi="Nyala"/>
          <w:noProof/>
          <w:sz w:val="28"/>
          <w:szCs w:val="28"/>
          <w:lang w:eastAsia="fr-FR"/>
        </w:rPr>
        <mc:AlternateContent>
          <mc:Choice Requires="wps">
            <w:drawing>
              <wp:anchor distT="0" distB="0" distL="114300" distR="114300" simplePos="0" relativeHeight="251985920" behindDoc="0" locked="0" layoutInCell="1" allowOverlap="1" wp14:anchorId="292FE480">
                <wp:simplePos x="0" y="0"/>
                <wp:positionH relativeFrom="margin">
                  <wp:align>right</wp:align>
                </wp:positionH>
                <wp:positionV relativeFrom="paragraph">
                  <wp:posOffset>1243330</wp:posOffset>
                </wp:positionV>
                <wp:extent cx="3712845" cy="2889250"/>
                <wp:effectExtent l="0" t="0" r="20955" b="25400"/>
                <wp:wrapSquare wrapText="bothSides"/>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2845" cy="2889250"/>
                        </a:xfrm>
                        <a:prstGeom prst="rect">
                          <a:avLst/>
                        </a:prstGeom>
                        <a:noFill/>
                        <a:ln w="6350">
                          <a:solidFill>
                            <a:prstClr val="black"/>
                          </a:solidFill>
                        </a:ln>
                        <a:effectLst/>
                      </wps:spPr>
                      <wps:txbx>
                        <w:txbxContent>
                          <w:p w:rsidR="00146325" w:rsidRDefault="00146325" w:rsidP="00FA2094">
                            <w:pPr>
                              <w:pStyle w:val="Lgende"/>
                              <w:keepNext/>
                            </w:pPr>
                            <w:bookmarkStart w:id="407" w:name="_Toc526120087"/>
                            <w:r>
                              <w:t xml:space="preserve">Figure </w:t>
                            </w:r>
                            <w:r w:rsidR="00C73EE5">
                              <w:fldChar w:fldCharType="begin"/>
                            </w:r>
                            <w:r w:rsidR="00C73EE5">
                              <w:instrText xml:space="preserve"> SEQ Figure \* ARABIC </w:instrText>
                            </w:r>
                            <w:r w:rsidR="00C73EE5">
                              <w:fldChar w:fldCharType="separate"/>
                            </w:r>
                            <w:r>
                              <w:rPr>
                                <w:noProof/>
                              </w:rPr>
                              <w:t>21</w:t>
                            </w:r>
                            <w:r w:rsidR="00C73EE5">
                              <w:rPr>
                                <w:noProof/>
                              </w:rPr>
                              <w:fldChar w:fldCharType="end"/>
                            </w:r>
                            <w:r>
                              <w:t xml:space="preserve"> - Tendance évolutive de la prévalence de la malnutrition selon le retard de croissance</w:t>
                            </w:r>
                            <w:bookmarkEnd w:id="407"/>
                          </w:p>
                          <w:p w:rsidR="00146325" w:rsidRDefault="00146325" w:rsidP="00FA2094">
                            <w:r w:rsidRPr="00C076B9">
                              <w:rPr>
                                <w:noProof/>
                                <w:lang w:eastAsia="fr-FR"/>
                              </w:rPr>
                              <w:drawing>
                                <wp:inline distT="0" distB="0" distL="0" distR="0">
                                  <wp:extent cx="3364992" cy="1866634"/>
                                  <wp:effectExtent l="0" t="0" r="6985" b="63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89048" cy="1879979"/>
                                          </a:xfrm>
                                          <a:prstGeom prst="rect">
                                            <a:avLst/>
                                          </a:prstGeom>
                                          <a:noFill/>
                                          <a:ln>
                                            <a:noFill/>
                                          </a:ln>
                                        </pic:spPr>
                                      </pic:pic>
                                    </a:graphicData>
                                  </a:graphic>
                                </wp:inline>
                              </w:drawing>
                            </w:r>
                          </w:p>
                          <w:p w:rsidR="00146325" w:rsidRPr="000F7067" w:rsidRDefault="00146325" w:rsidP="00FA2094">
                            <w:r>
                              <w:t xml:space="preserve">Source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2FE480" id="Zone de texte 124" o:spid="_x0000_s1052" type="#_x0000_t202" style="position:absolute;left:0;text-align:left;margin-left:241.15pt;margin-top:97.9pt;width:292.35pt;height:227.5pt;z-index:25198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" filled="f" strokeweight=".5pt">
                <v:path arrowok="t"/>
                <v:textbox>
                  <w:txbxContent>
                    <w:p w:rsidR="00146325" w:rsidRDefault="00146325" w:rsidP="00FA2094">
                      <w:pPr>
                        <w:pStyle w:val="Lgende"/>
                        <w:keepNext/>
                      </w:pPr>
                      <w:bookmarkStart w:id="408" w:name="_Toc526120087"/>
                      <w:r>
                        <w:t xml:space="preserve">Figure </w:t>
                      </w:r>
                      <w:r w:rsidR="00C73EE5">
                        <w:fldChar w:fldCharType="begin"/>
                      </w:r>
                      <w:r w:rsidR="00C73EE5">
                        <w:instrText xml:space="preserve"> SEQ Figure \* ARABIC </w:instrText>
                      </w:r>
                      <w:r w:rsidR="00C73EE5">
                        <w:fldChar w:fldCharType="separate"/>
                      </w:r>
                      <w:r>
                        <w:rPr>
                          <w:noProof/>
                        </w:rPr>
                        <w:t>21</w:t>
                      </w:r>
                      <w:r w:rsidR="00C73EE5">
                        <w:rPr>
                          <w:noProof/>
                        </w:rPr>
                        <w:fldChar w:fldCharType="end"/>
                      </w:r>
                      <w:r>
                        <w:t xml:space="preserve"> - Tendance évolutive de la prévalence de la malnutrition selon le retard de croissance</w:t>
                      </w:r>
                      <w:bookmarkEnd w:id="408"/>
                    </w:p>
                    <w:p w:rsidR="00146325" w:rsidRDefault="00146325" w:rsidP="00FA2094">
                      <w:r w:rsidRPr="00C076B9">
                        <w:rPr>
                          <w:noProof/>
                          <w:lang w:eastAsia="fr-FR"/>
                        </w:rPr>
                        <w:drawing>
                          <wp:inline distT="0" distB="0" distL="0" distR="0">
                            <wp:extent cx="3364992" cy="1866634"/>
                            <wp:effectExtent l="0" t="0" r="6985" b="63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89048" cy="1879979"/>
                                    </a:xfrm>
                                    <a:prstGeom prst="rect">
                                      <a:avLst/>
                                    </a:prstGeom>
                                    <a:noFill/>
                                    <a:ln>
                                      <a:noFill/>
                                    </a:ln>
                                  </pic:spPr>
                                </pic:pic>
                              </a:graphicData>
                            </a:graphic>
                          </wp:inline>
                        </w:drawing>
                      </w:r>
                    </w:p>
                    <w:p w:rsidR="00146325" w:rsidRPr="000F7067" w:rsidRDefault="00146325" w:rsidP="00FA2094">
                      <w:r>
                        <w:t xml:space="preserve">Source : </w:t>
                      </w:r>
                    </w:p>
                  </w:txbxContent>
                </v:textbox>
                <w10:wrap type="square" anchorx="margin"/>
              </v:shape>
            </w:pict>
          </mc:Fallback>
        </mc:AlternateContent>
      </w:r>
      <w:r w:rsidR="00FA2094" w:rsidRPr="006866D3">
        <w:rPr>
          <w:rFonts w:ascii="Nyala" w:hAnsi="Nyala"/>
          <w:sz w:val="28"/>
          <w:szCs w:val="28"/>
        </w:rPr>
        <w:t xml:space="preserve">La prévalence de la malnutrition est évaluée selon </w:t>
      </w:r>
      <w:r w:rsidR="00FA2094" w:rsidRPr="00141D20">
        <w:rPr>
          <w:rFonts w:ascii="Nyala" w:hAnsi="Nyala"/>
          <w:sz w:val="28"/>
          <w:szCs w:val="28"/>
        </w:rPr>
        <w:t>la croissance et le poids de l’enfant</w:t>
      </w:r>
      <w:r w:rsidR="00FA2094" w:rsidRPr="006866D3">
        <w:rPr>
          <w:rFonts w:ascii="Nyala" w:hAnsi="Nyala"/>
          <w:sz w:val="28"/>
          <w:szCs w:val="28"/>
        </w:rPr>
        <w:t xml:space="preserve"> ; elle est variable selon les années et les localités et même la situation socioéconomique des familles. De 1992 à 2017, la prévalence de la malnutrition selon le retard de croissance chez les enfants de moins de 5 ans est restée à un niveau très élevé avec une moyenne annuelle de 45,6% avec des pics à 55% en 2006 et 51% en 2011, correspondant à des périodes de crise alimentaire. </w:t>
      </w:r>
    </w:p>
    <w:p w:rsidR="00FA2094" w:rsidRDefault="00FA2094" w:rsidP="00FA2094">
      <w:pPr>
        <w:jc w:val="both"/>
        <w:rPr>
          <w:rFonts w:ascii="Nyala" w:hAnsi="Nyala"/>
          <w:sz w:val="28"/>
          <w:szCs w:val="28"/>
        </w:rPr>
      </w:pPr>
      <w:r w:rsidRPr="006866D3">
        <w:rPr>
          <w:rFonts w:ascii="Nyala" w:hAnsi="Nyala"/>
          <w:sz w:val="28"/>
          <w:szCs w:val="28"/>
        </w:rPr>
        <w:t>Si les tendances évolutives observées entre 2007 et 2016 se maintiennent, la prévalence chutera aux environs de 30%., pour atteindre une prévalence de 20% ou 10%, à l’horizon 2035, il faudrait réduire chaque année de 5% à 10% la proportion d’enfants en situation de retard de croissance (</w:t>
      </w:r>
      <w:r w:rsidRPr="006866D3">
        <w:rPr>
          <w:rFonts w:ascii="Nyala" w:hAnsi="Nyala"/>
          <w:b/>
          <w:sz w:val="28"/>
          <w:szCs w:val="28"/>
        </w:rPr>
        <w:t xml:space="preserve">Figure </w:t>
      </w:r>
      <w:r w:rsidR="00637561">
        <w:rPr>
          <w:rFonts w:ascii="Nyala" w:hAnsi="Nyala"/>
          <w:b/>
          <w:sz w:val="28"/>
          <w:szCs w:val="28"/>
        </w:rPr>
        <w:t>2</w:t>
      </w:r>
      <w:r w:rsidR="00D413AC">
        <w:rPr>
          <w:rFonts w:ascii="Nyala" w:hAnsi="Nyala"/>
          <w:b/>
          <w:sz w:val="28"/>
          <w:szCs w:val="28"/>
        </w:rPr>
        <w:t>1</w:t>
      </w:r>
      <w:r w:rsidRPr="006866D3">
        <w:rPr>
          <w:rFonts w:ascii="Nyala" w:hAnsi="Nyala"/>
          <w:sz w:val="28"/>
          <w:szCs w:val="28"/>
        </w:rPr>
        <w:t xml:space="preserve">). </w:t>
      </w:r>
      <w:r>
        <w:rPr>
          <w:rFonts w:ascii="Nyala" w:hAnsi="Nyala"/>
          <w:sz w:val="28"/>
          <w:szCs w:val="28"/>
        </w:rPr>
        <w:t xml:space="preserve"> Ils seront plus de 2 millions enfants qui souffriront de retard de croissance en 2025</w:t>
      </w:r>
    </w:p>
    <w:p w:rsidR="00D4342A" w:rsidRDefault="00146983" w:rsidP="00E31850">
      <w:pPr>
        <w:jc w:val="both"/>
        <w:rPr>
          <w:rFonts w:ascii="Nyala" w:hAnsi="Nyala"/>
          <w:sz w:val="28"/>
          <w:szCs w:val="28"/>
        </w:rPr>
      </w:pPr>
      <w:r>
        <w:rPr>
          <w:rFonts w:ascii="Nyala" w:hAnsi="Nyala"/>
          <w:noProof/>
          <w:sz w:val="28"/>
          <w:szCs w:val="28"/>
          <w:lang w:eastAsia="fr-FR"/>
        </w:rPr>
        <mc:AlternateContent>
          <mc:Choice Requires="wps">
            <w:drawing>
              <wp:anchor distT="0" distB="0" distL="114300" distR="114300" simplePos="0" relativeHeight="251987968" behindDoc="0" locked="0" layoutInCell="1" allowOverlap="1" wp14:anchorId="736A5BB4">
                <wp:simplePos x="0" y="0"/>
                <wp:positionH relativeFrom="margin">
                  <wp:align>right</wp:align>
                </wp:positionH>
                <wp:positionV relativeFrom="paragraph">
                  <wp:posOffset>384810</wp:posOffset>
                </wp:positionV>
                <wp:extent cx="3752850" cy="2676525"/>
                <wp:effectExtent l="0" t="0" r="19050" b="28575"/>
                <wp:wrapSquare wrapText="bothSides"/>
                <wp:docPr id="126" name="Zone de text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0" cy="2676525"/>
                        </a:xfrm>
                        <a:prstGeom prst="rect">
                          <a:avLst/>
                        </a:prstGeom>
                        <a:noFill/>
                        <a:ln w="6350">
                          <a:solidFill>
                            <a:prstClr val="black"/>
                          </a:solidFill>
                        </a:ln>
                        <a:effectLst/>
                      </wps:spPr>
                      <wps:txbx>
                        <w:txbxContent>
                          <w:p w:rsidR="00146325" w:rsidRDefault="00146325" w:rsidP="00E31850">
                            <w:pPr>
                              <w:pStyle w:val="Lgende"/>
                              <w:keepNext/>
                            </w:pPr>
                            <w:bookmarkStart w:id="409" w:name="_Toc526120088"/>
                            <w:r>
                              <w:t xml:space="preserve">Figure </w:t>
                            </w:r>
                            <w:r w:rsidR="00C73EE5">
                              <w:fldChar w:fldCharType="begin"/>
                            </w:r>
                            <w:r w:rsidR="00C73EE5">
                              <w:instrText xml:space="preserve"> SEQ Figure \* ARABIC </w:instrText>
                            </w:r>
                            <w:r w:rsidR="00C73EE5">
                              <w:fldChar w:fldCharType="separate"/>
                            </w:r>
                            <w:r>
                              <w:rPr>
                                <w:noProof/>
                              </w:rPr>
                              <w:t>22</w:t>
                            </w:r>
                            <w:r w:rsidR="00C73EE5">
                              <w:rPr>
                                <w:noProof/>
                              </w:rPr>
                              <w:fldChar w:fldCharType="end"/>
                            </w:r>
                            <w:r>
                              <w:t xml:space="preserve"> - Tendance évolutive de la prévalence de la malnutrition selon l'insuffisance pondérale</w:t>
                            </w:r>
                            <w:bookmarkEnd w:id="409"/>
                          </w:p>
                          <w:p w:rsidR="00146325" w:rsidRDefault="00146325" w:rsidP="00E31850">
                            <w:pPr>
                              <w:rPr>
                                <w:noProof/>
                              </w:rPr>
                            </w:pPr>
                            <w:r w:rsidRPr="00B45267">
                              <w:rPr>
                                <w:noProof/>
                                <w:lang w:eastAsia="fr-FR"/>
                              </w:rPr>
                              <w:drawing>
                                <wp:inline distT="0" distB="0" distL="0" distR="0">
                                  <wp:extent cx="3538331" cy="1824355"/>
                                  <wp:effectExtent l="0" t="0" r="5080" b="444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53426" cy="1832138"/>
                                          </a:xfrm>
                                          <a:prstGeom prst="rect">
                                            <a:avLst/>
                                          </a:prstGeom>
                                          <a:noFill/>
                                          <a:ln>
                                            <a:noFill/>
                                          </a:ln>
                                        </pic:spPr>
                                      </pic:pic>
                                    </a:graphicData>
                                  </a:graphic>
                                </wp:inline>
                              </w:drawing>
                            </w:r>
                          </w:p>
                          <w:p w:rsidR="00146325" w:rsidRPr="00141D20" w:rsidRDefault="00146325" w:rsidP="00141D20">
                            <w:pPr>
                              <w:spacing w:before="0" w:after="0" w:line="240" w:lineRule="auto"/>
                              <w:rPr>
                                <w:noProof/>
                                <w:sz w:val="16"/>
                                <w:szCs w:val="16"/>
                              </w:rPr>
                            </w:pPr>
                            <w:r w:rsidRPr="00141D20">
                              <w:rPr>
                                <w:noProof/>
                                <w:sz w:val="16"/>
                                <w:szCs w:val="16"/>
                              </w:rPr>
                              <w:t>Source : INS (EDSN et enquêtes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36A5BB4" id="Zone de texte 126" o:spid="_x0000_s1053" type="#_x0000_t202" style="position:absolute;left:0;text-align:left;margin-left:244.3pt;margin-top:30.3pt;width:295.5pt;height:210.75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" filled="f" strokeweight=".5pt">
                <v:path arrowok="t"/>
                <v:textbox style="mso-fit-shape-to-text:t">
                  <w:txbxContent>
                    <w:p w:rsidR="00146325" w:rsidRDefault="00146325" w:rsidP="00E31850">
                      <w:pPr>
                        <w:pStyle w:val="Lgende"/>
                        <w:keepNext/>
                      </w:pPr>
                      <w:bookmarkStart w:id="410" w:name="_Toc526120088"/>
                      <w:r>
                        <w:t xml:space="preserve">Figure </w:t>
                      </w:r>
                      <w:r w:rsidR="00C73EE5">
                        <w:fldChar w:fldCharType="begin"/>
                      </w:r>
                      <w:r w:rsidR="00C73EE5">
                        <w:instrText xml:space="preserve"> SEQ Figure \* ARABIC </w:instrText>
                      </w:r>
                      <w:r w:rsidR="00C73EE5">
                        <w:fldChar w:fldCharType="separate"/>
                      </w:r>
                      <w:r>
                        <w:rPr>
                          <w:noProof/>
                        </w:rPr>
                        <w:t>22</w:t>
                      </w:r>
                      <w:r w:rsidR="00C73EE5">
                        <w:rPr>
                          <w:noProof/>
                        </w:rPr>
                        <w:fldChar w:fldCharType="end"/>
                      </w:r>
                      <w:r>
                        <w:t xml:space="preserve"> - Tendance évolutive de la prévalence de la malnutrition selon l'insuffisance pondérale</w:t>
                      </w:r>
                      <w:bookmarkEnd w:id="410"/>
                    </w:p>
                    <w:p w:rsidR="00146325" w:rsidRDefault="00146325" w:rsidP="00E31850">
                      <w:pPr>
                        <w:rPr>
                          <w:noProof/>
                        </w:rPr>
                      </w:pPr>
                      <w:r w:rsidRPr="00B45267">
                        <w:rPr>
                          <w:noProof/>
                          <w:lang w:eastAsia="fr-FR"/>
                        </w:rPr>
                        <w:drawing>
                          <wp:inline distT="0" distB="0" distL="0" distR="0">
                            <wp:extent cx="3538331" cy="1824355"/>
                            <wp:effectExtent l="0" t="0" r="5080" b="444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53426" cy="1832138"/>
                                    </a:xfrm>
                                    <a:prstGeom prst="rect">
                                      <a:avLst/>
                                    </a:prstGeom>
                                    <a:noFill/>
                                    <a:ln>
                                      <a:noFill/>
                                    </a:ln>
                                  </pic:spPr>
                                </pic:pic>
                              </a:graphicData>
                            </a:graphic>
                          </wp:inline>
                        </w:drawing>
                      </w:r>
                    </w:p>
                    <w:p w:rsidR="00146325" w:rsidRPr="00141D20" w:rsidRDefault="00146325" w:rsidP="00141D20">
                      <w:pPr>
                        <w:spacing w:before="0" w:after="0" w:line="240" w:lineRule="auto"/>
                        <w:rPr>
                          <w:noProof/>
                          <w:sz w:val="16"/>
                          <w:szCs w:val="16"/>
                        </w:rPr>
                      </w:pPr>
                      <w:r w:rsidRPr="00141D20">
                        <w:rPr>
                          <w:noProof/>
                          <w:sz w:val="16"/>
                          <w:szCs w:val="16"/>
                        </w:rPr>
                        <w:t>Source : INS (EDSN et enquêtes nutrition)</w:t>
                      </w:r>
                    </w:p>
                  </w:txbxContent>
                </v:textbox>
                <w10:wrap type="square" anchorx="margin"/>
              </v:shape>
            </w:pict>
          </mc:Fallback>
        </mc:AlternateContent>
      </w:r>
      <w:r w:rsidR="00912BF7">
        <w:rPr>
          <w:rFonts w:ascii="Nyala" w:hAnsi="Nyala"/>
          <w:sz w:val="28"/>
          <w:szCs w:val="28"/>
        </w:rPr>
        <w:t>La m</w:t>
      </w:r>
      <w:r w:rsidR="00912BF7" w:rsidRPr="009B11E1">
        <w:rPr>
          <w:rFonts w:ascii="Nyala" w:hAnsi="Nyala"/>
          <w:sz w:val="28"/>
          <w:szCs w:val="28"/>
        </w:rPr>
        <w:t xml:space="preserve">alnutrition fondée sur l’insuffisance pondérale (Indicateur 2.2.2) chez les enfants de moins de 5 ans,  </w:t>
      </w:r>
      <w:r w:rsidR="00912BF7" w:rsidRPr="006866D3">
        <w:rPr>
          <w:rFonts w:ascii="Nyala" w:hAnsi="Nyala"/>
          <w:sz w:val="28"/>
          <w:szCs w:val="28"/>
        </w:rPr>
        <w:t>a enregistré une légère baisse entre 2015 et 2016 de 36,3% à 31,7% puis une hausse à 34,6% en 2017. Mais, globalement l’on observe une tendance baissière depuis 1998</w:t>
      </w:r>
      <w:r w:rsidR="00912BF7">
        <w:rPr>
          <w:rFonts w:ascii="Nyala" w:hAnsi="Nyala"/>
          <w:sz w:val="28"/>
          <w:szCs w:val="28"/>
        </w:rPr>
        <w:t>.</w:t>
      </w:r>
    </w:p>
    <w:p w:rsidR="00637561" w:rsidRDefault="00E31850" w:rsidP="00E31850">
      <w:pPr>
        <w:jc w:val="both"/>
        <w:rPr>
          <w:rFonts w:ascii="Nyala" w:hAnsi="Nyala"/>
          <w:sz w:val="28"/>
          <w:szCs w:val="28"/>
        </w:rPr>
      </w:pPr>
      <w:r w:rsidRPr="006866D3">
        <w:rPr>
          <w:rFonts w:ascii="Nyala" w:hAnsi="Nyala"/>
          <w:sz w:val="28"/>
          <w:szCs w:val="28"/>
        </w:rPr>
        <w:t>Si cette tendance baissière, quoiqu’irrégulière, se maintient, le Niger comptera</w:t>
      </w:r>
      <w:r>
        <w:rPr>
          <w:rFonts w:ascii="Nyala" w:hAnsi="Nyala"/>
          <w:sz w:val="28"/>
          <w:szCs w:val="28"/>
        </w:rPr>
        <w:t>it</w:t>
      </w:r>
      <w:r w:rsidRPr="006866D3">
        <w:rPr>
          <w:rFonts w:ascii="Nyala" w:hAnsi="Nyala"/>
          <w:sz w:val="28"/>
          <w:szCs w:val="28"/>
        </w:rPr>
        <w:t xml:space="preserve"> moins de 10% d’enfants de moins de 5 ans en situation de malnutrition chronique en 2030 mais non en 2021 comme espéré avec la mise en œuvre du PDES (</w:t>
      </w:r>
      <w:r w:rsidRPr="006866D3">
        <w:rPr>
          <w:rFonts w:ascii="Nyala" w:hAnsi="Nyala"/>
          <w:b/>
          <w:sz w:val="28"/>
          <w:szCs w:val="28"/>
        </w:rPr>
        <w:t xml:space="preserve">figure </w:t>
      </w:r>
      <w:r w:rsidR="00637561">
        <w:rPr>
          <w:rFonts w:ascii="Nyala" w:hAnsi="Nyala"/>
          <w:b/>
          <w:sz w:val="28"/>
          <w:szCs w:val="28"/>
        </w:rPr>
        <w:t>2</w:t>
      </w:r>
      <w:r w:rsidR="00D413AC">
        <w:rPr>
          <w:rFonts w:ascii="Nyala" w:hAnsi="Nyala"/>
          <w:b/>
          <w:sz w:val="28"/>
          <w:szCs w:val="28"/>
        </w:rPr>
        <w:t>2</w:t>
      </w:r>
      <w:r w:rsidRPr="006866D3">
        <w:rPr>
          <w:rFonts w:ascii="Nyala" w:hAnsi="Nyala"/>
          <w:b/>
          <w:sz w:val="28"/>
          <w:szCs w:val="28"/>
        </w:rPr>
        <w:t>)</w:t>
      </w:r>
      <w:r w:rsidRPr="006866D3">
        <w:rPr>
          <w:rFonts w:ascii="Nyala" w:hAnsi="Nyala"/>
          <w:sz w:val="28"/>
          <w:szCs w:val="28"/>
        </w:rPr>
        <w:t xml:space="preserve">.  </w:t>
      </w:r>
    </w:p>
    <w:p w:rsidR="00E31850" w:rsidRPr="006866D3" w:rsidRDefault="00E31850" w:rsidP="00E31850">
      <w:pPr>
        <w:jc w:val="both"/>
        <w:rPr>
          <w:rFonts w:ascii="Nyala" w:hAnsi="Nyala"/>
          <w:sz w:val="28"/>
          <w:szCs w:val="28"/>
        </w:rPr>
      </w:pPr>
    </w:p>
    <w:p w:rsidR="00912BF7" w:rsidRPr="009B11E1" w:rsidRDefault="00E31850" w:rsidP="00912BF7">
      <w:pPr>
        <w:jc w:val="both"/>
        <w:rPr>
          <w:rStyle w:val="Rfrenceintense"/>
          <w:sz w:val="28"/>
          <w:szCs w:val="28"/>
        </w:rPr>
      </w:pPr>
      <w:r>
        <w:rPr>
          <w:rStyle w:val="Rfrenceintense"/>
          <w:sz w:val="28"/>
          <w:szCs w:val="28"/>
        </w:rPr>
        <w:t xml:space="preserve">des </w:t>
      </w:r>
      <w:r w:rsidR="00912BF7" w:rsidRPr="009B11E1">
        <w:rPr>
          <w:rStyle w:val="Rfrenceintense"/>
          <w:sz w:val="28"/>
          <w:szCs w:val="28"/>
        </w:rPr>
        <w:t xml:space="preserve">actions </w:t>
      </w:r>
      <w:r>
        <w:rPr>
          <w:rStyle w:val="Rfrenceintense"/>
          <w:sz w:val="28"/>
          <w:szCs w:val="28"/>
        </w:rPr>
        <w:t xml:space="preserve">a mener pour la réduction de la malnutrition </w:t>
      </w:r>
    </w:p>
    <w:p w:rsidR="008D0202" w:rsidRDefault="00E84631" w:rsidP="00141D20">
      <w:pPr>
        <w:jc w:val="both"/>
        <w:rPr>
          <w:rFonts w:ascii="Nyala" w:hAnsi="Nyala"/>
          <w:sz w:val="28"/>
          <w:szCs w:val="28"/>
        </w:rPr>
      </w:pPr>
      <w:r w:rsidRPr="00141D20">
        <w:rPr>
          <w:rFonts w:ascii="Nyala" w:hAnsi="Nyala"/>
          <w:i/>
          <w:sz w:val="28"/>
          <w:szCs w:val="28"/>
        </w:rPr>
        <w:t xml:space="preserve">Atteindre les objectifs-cibles du PDES ou de l’ODD2 </w:t>
      </w:r>
      <w:r w:rsidR="00E31850" w:rsidRPr="00141D20">
        <w:rPr>
          <w:rFonts w:ascii="Nyala" w:hAnsi="Nyala"/>
          <w:i/>
          <w:sz w:val="28"/>
          <w:szCs w:val="28"/>
        </w:rPr>
        <w:t>implique de jouer concomitamment sur une multitude de facteurs : la disponibilité alimentaire, le revenu des ménages, la santé et la nutrition des mères, les pratiques d’alimentation ainsi que l’éducation (surtout celle de la mère</w:t>
      </w:r>
      <w:r w:rsidR="00E31850" w:rsidRPr="00141D20">
        <w:rPr>
          <w:i/>
        </w:rPr>
        <w:footnoteReference w:id="10"/>
      </w:r>
      <w:r w:rsidR="00E31850" w:rsidRPr="00141D20">
        <w:rPr>
          <w:rFonts w:ascii="Nyala" w:hAnsi="Nyala"/>
          <w:i/>
          <w:sz w:val="28"/>
          <w:szCs w:val="28"/>
        </w:rPr>
        <w:t>), la taille du ménage et d’autres facteurs sociaux et culturels.</w:t>
      </w:r>
      <w:r w:rsidR="00E31850" w:rsidRPr="006866D3">
        <w:rPr>
          <w:rFonts w:ascii="Nyala" w:hAnsi="Nyala"/>
          <w:sz w:val="28"/>
          <w:szCs w:val="28"/>
        </w:rPr>
        <w:t xml:space="preserve">  Ce défi est d’autant plus important à relever que les efforts financiers et techniques quoique appréciables du passé ont donné des résultats mitigés quant à la réduction significative de la malnutrition infantile (PDES 2017-2021). </w:t>
      </w:r>
    </w:p>
    <w:p w:rsidR="00912BF7" w:rsidRDefault="00771124" w:rsidP="00141D20">
      <w:pPr>
        <w:jc w:val="both"/>
        <w:rPr>
          <w:rFonts w:ascii="Nyala" w:hAnsi="Nyala"/>
          <w:sz w:val="28"/>
          <w:szCs w:val="28"/>
        </w:rPr>
      </w:pPr>
      <w:r>
        <w:rPr>
          <w:rFonts w:ascii="Nyala" w:hAnsi="Nyala"/>
          <w:sz w:val="28"/>
          <w:szCs w:val="28"/>
        </w:rPr>
        <w:t xml:space="preserve">La réduction de la malnutrition à l’échelle du pays implique : </w:t>
      </w:r>
    </w:p>
    <w:p w:rsidR="00771124" w:rsidRPr="00771124" w:rsidRDefault="00771124" w:rsidP="00771124">
      <w:pPr>
        <w:pStyle w:val="Paragraphedeliste"/>
        <w:numPr>
          <w:ilvl w:val="0"/>
          <w:numId w:val="73"/>
        </w:numPr>
        <w:jc w:val="both"/>
        <w:rPr>
          <w:rFonts w:ascii="Nyala" w:hAnsi="Nyala"/>
          <w:sz w:val="28"/>
          <w:szCs w:val="28"/>
        </w:rPr>
      </w:pPr>
      <w:r w:rsidRPr="00771124">
        <w:rPr>
          <w:rFonts w:ascii="Nyala" w:hAnsi="Nyala"/>
          <w:sz w:val="28"/>
          <w:szCs w:val="28"/>
        </w:rPr>
        <w:t>des efforts continus de l’Etat à faire de l’agriculture le principal objectif de développement (cas de l’Initiative 3N) pour augmenter la production agropastorale et réaliser l’autosuffisance alimentaire au niveau national ;</w:t>
      </w:r>
    </w:p>
    <w:p w:rsidR="00771124" w:rsidRPr="00771124" w:rsidRDefault="00771124" w:rsidP="00771124">
      <w:pPr>
        <w:pStyle w:val="Paragraphedeliste"/>
        <w:numPr>
          <w:ilvl w:val="0"/>
          <w:numId w:val="73"/>
        </w:numPr>
        <w:jc w:val="both"/>
        <w:rPr>
          <w:rFonts w:ascii="Nyala" w:hAnsi="Nyala"/>
          <w:sz w:val="28"/>
          <w:szCs w:val="28"/>
        </w:rPr>
      </w:pPr>
      <w:r w:rsidRPr="00771124">
        <w:rPr>
          <w:rFonts w:ascii="Nyala" w:hAnsi="Nyala"/>
          <w:sz w:val="28"/>
          <w:szCs w:val="28"/>
        </w:rPr>
        <w:t xml:space="preserve">le développement d’un système de production agricole basé sur la modernisation des techniques de productions agricoles et la mobilisation des ressources en eaux disponibles (les eaux de pluie et les eaux souterraines) ; </w:t>
      </w:r>
    </w:p>
    <w:p w:rsidR="00771124" w:rsidRPr="00771124" w:rsidRDefault="00771124" w:rsidP="00771124">
      <w:pPr>
        <w:pStyle w:val="Paragraphedeliste"/>
        <w:numPr>
          <w:ilvl w:val="0"/>
          <w:numId w:val="73"/>
        </w:numPr>
        <w:jc w:val="both"/>
        <w:rPr>
          <w:rFonts w:ascii="Nyala" w:hAnsi="Nyala"/>
          <w:sz w:val="28"/>
          <w:szCs w:val="28"/>
        </w:rPr>
      </w:pPr>
      <w:r w:rsidRPr="00771124">
        <w:rPr>
          <w:rFonts w:ascii="Nyala" w:hAnsi="Nyala"/>
          <w:sz w:val="28"/>
          <w:szCs w:val="28"/>
        </w:rPr>
        <w:t>l’amélioration des revenus (surtout les revenus des femmes); permettant au plus grand nombre de nigériens d’accéder à un</w:t>
      </w:r>
      <w:r w:rsidR="00C152FA">
        <w:rPr>
          <w:rFonts w:ascii="Nyala" w:hAnsi="Nyala"/>
          <w:sz w:val="28"/>
          <w:szCs w:val="28"/>
        </w:rPr>
        <w:t>e nourriture abondante et saine</w:t>
      </w:r>
      <w:r w:rsidRPr="00771124">
        <w:rPr>
          <w:rFonts w:ascii="Nyala" w:hAnsi="Nyala"/>
          <w:sz w:val="28"/>
          <w:szCs w:val="28"/>
        </w:rPr>
        <w:t xml:space="preserve">; </w:t>
      </w:r>
    </w:p>
    <w:p w:rsidR="00771124" w:rsidRPr="00771124" w:rsidRDefault="00771124" w:rsidP="00771124">
      <w:pPr>
        <w:pStyle w:val="Paragraphedeliste"/>
        <w:numPr>
          <w:ilvl w:val="0"/>
          <w:numId w:val="73"/>
        </w:numPr>
        <w:jc w:val="both"/>
        <w:rPr>
          <w:rFonts w:ascii="Nyala" w:hAnsi="Nyala"/>
          <w:sz w:val="28"/>
          <w:szCs w:val="28"/>
        </w:rPr>
      </w:pPr>
      <w:r w:rsidRPr="00771124">
        <w:rPr>
          <w:rFonts w:ascii="Nyala" w:hAnsi="Nyala"/>
          <w:sz w:val="28"/>
          <w:szCs w:val="28"/>
        </w:rPr>
        <w:t>les changements des comportements des femmes enceintes, et des mères en termes d’allaitement  et d’hygiène alimentaire ;</w:t>
      </w:r>
    </w:p>
    <w:p w:rsidR="00771124" w:rsidRPr="00771124" w:rsidRDefault="00771124" w:rsidP="00771124">
      <w:pPr>
        <w:pStyle w:val="Paragraphedeliste"/>
        <w:numPr>
          <w:ilvl w:val="0"/>
          <w:numId w:val="73"/>
        </w:numPr>
        <w:jc w:val="both"/>
        <w:rPr>
          <w:rFonts w:ascii="Nyala" w:hAnsi="Nyala"/>
          <w:sz w:val="28"/>
          <w:szCs w:val="28"/>
        </w:rPr>
      </w:pPr>
      <w:r w:rsidRPr="00771124">
        <w:rPr>
          <w:rFonts w:ascii="Nyala" w:hAnsi="Nyala"/>
          <w:sz w:val="28"/>
          <w:szCs w:val="28"/>
        </w:rPr>
        <w:t xml:space="preserve">l’intensification de l'encadrement nutritionnel en faveur de la petite enfance ; </w:t>
      </w:r>
    </w:p>
    <w:p w:rsidR="00771124" w:rsidRPr="00771124" w:rsidRDefault="00771124" w:rsidP="00771124">
      <w:pPr>
        <w:pStyle w:val="Paragraphedeliste"/>
        <w:numPr>
          <w:ilvl w:val="0"/>
          <w:numId w:val="73"/>
        </w:numPr>
        <w:jc w:val="both"/>
        <w:rPr>
          <w:rFonts w:ascii="Nyala" w:hAnsi="Nyala"/>
          <w:sz w:val="28"/>
          <w:szCs w:val="28"/>
        </w:rPr>
      </w:pPr>
      <w:r w:rsidRPr="00771124">
        <w:rPr>
          <w:rFonts w:ascii="Nyala" w:hAnsi="Nyala"/>
          <w:sz w:val="28"/>
          <w:szCs w:val="28"/>
        </w:rPr>
        <w:t>la mise en œuvre des systèmes d’Information, d’Education et de Communication (IEC) en matière de santé et nutrition ;</w:t>
      </w:r>
    </w:p>
    <w:p w:rsidR="00771124" w:rsidRPr="00771124" w:rsidRDefault="00771124" w:rsidP="00771124">
      <w:pPr>
        <w:pStyle w:val="Paragraphedeliste"/>
        <w:numPr>
          <w:ilvl w:val="0"/>
          <w:numId w:val="73"/>
        </w:numPr>
        <w:jc w:val="both"/>
        <w:rPr>
          <w:rFonts w:ascii="Nyala" w:hAnsi="Nyala"/>
          <w:sz w:val="28"/>
          <w:szCs w:val="28"/>
        </w:rPr>
      </w:pPr>
      <w:r w:rsidRPr="00771124">
        <w:rPr>
          <w:rFonts w:ascii="Nyala" w:hAnsi="Nyala"/>
          <w:sz w:val="28"/>
          <w:szCs w:val="28"/>
        </w:rPr>
        <w:t>la mise en place et le renforcement des programmes</w:t>
      </w:r>
    </w:p>
    <w:p w:rsidR="00771124" w:rsidRPr="00141D20" w:rsidRDefault="00771124" w:rsidP="00141D20">
      <w:pPr>
        <w:jc w:val="both"/>
        <w:rPr>
          <w:rFonts w:ascii="Nyala" w:hAnsi="Nyala"/>
          <w:sz w:val="28"/>
          <w:szCs w:val="28"/>
        </w:rPr>
      </w:pPr>
    </w:p>
    <w:p w:rsidR="00A460F1" w:rsidRPr="009B11E1" w:rsidRDefault="00A460F1" w:rsidP="00A460F1">
      <w:pPr>
        <w:jc w:val="both"/>
        <w:rPr>
          <w:rStyle w:val="Rfrenceintense"/>
          <w:sz w:val="28"/>
          <w:szCs w:val="28"/>
        </w:rPr>
      </w:pPr>
      <w:r w:rsidRPr="009B11E1">
        <w:rPr>
          <w:rStyle w:val="Rfrenceintense"/>
          <w:sz w:val="28"/>
          <w:szCs w:val="28"/>
        </w:rPr>
        <w:t xml:space="preserve">Des types d’Action à mener </w:t>
      </w:r>
    </w:p>
    <w:p w:rsidR="001C4C19" w:rsidRPr="006866D3" w:rsidRDefault="001C4C19" w:rsidP="001C4C19">
      <w:pPr>
        <w:jc w:val="both"/>
        <w:rPr>
          <w:rFonts w:ascii="Nyala" w:hAnsi="Nyala"/>
          <w:sz w:val="28"/>
          <w:szCs w:val="28"/>
        </w:rPr>
      </w:pPr>
      <w:r w:rsidRPr="006866D3">
        <w:rPr>
          <w:rFonts w:ascii="Nyala" w:hAnsi="Nyala"/>
          <w:sz w:val="28"/>
          <w:szCs w:val="28"/>
        </w:rPr>
        <w:t xml:space="preserve">Actuellement, près d’un enfant de moins de cinq ans sur deux souffre de malnutrition liée au retard de croissance ou à l’insuffisance pondérale. Si aucune rupture n’est opérée, en 2030, l’on comptera 3 millions d’enfants malnutris (sur un total de 6,69 millions d’enfants de moins de 5 ans). </w:t>
      </w:r>
    </w:p>
    <w:p w:rsidR="001C4C19" w:rsidRPr="006866D3" w:rsidRDefault="00146983" w:rsidP="001C4C19">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972608" behindDoc="0" locked="0" layoutInCell="1" allowOverlap="1" wp14:anchorId="1F3F79E8">
                <wp:simplePos x="0" y="0"/>
                <wp:positionH relativeFrom="column">
                  <wp:posOffset>39370</wp:posOffset>
                </wp:positionH>
                <wp:positionV relativeFrom="paragraph">
                  <wp:posOffset>1690370</wp:posOffset>
                </wp:positionV>
                <wp:extent cx="1828800" cy="1828800"/>
                <wp:effectExtent l="0" t="0" r="10795" b="19685"/>
                <wp:wrapSquare wrapText="bothSides"/>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solidFill>
                            <a:prstClr val="black"/>
                          </a:solidFill>
                        </a:ln>
                        <a:effectLst/>
                      </wps:spPr>
                      <wps:txbx>
                        <w:txbxContent>
                          <w:p w:rsidR="00146325" w:rsidRDefault="00146325" w:rsidP="001C4C19">
                            <w:pPr>
                              <w:pStyle w:val="Lgende"/>
                              <w:keepNext/>
                              <w:jc w:val="both"/>
                            </w:pPr>
                            <w:bookmarkStart w:id="411" w:name="_Toc526120089"/>
                            <w:r>
                              <w:t xml:space="preserve">Figure </w:t>
                            </w:r>
                            <w:r w:rsidR="00C73EE5">
                              <w:fldChar w:fldCharType="begin"/>
                            </w:r>
                            <w:r w:rsidR="00C73EE5">
                              <w:instrText xml:space="preserve"> SEQ Figure \* ARABIC </w:instrText>
                            </w:r>
                            <w:r w:rsidR="00C73EE5">
                              <w:fldChar w:fldCharType="separate"/>
                            </w:r>
                            <w:r>
                              <w:rPr>
                                <w:noProof/>
                              </w:rPr>
                              <w:t>23</w:t>
                            </w:r>
                            <w:r w:rsidR="00C73EE5">
                              <w:rPr>
                                <w:noProof/>
                              </w:rPr>
                              <w:fldChar w:fldCharType="end"/>
                            </w:r>
                            <w:r>
                              <w:t xml:space="preserve"> - Scénario tendanciels pour une réduction de la malnutrition chronique et aigue</w:t>
                            </w:r>
                            <w:bookmarkEnd w:id="411"/>
                          </w:p>
                          <w:p w:rsidR="00146325" w:rsidRDefault="00146325" w:rsidP="001C4C19">
                            <w:pPr>
                              <w:spacing w:after="0" w:line="240" w:lineRule="auto"/>
                              <w:jc w:val="both"/>
                            </w:pPr>
                            <w:r w:rsidRPr="003467EF">
                              <w:rPr>
                                <w:noProof/>
                                <w:lang w:eastAsia="fr-FR"/>
                              </w:rPr>
                              <w:drawing>
                                <wp:inline distT="0" distB="0" distL="0" distR="0">
                                  <wp:extent cx="5571811" cy="1914525"/>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74949" cy="1915603"/>
                                          </a:xfrm>
                                          <a:prstGeom prst="rect">
                                            <a:avLst/>
                                          </a:prstGeom>
                                          <a:noFill/>
                                          <a:ln>
                                            <a:noFill/>
                                          </a:ln>
                                        </pic:spPr>
                                      </pic:pic>
                                    </a:graphicData>
                                  </a:graphic>
                                </wp:inline>
                              </w:drawing>
                            </w:r>
                          </w:p>
                          <w:p w:rsidR="00146325" w:rsidRPr="000500A5" w:rsidRDefault="00146325" w:rsidP="001C4C19">
                            <w:pPr>
                              <w:spacing w:after="0" w:line="240" w:lineRule="auto"/>
                              <w:jc w:val="both"/>
                              <w:rPr>
                                <w:sz w:val="16"/>
                                <w:szCs w:val="16"/>
                              </w:rPr>
                            </w:pPr>
                            <w:r w:rsidRPr="000500A5">
                              <w:rPr>
                                <w:sz w:val="16"/>
                                <w:szCs w:val="16"/>
                              </w:rPr>
                              <w:t>Source : étude HC3N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F3F79E8" id="Zone de texte 85" o:spid="_x0000_s1054" type="#_x0000_t202" style="position:absolute;left:0;text-align:left;margin-left:3.1pt;margin-top:133.1pt;width:2in;height:2in;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" filled="f" strokeweight=".5pt">
                <v:path arrowok="t"/>
                <v:textbox style="mso-fit-shape-to-text:t">
                  <w:txbxContent>
                    <w:p w:rsidR="00146325" w:rsidRDefault="00146325" w:rsidP="001C4C19">
                      <w:pPr>
                        <w:pStyle w:val="Lgende"/>
                        <w:keepNext/>
                        <w:jc w:val="both"/>
                      </w:pPr>
                      <w:bookmarkStart w:id="412" w:name="_Toc526120089"/>
                      <w:r>
                        <w:t xml:space="preserve">Figure </w:t>
                      </w:r>
                      <w:r w:rsidR="00C73EE5">
                        <w:fldChar w:fldCharType="begin"/>
                      </w:r>
                      <w:r w:rsidR="00C73EE5">
                        <w:instrText xml:space="preserve"> SEQ Figure \* ARABIC </w:instrText>
                      </w:r>
                      <w:r w:rsidR="00C73EE5">
                        <w:fldChar w:fldCharType="separate"/>
                      </w:r>
                      <w:r>
                        <w:rPr>
                          <w:noProof/>
                        </w:rPr>
                        <w:t>23</w:t>
                      </w:r>
                      <w:r w:rsidR="00C73EE5">
                        <w:rPr>
                          <w:noProof/>
                        </w:rPr>
                        <w:fldChar w:fldCharType="end"/>
                      </w:r>
                      <w:r>
                        <w:t xml:space="preserve"> - Scénario tendanciels pour une réduction de la malnutrition chronique et aigue</w:t>
                      </w:r>
                      <w:bookmarkEnd w:id="412"/>
                    </w:p>
                    <w:p w:rsidR="00146325" w:rsidRDefault="00146325" w:rsidP="001C4C19">
                      <w:pPr>
                        <w:spacing w:after="0" w:line="240" w:lineRule="auto"/>
                        <w:jc w:val="both"/>
                      </w:pPr>
                      <w:r w:rsidRPr="003467EF">
                        <w:rPr>
                          <w:noProof/>
                          <w:lang w:eastAsia="fr-FR"/>
                        </w:rPr>
                        <w:drawing>
                          <wp:inline distT="0" distB="0" distL="0" distR="0">
                            <wp:extent cx="5571811" cy="1914525"/>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74949" cy="1915603"/>
                                    </a:xfrm>
                                    <a:prstGeom prst="rect">
                                      <a:avLst/>
                                    </a:prstGeom>
                                    <a:noFill/>
                                    <a:ln>
                                      <a:noFill/>
                                    </a:ln>
                                  </pic:spPr>
                                </pic:pic>
                              </a:graphicData>
                            </a:graphic>
                          </wp:inline>
                        </w:drawing>
                      </w:r>
                    </w:p>
                    <w:p w:rsidR="00146325" w:rsidRPr="000500A5" w:rsidRDefault="00146325" w:rsidP="001C4C19">
                      <w:pPr>
                        <w:spacing w:after="0" w:line="240" w:lineRule="auto"/>
                        <w:jc w:val="both"/>
                        <w:rPr>
                          <w:sz w:val="16"/>
                          <w:szCs w:val="16"/>
                        </w:rPr>
                      </w:pPr>
                      <w:r w:rsidRPr="000500A5">
                        <w:rPr>
                          <w:sz w:val="16"/>
                          <w:szCs w:val="16"/>
                        </w:rPr>
                        <w:t>Source : étude HC3N</w:t>
                      </w:r>
                    </w:p>
                  </w:txbxContent>
                </v:textbox>
                <w10:wrap type="square"/>
              </v:shape>
            </w:pict>
          </mc:Fallback>
        </mc:AlternateContent>
      </w:r>
      <w:r w:rsidR="001C4C19" w:rsidRPr="006866D3">
        <w:rPr>
          <w:rFonts w:ascii="Nyala" w:hAnsi="Nyala"/>
          <w:sz w:val="28"/>
          <w:szCs w:val="28"/>
        </w:rPr>
        <w:t>Selon une étude réalisée par le HC3N avec l’appui de l’UNICEF, en mettant en œuvre le Plan National de Sécurité Nutritionnel (PNSN), la prévalence de la malnutrition chronique passerait de 42,2% en 2016 à 38,8% voire 32,74% en 2021 et celle de la malnutrition aigüe de 10,3% à 8,48% voire 5,73%. Et si l’effort est maintenu à l’horizon 2030, la malnutrition chronique chuterait à 33,6% voire 17,7% et la malnutrition aigüe à 5,5% ou aurait disparue (</w:t>
      </w:r>
      <w:r w:rsidR="001C4C19" w:rsidRPr="006866D3">
        <w:rPr>
          <w:rFonts w:ascii="Nyala" w:hAnsi="Nyala"/>
          <w:b/>
          <w:sz w:val="28"/>
          <w:szCs w:val="28"/>
        </w:rPr>
        <w:t xml:space="preserve">Figure </w:t>
      </w:r>
      <w:r w:rsidR="00637561">
        <w:rPr>
          <w:rFonts w:ascii="Nyala" w:hAnsi="Nyala"/>
          <w:b/>
          <w:sz w:val="28"/>
          <w:szCs w:val="28"/>
        </w:rPr>
        <w:t>2</w:t>
      </w:r>
      <w:r w:rsidR="00D413AC">
        <w:rPr>
          <w:rFonts w:ascii="Nyala" w:hAnsi="Nyala"/>
          <w:b/>
          <w:sz w:val="28"/>
          <w:szCs w:val="28"/>
        </w:rPr>
        <w:t>3</w:t>
      </w:r>
      <w:r w:rsidR="001C4C19" w:rsidRPr="006866D3">
        <w:rPr>
          <w:rFonts w:ascii="Nyala" w:hAnsi="Nyala"/>
          <w:sz w:val="28"/>
          <w:szCs w:val="28"/>
        </w:rPr>
        <w:t xml:space="preserve">).  Avec ces scénarios, il restera toujours entre 1,2 millions à 2,6 millions d’enfants et leurs familles à aider à faire face à la malnutrition. </w:t>
      </w:r>
    </w:p>
    <w:p w:rsidR="001C4C19" w:rsidRDefault="001C4C19" w:rsidP="001C4C19">
      <w:pPr>
        <w:jc w:val="both"/>
        <w:rPr>
          <w:rFonts w:ascii="Nyala" w:hAnsi="Nyala"/>
          <w:sz w:val="28"/>
          <w:szCs w:val="28"/>
        </w:rPr>
      </w:pPr>
    </w:p>
    <w:p w:rsidR="008D0202" w:rsidRPr="006866D3" w:rsidRDefault="008D0202" w:rsidP="008D0202">
      <w:pPr>
        <w:jc w:val="both"/>
        <w:rPr>
          <w:rFonts w:ascii="Nyala" w:hAnsi="Nyala"/>
          <w:sz w:val="28"/>
          <w:szCs w:val="28"/>
        </w:rPr>
      </w:pPr>
      <w:r w:rsidRPr="00AA4A81">
        <w:rPr>
          <w:rFonts w:ascii="Nyala" w:hAnsi="Nyala"/>
          <w:sz w:val="28"/>
          <w:szCs w:val="28"/>
        </w:rPr>
        <w:t>Avec un nombre d’enfants souffrant de malnutrition (toutes formes) qui augmenterait avec le taux de croissance démographique de 3,9</w:t>
      </w:r>
      <w:r w:rsidRPr="007D4B76">
        <w:rPr>
          <w:rFonts w:ascii="Nyala" w:hAnsi="Nyala"/>
          <w:sz w:val="28"/>
          <w:szCs w:val="28"/>
        </w:rPr>
        <w:t>% ;</w:t>
      </w:r>
      <w:r>
        <w:rPr>
          <w:rFonts w:ascii="Nyala" w:hAnsi="Nyala"/>
          <w:sz w:val="28"/>
          <w:szCs w:val="28"/>
        </w:rPr>
        <w:t xml:space="preserve">la prévention et la lutte contre la malnutrition doit  intensifier les actions </w:t>
      </w:r>
      <w:r w:rsidRPr="00AA4A81">
        <w:rPr>
          <w:rFonts w:ascii="Nyala" w:hAnsi="Nyala"/>
          <w:sz w:val="28"/>
          <w:szCs w:val="28"/>
        </w:rPr>
        <w:t>multitude</w:t>
      </w:r>
      <w:r>
        <w:rPr>
          <w:rFonts w:ascii="Nyala" w:hAnsi="Nyala"/>
          <w:sz w:val="28"/>
          <w:szCs w:val="28"/>
        </w:rPr>
        <w:t>s</w:t>
      </w:r>
      <w:r w:rsidRPr="00AA4A81">
        <w:rPr>
          <w:rFonts w:ascii="Nyala" w:hAnsi="Nyala"/>
          <w:sz w:val="28"/>
          <w:szCs w:val="28"/>
        </w:rPr>
        <w:t xml:space="preserve"> concomitamment :l’allaitement exclusif jusqu’à 6 mois et la diversité alimentaire</w:t>
      </w:r>
      <w:r>
        <w:rPr>
          <w:rFonts w:ascii="Nyala" w:hAnsi="Nyala"/>
          <w:sz w:val="28"/>
          <w:szCs w:val="28"/>
        </w:rPr>
        <w:t>,</w:t>
      </w:r>
      <w:r w:rsidRPr="00AA4A81">
        <w:rPr>
          <w:rFonts w:ascii="Nyala" w:hAnsi="Nyala"/>
          <w:sz w:val="28"/>
          <w:szCs w:val="28"/>
        </w:rPr>
        <w:t xml:space="preserve"> les besoins spécifiques des adolescentes et l’expansion des plateformes qui les atteignent</w:t>
      </w:r>
      <w:r>
        <w:rPr>
          <w:rFonts w:ascii="Nyala" w:hAnsi="Nyala"/>
          <w:sz w:val="28"/>
          <w:szCs w:val="28"/>
        </w:rPr>
        <w:t xml:space="preserve">, </w:t>
      </w:r>
      <w:r w:rsidRPr="00AA4A81">
        <w:rPr>
          <w:rFonts w:ascii="Nyala" w:hAnsi="Nyala"/>
          <w:sz w:val="28"/>
          <w:szCs w:val="28"/>
        </w:rPr>
        <w:t>l’amélioration du contenu nutritif des repas des cantines scolaires</w:t>
      </w:r>
      <w:r>
        <w:rPr>
          <w:rFonts w:ascii="Nyala" w:hAnsi="Nyala"/>
          <w:sz w:val="28"/>
          <w:szCs w:val="28"/>
        </w:rPr>
        <w:t xml:space="preserve">, </w:t>
      </w:r>
      <w:r w:rsidRPr="00AA4A81">
        <w:rPr>
          <w:rFonts w:ascii="Nyala" w:hAnsi="Nyala"/>
          <w:sz w:val="28"/>
          <w:szCs w:val="28"/>
        </w:rPr>
        <w:t>la disponibilité alimentaire, l’accessibilité alimentaire, la transformation et l’utilisation alimentaire, le revenu des ménages, les  régions plus sensibles (</w:t>
      </w:r>
      <w:r w:rsidRPr="007D4B76">
        <w:rPr>
          <w:rFonts w:ascii="Nyala" w:hAnsi="Nyala"/>
          <w:sz w:val="28"/>
          <w:szCs w:val="28"/>
        </w:rPr>
        <w:t>Diffa, Dosso, Maradi, Zinder, etc.</w:t>
      </w:r>
      <w:r w:rsidRPr="00AA4A81">
        <w:rPr>
          <w:rFonts w:ascii="Nyala" w:hAnsi="Nyala"/>
          <w:sz w:val="28"/>
          <w:szCs w:val="28"/>
        </w:rPr>
        <w:t>), la santé et la nutrition des mères, les pratiques d’alimentation, l’éducation des  mères et des jeune</w:t>
      </w:r>
      <w:r w:rsidRPr="008F220A">
        <w:rPr>
          <w:rFonts w:ascii="Nyala" w:hAnsi="Nyala"/>
          <w:sz w:val="28"/>
          <w:szCs w:val="28"/>
        </w:rPr>
        <w:t>s filles, la taille du ménage,</w:t>
      </w:r>
      <w:r w:rsidRPr="00AA4A81">
        <w:rPr>
          <w:rFonts w:ascii="Nyala" w:hAnsi="Nyala"/>
          <w:sz w:val="28"/>
          <w:szCs w:val="28"/>
        </w:rPr>
        <w:t xml:space="preserve"> la combinaison d’interventions convergentes spécifiques et sensibles à la nutrition</w:t>
      </w:r>
      <w:r>
        <w:rPr>
          <w:rFonts w:ascii="Nyala" w:hAnsi="Nyala"/>
          <w:sz w:val="28"/>
          <w:szCs w:val="28"/>
        </w:rPr>
        <w:t>, etc.</w:t>
      </w:r>
    </w:p>
    <w:p w:rsidR="001C4C19" w:rsidRDefault="00146983" w:rsidP="001C4C19">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971584" behindDoc="0" locked="0" layoutInCell="1" allowOverlap="1" wp14:anchorId="1621F16A">
                <wp:simplePos x="0" y="0"/>
                <wp:positionH relativeFrom="margin">
                  <wp:posOffset>123825</wp:posOffset>
                </wp:positionH>
                <wp:positionV relativeFrom="paragraph">
                  <wp:posOffset>1720215</wp:posOffset>
                </wp:positionV>
                <wp:extent cx="5782310" cy="4271645"/>
                <wp:effectExtent l="0" t="0" r="27940" b="14605"/>
                <wp:wrapSquare wrapText="bothSides"/>
                <wp:docPr id="104" name="Zone de text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4271645"/>
                        </a:xfrm>
                        <a:prstGeom prst="rect">
                          <a:avLst/>
                        </a:prstGeom>
                        <a:noFill/>
                        <a:ln w="6350">
                          <a:solidFill>
                            <a:prstClr val="black"/>
                          </a:solidFill>
                        </a:ln>
                        <a:effectLst/>
                      </wps:spPr>
                      <wps:txbx>
                        <w:txbxContent>
                          <w:p w:rsidR="00146325" w:rsidRPr="00DD0F60" w:rsidRDefault="00146325" w:rsidP="00DD0F60">
                            <w:pPr>
                              <w:spacing w:after="0" w:line="240" w:lineRule="auto"/>
                              <w:jc w:val="center"/>
                              <w:textAlignment w:val="center"/>
                              <w:rPr>
                                <w:rStyle w:val="Rfrenceintense"/>
                              </w:rPr>
                            </w:pPr>
                            <w:r w:rsidRPr="00DD0F60">
                              <w:rPr>
                                <w:rStyle w:val="Rfrenceintense"/>
                              </w:rPr>
                              <w:t>Encadré 1</w:t>
                            </w:r>
                          </w:p>
                          <w:p w:rsidR="00146325" w:rsidRPr="00141D20" w:rsidRDefault="00146325" w:rsidP="001C4C19">
                            <w:pPr>
                              <w:spacing w:after="0" w:line="240" w:lineRule="auto"/>
                              <w:textAlignment w:val="center"/>
                              <w:rPr>
                                <w:rFonts w:ascii="Nyala" w:eastAsiaTheme="minorEastAsia" w:hAnsi="Nyala" w:cstheme="minorHAnsi"/>
                                <w:i/>
                                <w:kern w:val="24"/>
                                <w:sz w:val="24"/>
                                <w:szCs w:val="24"/>
                              </w:rPr>
                            </w:pPr>
                            <w:r w:rsidRPr="00141D20">
                              <w:rPr>
                                <w:rFonts w:ascii="Nyala" w:eastAsiaTheme="minorEastAsia" w:hAnsi="Nyala" w:cstheme="minorHAnsi"/>
                                <w:i/>
                                <w:kern w:val="24"/>
                                <w:sz w:val="24"/>
                                <w:szCs w:val="24"/>
                                <w:lang w:val="sk-SK" w:eastAsia="fo-FO"/>
                              </w:rPr>
                              <w:t xml:space="preserve">Types d‘ </w:t>
                            </w:r>
                            <w:r w:rsidRPr="00141D20">
                              <w:rPr>
                                <w:rFonts w:ascii="Nyala" w:eastAsiaTheme="minorEastAsia" w:hAnsi="Nyala" w:cstheme="minorHAnsi"/>
                                <w:b/>
                                <w:i/>
                                <w:kern w:val="24"/>
                                <w:sz w:val="24"/>
                                <w:szCs w:val="24"/>
                              </w:rPr>
                              <w:t>i</w:t>
                            </w:r>
                            <w:r w:rsidRPr="00141D20">
                              <w:rPr>
                                <w:rFonts w:ascii="Nyala" w:eastAsiaTheme="minorEastAsia" w:hAnsi="Nyala" w:cstheme="minorHAnsi"/>
                                <w:b/>
                                <w:i/>
                                <w:kern w:val="24"/>
                                <w:sz w:val="24"/>
                                <w:szCs w:val="24"/>
                                <w:lang w:eastAsia="fo-FO"/>
                              </w:rPr>
                              <w:t>nterventions préventives spécifiques à la nutrition</w:t>
                            </w:r>
                            <w:r w:rsidRPr="00141D20">
                              <w:rPr>
                                <w:rFonts w:ascii="Nyala" w:eastAsiaTheme="minorEastAsia" w:hAnsi="Nyala" w:cstheme="minorHAnsi"/>
                                <w:i/>
                                <w:kern w:val="24"/>
                                <w:sz w:val="24"/>
                                <w:szCs w:val="24"/>
                              </w:rPr>
                              <w:t>,</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 supplémentation quotidienne en acide folique et fer (femmes enceintes) ;</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 supplémentation quotidienne en acide folique et fer (adolescentes) ;</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le conseil en allaitement et soutien ;</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les conseils sur l'alimentation complémentaire et de soutien ;</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le renforcement à domicile des aliments avec des poudres enrichies en micronutriments multiples ;</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 supplémentation en vitamine A ;</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le déparasitage ;</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 supplémentation nutritionnelle généralisée - période de soudure ;</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sz w:val="24"/>
                                <w:szCs w:val="24"/>
                              </w:rPr>
                            </w:pPr>
                            <w:r w:rsidRPr="00141D20">
                              <w:rPr>
                                <w:rFonts w:ascii="Nyala" w:hAnsi="Nyala" w:cstheme="minorHAnsi"/>
                                <w:color w:val="000000" w:themeColor="text1"/>
                                <w:kern w:val="24"/>
                                <w:sz w:val="24"/>
                                <w:szCs w:val="24"/>
                              </w:rPr>
                              <w:t>la supplémentation nutritionnelle généralisée – Urgence.</w:t>
                            </w:r>
                          </w:p>
                          <w:p w:rsidR="00146325" w:rsidRPr="00141D20" w:rsidRDefault="00146325" w:rsidP="001C4C19">
                            <w:pPr>
                              <w:spacing w:after="0"/>
                              <w:rPr>
                                <w:rFonts w:ascii="Nyala" w:hAnsi="Nyala" w:cstheme="minorHAnsi"/>
                                <w:sz w:val="24"/>
                                <w:szCs w:val="24"/>
                              </w:rPr>
                            </w:pPr>
                            <w:r w:rsidRPr="00141D20">
                              <w:rPr>
                                <w:rFonts w:ascii="Nyala" w:hAnsi="Nyala" w:cstheme="minorHAnsi"/>
                                <w:sz w:val="24"/>
                                <w:szCs w:val="24"/>
                              </w:rPr>
                              <w:t>Types d’</w:t>
                            </w:r>
                            <w:r w:rsidRPr="00141D20">
                              <w:rPr>
                                <w:rFonts w:ascii="Nyala" w:eastAsiaTheme="minorEastAsia" w:hAnsi="Nyala" w:cstheme="minorHAnsi"/>
                                <w:b/>
                                <w:i/>
                                <w:kern w:val="24"/>
                                <w:sz w:val="24"/>
                                <w:szCs w:val="24"/>
                                <w:lang w:val="sk-SK" w:eastAsia="fo-FO"/>
                              </w:rPr>
                              <w:t>Interventions curatives spécifiques à la nutrition</w:t>
                            </w:r>
                            <w:r w:rsidRPr="00141D20">
                              <w:rPr>
                                <w:rFonts w:ascii="Nyala" w:eastAsiaTheme="minorEastAsia" w:hAnsi="Nyala" w:cstheme="minorHAnsi"/>
                                <w:i/>
                                <w:kern w:val="24"/>
                                <w:sz w:val="24"/>
                                <w:szCs w:val="24"/>
                                <w:lang w:val="sk-SK" w:eastAsia="fo-FO"/>
                              </w:rPr>
                              <w:t>,:</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 prise en charge de la malnutrition sévère  (MAS)</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 prise en charge de la malnutrition aiguë modérée (MAM)</w:t>
                            </w:r>
                          </w:p>
                          <w:p w:rsidR="00146325" w:rsidRPr="00141D20" w:rsidRDefault="00146325" w:rsidP="001C4C19">
                            <w:pPr>
                              <w:spacing w:after="0"/>
                              <w:rPr>
                                <w:rFonts w:ascii="Nyala" w:hAnsi="Nyala" w:cstheme="minorHAnsi"/>
                                <w:color w:val="000000" w:themeColor="text1"/>
                                <w:kern w:val="24"/>
                                <w:sz w:val="24"/>
                                <w:szCs w:val="24"/>
                              </w:rPr>
                            </w:pPr>
                            <w:r w:rsidRPr="00141D20">
                              <w:rPr>
                                <w:rFonts w:ascii="Nyala" w:hAnsi="Nyala" w:cstheme="minorHAnsi"/>
                                <w:sz w:val="24"/>
                                <w:szCs w:val="24"/>
                              </w:rPr>
                              <w:t xml:space="preserve">Types  </w:t>
                            </w:r>
                            <w:r w:rsidRPr="00141D20">
                              <w:rPr>
                                <w:rFonts w:ascii="Nyala" w:hAnsi="Nyala" w:cstheme="minorHAnsi"/>
                                <w:b/>
                                <w:i/>
                                <w:sz w:val="24"/>
                                <w:szCs w:val="24"/>
                              </w:rPr>
                              <w:t>Interventions santé maternelle et néonatale</w:t>
                            </w:r>
                            <w:r w:rsidRPr="00141D20">
                              <w:rPr>
                                <w:rFonts w:ascii="Nyala" w:hAnsi="Nyala" w:cstheme="minorHAnsi"/>
                                <w:sz w:val="24"/>
                                <w:szCs w:val="24"/>
                              </w:rPr>
                              <w:t xml:space="preserve">, </w:t>
                            </w:r>
                            <w:r w:rsidRPr="00141D20">
                              <w:rPr>
                                <w:rFonts w:ascii="Nyala" w:hAnsi="Nyala" w:cstheme="minorHAnsi"/>
                                <w:color w:val="000000" w:themeColor="text1"/>
                                <w:kern w:val="24"/>
                                <w:sz w:val="24"/>
                                <w:szCs w:val="24"/>
                              </w:rPr>
                              <w:t>la consultation prénatale (CPN);</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sz w:val="24"/>
                                <w:szCs w:val="24"/>
                              </w:rPr>
                              <w:t xml:space="preserve">le traitement </w:t>
                            </w:r>
                            <w:r w:rsidRPr="00141D20">
                              <w:rPr>
                                <w:rFonts w:ascii="Nyala" w:hAnsi="Nyala" w:cstheme="minorHAnsi"/>
                                <w:color w:val="000000" w:themeColor="text1"/>
                                <w:kern w:val="24"/>
                                <w:sz w:val="24"/>
                                <w:szCs w:val="24"/>
                              </w:rPr>
                              <w:t>intermittent préventif du paludisme (TPI);</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les femmes enceintes dormant sous une MII  (MILDA)</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 SRO - Solution de Réhydratation Orale</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l'utilisation du zinc pour le traitement de la diarrhée</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l’ACT (traitement du paludisme)</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les antibiotiques pour traitement de la pneumonie</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 KMC (Méthode mère kangourou)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F16A" id="Zone de texte 104" o:spid="_x0000_s1055" type="#_x0000_t202" style="position:absolute;left:0;text-align:left;margin-left:9.75pt;margin-top:135.45pt;width:455.3pt;height:336.3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" filled="f" strokeweight=".5pt">
                <v:path arrowok="t"/>
                <v:textbox>
                  <w:txbxContent>
                    <w:p w:rsidR="00146325" w:rsidRPr="00DD0F60" w:rsidRDefault="00146325" w:rsidP="00DD0F60">
                      <w:pPr>
                        <w:spacing w:after="0" w:line="240" w:lineRule="auto"/>
                        <w:jc w:val="center"/>
                        <w:textAlignment w:val="center"/>
                        <w:rPr>
                          <w:rStyle w:val="Rfrenceintense"/>
                        </w:rPr>
                      </w:pPr>
                      <w:r w:rsidRPr="00DD0F60">
                        <w:rPr>
                          <w:rStyle w:val="Rfrenceintense"/>
                        </w:rPr>
                        <w:t>Encadré 1</w:t>
                      </w:r>
                    </w:p>
                    <w:p w:rsidR="00146325" w:rsidRPr="00141D20" w:rsidRDefault="00146325" w:rsidP="001C4C19">
                      <w:pPr>
                        <w:spacing w:after="0" w:line="240" w:lineRule="auto"/>
                        <w:textAlignment w:val="center"/>
                        <w:rPr>
                          <w:rFonts w:ascii="Nyala" w:eastAsiaTheme="minorEastAsia" w:hAnsi="Nyala" w:cstheme="minorHAnsi"/>
                          <w:i/>
                          <w:kern w:val="24"/>
                          <w:sz w:val="24"/>
                          <w:szCs w:val="24"/>
                        </w:rPr>
                      </w:pPr>
                      <w:r w:rsidRPr="00141D20">
                        <w:rPr>
                          <w:rFonts w:ascii="Nyala" w:eastAsiaTheme="minorEastAsia" w:hAnsi="Nyala" w:cstheme="minorHAnsi"/>
                          <w:i/>
                          <w:kern w:val="24"/>
                          <w:sz w:val="24"/>
                          <w:szCs w:val="24"/>
                          <w:lang w:val="sk-SK" w:eastAsia="fo-FO"/>
                        </w:rPr>
                        <w:t xml:space="preserve">Types d‘ </w:t>
                      </w:r>
                      <w:r w:rsidRPr="00141D20">
                        <w:rPr>
                          <w:rFonts w:ascii="Nyala" w:eastAsiaTheme="minorEastAsia" w:hAnsi="Nyala" w:cstheme="minorHAnsi"/>
                          <w:b/>
                          <w:i/>
                          <w:kern w:val="24"/>
                          <w:sz w:val="24"/>
                          <w:szCs w:val="24"/>
                        </w:rPr>
                        <w:t>i</w:t>
                      </w:r>
                      <w:r w:rsidRPr="00141D20">
                        <w:rPr>
                          <w:rFonts w:ascii="Nyala" w:eastAsiaTheme="minorEastAsia" w:hAnsi="Nyala" w:cstheme="minorHAnsi"/>
                          <w:b/>
                          <w:i/>
                          <w:kern w:val="24"/>
                          <w:sz w:val="24"/>
                          <w:szCs w:val="24"/>
                          <w:lang w:eastAsia="fo-FO"/>
                        </w:rPr>
                        <w:t>nterventions préventives spécifiques à la nutrition</w:t>
                      </w:r>
                      <w:r w:rsidRPr="00141D20">
                        <w:rPr>
                          <w:rFonts w:ascii="Nyala" w:eastAsiaTheme="minorEastAsia" w:hAnsi="Nyala" w:cstheme="minorHAnsi"/>
                          <w:i/>
                          <w:kern w:val="24"/>
                          <w:sz w:val="24"/>
                          <w:szCs w:val="24"/>
                        </w:rPr>
                        <w:t>,</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 supplémentation quotidienne en acide folique et fer (femmes enceintes) ;</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 supplémentation quotidienne en acide folique et fer (adolescentes) ;</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le conseil en allaitement et soutien ;</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les conseils sur l'alimentation complémentaire et de soutien ;</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le renforcement à domicile des aliments avec des poudres enrichies en micronutriments multiples ;</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 supplémentation en vitamine A ;</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le déparasitage ;</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 supplémentation nutritionnelle généralisée - période de soudure ;</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sz w:val="24"/>
                          <w:szCs w:val="24"/>
                        </w:rPr>
                      </w:pPr>
                      <w:r w:rsidRPr="00141D20">
                        <w:rPr>
                          <w:rFonts w:ascii="Nyala" w:hAnsi="Nyala" w:cstheme="minorHAnsi"/>
                          <w:color w:val="000000" w:themeColor="text1"/>
                          <w:kern w:val="24"/>
                          <w:sz w:val="24"/>
                          <w:szCs w:val="24"/>
                        </w:rPr>
                        <w:t>la supplémentation nutritionnelle généralisée – Urgence.</w:t>
                      </w:r>
                    </w:p>
                    <w:p w:rsidR="00146325" w:rsidRPr="00141D20" w:rsidRDefault="00146325" w:rsidP="001C4C19">
                      <w:pPr>
                        <w:spacing w:after="0"/>
                        <w:rPr>
                          <w:rFonts w:ascii="Nyala" w:hAnsi="Nyala" w:cstheme="minorHAnsi"/>
                          <w:sz w:val="24"/>
                          <w:szCs w:val="24"/>
                        </w:rPr>
                      </w:pPr>
                      <w:r w:rsidRPr="00141D20">
                        <w:rPr>
                          <w:rFonts w:ascii="Nyala" w:hAnsi="Nyala" w:cstheme="minorHAnsi"/>
                          <w:sz w:val="24"/>
                          <w:szCs w:val="24"/>
                        </w:rPr>
                        <w:t>Types d’</w:t>
                      </w:r>
                      <w:r w:rsidRPr="00141D20">
                        <w:rPr>
                          <w:rFonts w:ascii="Nyala" w:eastAsiaTheme="minorEastAsia" w:hAnsi="Nyala" w:cstheme="minorHAnsi"/>
                          <w:b/>
                          <w:i/>
                          <w:kern w:val="24"/>
                          <w:sz w:val="24"/>
                          <w:szCs w:val="24"/>
                          <w:lang w:val="sk-SK" w:eastAsia="fo-FO"/>
                        </w:rPr>
                        <w:t>Interventions curatives spécifiques à la nutrition</w:t>
                      </w:r>
                      <w:r w:rsidRPr="00141D20">
                        <w:rPr>
                          <w:rFonts w:ascii="Nyala" w:eastAsiaTheme="minorEastAsia" w:hAnsi="Nyala" w:cstheme="minorHAnsi"/>
                          <w:i/>
                          <w:kern w:val="24"/>
                          <w:sz w:val="24"/>
                          <w:szCs w:val="24"/>
                          <w:lang w:val="sk-SK" w:eastAsia="fo-FO"/>
                        </w:rPr>
                        <w:t>,:</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 prise en charge de la malnutrition sévère  (MAS)</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 prise en charge de la malnutrition aiguë modérée (MAM)</w:t>
                      </w:r>
                    </w:p>
                    <w:p w:rsidR="00146325" w:rsidRPr="00141D20" w:rsidRDefault="00146325" w:rsidP="001C4C19">
                      <w:pPr>
                        <w:spacing w:after="0"/>
                        <w:rPr>
                          <w:rFonts w:ascii="Nyala" w:hAnsi="Nyala" w:cstheme="minorHAnsi"/>
                          <w:color w:val="000000" w:themeColor="text1"/>
                          <w:kern w:val="24"/>
                          <w:sz w:val="24"/>
                          <w:szCs w:val="24"/>
                        </w:rPr>
                      </w:pPr>
                      <w:r w:rsidRPr="00141D20">
                        <w:rPr>
                          <w:rFonts w:ascii="Nyala" w:hAnsi="Nyala" w:cstheme="minorHAnsi"/>
                          <w:sz w:val="24"/>
                          <w:szCs w:val="24"/>
                        </w:rPr>
                        <w:t xml:space="preserve">Types  </w:t>
                      </w:r>
                      <w:r w:rsidRPr="00141D20">
                        <w:rPr>
                          <w:rFonts w:ascii="Nyala" w:hAnsi="Nyala" w:cstheme="minorHAnsi"/>
                          <w:b/>
                          <w:i/>
                          <w:sz w:val="24"/>
                          <w:szCs w:val="24"/>
                        </w:rPr>
                        <w:t>Interventions santé maternelle et néonatale</w:t>
                      </w:r>
                      <w:r w:rsidRPr="00141D20">
                        <w:rPr>
                          <w:rFonts w:ascii="Nyala" w:hAnsi="Nyala" w:cstheme="minorHAnsi"/>
                          <w:sz w:val="24"/>
                          <w:szCs w:val="24"/>
                        </w:rPr>
                        <w:t xml:space="preserve">, </w:t>
                      </w:r>
                      <w:r w:rsidRPr="00141D20">
                        <w:rPr>
                          <w:rFonts w:ascii="Nyala" w:hAnsi="Nyala" w:cstheme="minorHAnsi"/>
                          <w:color w:val="000000" w:themeColor="text1"/>
                          <w:kern w:val="24"/>
                          <w:sz w:val="24"/>
                          <w:szCs w:val="24"/>
                        </w:rPr>
                        <w:t>la consultation prénatale (CPN);</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sz w:val="24"/>
                          <w:szCs w:val="24"/>
                        </w:rPr>
                        <w:t xml:space="preserve">le traitement </w:t>
                      </w:r>
                      <w:r w:rsidRPr="00141D20">
                        <w:rPr>
                          <w:rFonts w:ascii="Nyala" w:hAnsi="Nyala" w:cstheme="minorHAnsi"/>
                          <w:color w:val="000000" w:themeColor="text1"/>
                          <w:kern w:val="24"/>
                          <w:sz w:val="24"/>
                          <w:szCs w:val="24"/>
                        </w:rPr>
                        <w:t>intermittent préventif du paludisme (TPI);</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les femmes enceintes dormant sous une MII  (MILDA)</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 SRO - Solution de Réhydratation Orale</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l'utilisation du zinc pour le traitement de la diarrhée</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l’ACT (traitement du paludisme)</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les antibiotiques pour traitement de la pneumonie</w:t>
                      </w:r>
                    </w:p>
                    <w:p w:rsidR="00146325" w:rsidRPr="00141D20" w:rsidRDefault="00146325" w:rsidP="001C4C19">
                      <w:pPr>
                        <w:pStyle w:val="Paragraphedeliste"/>
                        <w:numPr>
                          <w:ilvl w:val="0"/>
                          <w:numId w:val="24"/>
                        </w:numPr>
                        <w:spacing w:before="0" w:after="0" w:line="240" w:lineRule="auto"/>
                        <w:textAlignment w:val="center"/>
                        <w:rPr>
                          <w:rFonts w:ascii="Nyala" w:hAnsi="Nyala" w:cstheme="minorHAnsi"/>
                          <w:color w:val="000000" w:themeColor="text1"/>
                          <w:kern w:val="24"/>
                          <w:sz w:val="24"/>
                          <w:szCs w:val="24"/>
                        </w:rPr>
                      </w:pPr>
                      <w:r w:rsidRPr="00141D20">
                        <w:rPr>
                          <w:rFonts w:ascii="Nyala" w:hAnsi="Nyala" w:cstheme="minorHAnsi"/>
                          <w:color w:val="000000" w:themeColor="text1"/>
                          <w:kern w:val="24"/>
                          <w:sz w:val="24"/>
                          <w:szCs w:val="24"/>
                        </w:rPr>
                        <w:t>la KMC (Méthode mère kangourou)</w:t>
                      </w:r>
                    </w:p>
                  </w:txbxContent>
                </v:textbox>
                <w10:wrap type="square" anchorx="margin"/>
              </v:shape>
            </w:pict>
          </mc:Fallback>
        </mc:AlternateContent>
      </w:r>
      <w:r w:rsidR="001C4C19" w:rsidRPr="006866D3">
        <w:rPr>
          <w:rFonts w:ascii="Nyala" w:hAnsi="Nyala"/>
          <w:sz w:val="28"/>
          <w:szCs w:val="28"/>
        </w:rPr>
        <w:t>Pour arriver à cette performance, il faudrait concentrer les interventions dans des zones cibles de forte prévalence de la malnutrition ou assurer une couverture complète d’un paquet d’actions sur l’ensemble du territoire. Ce paquet d’interventions comprend des mesures préventives et curatives spécifiques à la malnutrition et également des mesures sensibles à la nutrition (voir Encadré) et qui relèvent des domaines comme le développement agricole, la santé, l’hygiène, l’assainissement, le bien-être, la réduction des inégalités, l’autonomisation économique de la femme …</w:t>
      </w:r>
    </w:p>
    <w:p w:rsidR="001C4C19" w:rsidRDefault="001C4C19" w:rsidP="001C4C19">
      <w:pPr>
        <w:jc w:val="both"/>
        <w:rPr>
          <w:rFonts w:ascii="Nyala" w:hAnsi="Nyala"/>
          <w:sz w:val="28"/>
          <w:szCs w:val="28"/>
        </w:rPr>
      </w:pPr>
    </w:p>
    <w:p w:rsidR="008D0202" w:rsidRPr="009B11E1" w:rsidRDefault="008D0202" w:rsidP="001C4C19">
      <w:pPr>
        <w:jc w:val="both"/>
        <w:rPr>
          <w:rStyle w:val="Rfrenceintense"/>
          <w:sz w:val="28"/>
          <w:szCs w:val="28"/>
        </w:rPr>
      </w:pPr>
      <w:r w:rsidRPr="009B11E1">
        <w:rPr>
          <w:rStyle w:val="Rfrenceintense"/>
          <w:sz w:val="28"/>
          <w:szCs w:val="28"/>
        </w:rPr>
        <w:t>De la maîtrise des coûts</w:t>
      </w:r>
    </w:p>
    <w:p w:rsidR="001C4C19" w:rsidRPr="006866D3" w:rsidRDefault="001C4C19" w:rsidP="001C4C19">
      <w:pPr>
        <w:jc w:val="both"/>
        <w:rPr>
          <w:rFonts w:ascii="Nyala" w:hAnsi="Nyala"/>
          <w:sz w:val="28"/>
          <w:szCs w:val="28"/>
        </w:rPr>
      </w:pPr>
      <w:r w:rsidRPr="006866D3">
        <w:rPr>
          <w:rFonts w:ascii="Nyala" w:hAnsi="Nyala"/>
          <w:sz w:val="28"/>
          <w:szCs w:val="28"/>
        </w:rPr>
        <w:t xml:space="preserve">L’étude du HC3N fait ressortir l’intérêt d’une concentration des interventions dans les régions les plus affectées, du moins en termes de coût-efficacité. </w:t>
      </w:r>
    </w:p>
    <w:p w:rsidR="006C6EC5" w:rsidRDefault="00146983" w:rsidP="001C4C19">
      <w:pPr>
        <w:jc w:val="both"/>
        <w:rPr>
          <w:rFonts w:ascii="Nyala" w:hAnsi="Nyala"/>
          <w:sz w:val="28"/>
          <w:szCs w:val="28"/>
        </w:rPr>
      </w:pPr>
      <w:r>
        <w:rPr>
          <w:rFonts w:ascii="Nyala" w:hAnsi="Nyala"/>
          <w:noProof/>
          <w:sz w:val="28"/>
          <w:szCs w:val="28"/>
          <w:lang w:eastAsia="fr-FR"/>
        </w:rPr>
        <mc:AlternateContent>
          <mc:Choice Requires="wps">
            <w:drawing>
              <wp:anchor distT="0" distB="0" distL="114300" distR="114300" simplePos="0" relativeHeight="251970560" behindDoc="0" locked="0" layoutInCell="1" allowOverlap="1" wp14:anchorId="5B81E0B3">
                <wp:simplePos x="0" y="0"/>
                <wp:positionH relativeFrom="margin">
                  <wp:align>right</wp:align>
                </wp:positionH>
                <wp:positionV relativeFrom="paragraph">
                  <wp:posOffset>371475</wp:posOffset>
                </wp:positionV>
                <wp:extent cx="4154805" cy="2851785"/>
                <wp:effectExtent l="0" t="0" r="17145" b="24765"/>
                <wp:wrapSquare wrapText="bothSides"/>
                <wp:docPr id="105" name="Zone de text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4805" cy="2851785"/>
                        </a:xfrm>
                        <a:prstGeom prst="rect">
                          <a:avLst/>
                        </a:prstGeom>
                        <a:noFill/>
                        <a:ln w="6350">
                          <a:solidFill>
                            <a:prstClr val="black"/>
                          </a:solidFill>
                        </a:ln>
                        <a:effectLst/>
                      </wps:spPr>
                      <wps:txbx>
                        <w:txbxContent>
                          <w:p w:rsidR="00146325" w:rsidRDefault="00146325" w:rsidP="001C4C19">
                            <w:pPr>
                              <w:pStyle w:val="Lgende"/>
                              <w:keepNext/>
                              <w:jc w:val="both"/>
                            </w:pPr>
                            <w:bookmarkStart w:id="413" w:name="_Toc526120090"/>
                            <w:r>
                              <w:t xml:space="preserve">Figure </w:t>
                            </w:r>
                            <w:r w:rsidR="00C73EE5">
                              <w:fldChar w:fldCharType="begin"/>
                            </w:r>
                            <w:r w:rsidR="00C73EE5">
                              <w:instrText xml:space="preserve"> SEQ Figure \* ARABIC </w:instrText>
                            </w:r>
                            <w:r w:rsidR="00C73EE5">
                              <w:fldChar w:fldCharType="separate"/>
                            </w:r>
                            <w:r>
                              <w:rPr>
                                <w:noProof/>
                              </w:rPr>
                              <w:t>24</w:t>
                            </w:r>
                            <w:r w:rsidR="00C73EE5">
                              <w:rPr>
                                <w:noProof/>
                              </w:rPr>
                              <w:fldChar w:fldCharType="end"/>
                            </w:r>
                            <w:r>
                              <w:t xml:space="preserve"> - Coût d'interventions pour une réduction de la malnutrition</w:t>
                            </w:r>
                            <w:bookmarkEnd w:id="413"/>
                          </w:p>
                          <w:p w:rsidR="00146325" w:rsidRDefault="00146325" w:rsidP="001C4C19">
                            <w:pPr>
                              <w:spacing w:line="240" w:lineRule="auto"/>
                              <w:jc w:val="both"/>
                            </w:pPr>
                            <w:r w:rsidRPr="00FE0B1E">
                              <w:rPr>
                                <w:noProof/>
                                <w:lang w:eastAsia="fr-FR"/>
                              </w:rPr>
                              <w:drawing>
                                <wp:inline distT="0" distB="0" distL="0" distR="0">
                                  <wp:extent cx="3888690" cy="2094931"/>
                                  <wp:effectExtent l="0" t="0" r="0" b="63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06562" cy="2104559"/>
                                          </a:xfrm>
                                          <a:prstGeom prst="rect">
                                            <a:avLst/>
                                          </a:prstGeom>
                                          <a:noFill/>
                                          <a:ln>
                                            <a:noFill/>
                                          </a:ln>
                                        </pic:spPr>
                                      </pic:pic>
                                    </a:graphicData>
                                  </a:graphic>
                                </wp:inline>
                              </w:drawing>
                            </w:r>
                          </w:p>
                          <w:p w:rsidR="00146325" w:rsidRPr="00011131" w:rsidRDefault="00146325" w:rsidP="001C4C19">
                            <w:pPr>
                              <w:spacing w:before="0" w:after="0" w:line="240" w:lineRule="auto"/>
                              <w:jc w:val="both"/>
                            </w:pPr>
                            <w:r>
                              <w:t>Source : étude HC3N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1E0B3" id="Zone de texte 105" o:spid="_x0000_s1056" type="#_x0000_t202" style="position:absolute;left:0;text-align:left;margin-left:275.95pt;margin-top:29.25pt;width:327.15pt;height:224.55pt;z-index:25197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" filled="f" strokeweight=".5pt">
                <v:path arrowok="t"/>
                <v:textbox>
                  <w:txbxContent>
                    <w:p w:rsidR="00146325" w:rsidRDefault="00146325" w:rsidP="001C4C19">
                      <w:pPr>
                        <w:pStyle w:val="Lgende"/>
                        <w:keepNext/>
                        <w:jc w:val="both"/>
                      </w:pPr>
                      <w:bookmarkStart w:id="414" w:name="_Toc526120090"/>
                      <w:r>
                        <w:t xml:space="preserve">Figure </w:t>
                      </w:r>
                      <w:r w:rsidR="00C73EE5">
                        <w:fldChar w:fldCharType="begin"/>
                      </w:r>
                      <w:r w:rsidR="00C73EE5">
                        <w:instrText xml:space="preserve"> SEQ Figure \* ARABIC </w:instrText>
                      </w:r>
                      <w:r w:rsidR="00C73EE5">
                        <w:fldChar w:fldCharType="separate"/>
                      </w:r>
                      <w:r>
                        <w:rPr>
                          <w:noProof/>
                        </w:rPr>
                        <w:t>24</w:t>
                      </w:r>
                      <w:r w:rsidR="00C73EE5">
                        <w:rPr>
                          <w:noProof/>
                        </w:rPr>
                        <w:fldChar w:fldCharType="end"/>
                      </w:r>
                      <w:r>
                        <w:t xml:space="preserve"> - Coût d'interventions pour une réduction de la malnutrition</w:t>
                      </w:r>
                      <w:bookmarkEnd w:id="414"/>
                    </w:p>
                    <w:p w:rsidR="00146325" w:rsidRDefault="00146325" w:rsidP="001C4C19">
                      <w:pPr>
                        <w:spacing w:line="240" w:lineRule="auto"/>
                        <w:jc w:val="both"/>
                      </w:pPr>
                      <w:r w:rsidRPr="00FE0B1E">
                        <w:rPr>
                          <w:noProof/>
                          <w:lang w:eastAsia="fr-FR"/>
                        </w:rPr>
                        <w:drawing>
                          <wp:inline distT="0" distB="0" distL="0" distR="0">
                            <wp:extent cx="3888690" cy="2094931"/>
                            <wp:effectExtent l="0" t="0" r="0" b="63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06562" cy="2104559"/>
                                    </a:xfrm>
                                    <a:prstGeom prst="rect">
                                      <a:avLst/>
                                    </a:prstGeom>
                                    <a:noFill/>
                                    <a:ln>
                                      <a:noFill/>
                                    </a:ln>
                                  </pic:spPr>
                                </pic:pic>
                              </a:graphicData>
                            </a:graphic>
                          </wp:inline>
                        </w:drawing>
                      </w:r>
                    </w:p>
                    <w:p w:rsidR="00146325" w:rsidRPr="00011131" w:rsidRDefault="00146325" w:rsidP="001C4C19">
                      <w:pPr>
                        <w:spacing w:before="0" w:after="0" w:line="240" w:lineRule="auto"/>
                        <w:jc w:val="both"/>
                      </w:pPr>
                      <w:r>
                        <w:t>Source : étude HC3N</w:t>
                      </w:r>
                    </w:p>
                  </w:txbxContent>
                </v:textbox>
                <w10:wrap type="square" anchorx="margin"/>
              </v:shape>
            </w:pict>
          </mc:Fallback>
        </mc:AlternateContent>
      </w:r>
      <w:r w:rsidR="001C4C19" w:rsidRPr="006866D3">
        <w:rPr>
          <w:rFonts w:ascii="Nyala" w:hAnsi="Nyala"/>
          <w:sz w:val="28"/>
          <w:szCs w:val="28"/>
        </w:rPr>
        <w:t>En effet, si toutes les régions devraient être couvertes par le paquet d’intervention, il faudrait investir en 5 ans, 867 millions USD, alors qu’en sélectionnant les types d’actions et les régions à couvrir, il en faudrait 34% moins de ressources (</w:t>
      </w:r>
      <w:r w:rsidR="001C4C19" w:rsidRPr="006866D3">
        <w:rPr>
          <w:rFonts w:ascii="Nyala" w:hAnsi="Nyala"/>
          <w:b/>
          <w:sz w:val="28"/>
          <w:szCs w:val="28"/>
        </w:rPr>
        <w:t xml:space="preserve">Figure </w:t>
      </w:r>
      <w:r w:rsidR="00D413AC">
        <w:rPr>
          <w:rFonts w:ascii="Nyala" w:hAnsi="Nyala"/>
          <w:b/>
          <w:sz w:val="28"/>
          <w:szCs w:val="28"/>
        </w:rPr>
        <w:t>24</w:t>
      </w:r>
      <w:r w:rsidR="001C4C19" w:rsidRPr="006866D3">
        <w:rPr>
          <w:rFonts w:ascii="Nyala" w:hAnsi="Nyala"/>
          <w:sz w:val="28"/>
          <w:szCs w:val="28"/>
        </w:rPr>
        <w:t xml:space="preserve">), soit 61 milliards de FCFA par an. En d’autres termes, le Niger devrait consacrer annuellement entre 5% et 3% de son budget à la lutte contre la malnutrition pour atteindre les résultats du PNSN et au-delà arriver à éradiquer la malnutrition aigüe en 2030. </w:t>
      </w:r>
    </w:p>
    <w:p w:rsidR="004D4A4C" w:rsidRDefault="00E84631" w:rsidP="001C4C19">
      <w:pPr>
        <w:jc w:val="both"/>
        <w:rPr>
          <w:rFonts w:ascii="Nyala" w:hAnsi="Nyala"/>
          <w:i/>
          <w:sz w:val="28"/>
          <w:szCs w:val="28"/>
        </w:rPr>
      </w:pPr>
      <w:r w:rsidRPr="00141D20">
        <w:rPr>
          <w:rFonts w:ascii="Nyala" w:hAnsi="Nyala"/>
          <w:i/>
          <w:sz w:val="28"/>
          <w:szCs w:val="28"/>
        </w:rPr>
        <w:t xml:space="preserve">Cependant, il ne paraît </w:t>
      </w:r>
      <w:r w:rsidR="00CF2953" w:rsidRPr="00141D20">
        <w:rPr>
          <w:rFonts w:ascii="Nyala" w:hAnsi="Nyala"/>
          <w:i/>
          <w:sz w:val="28"/>
          <w:szCs w:val="28"/>
        </w:rPr>
        <w:t xml:space="preserve">judicieux de privilégier des régions au détriment d’autres dans la lutte contre l’insécurité alimentaire et la malnutrition. Le Niger s’est engagé dans un processus d’aménagement équilibré du territoire et d’une croissance inclusive profitable à tous. </w:t>
      </w:r>
    </w:p>
    <w:p w:rsidR="004D4A4C" w:rsidRDefault="00CF2953" w:rsidP="001C4C19">
      <w:pPr>
        <w:jc w:val="both"/>
        <w:rPr>
          <w:rFonts w:ascii="Nyala" w:hAnsi="Nyala"/>
          <w:i/>
          <w:sz w:val="28"/>
          <w:szCs w:val="28"/>
        </w:rPr>
      </w:pPr>
      <w:r w:rsidRPr="00141D20">
        <w:rPr>
          <w:rFonts w:ascii="Nyala" w:hAnsi="Nyala"/>
          <w:i/>
          <w:sz w:val="28"/>
          <w:szCs w:val="28"/>
        </w:rPr>
        <w:t>De même, il ne paraît pas soutenable de faire supporter à la seule puissance publique, le fardeau de la protection sociale et de la prise en charge des personnes en situation d’urgence humanitaire. De nouveaux mécanismes de financement du soutien aux personnes vulnérables devraient être identifiés en explorant davantage sur l’in</w:t>
      </w:r>
      <w:r w:rsidR="00456A2E" w:rsidRPr="00141D20">
        <w:rPr>
          <w:rFonts w:ascii="Nyala" w:hAnsi="Nyala"/>
          <w:i/>
          <w:sz w:val="28"/>
          <w:szCs w:val="28"/>
        </w:rPr>
        <w:t xml:space="preserve">tervention du secteur privé, le renforcement de la solidarité sociale et la mutualisation des risques par les citoyens eux-mêmes. </w:t>
      </w:r>
    </w:p>
    <w:p w:rsidR="00CF2953" w:rsidRPr="00141D20" w:rsidRDefault="00456A2E" w:rsidP="001C4C19">
      <w:pPr>
        <w:jc w:val="both"/>
        <w:rPr>
          <w:rFonts w:ascii="Nyala" w:hAnsi="Nyala"/>
          <w:i/>
          <w:sz w:val="28"/>
          <w:szCs w:val="28"/>
        </w:rPr>
      </w:pPr>
      <w:r>
        <w:rPr>
          <w:rFonts w:ascii="Nyala" w:hAnsi="Nyala"/>
          <w:i/>
          <w:sz w:val="28"/>
          <w:szCs w:val="28"/>
        </w:rPr>
        <w:t>Parallèlement, les actions ayant déjà fait leur preuve, qu’il s’agisse de la prévention, de la prise en charge des enfants malnutris et celles en faveur de la santé maternelle et néonatale devraient être renforcées et étendues grâce à la mise en œuvre effective des politiques publiques de santé, de nutrition ou de protection sociale.</w:t>
      </w:r>
    </w:p>
    <w:p w:rsidR="00456A2E" w:rsidRDefault="00456A2E">
      <w:pPr>
        <w:rPr>
          <w:rFonts w:ascii="Nyala" w:hAnsi="Nyala"/>
          <w:sz w:val="28"/>
          <w:szCs w:val="28"/>
        </w:rPr>
      </w:pPr>
    </w:p>
    <w:p w:rsidR="004D4A4C" w:rsidRDefault="004D4A4C">
      <w:pPr>
        <w:rPr>
          <w:rFonts w:ascii="Nyala" w:hAnsi="Nyala"/>
          <w:sz w:val="28"/>
          <w:szCs w:val="28"/>
        </w:rPr>
      </w:pPr>
    </w:p>
    <w:p w:rsidR="004D4A4C" w:rsidRDefault="004D4A4C">
      <w:pPr>
        <w:rPr>
          <w:rFonts w:ascii="Nyala" w:hAnsi="Nyala"/>
          <w:sz w:val="28"/>
          <w:szCs w:val="28"/>
        </w:rPr>
      </w:pPr>
    </w:p>
    <w:p w:rsidR="006C6EC5" w:rsidRPr="00141D20" w:rsidRDefault="006C6EC5" w:rsidP="00141D20">
      <w:pPr>
        <w:pStyle w:val="Titre2"/>
        <w:numPr>
          <w:ilvl w:val="1"/>
          <w:numId w:val="2"/>
        </w:numPr>
        <w:rPr>
          <w:sz w:val="28"/>
          <w:szCs w:val="28"/>
        </w:rPr>
      </w:pPr>
      <w:bookmarkStart w:id="415" w:name="_Toc526119977"/>
      <w:r w:rsidRPr="00141D20">
        <w:rPr>
          <w:sz w:val="28"/>
          <w:szCs w:val="28"/>
        </w:rPr>
        <w:t xml:space="preserve">Etat des lieux sur la </w:t>
      </w:r>
      <w:r w:rsidR="00774A36">
        <w:rPr>
          <w:sz w:val="28"/>
          <w:szCs w:val="28"/>
        </w:rPr>
        <w:t xml:space="preserve">disponibilité alimentaire et la </w:t>
      </w:r>
      <w:r w:rsidRPr="00141D20">
        <w:rPr>
          <w:sz w:val="28"/>
          <w:szCs w:val="28"/>
        </w:rPr>
        <w:t>productivité agricole</w:t>
      </w:r>
      <w:bookmarkEnd w:id="415"/>
    </w:p>
    <w:p w:rsidR="001C4C19" w:rsidRDefault="001C4C19" w:rsidP="001C4C19">
      <w:pPr>
        <w:jc w:val="both"/>
        <w:rPr>
          <w:rFonts w:ascii="Nyala" w:hAnsi="Nyala"/>
          <w:sz w:val="28"/>
          <w:szCs w:val="28"/>
        </w:rPr>
      </w:pPr>
    </w:p>
    <w:p w:rsidR="002C0882" w:rsidRDefault="002C0882" w:rsidP="00D5078B">
      <w:pPr>
        <w:jc w:val="both"/>
        <w:rPr>
          <w:rFonts w:ascii="Nyala" w:hAnsi="Nyala"/>
          <w:sz w:val="28"/>
          <w:szCs w:val="28"/>
        </w:rPr>
      </w:pPr>
      <w:bookmarkStart w:id="416" w:name="_Toc525322223"/>
      <w:bookmarkStart w:id="417" w:name="_Toc525392252"/>
      <w:bookmarkStart w:id="418" w:name="_Toc525392403"/>
      <w:bookmarkStart w:id="419" w:name="_Toc525392545"/>
      <w:bookmarkStart w:id="420" w:name="_Toc525392743"/>
      <w:bookmarkStart w:id="421" w:name="_Toc525392959"/>
      <w:bookmarkStart w:id="422" w:name="_Toc525393344"/>
      <w:bookmarkEnd w:id="416"/>
      <w:bookmarkEnd w:id="417"/>
      <w:bookmarkEnd w:id="418"/>
      <w:bookmarkEnd w:id="419"/>
      <w:bookmarkEnd w:id="420"/>
      <w:bookmarkEnd w:id="421"/>
      <w:bookmarkEnd w:id="422"/>
      <w:r>
        <w:rPr>
          <w:rFonts w:ascii="Nyala" w:hAnsi="Nyala"/>
          <w:sz w:val="28"/>
          <w:szCs w:val="28"/>
        </w:rPr>
        <w:t xml:space="preserve">L’accroissement de la productivité (et des revenus) des producteurs et la durabilité des systèmes de productions agricoles sont une garantie pour assurer une disponibilité suffisante et stable en produits alimentaires et nutritionnels. Les cibles 2.3 et 2.4 de l’ODD2 les adressent d’une certaine manière. La présente revue tente d’en dresser un état des lieux et surtout de proposer des pistes d’analyse sur les enjeux et défis pour mettre en adéquation la disponibilité locale des différents produits agricoles avec la demande alimentaire spécifique d’une part et pour stabiliser les différentes productions alimentaires dans un contexte de risques agricoles multiples. </w:t>
      </w:r>
    </w:p>
    <w:p w:rsidR="002C0882" w:rsidRDefault="002C0882" w:rsidP="00D5078B">
      <w:pPr>
        <w:jc w:val="both"/>
        <w:rPr>
          <w:rFonts w:ascii="Nyala" w:hAnsi="Nyala"/>
          <w:sz w:val="28"/>
          <w:szCs w:val="28"/>
        </w:rPr>
      </w:pPr>
    </w:p>
    <w:p w:rsidR="002C0882" w:rsidRPr="00141D20" w:rsidRDefault="0058462E" w:rsidP="00141D20">
      <w:pPr>
        <w:pStyle w:val="Titre3"/>
        <w:numPr>
          <w:ilvl w:val="2"/>
          <w:numId w:val="2"/>
        </w:numPr>
        <w:rPr>
          <w:sz w:val="28"/>
          <w:szCs w:val="28"/>
        </w:rPr>
      </w:pPr>
      <w:bookmarkStart w:id="423" w:name="_Toc526119978"/>
      <w:r w:rsidRPr="00141D20">
        <w:rPr>
          <w:sz w:val="28"/>
          <w:szCs w:val="28"/>
        </w:rPr>
        <w:t>etat des lieux sur la disponibilité alimentaire</w:t>
      </w:r>
      <w:bookmarkEnd w:id="423"/>
    </w:p>
    <w:p w:rsidR="00A34580" w:rsidRPr="00141D20" w:rsidRDefault="00A34580" w:rsidP="00D5078B">
      <w:pPr>
        <w:jc w:val="both"/>
        <w:rPr>
          <w:rFonts w:ascii="Nyala" w:eastAsia="Times New Roman" w:hAnsi="Nyala" w:cs="Times New Roman"/>
          <w:color w:val="000000"/>
          <w:sz w:val="28"/>
          <w:szCs w:val="28"/>
          <w:lang w:eastAsia="fr-FR"/>
        </w:rPr>
      </w:pPr>
    </w:p>
    <w:p w:rsidR="008277AC" w:rsidRDefault="008277AC" w:rsidP="008064B4">
      <w:pPr>
        <w:jc w:val="both"/>
        <w:rPr>
          <w:rFonts w:ascii="Nyala" w:eastAsia="Times New Roman" w:hAnsi="Nyala" w:cs="Times New Roman"/>
          <w:color w:val="000000"/>
          <w:sz w:val="28"/>
          <w:szCs w:val="28"/>
          <w:lang w:eastAsia="fr-FR"/>
        </w:rPr>
      </w:pPr>
      <w:r w:rsidRPr="00141D20">
        <w:rPr>
          <w:rFonts w:ascii="Nyala" w:eastAsia="Times New Roman" w:hAnsi="Nyala" w:cs="Times New Roman"/>
          <w:color w:val="000000"/>
          <w:sz w:val="28"/>
          <w:szCs w:val="28"/>
          <w:lang w:eastAsia="fr-FR"/>
        </w:rPr>
        <w:t>Au Niger, la première a</w:t>
      </w:r>
      <w:r w:rsidR="00365A4A" w:rsidRPr="00141D20">
        <w:rPr>
          <w:rFonts w:ascii="Nyala" w:eastAsia="Times New Roman" w:hAnsi="Nyala" w:cs="Times New Roman"/>
          <w:color w:val="000000"/>
          <w:sz w:val="28"/>
          <w:szCs w:val="28"/>
          <w:lang w:eastAsia="fr-FR"/>
        </w:rPr>
        <w:t xml:space="preserve">ppréciation </w:t>
      </w:r>
      <w:r w:rsidRPr="00141D20">
        <w:rPr>
          <w:rFonts w:ascii="Nyala" w:eastAsia="Times New Roman" w:hAnsi="Nyala" w:cs="Times New Roman"/>
          <w:color w:val="000000"/>
          <w:sz w:val="28"/>
          <w:szCs w:val="28"/>
          <w:lang w:eastAsia="fr-FR"/>
        </w:rPr>
        <w:t>sur le risque d’insécurité alimentaire repose sur le bilan céréalier et le bilan alimentaire établis annuellement suite à l’estimation des récoltes. Ces bilans établis à partir de normes préétablies de consommation alimentaire permettent une comparaison entre l’offre et la demande alimentaires potentielles.</w:t>
      </w:r>
    </w:p>
    <w:p w:rsidR="008064B4" w:rsidRDefault="008064B4" w:rsidP="008064B4">
      <w:pPr>
        <w:jc w:val="both"/>
        <w:rPr>
          <w:rFonts w:ascii="Nyala" w:eastAsia="Times New Roman" w:hAnsi="Nyala" w:cs="Times New Roman"/>
          <w:color w:val="000000"/>
          <w:sz w:val="28"/>
          <w:szCs w:val="28"/>
          <w:lang w:eastAsia="fr-FR"/>
        </w:rPr>
      </w:pPr>
      <w:r>
        <w:rPr>
          <w:rFonts w:ascii="Nyala" w:eastAsia="Times New Roman" w:hAnsi="Nyala" w:cs="Times New Roman"/>
          <w:color w:val="000000"/>
          <w:sz w:val="28"/>
          <w:szCs w:val="28"/>
          <w:lang w:eastAsia="fr-FR"/>
        </w:rPr>
        <w:t>Le présent chapitre est consacré à l’analyse de la disponibilité et aux enjeux de l’accroissement des productions agricoles dans un contexte de croissance démographique.</w:t>
      </w:r>
    </w:p>
    <w:p w:rsidR="004D4A4C" w:rsidRDefault="00AF580F" w:rsidP="00AF580F">
      <w:pPr>
        <w:jc w:val="both"/>
        <w:rPr>
          <w:rFonts w:ascii="Nyala" w:eastAsia="Times New Roman" w:hAnsi="Nyala" w:cs="Times New Roman"/>
          <w:color w:val="000000"/>
          <w:sz w:val="28"/>
          <w:szCs w:val="28"/>
          <w:lang w:eastAsia="fr-FR"/>
        </w:rPr>
      </w:pPr>
      <w:r w:rsidRPr="00AA4A81">
        <w:rPr>
          <w:rFonts w:ascii="Nyala" w:eastAsia="Times New Roman" w:hAnsi="Nyala" w:cs="Times New Roman"/>
          <w:color w:val="000000"/>
          <w:sz w:val="28"/>
          <w:szCs w:val="28"/>
          <w:lang w:eastAsia="fr-FR"/>
        </w:rPr>
        <w:t xml:space="preserve">L’offre alimentaire provient essentiellement des productions agropastorales locales, des </w:t>
      </w:r>
      <w:r>
        <w:rPr>
          <w:rFonts w:ascii="Nyala" w:eastAsia="Times New Roman" w:hAnsi="Nyala" w:cs="Times New Roman"/>
          <w:color w:val="000000"/>
          <w:sz w:val="28"/>
          <w:szCs w:val="28"/>
          <w:lang w:eastAsia="fr-FR"/>
        </w:rPr>
        <w:t xml:space="preserve">importations </w:t>
      </w:r>
      <w:r w:rsidRPr="00AA4A81">
        <w:rPr>
          <w:rFonts w:ascii="Nyala" w:eastAsia="Times New Roman" w:hAnsi="Nyala" w:cs="Times New Roman"/>
          <w:color w:val="000000"/>
          <w:sz w:val="28"/>
          <w:szCs w:val="28"/>
          <w:lang w:eastAsia="fr-FR"/>
        </w:rPr>
        <w:t xml:space="preserve">et des stocks résiduels </w:t>
      </w:r>
      <w:r>
        <w:rPr>
          <w:rFonts w:ascii="Nyala" w:eastAsia="Times New Roman" w:hAnsi="Nyala" w:cs="Times New Roman"/>
          <w:color w:val="000000"/>
          <w:sz w:val="28"/>
          <w:szCs w:val="28"/>
          <w:lang w:eastAsia="fr-FR"/>
        </w:rPr>
        <w:t xml:space="preserve">pour les 8 à 12 </w:t>
      </w:r>
      <w:r w:rsidRPr="006866D3">
        <w:rPr>
          <w:rFonts w:ascii="Nyala" w:eastAsia="Times New Roman" w:hAnsi="Nyala" w:cs="Times New Roman"/>
          <w:color w:val="000000"/>
          <w:sz w:val="28"/>
          <w:szCs w:val="28"/>
          <w:lang w:eastAsia="fr-FR"/>
        </w:rPr>
        <w:t xml:space="preserve">groupes de produits </w:t>
      </w:r>
      <w:r>
        <w:rPr>
          <w:rFonts w:ascii="Nyala" w:eastAsia="Times New Roman" w:hAnsi="Nyala" w:cs="Times New Roman"/>
          <w:color w:val="000000"/>
          <w:sz w:val="28"/>
          <w:szCs w:val="28"/>
          <w:lang w:eastAsia="fr-FR"/>
        </w:rPr>
        <w:t xml:space="preserve">qui sont pris en compte dans la détermination des différentes classes d’insécurité alimentaire. </w:t>
      </w:r>
    </w:p>
    <w:p w:rsidR="00AF580F" w:rsidRPr="006866D3" w:rsidRDefault="00AF580F" w:rsidP="00AF580F">
      <w:pPr>
        <w:jc w:val="both"/>
        <w:rPr>
          <w:rFonts w:ascii="Nyala" w:eastAsia="Times New Roman" w:hAnsi="Nyala" w:cs="Times New Roman"/>
          <w:color w:val="000000"/>
          <w:sz w:val="28"/>
          <w:szCs w:val="28"/>
          <w:lang w:eastAsia="fr-FR"/>
        </w:rPr>
      </w:pPr>
      <w:r w:rsidRPr="006866D3">
        <w:rPr>
          <w:rFonts w:ascii="Nyala" w:eastAsia="Times New Roman" w:hAnsi="Nyala" w:cs="Times New Roman"/>
          <w:color w:val="000000"/>
          <w:sz w:val="28"/>
          <w:szCs w:val="28"/>
          <w:lang w:eastAsia="fr-FR"/>
        </w:rPr>
        <w:t>Il s’agit principalement de produits végétaux (céréales, légumes, légumineuses …) des produits animaux (viande, produits laitiers) provenant des exploitations familiales agricoles, agropastorales et pastorales et dans une certaine mesure des importations.</w:t>
      </w:r>
    </w:p>
    <w:p w:rsidR="008064B4" w:rsidRDefault="008064B4" w:rsidP="008064B4">
      <w:pPr>
        <w:jc w:val="both"/>
        <w:rPr>
          <w:rFonts w:ascii="Nyala" w:eastAsia="Times New Roman" w:hAnsi="Nyala" w:cs="Times New Roman"/>
          <w:color w:val="000000"/>
          <w:sz w:val="28"/>
          <w:szCs w:val="28"/>
          <w:lang w:eastAsia="fr-FR"/>
        </w:rPr>
      </w:pPr>
    </w:p>
    <w:p w:rsidR="004D4A4C" w:rsidRPr="00141D20" w:rsidRDefault="004D4A4C" w:rsidP="008064B4">
      <w:pPr>
        <w:jc w:val="both"/>
        <w:rPr>
          <w:rFonts w:ascii="Nyala" w:eastAsia="Times New Roman" w:hAnsi="Nyala" w:cs="Times New Roman"/>
          <w:color w:val="000000"/>
          <w:sz w:val="28"/>
          <w:szCs w:val="28"/>
          <w:lang w:eastAsia="fr-FR"/>
        </w:rPr>
      </w:pPr>
    </w:p>
    <w:p w:rsidR="00C75D6A" w:rsidRDefault="00AF580F" w:rsidP="00141D20">
      <w:pPr>
        <w:pStyle w:val="Titre4"/>
        <w:numPr>
          <w:ilvl w:val="3"/>
          <w:numId w:val="2"/>
        </w:numPr>
      </w:pPr>
      <w:r>
        <w:t xml:space="preserve">Disponibilité des produits céréaliers </w:t>
      </w:r>
    </w:p>
    <w:p w:rsidR="00D74E98" w:rsidRDefault="00C75D6A" w:rsidP="00C75D6A">
      <w:pPr>
        <w:jc w:val="both"/>
        <w:rPr>
          <w:rFonts w:ascii="Nyala" w:hAnsi="Nyala"/>
          <w:sz w:val="28"/>
          <w:szCs w:val="28"/>
        </w:rPr>
      </w:pPr>
      <w:r w:rsidRPr="006866D3">
        <w:rPr>
          <w:rFonts w:ascii="Nyala" w:hAnsi="Nyala"/>
          <w:sz w:val="28"/>
          <w:szCs w:val="28"/>
        </w:rPr>
        <w:t>L’offre en produits alimentaires de consommation humaine est surtout assurée par les productions agricoles directement issues de petites exploitations agricoles</w:t>
      </w:r>
      <w:r w:rsidR="00B677BD">
        <w:rPr>
          <w:rFonts w:ascii="Nyala" w:hAnsi="Nyala"/>
          <w:sz w:val="28"/>
          <w:szCs w:val="28"/>
        </w:rPr>
        <w:t xml:space="preserve"> (</w:t>
      </w:r>
      <w:r w:rsidR="00B677BD" w:rsidRPr="00B677BD">
        <w:rPr>
          <w:rFonts w:ascii="Nyala" w:hAnsi="Nyala"/>
          <w:b/>
          <w:sz w:val="28"/>
          <w:szCs w:val="28"/>
        </w:rPr>
        <w:t xml:space="preserve">Tableau </w:t>
      </w:r>
      <w:r w:rsidR="00D413AC">
        <w:rPr>
          <w:rFonts w:ascii="Nyala" w:hAnsi="Nyala"/>
          <w:b/>
          <w:sz w:val="28"/>
          <w:szCs w:val="28"/>
        </w:rPr>
        <w:t>6</w:t>
      </w:r>
      <w:r w:rsidR="00B677BD">
        <w:rPr>
          <w:rFonts w:ascii="Nyala" w:hAnsi="Nyala"/>
          <w:sz w:val="28"/>
          <w:szCs w:val="28"/>
        </w:rPr>
        <w:t>)</w:t>
      </w:r>
      <w:r w:rsidRPr="006866D3">
        <w:rPr>
          <w:rFonts w:ascii="Nyala" w:hAnsi="Nyala"/>
          <w:sz w:val="28"/>
          <w:szCs w:val="28"/>
        </w:rPr>
        <w:t xml:space="preserve">. </w:t>
      </w:r>
    </w:p>
    <w:p w:rsidR="00D74E98" w:rsidRDefault="00D74E98" w:rsidP="00C75D6A">
      <w:pPr>
        <w:jc w:val="both"/>
        <w:rPr>
          <w:rFonts w:ascii="Nyala" w:hAnsi="Nyala"/>
          <w:sz w:val="28"/>
          <w:szCs w:val="28"/>
        </w:rPr>
      </w:pPr>
    </w:p>
    <w:p w:rsidR="00DD0F60" w:rsidRDefault="00DD0F60" w:rsidP="00DD0F60">
      <w:pPr>
        <w:pStyle w:val="Lgende"/>
        <w:rPr>
          <w:rFonts w:ascii="Nyala" w:hAnsi="Nyala"/>
          <w:sz w:val="28"/>
          <w:szCs w:val="28"/>
        </w:rPr>
      </w:pPr>
      <w:bookmarkStart w:id="424" w:name="_Toc526120060"/>
      <w:r>
        <w:t xml:space="preserve">Tableau </w:t>
      </w:r>
      <w:r w:rsidR="00D639F2">
        <w:fldChar w:fldCharType="begin"/>
      </w:r>
      <w:r w:rsidR="00440FAF">
        <w:instrText xml:space="preserve"> SEQ Tableau \* ARABIC </w:instrText>
      </w:r>
      <w:r w:rsidR="00D639F2">
        <w:fldChar w:fldCharType="separate"/>
      </w:r>
      <w:r w:rsidR="00440FAF">
        <w:rPr>
          <w:noProof/>
        </w:rPr>
        <w:t>6</w:t>
      </w:r>
      <w:r w:rsidR="00D639F2">
        <w:fldChar w:fldCharType="end"/>
      </w:r>
      <w:r>
        <w:t xml:space="preserve"> - Evolution de la disponibilité en céréales au Niger</w:t>
      </w:r>
      <w:bookmarkEnd w:id="424"/>
    </w:p>
    <w:tbl>
      <w:tblPr>
        <w:tblW w:w="8777"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3"/>
        <w:gridCol w:w="1500"/>
        <w:gridCol w:w="1200"/>
        <w:gridCol w:w="1780"/>
        <w:gridCol w:w="1780"/>
        <w:gridCol w:w="1780"/>
      </w:tblGrid>
      <w:tr w:rsidR="00832852" w:rsidRPr="00832852" w:rsidTr="00DD0F60">
        <w:trPr>
          <w:trHeight w:val="900"/>
        </w:trPr>
        <w:tc>
          <w:tcPr>
            <w:tcW w:w="737" w:type="dxa"/>
            <w:shd w:val="clear" w:color="auto" w:fill="auto"/>
            <w:noWrap/>
            <w:vAlign w:val="center"/>
            <w:hideMark/>
          </w:tcPr>
          <w:p w:rsidR="00832852" w:rsidRPr="00141D20" w:rsidRDefault="00627B96" w:rsidP="00D5078B">
            <w:pPr>
              <w:spacing w:before="0" w:after="0" w:line="240" w:lineRule="auto"/>
              <w:rPr>
                <w:rFonts w:ascii="Nyala" w:eastAsia="Times New Roman" w:hAnsi="Nyala" w:cs="Times New Roman"/>
                <w:color w:val="000000"/>
                <w:lang w:eastAsia="fr-FR"/>
              </w:rPr>
            </w:pPr>
            <w:r w:rsidRPr="0020633B">
              <w:rPr>
                <w:rFonts w:ascii="Nyala" w:eastAsia="Times New Roman" w:hAnsi="Nyala" w:cs="Times New Roman"/>
                <w:color w:val="000000"/>
                <w:lang w:eastAsia="fr-FR"/>
              </w:rPr>
              <w:t>A</w:t>
            </w:r>
            <w:r w:rsidR="00832852" w:rsidRPr="00141D20">
              <w:rPr>
                <w:rFonts w:ascii="Nyala" w:eastAsia="Times New Roman" w:hAnsi="Nyala" w:cs="Times New Roman"/>
                <w:color w:val="000000"/>
                <w:lang w:eastAsia="fr-FR"/>
              </w:rPr>
              <w:t>nnée</w:t>
            </w:r>
          </w:p>
        </w:tc>
        <w:tc>
          <w:tcPr>
            <w:tcW w:w="1500" w:type="dxa"/>
            <w:shd w:val="clear" w:color="auto" w:fill="auto"/>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Pr>
                <w:rFonts w:ascii="Nyala" w:eastAsia="Times New Roman" w:hAnsi="Nyala" w:cs="Times New Roman"/>
                <w:color w:val="000000"/>
                <w:lang w:eastAsia="fr-FR"/>
              </w:rPr>
              <w:t>Production céréales (t)</w:t>
            </w:r>
          </w:p>
        </w:tc>
        <w:tc>
          <w:tcPr>
            <w:tcW w:w="1200" w:type="dxa"/>
            <w:shd w:val="clear" w:color="auto" w:fill="auto"/>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D5078B">
              <w:rPr>
                <w:rFonts w:ascii="Nyala" w:eastAsia="Times New Roman" w:hAnsi="Nyala" w:cs="Times New Roman"/>
                <w:color w:val="000000"/>
                <w:lang w:eastAsia="fr-FR"/>
              </w:rPr>
              <w:t>Stocks (t)</w:t>
            </w:r>
          </w:p>
        </w:tc>
        <w:tc>
          <w:tcPr>
            <w:tcW w:w="1780" w:type="dxa"/>
            <w:shd w:val="clear" w:color="auto" w:fill="auto"/>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importations commerciales</w:t>
            </w:r>
          </w:p>
        </w:tc>
        <w:tc>
          <w:tcPr>
            <w:tcW w:w="1780" w:type="dxa"/>
            <w:shd w:val="clear" w:color="auto" w:fill="auto"/>
            <w:vAlign w:val="center"/>
            <w:hideMark/>
          </w:tcPr>
          <w:p w:rsidR="00832852" w:rsidRPr="00141D20" w:rsidRDefault="00965E65" w:rsidP="00141D20">
            <w:pPr>
              <w:spacing w:before="0" w:after="0" w:line="240" w:lineRule="auto"/>
              <w:jc w:val="center"/>
              <w:rPr>
                <w:rFonts w:ascii="Nyala" w:eastAsia="Times New Roman" w:hAnsi="Nyala" w:cs="Times New Roman"/>
                <w:color w:val="000000"/>
                <w:lang w:eastAsia="fr-FR"/>
              </w:rPr>
            </w:pPr>
            <w:r w:rsidRPr="00D5078B">
              <w:rPr>
                <w:rFonts w:ascii="Nyala" w:eastAsia="Times New Roman" w:hAnsi="Nyala" w:cs="Times New Roman"/>
                <w:color w:val="000000"/>
                <w:lang w:eastAsia="fr-FR"/>
              </w:rPr>
              <w:t>Total</w:t>
            </w:r>
            <w:r w:rsidR="00832852" w:rsidRPr="00141D20">
              <w:rPr>
                <w:rFonts w:ascii="Nyala" w:eastAsia="Times New Roman" w:hAnsi="Nyala" w:cs="Times New Roman"/>
                <w:color w:val="000000"/>
                <w:lang w:eastAsia="fr-FR"/>
              </w:rPr>
              <w:t xml:space="preserve"> disponible</w:t>
            </w:r>
          </w:p>
        </w:tc>
        <w:tc>
          <w:tcPr>
            <w:tcW w:w="1780" w:type="dxa"/>
            <w:shd w:val="clear" w:color="auto" w:fill="auto"/>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besoins consommation</w:t>
            </w:r>
          </w:p>
        </w:tc>
      </w:tr>
      <w:tr w:rsidR="00832852" w:rsidRPr="00832852" w:rsidTr="00DD0F60">
        <w:trPr>
          <w:trHeight w:val="300"/>
        </w:trPr>
        <w:tc>
          <w:tcPr>
            <w:tcW w:w="737" w:type="dxa"/>
            <w:shd w:val="clear" w:color="auto" w:fill="auto"/>
            <w:noWrap/>
            <w:vAlign w:val="center"/>
            <w:hideMark/>
          </w:tcPr>
          <w:p w:rsidR="00832852" w:rsidRPr="00141D20" w:rsidRDefault="00832852" w:rsidP="00141D20">
            <w:pPr>
              <w:spacing w:before="0" w:after="0" w:line="240" w:lineRule="auto"/>
              <w:rPr>
                <w:rFonts w:ascii="Nyala" w:eastAsia="Times New Roman" w:hAnsi="Nyala" w:cs="Times New Roman"/>
                <w:color w:val="000000"/>
                <w:lang w:eastAsia="fr-FR"/>
              </w:rPr>
            </w:pPr>
            <w:r w:rsidRPr="00141D20">
              <w:rPr>
                <w:rFonts w:ascii="Nyala" w:eastAsia="Times New Roman" w:hAnsi="Nyala" w:cs="Times New Roman"/>
                <w:color w:val="000000"/>
                <w:lang w:eastAsia="fr-FR"/>
              </w:rPr>
              <w:t>2007</w:t>
            </w:r>
          </w:p>
        </w:tc>
        <w:tc>
          <w:tcPr>
            <w:tcW w:w="15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3 262 591</w:t>
            </w:r>
          </w:p>
        </w:tc>
        <w:tc>
          <w:tcPr>
            <w:tcW w:w="12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90 833</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215 658</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3 569 082</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3 198 201</w:t>
            </w:r>
          </w:p>
        </w:tc>
      </w:tr>
      <w:tr w:rsidR="00832852" w:rsidRPr="00832852" w:rsidTr="00DD0F60">
        <w:trPr>
          <w:trHeight w:val="300"/>
        </w:trPr>
        <w:tc>
          <w:tcPr>
            <w:tcW w:w="737" w:type="dxa"/>
            <w:shd w:val="clear" w:color="auto" w:fill="auto"/>
            <w:noWrap/>
            <w:vAlign w:val="center"/>
            <w:hideMark/>
          </w:tcPr>
          <w:p w:rsidR="00832852" w:rsidRPr="00141D20" w:rsidRDefault="00832852" w:rsidP="00141D20">
            <w:pPr>
              <w:spacing w:before="0" w:after="0" w:line="240" w:lineRule="auto"/>
              <w:rPr>
                <w:rFonts w:ascii="Nyala" w:eastAsia="Times New Roman" w:hAnsi="Nyala" w:cs="Times New Roman"/>
                <w:color w:val="000000"/>
                <w:lang w:eastAsia="fr-FR"/>
              </w:rPr>
            </w:pPr>
            <w:r w:rsidRPr="00141D20">
              <w:rPr>
                <w:rFonts w:ascii="Nyala" w:eastAsia="Times New Roman" w:hAnsi="Nyala" w:cs="Times New Roman"/>
                <w:color w:val="000000"/>
                <w:lang w:eastAsia="fr-FR"/>
              </w:rPr>
              <w:t>2008</w:t>
            </w:r>
          </w:p>
        </w:tc>
        <w:tc>
          <w:tcPr>
            <w:tcW w:w="15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4 298 981</w:t>
            </w:r>
          </w:p>
        </w:tc>
        <w:tc>
          <w:tcPr>
            <w:tcW w:w="12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114 099</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318 517</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4 731 597</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3 303 742</w:t>
            </w:r>
          </w:p>
        </w:tc>
      </w:tr>
      <w:tr w:rsidR="00832852" w:rsidRPr="00832852" w:rsidTr="00DD0F60">
        <w:trPr>
          <w:trHeight w:val="300"/>
        </w:trPr>
        <w:tc>
          <w:tcPr>
            <w:tcW w:w="737" w:type="dxa"/>
            <w:shd w:val="clear" w:color="auto" w:fill="auto"/>
            <w:noWrap/>
            <w:vAlign w:val="center"/>
            <w:hideMark/>
          </w:tcPr>
          <w:p w:rsidR="00832852" w:rsidRPr="00141D20" w:rsidRDefault="00832852" w:rsidP="00141D20">
            <w:pPr>
              <w:spacing w:before="0" w:after="0" w:line="240" w:lineRule="auto"/>
              <w:rPr>
                <w:rFonts w:ascii="Nyala" w:eastAsia="Times New Roman" w:hAnsi="Nyala" w:cs="Times New Roman"/>
                <w:color w:val="000000"/>
                <w:lang w:eastAsia="fr-FR"/>
              </w:rPr>
            </w:pPr>
            <w:r w:rsidRPr="00141D20">
              <w:rPr>
                <w:rFonts w:ascii="Nyala" w:eastAsia="Times New Roman" w:hAnsi="Nyala" w:cs="Times New Roman"/>
                <w:color w:val="000000"/>
                <w:lang w:eastAsia="fr-FR"/>
              </w:rPr>
              <w:t>2009</w:t>
            </w:r>
          </w:p>
        </w:tc>
        <w:tc>
          <w:tcPr>
            <w:tcW w:w="15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2 968 025</w:t>
            </w:r>
          </w:p>
        </w:tc>
        <w:tc>
          <w:tcPr>
            <w:tcW w:w="12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206 725</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290 961</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3 465 711</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3 378 686</w:t>
            </w:r>
          </w:p>
        </w:tc>
      </w:tr>
      <w:tr w:rsidR="00832852" w:rsidRPr="00832852" w:rsidTr="00DD0F60">
        <w:trPr>
          <w:trHeight w:val="300"/>
        </w:trPr>
        <w:tc>
          <w:tcPr>
            <w:tcW w:w="737" w:type="dxa"/>
            <w:shd w:val="clear" w:color="auto" w:fill="auto"/>
            <w:noWrap/>
            <w:vAlign w:val="center"/>
            <w:hideMark/>
          </w:tcPr>
          <w:p w:rsidR="00832852" w:rsidRPr="00141D20" w:rsidRDefault="00832852" w:rsidP="00141D20">
            <w:pPr>
              <w:spacing w:before="0" w:after="0" w:line="240" w:lineRule="auto"/>
              <w:rPr>
                <w:rFonts w:ascii="Nyala" w:eastAsia="Times New Roman" w:hAnsi="Nyala" w:cs="Times New Roman"/>
                <w:color w:val="000000"/>
                <w:lang w:eastAsia="fr-FR"/>
              </w:rPr>
            </w:pPr>
            <w:r w:rsidRPr="00141D20">
              <w:rPr>
                <w:rFonts w:ascii="Nyala" w:eastAsia="Times New Roman" w:hAnsi="Nyala" w:cs="Times New Roman"/>
                <w:color w:val="000000"/>
                <w:lang w:eastAsia="fr-FR"/>
              </w:rPr>
              <w:t>2010</w:t>
            </w:r>
          </w:p>
        </w:tc>
        <w:tc>
          <w:tcPr>
            <w:tcW w:w="15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4 750 120</w:t>
            </w:r>
          </w:p>
        </w:tc>
        <w:tc>
          <w:tcPr>
            <w:tcW w:w="12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51 612</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331 787</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5 133 519</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3 538 560</w:t>
            </w:r>
          </w:p>
        </w:tc>
      </w:tr>
      <w:tr w:rsidR="00832852" w:rsidRPr="00832852" w:rsidTr="00DD0F60">
        <w:trPr>
          <w:trHeight w:val="300"/>
        </w:trPr>
        <w:tc>
          <w:tcPr>
            <w:tcW w:w="737" w:type="dxa"/>
            <w:shd w:val="clear" w:color="auto" w:fill="auto"/>
            <w:noWrap/>
            <w:vAlign w:val="center"/>
            <w:hideMark/>
          </w:tcPr>
          <w:p w:rsidR="00832852" w:rsidRPr="00141D20" w:rsidRDefault="00832852" w:rsidP="00141D20">
            <w:pPr>
              <w:spacing w:before="0" w:after="0" w:line="240" w:lineRule="auto"/>
              <w:rPr>
                <w:rFonts w:ascii="Nyala" w:eastAsia="Times New Roman" w:hAnsi="Nyala" w:cs="Times New Roman"/>
                <w:color w:val="000000"/>
                <w:lang w:eastAsia="fr-FR"/>
              </w:rPr>
            </w:pPr>
            <w:r w:rsidRPr="00141D20">
              <w:rPr>
                <w:rFonts w:ascii="Nyala" w:eastAsia="Times New Roman" w:hAnsi="Nyala" w:cs="Times New Roman"/>
                <w:color w:val="000000"/>
                <w:lang w:eastAsia="fr-FR"/>
              </w:rPr>
              <w:t>2011</w:t>
            </w:r>
          </w:p>
        </w:tc>
        <w:tc>
          <w:tcPr>
            <w:tcW w:w="15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3 066 962</w:t>
            </w:r>
          </w:p>
        </w:tc>
        <w:tc>
          <w:tcPr>
            <w:tcW w:w="12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192 903</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433 474</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3 693 339</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3 759 464</w:t>
            </w:r>
          </w:p>
        </w:tc>
      </w:tr>
      <w:tr w:rsidR="00832852" w:rsidRPr="00832852" w:rsidTr="00DD0F60">
        <w:trPr>
          <w:trHeight w:val="300"/>
        </w:trPr>
        <w:tc>
          <w:tcPr>
            <w:tcW w:w="737" w:type="dxa"/>
            <w:shd w:val="clear" w:color="auto" w:fill="auto"/>
            <w:noWrap/>
            <w:vAlign w:val="center"/>
            <w:hideMark/>
          </w:tcPr>
          <w:p w:rsidR="00832852" w:rsidRPr="00141D20" w:rsidRDefault="00832852" w:rsidP="00141D20">
            <w:pPr>
              <w:spacing w:before="0" w:after="0" w:line="240" w:lineRule="auto"/>
              <w:rPr>
                <w:rFonts w:ascii="Nyala" w:eastAsia="Times New Roman" w:hAnsi="Nyala" w:cs="Times New Roman"/>
                <w:color w:val="000000"/>
                <w:lang w:eastAsia="fr-FR"/>
              </w:rPr>
            </w:pPr>
            <w:r w:rsidRPr="00141D20">
              <w:rPr>
                <w:rFonts w:ascii="Nyala" w:eastAsia="Times New Roman" w:hAnsi="Nyala" w:cs="Times New Roman"/>
                <w:color w:val="000000"/>
                <w:lang w:eastAsia="fr-FR"/>
              </w:rPr>
              <w:t>2012</w:t>
            </w:r>
          </w:p>
        </w:tc>
        <w:tc>
          <w:tcPr>
            <w:tcW w:w="15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4 514 953</w:t>
            </w:r>
          </w:p>
        </w:tc>
        <w:tc>
          <w:tcPr>
            <w:tcW w:w="12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62 307</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459 694</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5 036 954</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3 889 854</w:t>
            </w:r>
          </w:p>
        </w:tc>
      </w:tr>
      <w:tr w:rsidR="00832852" w:rsidRPr="00832852" w:rsidTr="00DD0F60">
        <w:trPr>
          <w:trHeight w:val="300"/>
        </w:trPr>
        <w:tc>
          <w:tcPr>
            <w:tcW w:w="737" w:type="dxa"/>
            <w:shd w:val="clear" w:color="auto" w:fill="auto"/>
            <w:noWrap/>
            <w:vAlign w:val="center"/>
            <w:hideMark/>
          </w:tcPr>
          <w:p w:rsidR="00832852" w:rsidRPr="00141D20" w:rsidRDefault="00832852" w:rsidP="00141D20">
            <w:pPr>
              <w:spacing w:before="0" w:after="0" w:line="240" w:lineRule="auto"/>
              <w:rPr>
                <w:rFonts w:ascii="Nyala" w:eastAsia="Times New Roman" w:hAnsi="Nyala" w:cs="Times New Roman"/>
                <w:color w:val="000000"/>
                <w:lang w:eastAsia="fr-FR"/>
              </w:rPr>
            </w:pPr>
            <w:r w:rsidRPr="00141D20">
              <w:rPr>
                <w:rFonts w:ascii="Nyala" w:eastAsia="Times New Roman" w:hAnsi="Nyala" w:cs="Times New Roman"/>
                <w:color w:val="000000"/>
                <w:lang w:eastAsia="fr-FR"/>
              </w:rPr>
              <w:t>2013</w:t>
            </w:r>
          </w:p>
        </w:tc>
        <w:tc>
          <w:tcPr>
            <w:tcW w:w="15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3 645 264</w:t>
            </w:r>
          </w:p>
        </w:tc>
        <w:tc>
          <w:tcPr>
            <w:tcW w:w="12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93 819</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524 429</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4 263 512</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4 018 219</w:t>
            </w:r>
          </w:p>
        </w:tc>
      </w:tr>
      <w:tr w:rsidR="00832852" w:rsidRPr="00832852" w:rsidTr="00DD0F60">
        <w:trPr>
          <w:trHeight w:val="300"/>
        </w:trPr>
        <w:tc>
          <w:tcPr>
            <w:tcW w:w="737" w:type="dxa"/>
            <w:shd w:val="clear" w:color="auto" w:fill="auto"/>
            <w:noWrap/>
            <w:vAlign w:val="center"/>
            <w:hideMark/>
          </w:tcPr>
          <w:p w:rsidR="00832852" w:rsidRPr="00141D20" w:rsidRDefault="00832852" w:rsidP="00141D20">
            <w:pPr>
              <w:spacing w:before="0" w:after="0" w:line="240" w:lineRule="auto"/>
              <w:rPr>
                <w:rFonts w:ascii="Nyala" w:eastAsia="Times New Roman" w:hAnsi="Nyala" w:cs="Times New Roman"/>
                <w:color w:val="000000"/>
                <w:lang w:eastAsia="fr-FR"/>
              </w:rPr>
            </w:pPr>
            <w:r w:rsidRPr="00141D20">
              <w:rPr>
                <w:rFonts w:ascii="Nyala" w:eastAsia="Times New Roman" w:hAnsi="Nyala" w:cs="Times New Roman"/>
                <w:color w:val="000000"/>
                <w:lang w:eastAsia="fr-FR"/>
              </w:rPr>
              <w:t>2014</w:t>
            </w:r>
          </w:p>
        </w:tc>
        <w:tc>
          <w:tcPr>
            <w:tcW w:w="15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4 119 177</w:t>
            </w:r>
          </w:p>
        </w:tc>
        <w:tc>
          <w:tcPr>
            <w:tcW w:w="12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144 047</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FF0000"/>
                <w:lang w:eastAsia="fr-FR"/>
              </w:rPr>
            </w:pPr>
            <w:r w:rsidRPr="00141D20">
              <w:rPr>
                <w:rFonts w:ascii="Nyala" w:eastAsia="Times New Roman" w:hAnsi="Nyala" w:cs="Times New Roman"/>
                <w:color w:val="FF0000"/>
                <w:lang w:eastAsia="fr-FR"/>
              </w:rPr>
              <w:t>2 106 515</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6 369 739</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4 444 674</w:t>
            </w:r>
          </w:p>
        </w:tc>
      </w:tr>
      <w:tr w:rsidR="00832852" w:rsidRPr="00832852" w:rsidTr="00DD0F60">
        <w:trPr>
          <w:trHeight w:val="300"/>
        </w:trPr>
        <w:tc>
          <w:tcPr>
            <w:tcW w:w="737" w:type="dxa"/>
            <w:shd w:val="clear" w:color="auto" w:fill="auto"/>
            <w:noWrap/>
            <w:vAlign w:val="center"/>
            <w:hideMark/>
          </w:tcPr>
          <w:p w:rsidR="00832852" w:rsidRPr="00141D20" w:rsidRDefault="00832852" w:rsidP="00141D20">
            <w:pPr>
              <w:spacing w:before="0" w:after="0" w:line="240" w:lineRule="auto"/>
              <w:rPr>
                <w:rFonts w:ascii="Nyala" w:eastAsia="Times New Roman" w:hAnsi="Nyala" w:cs="Times New Roman"/>
                <w:color w:val="000000"/>
                <w:lang w:eastAsia="fr-FR"/>
              </w:rPr>
            </w:pPr>
            <w:r w:rsidRPr="00141D20">
              <w:rPr>
                <w:rFonts w:ascii="Nyala" w:eastAsia="Times New Roman" w:hAnsi="Nyala" w:cs="Times New Roman"/>
                <w:color w:val="000000"/>
                <w:lang w:eastAsia="fr-FR"/>
              </w:rPr>
              <w:t>2015</w:t>
            </w:r>
          </w:p>
        </w:tc>
        <w:tc>
          <w:tcPr>
            <w:tcW w:w="15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4 593 403</w:t>
            </w:r>
          </w:p>
        </w:tc>
        <w:tc>
          <w:tcPr>
            <w:tcW w:w="12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140 586</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483 044</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5 217 033</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4 562 332</w:t>
            </w:r>
          </w:p>
        </w:tc>
      </w:tr>
      <w:tr w:rsidR="00832852" w:rsidRPr="00832852" w:rsidTr="00DD0F60">
        <w:trPr>
          <w:trHeight w:val="300"/>
        </w:trPr>
        <w:tc>
          <w:tcPr>
            <w:tcW w:w="737" w:type="dxa"/>
            <w:shd w:val="clear" w:color="auto" w:fill="auto"/>
            <w:noWrap/>
            <w:vAlign w:val="center"/>
            <w:hideMark/>
          </w:tcPr>
          <w:p w:rsidR="00832852" w:rsidRPr="00141D20" w:rsidRDefault="00832852" w:rsidP="00141D20">
            <w:pPr>
              <w:spacing w:before="0" w:after="0" w:line="240" w:lineRule="auto"/>
              <w:rPr>
                <w:rFonts w:ascii="Nyala" w:eastAsia="Times New Roman" w:hAnsi="Nyala" w:cs="Times New Roman"/>
                <w:color w:val="000000"/>
                <w:lang w:eastAsia="fr-FR"/>
              </w:rPr>
            </w:pPr>
            <w:r w:rsidRPr="00141D20">
              <w:rPr>
                <w:rFonts w:ascii="Nyala" w:eastAsia="Times New Roman" w:hAnsi="Nyala" w:cs="Times New Roman"/>
                <w:color w:val="000000"/>
                <w:lang w:eastAsia="fr-FR"/>
              </w:rPr>
              <w:t>2016</w:t>
            </w:r>
          </w:p>
        </w:tc>
        <w:tc>
          <w:tcPr>
            <w:tcW w:w="15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4 888 318</w:t>
            </w:r>
          </w:p>
        </w:tc>
        <w:tc>
          <w:tcPr>
            <w:tcW w:w="12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175 381</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244 853</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5 308 552</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4 740 136</w:t>
            </w:r>
          </w:p>
        </w:tc>
      </w:tr>
      <w:tr w:rsidR="00832852" w:rsidRPr="00832852" w:rsidTr="00DD0F60">
        <w:trPr>
          <w:trHeight w:val="300"/>
        </w:trPr>
        <w:tc>
          <w:tcPr>
            <w:tcW w:w="737" w:type="dxa"/>
            <w:shd w:val="clear" w:color="auto" w:fill="auto"/>
            <w:noWrap/>
            <w:vAlign w:val="center"/>
            <w:hideMark/>
          </w:tcPr>
          <w:p w:rsidR="00832852" w:rsidRPr="00141D20" w:rsidRDefault="00832852" w:rsidP="00D5078B">
            <w:pPr>
              <w:spacing w:before="0" w:after="0" w:line="240" w:lineRule="auto"/>
              <w:rPr>
                <w:rFonts w:ascii="Nyala" w:eastAsia="Times New Roman" w:hAnsi="Nyala" w:cs="Times New Roman"/>
                <w:lang w:eastAsia="fr-FR"/>
              </w:rPr>
            </w:pPr>
            <w:r>
              <w:rPr>
                <w:rFonts w:ascii="Nyala" w:eastAsia="Times New Roman" w:hAnsi="Nyala" w:cs="Times New Roman"/>
                <w:lang w:eastAsia="fr-FR"/>
              </w:rPr>
              <w:t>Moyenne/an</w:t>
            </w:r>
          </w:p>
        </w:tc>
        <w:tc>
          <w:tcPr>
            <w:tcW w:w="15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4 010 779</w:t>
            </w:r>
          </w:p>
        </w:tc>
        <w:tc>
          <w:tcPr>
            <w:tcW w:w="120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127 231</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540 893</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4 678 904</w:t>
            </w:r>
          </w:p>
        </w:tc>
        <w:tc>
          <w:tcPr>
            <w:tcW w:w="1780" w:type="dxa"/>
            <w:shd w:val="clear" w:color="auto" w:fill="auto"/>
            <w:noWrap/>
            <w:vAlign w:val="center"/>
            <w:hideMark/>
          </w:tcPr>
          <w:p w:rsidR="00832852" w:rsidRPr="00141D20" w:rsidRDefault="00832852" w:rsidP="00141D20">
            <w:pPr>
              <w:spacing w:before="0" w:after="0" w:line="240" w:lineRule="auto"/>
              <w:jc w:val="center"/>
              <w:rPr>
                <w:rFonts w:ascii="Nyala" w:eastAsia="Times New Roman" w:hAnsi="Nyala" w:cs="Times New Roman"/>
                <w:color w:val="000000"/>
                <w:lang w:eastAsia="fr-FR"/>
              </w:rPr>
            </w:pPr>
            <w:r w:rsidRPr="00141D20">
              <w:rPr>
                <w:rFonts w:ascii="Nyala" w:eastAsia="Times New Roman" w:hAnsi="Nyala" w:cs="Times New Roman"/>
                <w:color w:val="000000"/>
                <w:lang w:eastAsia="fr-FR"/>
              </w:rPr>
              <w:t>3 883 387</w:t>
            </w:r>
          </w:p>
        </w:tc>
      </w:tr>
    </w:tbl>
    <w:p w:rsidR="00D74E98" w:rsidRPr="00DD0F60" w:rsidRDefault="00DD0F60" w:rsidP="00DD0F60">
      <w:pPr>
        <w:spacing w:before="0" w:line="240" w:lineRule="auto"/>
        <w:jc w:val="both"/>
        <w:rPr>
          <w:rFonts w:ascii="Nyala" w:hAnsi="Nyala"/>
        </w:rPr>
      </w:pPr>
      <w:r w:rsidRPr="00DD0F60">
        <w:rPr>
          <w:rFonts w:ascii="Nyala" w:hAnsi="Nyala"/>
        </w:rPr>
        <w:t>Source : Direction des statistiques – MAGEL</w:t>
      </w:r>
    </w:p>
    <w:p w:rsidR="00DD0F60" w:rsidRDefault="00DD0F60" w:rsidP="00C75D6A">
      <w:pPr>
        <w:jc w:val="both"/>
        <w:rPr>
          <w:rFonts w:ascii="Nyala" w:hAnsi="Nyala"/>
          <w:sz w:val="28"/>
          <w:szCs w:val="28"/>
        </w:rPr>
      </w:pPr>
    </w:p>
    <w:p w:rsidR="00965E65" w:rsidRDefault="00146983" w:rsidP="00C75D6A">
      <w:pPr>
        <w:jc w:val="both"/>
        <w:rPr>
          <w:rFonts w:ascii="Nyala" w:hAnsi="Nyala"/>
          <w:sz w:val="28"/>
          <w:szCs w:val="28"/>
        </w:rPr>
      </w:pPr>
      <w:r>
        <w:rPr>
          <w:rFonts w:ascii="Nyala" w:hAnsi="Nyala"/>
          <w:noProof/>
          <w:sz w:val="28"/>
          <w:szCs w:val="28"/>
          <w:lang w:eastAsia="fr-FR"/>
        </w:rPr>
        <mc:AlternateContent>
          <mc:Choice Requires="wps">
            <w:drawing>
              <wp:anchor distT="0" distB="0" distL="114300" distR="114300" simplePos="0" relativeHeight="251952128" behindDoc="0" locked="0" layoutInCell="1" allowOverlap="1" wp14:anchorId="4732C582">
                <wp:simplePos x="0" y="0"/>
                <wp:positionH relativeFrom="margin">
                  <wp:align>right</wp:align>
                </wp:positionH>
                <wp:positionV relativeFrom="paragraph">
                  <wp:posOffset>1151255</wp:posOffset>
                </wp:positionV>
                <wp:extent cx="3364865" cy="2482850"/>
                <wp:effectExtent l="0" t="0" r="26035" b="12700"/>
                <wp:wrapSquare wrapText="bothSides"/>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4865" cy="2482850"/>
                        </a:xfrm>
                        <a:prstGeom prst="rect">
                          <a:avLst/>
                        </a:prstGeom>
                        <a:noFill/>
                        <a:ln w="6350">
                          <a:solidFill>
                            <a:prstClr val="black"/>
                          </a:solidFill>
                        </a:ln>
                        <a:effectLst/>
                      </wps:spPr>
                      <wps:txbx>
                        <w:txbxContent>
                          <w:p w:rsidR="00146325" w:rsidRDefault="00146325" w:rsidP="00C75D6A">
                            <w:pPr>
                              <w:pStyle w:val="Lgende"/>
                              <w:keepNext/>
                              <w:jc w:val="both"/>
                            </w:pPr>
                            <w:bookmarkStart w:id="425" w:name="_Toc526120091"/>
                            <w:r>
                              <w:t xml:space="preserve">Figure </w:t>
                            </w:r>
                            <w:r w:rsidR="00C73EE5">
                              <w:fldChar w:fldCharType="begin"/>
                            </w:r>
                            <w:r w:rsidR="00C73EE5">
                              <w:instrText xml:space="preserve"> SEQ Figure \* ARABIC </w:instrText>
                            </w:r>
                            <w:r w:rsidR="00C73EE5">
                              <w:fldChar w:fldCharType="separate"/>
                            </w:r>
                            <w:r>
                              <w:rPr>
                                <w:noProof/>
                              </w:rPr>
                              <w:t>25</w:t>
                            </w:r>
                            <w:r w:rsidR="00C73EE5">
                              <w:rPr>
                                <w:noProof/>
                              </w:rPr>
                              <w:fldChar w:fldCharType="end"/>
                            </w:r>
                            <w:r>
                              <w:t xml:space="preserve"> - Evolution du déficit céréalier de 2007 à 2016</w:t>
                            </w:r>
                            <w:bookmarkEnd w:id="425"/>
                          </w:p>
                          <w:p w:rsidR="00146325" w:rsidRDefault="00146325" w:rsidP="00C75D6A">
                            <w:pPr>
                              <w:spacing w:before="0" w:after="0"/>
                              <w:jc w:val="both"/>
                            </w:pPr>
                            <w:r w:rsidRPr="00E52DAF">
                              <w:rPr>
                                <w:noProof/>
                                <w:lang w:eastAsia="fr-FR"/>
                              </w:rPr>
                              <w:drawing>
                                <wp:inline distT="0" distB="0" distL="0" distR="0">
                                  <wp:extent cx="3175635" cy="1867522"/>
                                  <wp:effectExtent l="0" t="0" r="571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75635" cy="1867522"/>
                                          </a:xfrm>
                                          <a:prstGeom prst="rect">
                                            <a:avLst/>
                                          </a:prstGeom>
                                          <a:noFill/>
                                          <a:ln>
                                            <a:noFill/>
                                          </a:ln>
                                        </pic:spPr>
                                      </pic:pic>
                                    </a:graphicData>
                                  </a:graphic>
                                </wp:inline>
                              </w:drawing>
                            </w:r>
                          </w:p>
                          <w:p w:rsidR="00146325" w:rsidRPr="00CE2D34" w:rsidRDefault="00146325" w:rsidP="00C75D6A">
                            <w:pPr>
                              <w:spacing w:before="0" w:after="0" w:line="240" w:lineRule="auto"/>
                              <w:jc w:val="both"/>
                              <w:rPr>
                                <w:sz w:val="16"/>
                                <w:szCs w:val="16"/>
                              </w:rPr>
                            </w:pPr>
                            <w:r w:rsidRPr="00CE2D34">
                              <w:rPr>
                                <w:sz w:val="16"/>
                                <w:szCs w:val="16"/>
                              </w:rPr>
                              <w:t>Source des données : Direction des statistiques agricoles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2C582" id="Zone de texte 95" o:spid="_x0000_s1057" type="#_x0000_t202" style="position:absolute;left:0;text-align:left;margin-left:213.75pt;margin-top:90.65pt;width:264.95pt;height:195.5pt;z-index:25195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" filled="f" strokeweight=".5pt">
                <v:path arrowok="t"/>
                <v:textbox>
                  <w:txbxContent>
                    <w:p w:rsidR="00146325" w:rsidRDefault="00146325" w:rsidP="00C75D6A">
                      <w:pPr>
                        <w:pStyle w:val="Lgende"/>
                        <w:keepNext/>
                        <w:jc w:val="both"/>
                      </w:pPr>
                      <w:bookmarkStart w:id="426" w:name="_Toc526120091"/>
                      <w:r>
                        <w:t xml:space="preserve">Figure </w:t>
                      </w:r>
                      <w:r w:rsidR="00C73EE5">
                        <w:fldChar w:fldCharType="begin"/>
                      </w:r>
                      <w:r w:rsidR="00C73EE5">
                        <w:instrText xml:space="preserve"> SEQ Figure \* ARABIC </w:instrText>
                      </w:r>
                      <w:r w:rsidR="00C73EE5">
                        <w:fldChar w:fldCharType="separate"/>
                      </w:r>
                      <w:r>
                        <w:rPr>
                          <w:noProof/>
                        </w:rPr>
                        <w:t>25</w:t>
                      </w:r>
                      <w:r w:rsidR="00C73EE5">
                        <w:rPr>
                          <w:noProof/>
                        </w:rPr>
                        <w:fldChar w:fldCharType="end"/>
                      </w:r>
                      <w:r>
                        <w:t xml:space="preserve"> - Evolution du déficit céréalier de 2007 à 2016</w:t>
                      </w:r>
                      <w:bookmarkEnd w:id="426"/>
                    </w:p>
                    <w:p w:rsidR="00146325" w:rsidRDefault="00146325" w:rsidP="00C75D6A">
                      <w:pPr>
                        <w:spacing w:before="0" w:after="0"/>
                        <w:jc w:val="both"/>
                      </w:pPr>
                      <w:r w:rsidRPr="00E52DAF">
                        <w:rPr>
                          <w:noProof/>
                          <w:lang w:eastAsia="fr-FR"/>
                        </w:rPr>
                        <w:drawing>
                          <wp:inline distT="0" distB="0" distL="0" distR="0">
                            <wp:extent cx="3175635" cy="1867522"/>
                            <wp:effectExtent l="0" t="0" r="571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75635" cy="1867522"/>
                                    </a:xfrm>
                                    <a:prstGeom prst="rect">
                                      <a:avLst/>
                                    </a:prstGeom>
                                    <a:noFill/>
                                    <a:ln>
                                      <a:noFill/>
                                    </a:ln>
                                  </pic:spPr>
                                </pic:pic>
                              </a:graphicData>
                            </a:graphic>
                          </wp:inline>
                        </w:drawing>
                      </w:r>
                    </w:p>
                    <w:p w:rsidR="00146325" w:rsidRPr="00CE2D34" w:rsidRDefault="00146325" w:rsidP="00C75D6A">
                      <w:pPr>
                        <w:spacing w:before="0" w:after="0" w:line="240" w:lineRule="auto"/>
                        <w:jc w:val="both"/>
                        <w:rPr>
                          <w:sz w:val="16"/>
                          <w:szCs w:val="16"/>
                        </w:rPr>
                      </w:pPr>
                      <w:r w:rsidRPr="00CE2D34">
                        <w:rPr>
                          <w:sz w:val="16"/>
                          <w:szCs w:val="16"/>
                        </w:rPr>
                        <w:t>Source des données : Direction des statistiques agricoles</w:t>
                      </w:r>
                    </w:p>
                  </w:txbxContent>
                </v:textbox>
                <w10:wrap type="square" anchorx="margin"/>
              </v:shape>
            </w:pict>
          </mc:Fallback>
        </mc:AlternateContent>
      </w:r>
      <w:r w:rsidR="00C75D6A" w:rsidRPr="006866D3">
        <w:rPr>
          <w:rFonts w:ascii="Nyala" w:hAnsi="Nyala"/>
          <w:sz w:val="28"/>
          <w:szCs w:val="28"/>
        </w:rPr>
        <w:t>Ainsi au cours de la période 200</w:t>
      </w:r>
      <w:r w:rsidR="00372017">
        <w:rPr>
          <w:rFonts w:ascii="Nyala" w:hAnsi="Nyala"/>
          <w:sz w:val="28"/>
          <w:szCs w:val="28"/>
        </w:rPr>
        <w:t>7-2016</w:t>
      </w:r>
      <w:r w:rsidR="00C75D6A" w:rsidRPr="006866D3">
        <w:rPr>
          <w:rFonts w:ascii="Nyala" w:hAnsi="Nyala"/>
          <w:sz w:val="28"/>
          <w:szCs w:val="28"/>
        </w:rPr>
        <w:t xml:space="preserve">, </w:t>
      </w:r>
      <w:r w:rsidR="00372017">
        <w:rPr>
          <w:rFonts w:ascii="Nyala" w:hAnsi="Nyala"/>
          <w:sz w:val="28"/>
          <w:szCs w:val="28"/>
        </w:rPr>
        <w:t xml:space="preserve">le Niger a produit en moyenne environ 4 millions de t de céréales (Mil, Sorgho, Maïs, Riz, Blé et Fonio) avec un taux d’accroissement annuel de 3,3% en moyenne par an. </w:t>
      </w:r>
      <w:r w:rsidR="00965E65">
        <w:rPr>
          <w:rFonts w:ascii="Nyala" w:hAnsi="Nyala"/>
          <w:sz w:val="28"/>
          <w:szCs w:val="28"/>
        </w:rPr>
        <w:t xml:space="preserve">Cette production locale représente </w:t>
      </w:r>
      <w:r w:rsidR="00C75D6A" w:rsidRPr="006866D3">
        <w:rPr>
          <w:rFonts w:ascii="Nyala" w:hAnsi="Nyala"/>
          <w:sz w:val="28"/>
          <w:szCs w:val="28"/>
        </w:rPr>
        <w:t xml:space="preserve">85,7% de la disponibilité céréalière totale annuelle ; </w:t>
      </w:r>
      <w:r w:rsidR="00965E65">
        <w:rPr>
          <w:rFonts w:ascii="Nyala" w:hAnsi="Nyala"/>
          <w:sz w:val="28"/>
          <w:szCs w:val="28"/>
        </w:rPr>
        <w:t xml:space="preserve">le reste étant complété à hauteur de </w:t>
      </w:r>
      <w:r w:rsidR="00C75D6A" w:rsidRPr="006866D3">
        <w:rPr>
          <w:rFonts w:ascii="Nyala" w:hAnsi="Nyala"/>
          <w:sz w:val="28"/>
          <w:szCs w:val="28"/>
        </w:rPr>
        <w:t>2,7% p</w:t>
      </w:r>
      <w:r w:rsidR="00965E65">
        <w:rPr>
          <w:rFonts w:ascii="Nyala" w:hAnsi="Nyala"/>
          <w:sz w:val="28"/>
          <w:szCs w:val="28"/>
        </w:rPr>
        <w:t xml:space="preserve">ar </w:t>
      </w:r>
      <w:r w:rsidR="00C75D6A" w:rsidRPr="006866D3">
        <w:rPr>
          <w:rFonts w:ascii="Nyala" w:hAnsi="Nyala"/>
          <w:sz w:val="28"/>
          <w:szCs w:val="28"/>
        </w:rPr>
        <w:t>les stocks</w:t>
      </w:r>
      <w:r w:rsidR="00965E65">
        <w:rPr>
          <w:rFonts w:ascii="Nyala" w:hAnsi="Nyala"/>
          <w:sz w:val="28"/>
          <w:szCs w:val="28"/>
        </w:rPr>
        <w:t xml:space="preserve"> (paysans et institutions)</w:t>
      </w:r>
      <w:r w:rsidR="00C75D6A" w:rsidRPr="006866D3">
        <w:rPr>
          <w:rFonts w:ascii="Nyala" w:hAnsi="Nyala"/>
          <w:sz w:val="28"/>
          <w:szCs w:val="28"/>
        </w:rPr>
        <w:t xml:space="preserve"> et 11,6% p</w:t>
      </w:r>
      <w:r w:rsidR="00965E65">
        <w:rPr>
          <w:rFonts w:ascii="Nyala" w:hAnsi="Nyala"/>
          <w:sz w:val="28"/>
          <w:szCs w:val="28"/>
        </w:rPr>
        <w:t xml:space="preserve">ar </w:t>
      </w:r>
      <w:r w:rsidR="00C75D6A" w:rsidRPr="006866D3">
        <w:rPr>
          <w:rFonts w:ascii="Nyala" w:hAnsi="Nyala"/>
          <w:sz w:val="28"/>
          <w:szCs w:val="28"/>
        </w:rPr>
        <w:t>les importations</w:t>
      </w:r>
      <w:r w:rsidR="00965E65">
        <w:rPr>
          <w:rFonts w:ascii="Nyala" w:hAnsi="Nyala"/>
          <w:sz w:val="28"/>
          <w:szCs w:val="28"/>
        </w:rPr>
        <w:t xml:space="preserve"> (essentiellement </w:t>
      </w:r>
      <w:r w:rsidR="00C75D6A" w:rsidRPr="006866D3">
        <w:rPr>
          <w:rFonts w:ascii="Nyala" w:hAnsi="Nyala"/>
          <w:sz w:val="28"/>
          <w:szCs w:val="28"/>
        </w:rPr>
        <w:t>Riz, blé et Maïs que le pays produit peu (alors que la demande augmente)</w:t>
      </w:r>
      <w:r w:rsidR="00965E65">
        <w:rPr>
          <w:rFonts w:ascii="Nyala" w:hAnsi="Nyala"/>
          <w:sz w:val="28"/>
          <w:szCs w:val="28"/>
        </w:rPr>
        <w:t xml:space="preserve">. </w:t>
      </w:r>
    </w:p>
    <w:p w:rsidR="00C75D6A" w:rsidRDefault="00C75D6A" w:rsidP="00C75D6A">
      <w:pPr>
        <w:jc w:val="both"/>
        <w:rPr>
          <w:rFonts w:ascii="Nyala" w:hAnsi="Nyala"/>
          <w:sz w:val="28"/>
          <w:szCs w:val="28"/>
        </w:rPr>
      </w:pPr>
      <w:r w:rsidRPr="006866D3">
        <w:rPr>
          <w:rFonts w:ascii="Nyala" w:hAnsi="Nyala"/>
          <w:sz w:val="28"/>
          <w:szCs w:val="28"/>
        </w:rPr>
        <w:t>Ainsi, il peut être observé qu’en moyenne, les productions céréali</w:t>
      </w:r>
      <w:r w:rsidR="00965E65">
        <w:rPr>
          <w:rFonts w:ascii="Nyala" w:hAnsi="Nyala"/>
          <w:sz w:val="28"/>
          <w:szCs w:val="28"/>
        </w:rPr>
        <w:t>ères se sont accrues au même rythme que les besoins des populations (3,3% versus 3,2%)</w:t>
      </w:r>
      <w:r w:rsidRPr="006866D3">
        <w:rPr>
          <w:rFonts w:ascii="Nyala" w:hAnsi="Nyala"/>
          <w:sz w:val="28"/>
          <w:szCs w:val="28"/>
        </w:rPr>
        <w:t>. Mais cette croissance cache assez mal les grandes disparités interannuelles comme l’indique l’évolution du bilan céréalier de 2006 à 2017 (</w:t>
      </w:r>
      <w:r w:rsidRPr="006866D3">
        <w:rPr>
          <w:rFonts w:ascii="Nyala" w:hAnsi="Nyala"/>
          <w:b/>
          <w:sz w:val="28"/>
          <w:szCs w:val="28"/>
        </w:rPr>
        <w:t xml:space="preserve">figure </w:t>
      </w:r>
      <w:r w:rsidR="009F67D9">
        <w:rPr>
          <w:rFonts w:ascii="Nyala" w:hAnsi="Nyala"/>
          <w:b/>
          <w:sz w:val="28"/>
          <w:szCs w:val="28"/>
        </w:rPr>
        <w:t>2</w:t>
      </w:r>
      <w:r w:rsidR="00D413AC">
        <w:rPr>
          <w:rFonts w:ascii="Nyala" w:hAnsi="Nyala"/>
          <w:b/>
          <w:sz w:val="28"/>
          <w:szCs w:val="28"/>
        </w:rPr>
        <w:t>5</w:t>
      </w:r>
      <w:r w:rsidRPr="006866D3">
        <w:rPr>
          <w:rFonts w:ascii="Nyala" w:hAnsi="Nyala"/>
          <w:sz w:val="28"/>
          <w:szCs w:val="28"/>
        </w:rPr>
        <w:t>).</w:t>
      </w:r>
    </w:p>
    <w:p w:rsidR="00AF580F" w:rsidRPr="006866D3" w:rsidRDefault="00AF580F" w:rsidP="00C75D6A">
      <w:pPr>
        <w:jc w:val="both"/>
        <w:rPr>
          <w:rFonts w:ascii="Nyala" w:hAnsi="Nyala"/>
          <w:sz w:val="28"/>
          <w:szCs w:val="28"/>
        </w:rPr>
      </w:pPr>
    </w:p>
    <w:p w:rsidR="00C75D6A" w:rsidRPr="00141D20" w:rsidRDefault="00C75D6A" w:rsidP="00141D20">
      <w:pPr>
        <w:pStyle w:val="Titre4"/>
        <w:numPr>
          <w:ilvl w:val="3"/>
          <w:numId w:val="2"/>
        </w:numPr>
      </w:pPr>
      <w:r w:rsidRPr="00141D20">
        <w:t xml:space="preserve">Autres productions végétales </w:t>
      </w:r>
    </w:p>
    <w:p w:rsidR="00E52DAF" w:rsidRDefault="003F2792" w:rsidP="00C75D6A">
      <w:pPr>
        <w:jc w:val="both"/>
        <w:rPr>
          <w:rFonts w:ascii="Nyala" w:hAnsi="Nyala"/>
          <w:sz w:val="28"/>
          <w:szCs w:val="28"/>
        </w:rPr>
      </w:pPr>
      <w:r>
        <w:rPr>
          <w:rFonts w:ascii="Nyala" w:hAnsi="Nyala"/>
          <w:sz w:val="28"/>
          <w:szCs w:val="28"/>
        </w:rPr>
        <w:t>Les autres catégories de produits agricoles connaissent une forte croissance variant de 4,8%</w:t>
      </w:r>
      <w:r w:rsidR="007678B2">
        <w:rPr>
          <w:rFonts w:ascii="Nyala" w:hAnsi="Nyala"/>
          <w:sz w:val="28"/>
          <w:szCs w:val="28"/>
        </w:rPr>
        <w:t>/an</w:t>
      </w:r>
      <w:r>
        <w:rPr>
          <w:rFonts w:ascii="Nyala" w:hAnsi="Nyala"/>
          <w:sz w:val="28"/>
          <w:szCs w:val="28"/>
        </w:rPr>
        <w:t xml:space="preserve"> pour les tubercules et plantes-racines (Pomme de terre, Patate douce, Manioc) et les </w:t>
      </w:r>
      <w:r w:rsidR="007678B2">
        <w:rPr>
          <w:rFonts w:ascii="Nyala" w:hAnsi="Nyala"/>
          <w:sz w:val="28"/>
          <w:szCs w:val="28"/>
        </w:rPr>
        <w:t xml:space="preserve">oléagineux (arachide, sésame) </w:t>
      </w:r>
      <w:r>
        <w:rPr>
          <w:rFonts w:ascii="Nyala" w:hAnsi="Nyala"/>
          <w:sz w:val="28"/>
          <w:szCs w:val="28"/>
        </w:rPr>
        <w:t>à 15,7%</w:t>
      </w:r>
      <w:r w:rsidR="007678B2">
        <w:rPr>
          <w:rFonts w:ascii="Nyala" w:hAnsi="Nyala"/>
          <w:sz w:val="28"/>
          <w:szCs w:val="28"/>
        </w:rPr>
        <w:t>/an</w:t>
      </w:r>
      <w:r>
        <w:rPr>
          <w:rFonts w:ascii="Nyala" w:hAnsi="Nyala"/>
          <w:sz w:val="28"/>
          <w:szCs w:val="28"/>
        </w:rPr>
        <w:t xml:space="preserve"> pour les fruits (Mangue, </w:t>
      </w:r>
      <w:r w:rsidR="007678B2">
        <w:rPr>
          <w:rFonts w:ascii="Nyala" w:hAnsi="Nyala"/>
          <w:sz w:val="28"/>
          <w:szCs w:val="28"/>
        </w:rPr>
        <w:t>Agrumes, Pastèques, Melon). Les légumineuses alimentaires (Niébé et voandzou) et les légumes (oignon, tomate, chou, moringa …) ont progressé de plus de 8,7% et les épices (poivron, piment) de 5,3%/an au cours de la période 2009-2016</w:t>
      </w:r>
      <w:r w:rsidR="00B677BD">
        <w:rPr>
          <w:rFonts w:ascii="Nyala" w:hAnsi="Nyala"/>
          <w:sz w:val="28"/>
          <w:szCs w:val="28"/>
        </w:rPr>
        <w:t xml:space="preserve"> (</w:t>
      </w:r>
      <w:r w:rsidR="00B677BD" w:rsidRPr="00B677BD">
        <w:rPr>
          <w:rFonts w:ascii="Nyala" w:hAnsi="Nyala"/>
          <w:b/>
          <w:sz w:val="28"/>
          <w:szCs w:val="28"/>
        </w:rPr>
        <w:t xml:space="preserve">Tableau </w:t>
      </w:r>
      <w:r w:rsidR="00D413AC">
        <w:rPr>
          <w:rFonts w:ascii="Nyala" w:hAnsi="Nyala"/>
          <w:b/>
          <w:sz w:val="28"/>
          <w:szCs w:val="28"/>
        </w:rPr>
        <w:t>7</w:t>
      </w:r>
      <w:r w:rsidR="00B677BD">
        <w:rPr>
          <w:rFonts w:ascii="Nyala" w:hAnsi="Nyala"/>
          <w:sz w:val="28"/>
          <w:szCs w:val="28"/>
        </w:rPr>
        <w:t>)</w:t>
      </w:r>
      <w:r w:rsidR="007678B2">
        <w:rPr>
          <w:rFonts w:ascii="Nyala" w:hAnsi="Nyala"/>
          <w:sz w:val="28"/>
          <w:szCs w:val="28"/>
        </w:rPr>
        <w:t xml:space="preserve">. </w:t>
      </w:r>
    </w:p>
    <w:p w:rsidR="003F2792" w:rsidRDefault="003F2792" w:rsidP="00C75D6A">
      <w:pPr>
        <w:jc w:val="both"/>
        <w:rPr>
          <w:rFonts w:ascii="Nyala" w:hAnsi="Nyala"/>
          <w:sz w:val="28"/>
          <w:szCs w:val="28"/>
        </w:rPr>
      </w:pPr>
    </w:p>
    <w:p w:rsidR="00DD0F60" w:rsidRDefault="00DD0F60" w:rsidP="00DD0F60">
      <w:pPr>
        <w:pStyle w:val="Lgende"/>
        <w:rPr>
          <w:rFonts w:ascii="Nyala" w:hAnsi="Nyala"/>
          <w:sz w:val="28"/>
          <w:szCs w:val="28"/>
        </w:rPr>
      </w:pPr>
      <w:bookmarkStart w:id="427" w:name="_Toc526120061"/>
      <w:r>
        <w:t xml:space="preserve">Tableau </w:t>
      </w:r>
      <w:r w:rsidR="00D639F2">
        <w:fldChar w:fldCharType="begin"/>
      </w:r>
      <w:r w:rsidR="00440FAF">
        <w:instrText xml:space="preserve"> SEQ Tableau \* ARABIC </w:instrText>
      </w:r>
      <w:r w:rsidR="00D639F2">
        <w:fldChar w:fldCharType="separate"/>
      </w:r>
      <w:r w:rsidR="00440FAF">
        <w:rPr>
          <w:noProof/>
        </w:rPr>
        <w:t>7</w:t>
      </w:r>
      <w:r w:rsidR="00D639F2">
        <w:fldChar w:fldCharType="end"/>
      </w:r>
      <w:r>
        <w:t xml:space="preserve"> - Evolution de la disponibilité des autres produits végétaux au Niger</w:t>
      </w:r>
      <w:bookmarkEnd w:id="427"/>
    </w:p>
    <w:tbl>
      <w:tblPr>
        <w:tblW w:w="8410" w:type="dxa"/>
        <w:tblInd w:w="-5" w:type="dxa"/>
        <w:tblCellMar>
          <w:left w:w="70" w:type="dxa"/>
          <w:right w:w="70" w:type="dxa"/>
        </w:tblCellMar>
        <w:tblLook w:val="04A0" w:firstRow="1" w:lastRow="0" w:firstColumn="1" w:lastColumn="0" w:noHBand="0" w:noVBand="1"/>
      </w:tblPr>
      <w:tblGrid>
        <w:gridCol w:w="1270"/>
        <w:gridCol w:w="1020"/>
        <w:gridCol w:w="1020"/>
        <w:gridCol w:w="1020"/>
        <w:gridCol w:w="1020"/>
        <w:gridCol w:w="1020"/>
        <w:gridCol w:w="1020"/>
        <w:gridCol w:w="1020"/>
      </w:tblGrid>
      <w:tr w:rsidR="009917B6" w:rsidRPr="009917B6" w:rsidTr="00141D20">
        <w:trPr>
          <w:trHeight w:val="450"/>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17B6" w:rsidRPr="00141D20" w:rsidRDefault="009917B6" w:rsidP="00D5078B">
            <w:pPr>
              <w:spacing w:before="0" w:after="0" w:line="240" w:lineRule="auto"/>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Groupes de produits</w:t>
            </w:r>
            <w:r w:rsidR="003F2792">
              <w:rPr>
                <w:rFonts w:ascii="Nyala" w:eastAsia="Times New Roman" w:hAnsi="Nyala" w:cs="Times New Roman"/>
                <w:color w:val="000000"/>
                <w:sz w:val="22"/>
                <w:szCs w:val="22"/>
                <w:lang w:eastAsia="fr-FR"/>
              </w:rPr>
              <w:t xml:space="preserve"> (t)</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2009/2010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2010/2011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2011/2012</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2012/2013</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2014</w:t>
            </w:r>
            <w:r>
              <w:rPr>
                <w:rFonts w:ascii="Nyala" w:eastAsia="Times New Roman" w:hAnsi="Nyala" w:cs="Times New Roman"/>
                <w:color w:val="000000"/>
                <w:sz w:val="22"/>
                <w:szCs w:val="22"/>
                <w:lang w:eastAsia="fr-FR"/>
              </w:rPr>
              <w:t>/</w:t>
            </w:r>
            <w:r w:rsidRPr="00141D20">
              <w:rPr>
                <w:rFonts w:ascii="Nyala" w:eastAsia="Times New Roman" w:hAnsi="Nyala" w:cs="Times New Roman"/>
                <w:color w:val="000000"/>
                <w:sz w:val="22"/>
                <w:szCs w:val="22"/>
                <w:lang w:eastAsia="fr-FR"/>
              </w:rPr>
              <w:t>2015</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20015:2016</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moyenne</w:t>
            </w:r>
          </w:p>
        </w:tc>
      </w:tr>
      <w:tr w:rsidR="009917B6" w:rsidRPr="009917B6" w:rsidTr="00141D20">
        <w:trPr>
          <w:trHeight w:val="300"/>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9917B6" w:rsidRPr="00141D20" w:rsidRDefault="009917B6" w:rsidP="00D5078B">
            <w:pPr>
              <w:spacing w:before="0" w:after="0" w:line="240" w:lineRule="auto"/>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Tubercules</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209 316</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209 316</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196 182</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244 281</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294 149</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294 149</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D5078B">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241 232</w:t>
            </w:r>
          </w:p>
        </w:tc>
      </w:tr>
      <w:tr w:rsidR="009917B6" w:rsidRPr="009917B6" w:rsidTr="00141D20">
        <w:trPr>
          <w:trHeight w:val="300"/>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9917B6" w:rsidRPr="00141D20" w:rsidRDefault="009917B6" w:rsidP="00D5078B">
            <w:pPr>
              <w:spacing w:before="0" w:after="0" w:line="240" w:lineRule="auto"/>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fruits</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19 994</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19 994</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177 777</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161 547</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338 097</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338 097</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D5078B">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175 918</w:t>
            </w:r>
          </w:p>
        </w:tc>
      </w:tr>
      <w:tr w:rsidR="009917B6" w:rsidRPr="009917B6" w:rsidTr="00141D20">
        <w:trPr>
          <w:trHeight w:val="300"/>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9917B6" w:rsidRPr="00141D20" w:rsidRDefault="009917B6" w:rsidP="00D5078B">
            <w:pPr>
              <w:spacing w:before="0" w:after="0" w:line="240" w:lineRule="auto"/>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Légumes</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706 567</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706 567</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861 136</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984 313</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1 516 264</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1 510 309</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D5078B">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1 047 526</w:t>
            </w:r>
          </w:p>
        </w:tc>
      </w:tr>
      <w:tr w:rsidR="009917B6" w:rsidRPr="009917B6" w:rsidTr="00141D20">
        <w:trPr>
          <w:trHeight w:val="300"/>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9917B6" w:rsidRPr="00141D20" w:rsidRDefault="009917B6" w:rsidP="00D5078B">
            <w:pPr>
              <w:spacing w:before="0" w:after="0" w:line="240" w:lineRule="auto"/>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Légumineuses</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819 654</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1 816 836</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1 610 140</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1 310 301</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1 636 184</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1 722 731</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D5078B">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1 485 974</w:t>
            </w:r>
          </w:p>
        </w:tc>
      </w:tr>
      <w:tr w:rsidR="009917B6" w:rsidRPr="009917B6" w:rsidTr="00141D20">
        <w:trPr>
          <w:trHeight w:val="300"/>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9917B6" w:rsidRPr="00141D20" w:rsidRDefault="009917B6" w:rsidP="00D5078B">
            <w:pPr>
              <w:spacing w:before="0" w:after="0" w:line="240" w:lineRule="auto"/>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Oléagineuses</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329 129</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439 567</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420 083</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336 902</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458 608</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461 197</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D5078B">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407 581</w:t>
            </w:r>
          </w:p>
        </w:tc>
      </w:tr>
      <w:tr w:rsidR="009917B6" w:rsidRPr="009917B6" w:rsidTr="00141D20">
        <w:trPr>
          <w:trHeight w:val="450"/>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9917B6" w:rsidRPr="00141D20" w:rsidRDefault="009917B6" w:rsidP="00D5078B">
            <w:pPr>
              <w:spacing w:before="0" w:after="0" w:line="240" w:lineRule="auto"/>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Epices et stimulants</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189 783</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189 763</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145 083</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244 370</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276 324</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141D20">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276 324</w:t>
            </w:r>
          </w:p>
        </w:tc>
        <w:tc>
          <w:tcPr>
            <w:tcW w:w="1020" w:type="dxa"/>
            <w:tcBorders>
              <w:top w:val="nil"/>
              <w:left w:val="nil"/>
              <w:bottom w:val="single" w:sz="4" w:space="0" w:color="auto"/>
              <w:right w:val="single" w:sz="4" w:space="0" w:color="auto"/>
            </w:tcBorders>
            <w:shd w:val="clear" w:color="auto" w:fill="auto"/>
            <w:vAlign w:val="center"/>
            <w:hideMark/>
          </w:tcPr>
          <w:p w:rsidR="009917B6" w:rsidRPr="00141D20" w:rsidRDefault="009917B6" w:rsidP="00D5078B">
            <w:pPr>
              <w:spacing w:before="0" w:after="0" w:line="240" w:lineRule="auto"/>
              <w:jc w:val="right"/>
              <w:rPr>
                <w:rFonts w:ascii="Nyala" w:eastAsia="Times New Roman" w:hAnsi="Nyala" w:cs="Times New Roman"/>
                <w:color w:val="000000"/>
                <w:sz w:val="22"/>
                <w:szCs w:val="22"/>
                <w:lang w:eastAsia="fr-FR"/>
              </w:rPr>
            </w:pPr>
            <w:r w:rsidRPr="00141D20">
              <w:rPr>
                <w:rFonts w:ascii="Nyala" w:eastAsia="Times New Roman" w:hAnsi="Nyala" w:cs="Times New Roman"/>
                <w:color w:val="000000"/>
                <w:sz w:val="22"/>
                <w:szCs w:val="22"/>
                <w:lang w:eastAsia="fr-FR"/>
              </w:rPr>
              <w:t>220 275</w:t>
            </w:r>
          </w:p>
        </w:tc>
      </w:tr>
    </w:tbl>
    <w:p w:rsidR="00DD0F60" w:rsidRPr="00DD0F60" w:rsidRDefault="00DD0F60" w:rsidP="00DD0F60">
      <w:pPr>
        <w:spacing w:before="0" w:line="240" w:lineRule="auto"/>
        <w:jc w:val="both"/>
        <w:rPr>
          <w:rFonts w:ascii="Nyala" w:hAnsi="Nyala"/>
        </w:rPr>
      </w:pPr>
      <w:r w:rsidRPr="00DD0F60">
        <w:rPr>
          <w:rFonts w:ascii="Nyala" w:hAnsi="Nyala"/>
        </w:rPr>
        <w:t>Source : Direction des statistiques – MAGEL</w:t>
      </w:r>
    </w:p>
    <w:p w:rsidR="009917B6" w:rsidRPr="00141D20" w:rsidRDefault="009917B6" w:rsidP="00C75D6A">
      <w:pPr>
        <w:jc w:val="both"/>
        <w:rPr>
          <w:rFonts w:ascii="Nyala" w:hAnsi="Nyala"/>
          <w:sz w:val="22"/>
          <w:szCs w:val="22"/>
        </w:rPr>
      </w:pPr>
    </w:p>
    <w:p w:rsidR="007678B2" w:rsidRDefault="00146983" w:rsidP="00C75D6A">
      <w:pPr>
        <w:jc w:val="both"/>
        <w:rPr>
          <w:rFonts w:ascii="Nyala" w:hAnsi="Nyala"/>
          <w:sz w:val="28"/>
          <w:szCs w:val="28"/>
        </w:rPr>
      </w:pPr>
      <w:r>
        <w:rPr>
          <w:rFonts w:ascii="Nyala" w:hAnsi="Nyala"/>
          <w:noProof/>
          <w:sz w:val="28"/>
          <w:szCs w:val="28"/>
          <w:lang w:eastAsia="fr-FR"/>
        </w:rPr>
        <mc:AlternateContent>
          <mc:Choice Requires="wps">
            <w:drawing>
              <wp:anchor distT="0" distB="0" distL="114300" distR="114300" simplePos="0" relativeHeight="251955200" behindDoc="0" locked="0" layoutInCell="1" allowOverlap="1" wp14:anchorId="15BCB6D3">
                <wp:simplePos x="0" y="0"/>
                <wp:positionH relativeFrom="margin">
                  <wp:posOffset>2215515</wp:posOffset>
                </wp:positionH>
                <wp:positionV relativeFrom="paragraph">
                  <wp:posOffset>488315</wp:posOffset>
                </wp:positionV>
                <wp:extent cx="3504565" cy="2462530"/>
                <wp:effectExtent l="0" t="0" r="19685" b="13970"/>
                <wp:wrapSquare wrapText="bothSides"/>
                <wp:docPr id="96" name="Zone de text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4565" cy="2462530"/>
                        </a:xfrm>
                        <a:prstGeom prst="rect">
                          <a:avLst/>
                        </a:prstGeom>
                        <a:noFill/>
                        <a:ln w="6350">
                          <a:solidFill>
                            <a:prstClr val="black"/>
                          </a:solidFill>
                        </a:ln>
                        <a:effectLst/>
                      </wps:spPr>
                      <wps:txbx>
                        <w:txbxContent>
                          <w:p w:rsidR="00146325" w:rsidRDefault="00146325" w:rsidP="00C75D6A">
                            <w:pPr>
                              <w:pStyle w:val="Lgende"/>
                              <w:keepNext/>
                              <w:jc w:val="both"/>
                            </w:pPr>
                            <w:bookmarkStart w:id="428" w:name="_Toc526120092"/>
                            <w:r>
                              <w:t xml:space="preserve">Figure </w:t>
                            </w:r>
                            <w:r w:rsidR="00C73EE5">
                              <w:fldChar w:fldCharType="begin"/>
                            </w:r>
                            <w:r w:rsidR="00C73EE5">
                              <w:instrText xml:space="preserve"> SEQ Figure \* ARABIC </w:instrText>
                            </w:r>
                            <w:r w:rsidR="00C73EE5">
                              <w:fldChar w:fldCharType="separate"/>
                            </w:r>
                            <w:r>
                              <w:rPr>
                                <w:noProof/>
                              </w:rPr>
                              <w:t>26</w:t>
                            </w:r>
                            <w:r w:rsidR="00C73EE5">
                              <w:rPr>
                                <w:noProof/>
                              </w:rPr>
                              <w:fldChar w:fldCharType="end"/>
                            </w:r>
                            <w:r>
                              <w:t xml:space="preserve"> - évolution de la disponibilité alimentaire (autres produits végétaux)</w:t>
                            </w:r>
                            <w:bookmarkEnd w:id="428"/>
                          </w:p>
                          <w:p w:rsidR="00146325" w:rsidRPr="00D11C60" w:rsidRDefault="00146325" w:rsidP="00C75D6A">
                            <w:pPr>
                              <w:pStyle w:val="Lgende"/>
                              <w:keepNext/>
                              <w:jc w:val="both"/>
                            </w:pPr>
                            <w:r w:rsidRPr="00776A3B">
                              <w:rPr>
                                <w:noProof/>
                                <w:lang w:eastAsia="fr-FR"/>
                              </w:rPr>
                              <w:drawing>
                                <wp:inline distT="0" distB="0" distL="0" distR="0">
                                  <wp:extent cx="3307080" cy="1885950"/>
                                  <wp:effectExtent l="0" t="0" r="762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29201" cy="189856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5BCB6D3" id="Zone de texte 96" o:spid="_x0000_s1058" type="#_x0000_t202" style="position:absolute;left:0;text-align:left;margin-left:174.45pt;margin-top:38.45pt;width:275.95pt;height:193.9pt;z-index:2519552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" filled="f" strokeweight=".5pt">
                <v:path arrowok="t"/>
                <v:textbox style="mso-fit-shape-to-text:t">
                  <w:txbxContent>
                    <w:p w:rsidR="00146325" w:rsidRDefault="00146325" w:rsidP="00C75D6A">
                      <w:pPr>
                        <w:pStyle w:val="Lgende"/>
                        <w:keepNext/>
                        <w:jc w:val="both"/>
                      </w:pPr>
                      <w:bookmarkStart w:id="429" w:name="_Toc526120092"/>
                      <w:r>
                        <w:t xml:space="preserve">Figure </w:t>
                      </w:r>
                      <w:r w:rsidR="00C73EE5">
                        <w:fldChar w:fldCharType="begin"/>
                      </w:r>
                      <w:r w:rsidR="00C73EE5">
                        <w:instrText xml:space="preserve"> SEQ Figure \* ARABIC </w:instrText>
                      </w:r>
                      <w:r w:rsidR="00C73EE5">
                        <w:fldChar w:fldCharType="separate"/>
                      </w:r>
                      <w:r>
                        <w:rPr>
                          <w:noProof/>
                        </w:rPr>
                        <w:t>26</w:t>
                      </w:r>
                      <w:r w:rsidR="00C73EE5">
                        <w:rPr>
                          <w:noProof/>
                        </w:rPr>
                        <w:fldChar w:fldCharType="end"/>
                      </w:r>
                      <w:r>
                        <w:t xml:space="preserve"> - évolution de la disponibilité alimentaire (autres produits végétaux)</w:t>
                      </w:r>
                      <w:bookmarkEnd w:id="429"/>
                    </w:p>
                    <w:p w:rsidR="00146325" w:rsidRPr="00D11C60" w:rsidRDefault="00146325" w:rsidP="00C75D6A">
                      <w:pPr>
                        <w:pStyle w:val="Lgende"/>
                        <w:keepNext/>
                        <w:jc w:val="both"/>
                      </w:pPr>
                      <w:r w:rsidRPr="00776A3B">
                        <w:rPr>
                          <w:noProof/>
                          <w:lang w:eastAsia="fr-FR"/>
                        </w:rPr>
                        <w:drawing>
                          <wp:inline distT="0" distB="0" distL="0" distR="0">
                            <wp:extent cx="3307080" cy="1885950"/>
                            <wp:effectExtent l="0" t="0" r="762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29201" cy="1898565"/>
                                    </a:xfrm>
                                    <a:prstGeom prst="rect">
                                      <a:avLst/>
                                    </a:prstGeom>
                                    <a:noFill/>
                                    <a:ln>
                                      <a:noFill/>
                                    </a:ln>
                                  </pic:spPr>
                                </pic:pic>
                              </a:graphicData>
                            </a:graphic>
                          </wp:inline>
                        </w:drawing>
                      </w:r>
                    </w:p>
                  </w:txbxContent>
                </v:textbox>
                <w10:wrap type="square" anchorx="margin"/>
              </v:shape>
            </w:pict>
          </mc:Fallback>
        </mc:AlternateContent>
      </w:r>
      <w:r w:rsidR="007678B2">
        <w:rPr>
          <w:rFonts w:ascii="Nyala" w:hAnsi="Nyala"/>
          <w:sz w:val="28"/>
          <w:szCs w:val="28"/>
        </w:rPr>
        <w:t xml:space="preserve">D’une manière générale, l’offre pour les autres productions végétales prises </w:t>
      </w:r>
      <w:r w:rsidR="00C75D6A" w:rsidRPr="006866D3">
        <w:rPr>
          <w:rFonts w:ascii="Nyala" w:hAnsi="Nyala"/>
          <w:sz w:val="28"/>
          <w:szCs w:val="28"/>
        </w:rPr>
        <w:t xml:space="preserve">en considération dans le bilan alimentaire annuel est souvent fluctuante et </w:t>
      </w:r>
      <w:r w:rsidR="007678B2">
        <w:rPr>
          <w:rFonts w:ascii="Nyala" w:hAnsi="Nyala"/>
          <w:sz w:val="28"/>
          <w:szCs w:val="28"/>
        </w:rPr>
        <w:t>parfois supérieure aux besoins de</w:t>
      </w:r>
      <w:r w:rsidR="00C75D6A" w:rsidRPr="006866D3">
        <w:rPr>
          <w:rFonts w:ascii="Nyala" w:hAnsi="Nyala"/>
          <w:sz w:val="28"/>
          <w:szCs w:val="28"/>
        </w:rPr>
        <w:t xml:space="preserve"> consommation</w:t>
      </w:r>
      <w:r w:rsidR="007678B2">
        <w:rPr>
          <w:rFonts w:ascii="Nyala" w:hAnsi="Nyala"/>
          <w:sz w:val="28"/>
          <w:szCs w:val="28"/>
        </w:rPr>
        <w:t xml:space="preserve">. C’est essentiellement le cas des </w:t>
      </w:r>
      <w:r w:rsidR="00C75D6A" w:rsidRPr="006866D3">
        <w:rPr>
          <w:rFonts w:ascii="Nyala" w:hAnsi="Nyala"/>
          <w:sz w:val="28"/>
          <w:szCs w:val="28"/>
        </w:rPr>
        <w:t xml:space="preserve"> oléagineux</w:t>
      </w:r>
      <w:r w:rsidR="007678B2">
        <w:rPr>
          <w:rFonts w:ascii="Nyala" w:hAnsi="Nyala"/>
          <w:sz w:val="28"/>
          <w:szCs w:val="28"/>
        </w:rPr>
        <w:t xml:space="preserve">,des </w:t>
      </w:r>
      <w:r w:rsidR="00C75D6A" w:rsidRPr="006866D3">
        <w:rPr>
          <w:rFonts w:ascii="Nyala" w:hAnsi="Nyala"/>
          <w:sz w:val="28"/>
          <w:szCs w:val="28"/>
        </w:rPr>
        <w:t xml:space="preserve">légumineuses </w:t>
      </w:r>
      <w:r w:rsidR="007678B2">
        <w:rPr>
          <w:rFonts w:ascii="Nyala" w:hAnsi="Nyala"/>
          <w:sz w:val="28"/>
          <w:szCs w:val="28"/>
        </w:rPr>
        <w:t>alimentaires et des épices.</w:t>
      </w:r>
    </w:p>
    <w:p w:rsidR="00C75D6A" w:rsidRPr="006866D3" w:rsidRDefault="00C75D6A" w:rsidP="00C75D6A">
      <w:pPr>
        <w:jc w:val="both"/>
        <w:rPr>
          <w:rFonts w:ascii="Nyala" w:hAnsi="Nyala"/>
          <w:sz w:val="28"/>
          <w:szCs w:val="28"/>
        </w:rPr>
      </w:pPr>
      <w:r w:rsidRPr="006866D3">
        <w:rPr>
          <w:rFonts w:ascii="Nyala" w:hAnsi="Nyala"/>
          <w:sz w:val="28"/>
          <w:szCs w:val="28"/>
        </w:rPr>
        <w:t>Par contre, les productions de tubercules et plantes-racines (pomme de terre, igname, manioc, patate douce) sont souvent en deçà des besoins de consom</w:t>
      </w:r>
      <w:r w:rsidR="007678B2">
        <w:rPr>
          <w:rFonts w:ascii="Nyala" w:hAnsi="Nyala"/>
          <w:sz w:val="28"/>
          <w:szCs w:val="28"/>
        </w:rPr>
        <w:t xml:space="preserve">mation, quel que soit l’année comme le montre la </w:t>
      </w:r>
      <w:r w:rsidRPr="006866D3">
        <w:rPr>
          <w:rFonts w:ascii="Nyala" w:hAnsi="Nyala"/>
          <w:b/>
          <w:sz w:val="28"/>
          <w:szCs w:val="28"/>
        </w:rPr>
        <w:t xml:space="preserve">figure </w:t>
      </w:r>
      <w:r w:rsidR="009F67D9">
        <w:rPr>
          <w:rFonts w:ascii="Nyala" w:hAnsi="Nyala"/>
          <w:b/>
          <w:sz w:val="28"/>
          <w:szCs w:val="28"/>
        </w:rPr>
        <w:t>2</w:t>
      </w:r>
      <w:r w:rsidR="00D413AC">
        <w:rPr>
          <w:rFonts w:ascii="Nyala" w:hAnsi="Nyala"/>
          <w:b/>
          <w:sz w:val="28"/>
          <w:szCs w:val="28"/>
        </w:rPr>
        <w:t>6</w:t>
      </w:r>
      <w:r w:rsidRPr="006866D3">
        <w:rPr>
          <w:rFonts w:ascii="Nyala" w:hAnsi="Nyala"/>
          <w:sz w:val="28"/>
          <w:szCs w:val="28"/>
        </w:rPr>
        <w:t xml:space="preserve">. </w:t>
      </w:r>
    </w:p>
    <w:p w:rsidR="00C75D6A" w:rsidRPr="006866D3" w:rsidRDefault="00C75D6A" w:rsidP="00C75D6A">
      <w:pPr>
        <w:jc w:val="both"/>
        <w:rPr>
          <w:sz w:val="28"/>
          <w:szCs w:val="28"/>
        </w:rPr>
      </w:pPr>
    </w:p>
    <w:p w:rsidR="00C75D6A" w:rsidRDefault="00C75D6A" w:rsidP="00141D20">
      <w:pPr>
        <w:pStyle w:val="Titre4"/>
        <w:numPr>
          <w:ilvl w:val="3"/>
          <w:numId w:val="2"/>
        </w:numPr>
      </w:pPr>
      <w:r w:rsidRPr="00141D20">
        <w:t xml:space="preserve">Productions animales </w:t>
      </w:r>
    </w:p>
    <w:p w:rsidR="00200DBB" w:rsidRPr="00141D20" w:rsidRDefault="00200DBB" w:rsidP="00141D20">
      <w:pPr>
        <w:jc w:val="both"/>
        <w:rPr>
          <w:rFonts w:ascii="Nyala" w:hAnsi="Nyala"/>
          <w:sz w:val="28"/>
          <w:szCs w:val="28"/>
        </w:rPr>
      </w:pPr>
      <w:r w:rsidRPr="00141D20">
        <w:rPr>
          <w:rFonts w:ascii="Nyala" w:hAnsi="Nyala"/>
          <w:sz w:val="28"/>
          <w:szCs w:val="28"/>
        </w:rPr>
        <w:t>Depuis le recensement général de l’Agriculture et de l’Elevage (RGAC) de 2005-2007 qui a permis d’estimer le cheptel National en 2015  à 31 039 041 têtes toutes espèces confondues, soit 11 467 543 UBT; les estimations se font chaque année sur la base des taux de croit prédéfinis par espèce.  Ainsi, en 2016, le cheptel national est estimé à 44 595 672 millions de têtes toutes espèces confondues soit 17 340 539 UBT. Toujours selon les résultats du RGAC, la plus forte concentration du cheptel se trouve dans 4 régions représentant 78% de l’effectif total du cheptel qui sont par ordre d’importance Zinder avec 26% de l’effectif du cheptel suivi de Tahoua (21%), Maradi (16%) et Tillabéri (15%). Niamey (1%) et Agadez (4%) sont les régions où la concentration du cheptel reste faible</w:t>
      </w:r>
      <w:r w:rsidR="00B677BD">
        <w:rPr>
          <w:rFonts w:ascii="Nyala" w:hAnsi="Nyala"/>
          <w:sz w:val="28"/>
          <w:szCs w:val="28"/>
        </w:rPr>
        <w:t xml:space="preserve"> (</w:t>
      </w:r>
      <w:r w:rsidR="00B677BD" w:rsidRPr="00B677BD">
        <w:rPr>
          <w:rFonts w:ascii="Nyala" w:hAnsi="Nyala"/>
          <w:b/>
          <w:sz w:val="28"/>
          <w:szCs w:val="28"/>
        </w:rPr>
        <w:t xml:space="preserve">Tableau </w:t>
      </w:r>
      <w:r w:rsidR="00D413AC">
        <w:rPr>
          <w:rFonts w:ascii="Nyala" w:hAnsi="Nyala"/>
          <w:b/>
          <w:sz w:val="28"/>
          <w:szCs w:val="28"/>
        </w:rPr>
        <w:t>8</w:t>
      </w:r>
      <w:r w:rsidR="00B677BD">
        <w:rPr>
          <w:rFonts w:ascii="Nyala" w:hAnsi="Nyala"/>
          <w:sz w:val="28"/>
          <w:szCs w:val="28"/>
        </w:rPr>
        <w:t>)</w:t>
      </w:r>
      <w:r w:rsidRPr="00141D20">
        <w:rPr>
          <w:rFonts w:ascii="Nyala" w:hAnsi="Nyala"/>
          <w:sz w:val="28"/>
          <w:szCs w:val="28"/>
        </w:rPr>
        <w:t>.</w:t>
      </w:r>
    </w:p>
    <w:p w:rsidR="00200DBB" w:rsidRDefault="00200DBB" w:rsidP="00200DBB">
      <w:pPr>
        <w:spacing w:before="0" w:after="120"/>
        <w:jc w:val="both"/>
        <w:rPr>
          <w:rFonts w:ascii="Nyala" w:hAnsi="Nyala"/>
          <w:color w:val="000000"/>
          <w:sz w:val="24"/>
          <w:szCs w:val="24"/>
        </w:rPr>
      </w:pPr>
    </w:p>
    <w:p w:rsidR="00DD0F60" w:rsidRDefault="00DD0F60" w:rsidP="00DD0F60">
      <w:pPr>
        <w:pStyle w:val="Lgende"/>
        <w:rPr>
          <w:rFonts w:ascii="Nyala" w:hAnsi="Nyala"/>
          <w:color w:val="000000"/>
          <w:sz w:val="24"/>
          <w:szCs w:val="24"/>
        </w:rPr>
      </w:pPr>
      <w:bookmarkStart w:id="430" w:name="_Toc526120062"/>
      <w:r>
        <w:t xml:space="preserve">Tableau </w:t>
      </w:r>
      <w:r w:rsidR="00D639F2">
        <w:fldChar w:fldCharType="begin"/>
      </w:r>
      <w:r w:rsidR="00440FAF">
        <w:instrText xml:space="preserve"> SEQ Tableau \* ARABIC </w:instrText>
      </w:r>
      <w:r w:rsidR="00D639F2">
        <w:fldChar w:fldCharType="separate"/>
      </w:r>
      <w:r w:rsidR="00440FAF">
        <w:rPr>
          <w:noProof/>
        </w:rPr>
        <w:t>8</w:t>
      </w:r>
      <w:r w:rsidR="00D639F2">
        <w:fldChar w:fldCharType="end"/>
      </w:r>
      <w:r>
        <w:t xml:space="preserve"> - Evolution de l'effectif du chep</w:t>
      </w:r>
      <w:r w:rsidR="00B677BD">
        <w:t>t</w:t>
      </w:r>
      <w:r>
        <w:t>el du Niger</w:t>
      </w:r>
      <w:bookmarkEnd w:id="430"/>
    </w:p>
    <w:tbl>
      <w:tblPr>
        <w:tblW w:w="8570" w:type="dxa"/>
        <w:tblInd w:w="-90" w:type="dxa"/>
        <w:tblLayout w:type="fixed"/>
        <w:tblCellMar>
          <w:left w:w="70" w:type="dxa"/>
          <w:right w:w="70" w:type="dxa"/>
        </w:tblCellMar>
        <w:tblLook w:val="04A0" w:firstRow="1" w:lastRow="0" w:firstColumn="1" w:lastColumn="0" w:noHBand="0" w:noVBand="1"/>
      </w:tblPr>
      <w:tblGrid>
        <w:gridCol w:w="680"/>
        <w:gridCol w:w="986"/>
        <w:gridCol w:w="986"/>
        <w:gridCol w:w="986"/>
        <w:gridCol w:w="987"/>
        <w:gridCol w:w="986"/>
        <w:gridCol w:w="986"/>
        <w:gridCol w:w="986"/>
        <w:gridCol w:w="987"/>
      </w:tblGrid>
      <w:tr w:rsidR="00200DBB" w:rsidRPr="00200DBB" w:rsidTr="00DD0F60">
        <w:trPr>
          <w:trHeight w:val="315"/>
        </w:trPr>
        <w:tc>
          <w:tcPr>
            <w:tcW w:w="6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00DBB" w:rsidRPr="00141D20" w:rsidRDefault="00200DB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Année</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200DBB" w:rsidRPr="00141D20" w:rsidRDefault="00200DBB" w:rsidP="00D5078B">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Bovins</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200DBB" w:rsidRPr="00141D20" w:rsidRDefault="00200DBB" w:rsidP="00D5078B">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Ovins</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200DBB" w:rsidRPr="00141D20" w:rsidRDefault="00200DBB" w:rsidP="0044335F">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Caprins</w:t>
            </w:r>
          </w:p>
        </w:tc>
        <w:tc>
          <w:tcPr>
            <w:tcW w:w="987" w:type="dxa"/>
            <w:tcBorders>
              <w:top w:val="single" w:sz="8" w:space="0" w:color="auto"/>
              <w:left w:val="nil"/>
              <w:bottom w:val="single" w:sz="8" w:space="0" w:color="auto"/>
              <w:right w:val="single" w:sz="8" w:space="0" w:color="auto"/>
            </w:tcBorders>
            <w:shd w:val="clear" w:color="auto" w:fill="auto"/>
            <w:noWrap/>
            <w:vAlign w:val="center"/>
            <w:hideMark/>
          </w:tcPr>
          <w:p w:rsidR="00200DBB" w:rsidRPr="00141D20" w:rsidRDefault="00200DBB" w:rsidP="00FB1228">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Camelins</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200DBB" w:rsidRPr="00141D20" w:rsidRDefault="00200DBB" w:rsidP="00180985">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Equins</w:t>
            </w:r>
          </w:p>
        </w:tc>
        <w:tc>
          <w:tcPr>
            <w:tcW w:w="986" w:type="dxa"/>
            <w:tcBorders>
              <w:top w:val="single" w:sz="8" w:space="0" w:color="auto"/>
              <w:left w:val="nil"/>
              <w:bottom w:val="single" w:sz="8" w:space="0" w:color="auto"/>
              <w:right w:val="single" w:sz="8" w:space="0" w:color="auto"/>
            </w:tcBorders>
            <w:shd w:val="clear" w:color="auto" w:fill="auto"/>
            <w:noWrap/>
            <w:vAlign w:val="center"/>
            <w:hideMark/>
          </w:tcPr>
          <w:p w:rsidR="00200DBB" w:rsidRPr="00141D20" w:rsidRDefault="00200DBB" w:rsidP="001A0938">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Asins</w:t>
            </w:r>
          </w:p>
        </w:tc>
        <w:tc>
          <w:tcPr>
            <w:tcW w:w="986" w:type="dxa"/>
            <w:tcBorders>
              <w:top w:val="single" w:sz="8" w:space="0" w:color="auto"/>
              <w:left w:val="nil"/>
              <w:bottom w:val="single" w:sz="8" w:space="0" w:color="auto"/>
              <w:right w:val="single" w:sz="8" w:space="0" w:color="auto"/>
            </w:tcBorders>
            <w:shd w:val="clear" w:color="auto" w:fill="auto"/>
            <w:vAlign w:val="center"/>
            <w:hideMark/>
          </w:tcPr>
          <w:p w:rsidR="00200DBB" w:rsidRPr="00141D20" w:rsidRDefault="00200DBB" w:rsidP="00BB20B9">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Total têtes</w:t>
            </w:r>
          </w:p>
        </w:tc>
        <w:tc>
          <w:tcPr>
            <w:tcW w:w="987" w:type="dxa"/>
            <w:tcBorders>
              <w:top w:val="single" w:sz="8" w:space="0" w:color="auto"/>
              <w:left w:val="nil"/>
              <w:bottom w:val="single" w:sz="8" w:space="0" w:color="auto"/>
              <w:right w:val="nil"/>
            </w:tcBorders>
            <w:shd w:val="clear" w:color="auto" w:fill="auto"/>
            <w:noWrap/>
            <w:vAlign w:val="center"/>
            <w:hideMark/>
          </w:tcPr>
          <w:p w:rsidR="00200DBB" w:rsidRPr="00141D20" w:rsidRDefault="00200DBB" w:rsidP="0020633B">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UBT</w:t>
            </w:r>
          </w:p>
        </w:tc>
      </w:tr>
      <w:tr w:rsidR="00200DBB" w:rsidRPr="00200DBB" w:rsidTr="00DD0F60">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2 010</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9 011 897</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9 680 058</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12 722 529</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1 633 569</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233 816</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1 599 593</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200DBB" w:rsidRPr="00141D20" w:rsidRDefault="00200DBB" w:rsidP="00141D20">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34 881 462</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13 237 087</w:t>
            </w:r>
          </w:p>
        </w:tc>
      </w:tr>
      <w:tr w:rsidR="00200DBB" w:rsidRPr="00200DBB" w:rsidTr="00DD0F60">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2 011</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9 552 611</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10 018 860</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13 231 430</w:t>
            </w:r>
          </w:p>
        </w:tc>
        <w:tc>
          <w:tcPr>
            <w:tcW w:w="987"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1 654 805</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236 154</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1 631 585</w:t>
            </w:r>
          </w:p>
        </w:tc>
        <w:tc>
          <w:tcPr>
            <w:tcW w:w="986" w:type="dxa"/>
            <w:tcBorders>
              <w:top w:val="nil"/>
              <w:left w:val="nil"/>
              <w:bottom w:val="single" w:sz="4" w:space="0" w:color="auto"/>
              <w:right w:val="single" w:sz="4" w:space="0" w:color="auto"/>
            </w:tcBorders>
            <w:shd w:val="clear" w:color="auto" w:fill="auto"/>
            <w:vAlign w:val="center"/>
            <w:hideMark/>
          </w:tcPr>
          <w:p w:rsidR="00200DBB" w:rsidRPr="00141D20" w:rsidRDefault="00200DBB" w:rsidP="00141D20">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36 325 445</w:t>
            </w:r>
          </w:p>
        </w:tc>
        <w:tc>
          <w:tcPr>
            <w:tcW w:w="987"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13 836 384</w:t>
            </w:r>
          </w:p>
        </w:tc>
      </w:tr>
      <w:tr w:rsidR="00200DBB" w:rsidRPr="00200DBB" w:rsidTr="00DD0F60">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2 012</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10 125 767</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10 369 520</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13 760 687</w:t>
            </w:r>
          </w:p>
        </w:tc>
        <w:tc>
          <w:tcPr>
            <w:tcW w:w="987"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1 676 318</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238 516</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1 664 216</w:t>
            </w:r>
          </w:p>
        </w:tc>
        <w:tc>
          <w:tcPr>
            <w:tcW w:w="986" w:type="dxa"/>
            <w:tcBorders>
              <w:top w:val="nil"/>
              <w:left w:val="nil"/>
              <w:bottom w:val="single" w:sz="4" w:space="0" w:color="auto"/>
              <w:right w:val="single" w:sz="4" w:space="0" w:color="auto"/>
            </w:tcBorders>
            <w:shd w:val="clear" w:color="auto" w:fill="auto"/>
            <w:vAlign w:val="center"/>
            <w:hideMark/>
          </w:tcPr>
          <w:p w:rsidR="00200DBB" w:rsidRPr="00141D20" w:rsidRDefault="00200DBB" w:rsidP="00141D20">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37 835 024</w:t>
            </w:r>
          </w:p>
        </w:tc>
        <w:tc>
          <w:tcPr>
            <w:tcW w:w="987"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14 467 087</w:t>
            </w:r>
          </w:p>
        </w:tc>
      </w:tr>
      <w:tr w:rsidR="00200DBB" w:rsidRPr="00200DBB" w:rsidTr="00DD0F60">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2 013</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10 733 314</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10 732 453</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14 311 115</w:t>
            </w:r>
          </w:p>
        </w:tc>
        <w:tc>
          <w:tcPr>
            <w:tcW w:w="987"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1 698 110</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240 901</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1 697 501</w:t>
            </w:r>
          </w:p>
        </w:tc>
        <w:tc>
          <w:tcPr>
            <w:tcW w:w="986" w:type="dxa"/>
            <w:tcBorders>
              <w:top w:val="nil"/>
              <w:left w:val="nil"/>
              <w:bottom w:val="single" w:sz="4" w:space="0" w:color="auto"/>
              <w:right w:val="single" w:sz="4" w:space="0" w:color="auto"/>
            </w:tcBorders>
            <w:shd w:val="clear" w:color="auto" w:fill="auto"/>
            <w:vAlign w:val="center"/>
            <w:hideMark/>
          </w:tcPr>
          <w:p w:rsidR="00200DBB" w:rsidRPr="00141D20" w:rsidRDefault="00200DBB" w:rsidP="00141D20">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39 413 394</w:t>
            </w:r>
          </w:p>
        </w:tc>
        <w:tc>
          <w:tcPr>
            <w:tcW w:w="987"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15 130 947</w:t>
            </w:r>
          </w:p>
        </w:tc>
      </w:tr>
      <w:tr w:rsidR="00200DBB" w:rsidRPr="00200DBB" w:rsidTr="00DD0F60">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2 014</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11 377 312</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11 108 089</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14 883 559</w:t>
            </w:r>
          </w:p>
        </w:tc>
        <w:tc>
          <w:tcPr>
            <w:tcW w:w="987"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1 720 185</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243 310</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1 731 451</w:t>
            </w:r>
          </w:p>
        </w:tc>
        <w:tc>
          <w:tcPr>
            <w:tcW w:w="986" w:type="dxa"/>
            <w:tcBorders>
              <w:top w:val="nil"/>
              <w:left w:val="nil"/>
              <w:bottom w:val="single" w:sz="4" w:space="0" w:color="auto"/>
              <w:right w:val="single" w:sz="4" w:space="0" w:color="auto"/>
            </w:tcBorders>
            <w:shd w:val="clear" w:color="auto" w:fill="auto"/>
            <w:vAlign w:val="center"/>
            <w:hideMark/>
          </w:tcPr>
          <w:p w:rsidR="00200DBB" w:rsidRPr="00141D20" w:rsidRDefault="00200DBB" w:rsidP="00141D20">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41 063 906</w:t>
            </w:r>
          </w:p>
        </w:tc>
        <w:tc>
          <w:tcPr>
            <w:tcW w:w="987"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15 829 818</w:t>
            </w:r>
          </w:p>
        </w:tc>
      </w:tr>
      <w:tr w:rsidR="00200DBB" w:rsidRPr="00200DBB" w:rsidTr="00DD0F60">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2 015</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12 059 951</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11 496 872</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15 478 901</w:t>
            </w:r>
          </w:p>
        </w:tc>
        <w:tc>
          <w:tcPr>
            <w:tcW w:w="987"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1 742 547</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243 310</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1 766 080</w:t>
            </w:r>
          </w:p>
        </w:tc>
        <w:tc>
          <w:tcPr>
            <w:tcW w:w="986" w:type="dxa"/>
            <w:tcBorders>
              <w:top w:val="nil"/>
              <w:left w:val="nil"/>
              <w:bottom w:val="single" w:sz="4" w:space="0" w:color="auto"/>
              <w:right w:val="single" w:sz="4" w:space="0" w:color="auto"/>
            </w:tcBorders>
            <w:shd w:val="clear" w:color="auto" w:fill="auto"/>
            <w:vAlign w:val="center"/>
            <w:hideMark/>
          </w:tcPr>
          <w:p w:rsidR="00200DBB" w:rsidRPr="00141D20" w:rsidRDefault="00200DBB" w:rsidP="00141D20">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42 787 662</w:t>
            </w:r>
          </w:p>
        </w:tc>
        <w:tc>
          <w:tcPr>
            <w:tcW w:w="987"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16 494 644</w:t>
            </w:r>
          </w:p>
        </w:tc>
      </w:tr>
      <w:tr w:rsidR="00200DBB" w:rsidRPr="00200DBB" w:rsidTr="00DD0F60">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2 016</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12 783 548</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11 899 263</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16 098 057</w:t>
            </w:r>
          </w:p>
        </w:tc>
        <w:tc>
          <w:tcPr>
            <w:tcW w:w="987"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1 765 201</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243 310</w:t>
            </w:r>
          </w:p>
        </w:tc>
        <w:tc>
          <w:tcPr>
            <w:tcW w:w="986"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1 801 402</w:t>
            </w:r>
          </w:p>
        </w:tc>
        <w:tc>
          <w:tcPr>
            <w:tcW w:w="986" w:type="dxa"/>
            <w:tcBorders>
              <w:top w:val="nil"/>
              <w:left w:val="nil"/>
              <w:bottom w:val="single" w:sz="4" w:space="0" w:color="auto"/>
              <w:right w:val="single" w:sz="4" w:space="0" w:color="auto"/>
            </w:tcBorders>
            <w:shd w:val="clear" w:color="auto" w:fill="auto"/>
            <w:vAlign w:val="center"/>
            <w:hideMark/>
          </w:tcPr>
          <w:p w:rsidR="00200DBB" w:rsidRPr="00141D20" w:rsidRDefault="00200DBB" w:rsidP="00141D20">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44 590 780</w:t>
            </w:r>
          </w:p>
        </w:tc>
        <w:tc>
          <w:tcPr>
            <w:tcW w:w="987" w:type="dxa"/>
            <w:tcBorders>
              <w:top w:val="nil"/>
              <w:left w:val="nil"/>
              <w:bottom w:val="single" w:sz="4" w:space="0" w:color="auto"/>
              <w:right w:val="single" w:sz="4" w:space="0" w:color="auto"/>
            </w:tcBorders>
            <w:shd w:val="clear" w:color="auto" w:fill="auto"/>
            <w:noWrap/>
            <w:vAlign w:val="center"/>
            <w:hideMark/>
          </w:tcPr>
          <w:p w:rsidR="00200DBB" w:rsidRPr="00141D20" w:rsidRDefault="00200DBB" w:rsidP="00141D20">
            <w:pPr>
              <w:spacing w:before="0" w:after="0" w:line="240" w:lineRule="auto"/>
              <w:jc w:val="center"/>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17 390 404</w:t>
            </w:r>
          </w:p>
        </w:tc>
      </w:tr>
    </w:tbl>
    <w:p w:rsidR="00DD0F60" w:rsidRPr="00DD0F60" w:rsidRDefault="00DD0F60" w:rsidP="00DD0F60">
      <w:pPr>
        <w:spacing w:before="0" w:line="240" w:lineRule="auto"/>
        <w:jc w:val="both"/>
        <w:rPr>
          <w:rFonts w:ascii="Nyala" w:hAnsi="Nyala"/>
        </w:rPr>
      </w:pPr>
      <w:r w:rsidRPr="00DD0F60">
        <w:rPr>
          <w:rFonts w:ascii="Nyala" w:hAnsi="Nyala"/>
        </w:rPr>
        <w:t>Source</w:t>
      </w:r>
      <w:r>
        <w:rPr>
          <w:rFonts w:ascii="Nyala" w:hAnsi="Nyala"/>
        </w:rPr>
        <w:t xml:space="preserve"> : </w:t>
      </w:r>
      <w:r w:rsidRPr="00DD0F60">
        <w:rPr>
          <w:rFonts w:ascii="Nyala" w:hAnsi="Nyala"/>
        </w:rPr>
        <w:t>MAGEL</w:t>
      </w:r>
    </w:p>
    <w:p w:rsidR="00200DBB" w:rsidRDefault="00200DBB" w:rsidP="00200DBB">
      <w:pPr>
        <w:spacing w:before="0" w:after="120"/>
        <w:jc w:val="both"/>
        <w:rPr>
          <w:rFonts w:ascii="Nyala" w:hAnsi="Nyala"/>
          <w:color w:val="000000"/>
          <w:sz w:val="24"/>
          <w:szCs w:val="24"/>
        </w:rPr>
      </w:pPr>
    </w:p>
    <w:p w:rsidR="00456A2E" w:rsidRDefault="00200DBB" w:rsidP="00C75D6A">
      <w:pPr>
        <w:jc w:val="both"/>
        <w:rPr>
          <w:rFonts w:ascii="Nyala" w:hAnsi="Nyala"/>
          <w:sz w:val="28"/>
          <w:szCs w:val="28"/>
        </w:rPr>
      </w:pPr>
      <w:r>
        <w:rPr>
          <w:rFonts w:ascii="Nyala" w:hAnsi="Nyala"/>
          <w:sz w:val="28"/>
          <w:szCs w:val="28"/>
        </w:rPr>
        <w:t xml:space="preserve">Avec cet important effectif, </w:t>
      </w:r>
      <w:r w:rsidR="00750FFC">
        <w:rPr>
          <w:rFonts w:ascii="Nyala" w:hAnsi="Nyala"/>
          <w:sz w:val="28"/>
          <w:szCs w:val="28"/>
        </w:rPr>
        <w:t xml:space="preserve">Le Niger devrait couvrir ses besoins en sous-produits animaux. </w:t>
      </w:r>
      <w:r w:rsidR="008313EC">
        <w:rPr>
          <w:rFonts w:ascii="Nyala" w:hAnsi="Nyala"/>
          <w:sz w:val="28"/>
          <w:szCs w:val="28"/>
        </w:rPr>
        <w:t xml:space="preserve">En 2015, le disponible en viande était estimé à 276 078 tonnes et 1,109 millions de tonnes pour le lait. </w:t>
      </w:r>
    </w:p>
    <w:p w:rsidR="008313EC" w:rsidRDefault="00146983" w:rsidP="00C75D6A">
      <w:pPr>
        <w:jc w:val="both"/>
        <w:rPr>
          <w:rFonts w:ascii="Nyala" w:hAnsi="Nyala"/>
          <w:sz w:val="28"/>
          <w:szCs w:val="28"/>
        </w:rPr>
      </w:pPr>
      <w:r>
        <w:rPr>
          <w:noProof/>
          <w:lang w:eastAsia="fr-FR"/>
        </w:rPr>
        <mc:AlternateContent>
          <mc:Choice Requires="wps">
            <w:drawing>
              <wp:anchor distT="0" distB="0" distL="114300" distR="114300" simplePos="0" relativeHeight="251957248" behindDoc="0" locked="0" layoutInCell="1" allowOverlap="1" wp14:anchorId="395535A5">
                <wp:simplePos x="0" y="0"/>
                <wp:positionH relativeFrom="margin">
                  <wp:posOffset>1652270</wp:posOffset>
                </wp:positionH>
                <wp:positionV relativeFrom="paragraph">
                  <wp:posOffset>4445</wp:posOffset>
                </wp:positionV>
                <wp:extent cx="4023995" cy="2446655"/>
                <wp:effectExtent l="0" t="0" r="14605" b="10795"/>
                <wp:wrapSquare wrapText="bothSides"/>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995" cy="2446655"/>
                        </a:xfrm>
                        <a:prstGeom prst="rect">
                          <a:avLst/>
                        </a:prstGeom>
                        <a:noFill/>
                        <a:ln w="6350">
                          <a:solidFill>
                            <a:prstClr val="black"/>
                          </a:solidFill>
                        </a:ln>
                        <a:effectLst/>
                      </wps:spPr>
                      <wps:txbx>
                        <w:txbxContent>
                          <w:p w:rsidR="00146325" w:rsidRDefault="00146325" w:rsidP="009B11E1">
                            <w:pPr>
                              <w:pStyle w:val="Lgende"/>
                              <w:keepNext/>
                              <w:jc w:val="both"/>
                            </w:pPr>
                            <w:bookmarkStart w:id="431" w:name="_Toc526120093"/>
                            <w:r>
                              <w:t xml:space="preserve">Figure </w:t>
                            </w:r>
                            <w:r w:rsidR="00C73EE5">
                              <w:fldChar w:fldCharType="begin"/>
                            </w:r>
                            <w:r w:rsidR="00C73EE5">
                              <w:instrText xml:space="preserve"> SEQ Figure \* ARABIC </w:instrText>
                            </w:r>
                            <w:r w:rsidR="00C73EE5">
                              <w:fldChar w:fldCharType="separate"/>
                            </w:r>
                            <w:r>
                              <w:rPr>
                                <w:noProof/>
                              </w:rPr>
                              <w:t>27</w:t>
                            </w:r>
                            <w:r w:rsidR="00C73EE5">
                              <w:rPr>
                                <w:noProof/>
                              </w:rPr>
                              <w:fldChar w:fldCharType="end"/>
                            </w:r>
                            <w:r>
                              <w:t xml:space="preserve"> - disponibilité en sous-produits animaux</w:t>
                            </w:r>
                            <w:bookmarkEnd w:id="431"/>
                          </w:p>
                          <w:p w:rsidR="00146325" w:rsidRDefault="00146325" w:rsidP="00141D20">
                            <w:pPr>
                              <w:spacing w:before="0" w:after="0"/>
                              <w:jc w:val="both"/>
                            </w:pPr>
                            <w:r w:rsidRPr="008313EC">
                              <w:rPr>
                                <w:noProof/>
                                <w:lang w:eastAsia="fr-FR"/>
                              </w:rPr>
                              <w:drawing>
                                <wp:inline distT="0" distB="0" distL="0" distR="0">
                                  <wp:extent cx="3881282" cy="2194560"/>
                                  <wp:effectExtent l="0" t="0" r="508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93783" cy="2201628"/>
                                          </a:xfrm>
                                          <a:prstGeom prst="rect">
                                            <a:avLst/>
                                          </a:prstGeom>
                                          <a:noFill/>
                                          <a:ln>
                                            <a:noFill/>
                                          </a:ln>
                                        </pic:spPr>
                                      </pic:pic>
                                    </a:graphicData>
                                  </a:graphic>
                                </wp:inline>
                              </w:drawing>
                            </w:r>
                          </w:p>
                          <w:p w:rsidR="00146325" w:rsidRPr="00141D20" w:rsidRDefault="00146325" w:rsidP="00141D20">
                            <w:pPr>
                              <w:spacing w:before="0" w:after="0" w:line="240" w:lineRule="auto"/>
                              <w:jc w:val="both"/>
                              <w:rPr>
                                <w:rFonts w:ascii="Nyala" w:hAnsi="Nyala"/>
                                <w:sz w:val="16"/>
                                <w:szCs w:val="16"/>
                              </w:rPr>
                            </w:pPr>
                            <w:r w:rsidRPr="00141D20">
                              <w:rPr>
                                <w:rFonts w:ascii="Nyala" w:hAnsi="Nyala"/>
                                <w:sz w:val="16"/>
                                <w:szCs w:val="16"/>
                              </w:rPr>
                              <w:t>Source : Direction statistiques Agricoles (Bilans alimentaires)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535A5" id="Zone de texte 33" o:spid="_x0000_s1059" type="#_x0000_t202" style="position:absolute;left:0;text-align:left;margin-left:130.1pt;margin-top:.35pt;width:316.85pt;height:192.6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" filled="f" strokeweight=".5pt">
                <v:path arrowok="t"/>
                <v:textbox>
                  <w:txbxContent>
                    <w:p w:rsidR="00146325" w:rsidRDefault="00146325" w:rsidP="009B11E1">
                      <w:pPr>
                        <w:pStyle w:val="Lgende"/>
                        <w:keepNext/>
                        <w:jc w:val="both"/>
                      </w:pPr>
                      <w:bookmarkStart w:id="432" w:name="_Toc526120093"/>
                      <w:r>
                        <w:t xml:space="preserve">Figure </w:t>
                      </w:r>
                      <w:r w:rsidR="00C73EE5">
                        <w:fldChar w:fldCharType="begin"/>
                      </w:r>
                      <w:r w:rsidR="00C73EE5">
                        <w:instrText xml:space="preserve"> SEQ Figure \* ARABIC </w:instrText>
                      </w:r>
                      <w:r w:rsidR="00C73EE5">
                        <w:fldChar w:fldCharType="separate"/>
                      </w:r>
                      <w:r>
                        <w:rPr>
                          <w:noProof/>
                        </w:rPr>
                        <w:t>27</w:t>
                      </w:r>
                      <w:r w:rsidR="00C73EE5">
                        <w:rPr>
                          <w:noProof/>
                        </w:rPr>
                        <w:fldChar w:fldCharType="end"/>
                      </w:r>
                      <w:r>
                        <w:t xml:space="preserve"> - disponibilité en sous-produits animaux</w:t>
                      </w:r>
                      <w:bookmarkEnd w:id="432"/>
                    </w:p>
                    <w:p w:rsidR="00146325" w:rsidRDefault="00146325" w:rsidP="00141D20">
                      <w:pPr>
                        <w:spacing w:before="0" w:after="0"/>
                        <w:jc w:val="both"/>
                      </w:pPr>
                      <w:r w:rsidRPr="008313EC">
                        <w:rPr>
                          <w:noProof/>
                          <w:lang w:eastAsia="fr-FR"/>
                        </w:rPr>
                        <w:drawing>
                          <wp:inline distT="0" distB="0" distL="0" distR="0">
                            <wp:extent cx="3881282" cy="2194560"/>
                            <wp:effectExtent l="0" t="0" r="508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93783" cy="2201628"/>
                                    </a:xfrm>
                                    <a:prstGeom prst="rect">
                                      <a:avLst/>
                                    </a:prstGeom>
                                    <a:noFill/>
                                    <a:ln>
                                      <a:noFill/>
                                    </a:ln>
                                  </pic:spPr>
                                </pic:pic>
                              </a:graphicData>
                            </a:graphic>
                          </wp:inline>
                        </w:drawing>
                      </w:r>
                    </w:p>
                    <w:p w:rsidR="00146325" w:rsidRPr="00141D20" w:rsidRDefault="00146325" w:rsidP="00141D20">
                      <w:pPr>
                        <w:spacing w:before="0" w:after="0" w:line="240" w:lineRule="auto"/>
                        <w:jc w:val="both"/>
                        <w:rPr>
                          <w:rFonts w:ascii="Nyala" w:hAnsi="Nyala"/>
                          <w:sz w:val="16"/>
                          <w:szCs w:val="16"/>
                        </w:rPr>
                      </w:pPr>
                      <w:r w:rsidRPr="00141D20">
                        <w:rPr>
                          <w:rFonts w:ascii="Nyala" w:hAnsi="Nyala"/>
                          <w:sz w:val="16"/>
                          <w:szCs w:val="16"/>
                        </w:rPr>
                        <w:t>Source : Direction statistiques Agricoles (Bilans alimentaires)</w:t>
                      </w:r>
                    </w:p>
                  </w:txbxContent>
                </v:textbox>
                <w10:wrap type="square" anchorx="margin"/>
              </v:shape>
            </w:pict>
          </mc:Fallback>
        </mc:AlternateContent>
      </w:r>
      <w:r w:rsidR="008313EC">
        <w:rPr>
          <w:rFonts w:ascii="Nyala" w:hAnsi="Nyala"/>
          <w:sz w:val="28"/>
          <w:szCs w:val="28"/>
        </w:rPr>
        <w:t xml:space="preserve">La </w:t>
      </w:r>
      <w:r w:rsidR="008313EC" w:rsidRPr="009B11E1">
        <w:rPr>
          <w:rFonts w:ascii="Nyala" w:hAnsi="Nyala"/>
          <w:b/>
          <w:sz w:val="28"/>
          <w:szCs w:val="28"/>
        </w:rPr>
        <w:t xml:space="preserve">figure </w:t>
      </w:r>
      <w:r w:rsidR="009F67D9" w:rsidRPr="009B11E1">
        <w:rPr>
          <w:rFonts w:ascii="Nyala" w:hAnsi="Nyala"/>
          <w:b/>
          <w:sz w:val="28"/>
          <w:szCs w:val="28"/>
        </w:rPr>
        <w:t>2</w:t>
      </w:r>
      <w:r w:rsidR="00D413AC">
        <w:rPr>
          <w:rFonts w:ascii="Nyala" w:hAnsi="Nyala"/>
          <w:b/>
          <w:sz w:val="28"/>
          <w:szCs w:val="28"/>
        </w:rPr>
        <w:t>7</w:t>
      </w:r>
      <w:r w:rsidR="008313EC">
        <w:rPr>
          <w:rFonts w:ascii="Nyala" w:hAnsi="Nyala"/>
          <w:sz w:val="28"/>
          <w:szCs w:val="28"/>
        </w:rPr>
        <w:t xml:space="preserve">illustre les évolutions constatées entre 2009 et 2015. A noter, l’extraordinaire bond observé en 2010 pour l’offre en viande, du fait sans doute des opérations de déstockage que la crise fourragère a rendu nécessaire. </w:t>
      </w:r>
    </w:p>
    <w:p w:rsidR="00C75D6A" w:rsidRDefault="000E5A70" w:rsidP="00C75D6A">
      <w:pPr>
        <w:jc w:val="both"/>
        <w:rPr>
          <w:rFonts w:ascii="Nyala" w:hAnsi="Nyala"/>
          <w:sz w:val="28"/>
          <w:szCs w:val="28"/>
        </w:rPr>
      </w:pPr>
      <w:r>
        <w:rPr>
          <w:rFonts w:ascii="Nyala" w:hAnsi="Nyala"/>
          <w:sz w:val="28"/>
          <w:szCs w:val="28"/>
        </w:rPr>
        <w:t xml:space="preserve">A partir de 2011, il est constaté une baisse drastique de la production de poissons qui est passée de 138 290 t à 9973 t. Cette baisse </w:t>
      </w:r>
      <w:r w:rsidR="00C75D6A" w:rsidRPr="006866D3">
        <w:rPr>
          <w:rFonts w:ascii="Nyala" w:hAnsi="Nyala"/>
          <w:sz w:val="28"/>
          <w:szCs w:val="28"/>
        </w:rPr>
        <w:t xml:space="preserve"> pourrait être expliquée par la baisse des captures du fait de la rareté de la ressource dans le fleuve Niger et des difficultés d’accès à la ressource pour les pêcheurs du Lac </w:t>
      </w:r>
      <w:r>
        <w:rPr>
          <w:rFonts w:ascii="Nyala" w:hAnsi="Nyala"/>
          <w:sz w:val="28"/>
          <w:szCs w:val="28"/>
        </w:rPr>
        <w:t>Tchad confrontés à l’insécurité</w:t>
      </w:r>
      <w:r w:rsidR="00C75D6A" w:rsidRPr="006866D3">
        <w:rPr>
          <w:rFonts w:ascii="Nyala" w:hAnsi="Nyala"/>
          <w:sz w:val="28"/>
          <w:szCs w:val="28"/>
        </w:rPr>
        <w:t>.  Malgré tout, la disponibilité apparente est plus élevée en générale que la norme de consommation établie pour le pays, ce qui explique en partie les exportations vers le Nigeria des captures opérées dans le Lac Tchad.</w:t>
      </w:r>
    </w:p>
    <w:p w:rsidR="000B6EAC" w:rsidRPr="00141D20" w:rsidRDefault="000B6EAC" w:rsidP="00141D20">
      <w:pPr>
        <w:pStyle w:val="Titre3"/>
        <w:numPr>
          <w:ilvl w:val="2"/>
          <w:numId w:val="2"/>
        </w:numPr>
        <w:rPr>
          <w:rFonts w:ascii="Nyala" w:hAnsi="Nyala"/>
          <w:sz w:val="28"/>
          <w:szCs w:val="28"/>
        </w:rPr>
      </w:pPr>
      <w:bookmarkStart w:id="433" w:name="_Toc526119979"/>
      <w:r w:rsidRPr="00141D20">
        <w:rPr>
          <w:rFonts w:ascii="Nyala" w:hAnsi="Nyala"/>
          <w:sz w:val="28"/>
          <w:szCs w:val="28"/>
        </w:rPr>
        <w:t>Productivité</w:t>
      </w:r>
      <w:r w:rsidR="002C0882" w:rsidRPr="00A86628">
        <w:rPr>
          <w:rFonts w:ascii="Nyala" w:hAnsi="Nyala"/>
          <w:sz w:val="28"/>
          <w:szCs w:val="28"/>
        </w:rPr>
        <w:t xml:space="preserve"> et revenu</w:t>
      </w:r>
      <w:r w:rsidR="002C0882" w:rsidRPr="00141D20">
        <w:rPr>
          <w:rFonts w:ascii="Nyala" w:hAnsi="Nyala"/>
          <w:sz w:val="28"/>
          <w:szCs w:val="28"/>
        </w:rPr>
        <w:t>s des producteurs</w:t>
      </w:r>
      <w:bookmarkEnd w:id="433"/>
    </w:p>
    <w:p w:rsidR="00582916" w:rsidRDefault="00582916" w:rsidP="000500A5">
      <w:pPr>
        <w:jc w:val="both"/>
        <w:rPr>
          <w:rFonts w:ascii="Nyala" w:hAnsi="Nyala"/>
          <w:sz w:val="28"/>
          <w:szCs w:val="28"/>
        </w:rPr>
      </w:pPr>
    </w:p>
    <w:p w:rsidR="00582916" w:rsidRPr="00141D20" w:rsidRDefault="00582916" w:rsidP="000500A5">
      <w:pPr>
        <w:jc w:val="both"/>
        <w:rPr>
          <w:rStyle w:val="Rfrenceintense"/>
        </w:rPr>
      </w:pPr>
      <w:r w:rsidRPr="00141D20">
        <w:rPr>
          <w:rStyle w:val="Rfrenceintense"/>
        </w:rPr>
        <w:t xml:space="preserve">Productivité </w:t>
      </w:r>
      <w:r w:rsidR="006F38BE" w:rsidRPr="00141D20">
        <w:rPr>
          <w:rStyle w:val="Rfrenceintense"/>
        </w:rPr>
        <w:t xml:space="preserve">par unité de travail </w:t>
      </w:r>
      <w:r w:rsidRPr="00141D20">
        <w:rPr>
          <w:rStyle w:val="Rfrenceintense"/>
        </w:rPr>
        <w:t xml:space="preserve">et revenu </w:t>
      </w:r>
      <w:r w:rsidR="00D5078B" w:rsidRPr="00141D20">
        <w:rPr>
          <w:rStyle w:val="Rfrenceintense"/>
        </w:rPr>
        <w:t>des producteurs (cible 2.3, ODD2)</w:t>
      </w:r>
    </w:p>
    <w:p w:rsidR="00AB4F6D" w:rsidRPr="006866D3" w:rsidRDefault="00AB4F6D" w:rsidP="000500A5">
      <w:pPr>
        <w:jc w:val="both"/>
        <w:rPr>
          <w:rFonts w:ascii="Nyala" w:hAnsi="Nyala"/>
          <w:sz w:val="28"/>
          <w:szCs w:val="28"/>
        </w:rPr>
      </w:pPr>
      <w:r w:rsidRPr="006866D3">
        <w:rPr>
          <w:rFonts w:ascii="Nyala" w:hAnsi="Nyala"/>
          <w:sz w:val="28"/>
          <w:szCs w:val="28"/>
        </w:rPr>
        <w:t xml:space="preserve">L’augmentation de la productivité et des revenus des producteurs est un objectif récurrent de développement agropastoral au Niger. Toutefois, les indicateurs tels que définis dans l’ODD2 de l’Agenda 2030 ne font pas l’objet d’un suivi particulier au niveau des services de statistiques agricoles ou pastorales et dans les enquêtes annuelles sur les conditions de vie des ménages et de l’agriculture (ECVMA). </w:t>
      </w:r>
    </w:p>
    <w:p w:rsidR="00AB4F6D" w:rsidRPr="006866D3" w:rsidRDefault="00AB4F6D" w:rsidP="000500A5">
      <w:pPr>
        <w:jc w:val="both"/>
        <w:rPr>
          <w:rFonts w:ascii="Nyala" w:hAnsi="Nyala"/>
          <w:sz w:val="28"/>
          <w:szCs w:val="28"/>
        </w:rPr>
      </w:pPr>
      <w:r w:rsidRPr="006866D3">
        <w:rPr>
          <w:rFonts w:ascii="Nyala" w:hAnsi="Nyala"/>
          <w:sz w:val="28"/>
          <w:szCs w:val="28"/>
        </w:rPr>
        <w:t>Dans la situation de référence établie pour les ODD en général, il a été retenu ce qui suit :</w:t>
      </w:r>
    </w:p>
    <w:p w:rsidR="00BA485C" w:rsidRPr="006866D3" w:rsidRDefault="00BA485C" w:rsidP="0059103A">
      <w:pPr>
        <w:pStyle w:val="Paragraphedeliste"/>
        <w:numPr>
          <w:ilvl w:val="0"/>
          <w:numId w:val="19"/>
        </w:numPr>
        <w:ind w:left="708"/>
        <w:jc w:val="both"/>
        <w:rPr>
          <w:rFonts w:ascii="Nyala" w:hAnsi="Nyala"/>
          <w:sz w:val="28"/>
          <w:szCs w:val="28"/>
        </w:rPr>
      </w:pPr>
      <w:r w:rsidRPr="006866D3">
        <w:rPr>
          <w:rFonts w:ascii="Nyala" w:hAnsi="Nyala"/>
          <w:b/>
          <w:sz w:val="28"/>
          <w:szCs w:val="28"/>
        </w:rPr>
        <w:t xml:space="preserve">Indicateur 2.3 1 : </w:t>
      </w:r>
      <w:r w:rsidRPr="006866D3">
        <w:rPr>
          <w:rFonts w:ascii="Nyala" w:hAnsi="Nyala"/>
          <w:sz w:val="28"/>
          <w:szCs w:val="28"/>
        </w:rPr>
        <w:t>Volume de production par unité de travail, en fonction de la taille de l’exploitation agricole, pastorale ou forestière</w:t>
      </w:r>
      <w:r w:rsidR="00AB4F6D" w:rsidRPr="006866D3">
        <w:rPr>
          <w:rFonts w:ascii="Nyala" w:hAnsi="Nyala"/>
          <w:sz w:val="28"/>
          <w:szCs w:val="28"/>
        </w:rPr>
        <w:t xml:space="preserve">- </w:t>
      </w:r>
      <w:r w:rsidRPr="006866D3">
        <w:rPr>
          <w:rFonts w:ascii="Nyala" w:hAnsi="Nyala" w:cs="Times New Roman"/>
          <w:i/>
          <w:sz w:val="28"/>
          <w:szCs w:val="28"/>
        </w:rPr>
        <w:t>L'indicateur se réfère à la valeur de la production par unité de travail exploitée par des producteurs à petite échelle. Les secteurs de l'agriculture, du pastoralisme et de la foresterie. Les données seront produites par classes de taille d'entreprise. La valeur de cet indicateur n’est pas disponible à l’échelle nationale. L’ECVMA 2018 en cours de préparation pourrait</w:t>
      </w:r>
      <w:r w:rsidRPr="006866D3">
        <w:rPr>
          <w:rFonts w:ascii="Nyala" w:hAnsi="Nyala" w:cs="Times New Roman"/>
          <w:sz w:val="28"/>
          <w:szCs w:val="28"/>
        </w:rPr>
        <w:t xml:space="preserve"> éventuellement le produire. </w:t>
      </w:r>
    </w:p>
    <w:p w:rsidR="00C53C6D" w:rsidRPr="006866D3" w:rsidRDefault="00C53C6D" w:rsidP="000500A5">
      <w:pPr>
        <w:pStyle w:val="Paragraphedeliste"/>
        <w:ind w:left="708"/>
        <w:jc w:val="both"/>
        <w:rPr>
          <w:rFonts w:ascii="Nyala" w:hAnsi="Nyala"/>
          <w:sz w:val="28"/>
          <w:szCs w:val="28"/>
        </w:rPr>
      </w:pPr>
    </w:p>
    <w:p w:rsidR="00BA485C" w:rsidRPr="006866D3" w:rsidRDefault="00BA485C" w:rsidP="0059103A">
      <w:pPr>
        <w:pStyle w:val="Paragraphedeliste"/>
        <w:numPr>
          <w:ilvl w:val="0"/>
          <w:numId w:val="19"/>
        </w:numPr>
        <w:jc w:val="both"/>
        <w:rPr>
          <w:rFonts w:ascii="Nyala" w:hAnsi="Nyala"/>
          <w:i/>
          <w:sz w:val="28"/>
          <w:szCs w:val="28"/>
        </w:rPr>
      </w:pPr>
      <w:r w:rsidRPr="006866D3">
        <w:rPr>
          <w:rFonts w:ascii="Nyala" w:hAnsi="Nyala"/>
          <w:b/>
          <w:sz w:val="28"/>
          <w:szCs w:val="28"/>
        </w:rPr>
        <w:t xml:space="preserve">Indicateur 2.3.2 : </w:t>
      </w:r>
      <w:r w:rsidRPr="006866D3">
        <w:rPr>
          <w:rFonts w:ascii="Nyala" w:hAnsi="Nyala"/>
          <w:sz w:val="28"/>
          <w:szCs w:val="28"/>
        </w:rPr>
        <w:t>Revenu moyen des petits producteurs alimentaires, selon le sexe et le statut d’autochtone</w:t>
      </w:r>
      <w:r w:rsidR="00AB4F6D" w:rsidRPr="006866D3">
        <w:rPr>
          <w:rFonts w:ascii="Nyala" w:hAnsi="Nyala"/>
          <w:sz w:val="28"/>
          <w:szCs w:val="28"/>
        </w:rPr>
        <w:t xml:space="preserve">. </w:t>
      </w:r>
      <w:r w:rsidRPr="006866D3">
        <w:rPr>
          <w:rFonts w:ascii="Nyala" w:hAnsi="Nyala"/>
          <w:i/>
          <w:sz w:val="28"/>
          <w:szCs w:val="28"/>
        </w:rPr>
        <w:t xml:space="preserve">Le Revenu moyen des petits producteurs alimentaires, selon le sexe et le statut d’autochtone. Il n’existe pas de valeur de référence pour cet indicateur. </w:t>
      </w:r>
    </w:p>
    <w:p w:rsidR="00780C36" w:rsidRDefault="00C53C6D" w:rsidP="000500A5">
      <w:pPr>
        <w:jc w:val="both"/>
        <w:rPr>
          <w:rFonts w:ascii="Nyala" w:hAnsi="Nyala"/>
          <w:sz w:val="28"/>
          <w:szCs w:val="28"/>
        </w:rPr>
      </w:pPr>
      <w:r w:rsidRPr="006866D3">
        <w:rPr>
          <w:rFonts w:ascii="Nyala" w:hAnsi="Nyala"/>
          <w:sz w:val="28"/>
          <w:szCs w:val="28"/>
        </w:rPr>
        <w:t xml:space="preserve">Le Niger se propose d’engager un partenariat étroit avec la FAO et d’autres institutions pour définir les modalités de calcul de ces indicateurs et mettre en place un système de suivi périodique de leur évolution. Les données et informations qui seront ainsi collectées viendront compléter celles recueillies par les Services de Statistiques Agricoles et l’INS, en l’occurrence celles portant sur la productivité </w:t>
      </w:r>
      <w:r w:rsidR="00780C36" w:rsidRPr="006866D3">
        <w:rPr>
          <w:rFonts w:ascii="Nyala" w:hAnsi="Nyala"/>
          <w:sz w:val="28"/>
          <w:szCs w:val="28"/>
        </w:rPr>
        <w:t xml:space="preserve">des cultures </w:t>
      </w:r>
      <w:r w:rsidRPr="006866D3">
        <w:rPr>
          <w:rFonts w:ascii="Nyala" w:hAnsi="Nyala"/>
          <w:sz w:val="28"/>
          <w:szCs w:val="28"/>
        </w:rPr>
        <w:t>par unité de surface.</w:t>
      </w:r>
    </w:p>
    <w:p w:rsidR="00582916" w:rsidRPr="006866D3" w:rsidRDefault="00582916" w:rsidP="000500A5">
      <w:pPr>
        <w:jc w:val="both"/>
        <w:rPr>
          <w:rFonts w:ascii="Nyala" w:hAnsi="Nyala"/>
          <w:sz w:val="28"/>
          <w:szCs w:val="28"/>
        </w:rPr>
      </w:pPr>
    </w:p>
    <w:p w:rsidR="00BA485C" w:rsidRDefault="006F38BE" w:rsidP="00141D20">
      <w:pPr>
        <w:jc w:val="both"/>
        <w:rPr>
          <w:rStyle w:val="Rfrenceintense"/>
        </w:rPr>
      </w:pPr>
      <w:r w:rsidRPr="00141D20">
        <w:rPr>
          <w:rStyle w:val="Rfrenceintense"/>
        </w:rPr>
        <w:t>Productivité</w:t>
      </w:r>
      <w:r w:rsidR="00EE6FF7">
        <w:rPr>
          <w:rStyle w:val="Rfrenceintense"/>
        </w:rPr>
        <w:t xml:space="preserve"> agricole </w:t>
      </w:r>
      <w:r w:rsidRPr="00141D20">
        <w:rPr>
          <w:rStyle w:val="Rfrenceintense"/>
        </w:rPr>
        <w:t xml:space="preserve"> par unité de surface</w:t>
      </w:r>
    </w:p>
    <w:p w:rsidR="00EE6FF7" w:rsidRDefault="00AF174D" w:rsidP="00141D20">
      <w:pPr>
        <w:jc w:val="both"/>
        <w:rPr>
          <w:rFonts w:ascii="Nyala" w:hAnsi="Nyala"/>
          <w:sz w:val="28"/>
          <w:szCs w:val="28"/>
        </w:rPr>
      </w:pPr>
      <w:r>
        <w:rPr>
          <w:rFonts w:ascii="Nyala" w:hAnsi="Nyala"/>
          <w:sz w:val="28"/>
          <w:szCs w:val="28"/>
        </w:rPr>
        <w:t>Les rendements agricoles sont généralement faibles et peu évolutifs. Sur la période 2006-2014, les rendements enregistrés sont aux environ de 470 kg/ha pour le mil, 360 kg/ha pour le Sorgho</w:t>
      </w:r>
      <w:r w:rsidR="00044D71">
        <w:rPr>
          <w:rFonts w:ascii="Nyala" w:hAnsi="Nyala"/>
          <w:sz w:val="28"/>
          <w:szCs w:val="28"/>
        </w:rPr>
        <w:t>, 270 kg/ha pour le Niébé et 1,480 t/ha pour le Riz</w:t>
      </w:r>
      <w:r w:rsidR="00641839">
        <w:rPr>
          <w:rFonts w:ascii="Nyala" w:hAnsi="Nyala"/>
          <w:sz w:val="28"/>
          <w:szCs w:val="28"/>
        </w:rPr>
        <w:t xml:space="preserve"> (</w:t>
      </w:r>
      <w:r w:rsidR="00641839" w:rsidRPr="00D413AC">
        <w:rPr>
          <w:rFonts w:ascii="Nyala" w:hAnsi="Nyala"/>
          <w:b/>
          <w:sz w:val="28"/>
          <w:szCs w:val="28"/>
        </w:rPr>
        <w:t xml:space="preserve">tableau </w:t>
      </w:r>
      <w:r w:rsidR="00D413AC" w:rsidRPr="00D413AC">
        <w:rPr>
          <w:rFonts w:ascii="Nyala" w:hAnsi="Nyala"/>
          <w:b/>
          <w:sz w:val="28"/>
          <w:szCs w:val="28"/>
        </w:rPr>
        <w:t>9</w:t>
      </w:r>
      <w:r w:rsidR="00641839">
        <w:rPr>
          <w:rFonts w:ascii="Nyala" w:hAnsi="Nyala"/>
          <w:sz w:val="28"/>
          <w:szCs w:val="28"/>
        </w:rPr>
        <w:t xml:space="preserve">). Ces rendements sont extrêmement fluctuants d’une année à l’autre et d’un département à l’autre. La répartition de la pluviométrie dans l’espace et le temps,  la pression parasitaire et d’autres facteurs de contrainte expliquent cette fluctuation. </w:t>
      </w:r>
    </w:p>
    <w:p w:rsidR="00DD0F60" w:rsidRDefault="00DD0F60" w:rsidP="00141D20">
      <w:pPr>
        <w:jc w:val="both"/>
        <w:rPr>
          <w:rFonts w:ascii="Nyala" w:hAnsi="Nyala"/>
          <w:sz w:val="28"/>
          <w:szCs w:val="28"/>
        </w:rPr>
      </w:pPr>
    </w:p>
    <w:p w:rsidR="004D4A4C" w:rsidRPr="00141D20" w:rsidRDefault="004D4A4C" w:rsidP="00141D20">
      <w:pPr>
        <w:jc w:val="both"/>
        <w:rPr>
          <w:rFonts w:ascii="Nyala" w:hAnsi="Nyala"/>
          <w:sz w:val="28"/>
          <w:szCs w:val="28"/>
        </w:rPr>
      </w:pPr>
    </w:p>
    <w:p w:rsidR="00EE6FF7" w:rsidRPr="00141D20" w:rsidRDefault="00DD0F60" w:rsidP="00DD0F60">
      <w:pPr>
        <w:pStyle w:val="Lgende"/>
        <w:rPr>
          <w:rFonts w:ascii="Nyala" w:hAnsi="Nyala"/>
          <w:sz w:val="28"/>
          <w:szCs w:val="28"/>
        </w:rPr>
      </w:pPr>
      <w:bookmarkStart w:id="434" w:name="_Toc526120063"/>
      <w:r>
        <w:t xml:space="preserve">Tableau </w:t>
      </w:r>
      <w:r w:rsidR="00D639F2">
        <w:fldChar w:fldCharType="begin"/>
      </w:r>
      <w:r w:rsidR="00440FAF">
        <w:instrText xml:space="preserve"> SEQ Tableau \* ARABIC </w:instrText>
      </w:r>
      <w:r w:rsidR="00D639F2">
        <w:fldChar w:fldCharType="separate"/>
      </w:r>
      <w:r w:rsidR="00440FAF">
        <w:rPr>
          <w:noProof/>
        </w:rPr>
        <w:t>9</w:t>
      </w:r>
      <w:r w:rsidR="00D639F2">
        <w:fldChar w:fldCharType="end"/>
      </w:r>
      <w:r>
        <w:t xml:space="preserve"> - Evolution du rendement des principales cultures du Niger</w:t>
      </w:r>
      <w:bookmarkEnd w:id="434"/>
    </w:p>
    <w:tbl>
      <w:tblPr>
        <w:tblW w:w="9097" w:type="dxa"/>
        <w:tblInd w:w="-160" w:type="dxa"/>
        <w:tblCellMar>
          <w:left w:w="70" w:type="dxa"/>
          <w:right w:w="70" w:type="dxa"/>
        </w:tblCellMar>
        <w:tblLook w:val="04A0" w:firstRow="1" w:lastRow="0" w:firstColumn="1" w:lastColumn="0" w:noHBand="0" w:noVBand="1"/>
      </w:tblPr>
      <w:tblGrid>
        <w:gridCol w:w="680"/>
        <w:gridCol w:w="680"/>
        <w:gridCol w:w="711"/>
        <w:gridCol w:w="680"/>
        <w:gridCol w:w="680"/>
        <w:gridCol w:w="680"/>
        <w:gridCol w:w="680"/>
        <w:gridCol w:w="917"/>
        <w:gridCol w:w="788"/>
        <w:gridCol w:w="842"/>
        <w:gridCol w:w="1022"/>
        <w:gridCol w:w="737"/>
      </w:tblGrid>
      <w:tr w:rsidR="00AF174D" w:rsidRPr="00C00210" w:rsidTr="004D4A4C">
        <w:trPr>
          <w:trHeight w:val="255"/>
        </w:trPr>
        <w:tc>
          <w:tcPr>
            <w:tcW w:w="680" w:type="dxa"/>
            <w:tcBorders>
              <w:top w:val="single" w:sz="4" w:space="0" w:color="000000"/>
              <w:left w:val="single" w:sz="4" w:space="0" w:color="000000"/>
              <w:bottom w:val="single" w:sz="4" w:space="0" w:color="000000"/>
              <w:right w:val="nil"/>
            </w:tcBorders>
            <w:shd w:val="clear" w:color="auto" w:fill="auto"/>
            <w:noWrap/>
            <w:vAlign w:val="center"/>
            <w:hideMark/>
          </w:tcPr>
          <w:p w:rsidR="00C00210" w:rsidRPr="004D4A4C" w:rsidRDefault="00C00210" w:rsidP="00141D20">
            <w:pPr>
              <w:spacing w:before="0" w:after="0" w:line="240" w:lineRule="auto"/>
              <w:rPr>
                <w:rFonts w:ascii="Nyala" w:eastAsia="Times New Roman" w:hAnsi="Nyala" w:cs="Times New Roman"/>
                <w:b/>
                <w:bCs/>
                <w:sz w:val="22"/>
                <w:szCs w:val="22"/>
                <w:lang w:eastAsia="fr-FR"/>
              </w:rPr>
            </w:pPr>
            <w:r w:rsidRPr="004D4A4C">
              <w:rPr>
                <w:rFonts w:ascii="Nyala" w:eastAsia="Times New Roman" w:hAnsi="Nyala" w:cs="Times New Roman"/>
                <w:b/>
                <w:bCs/>
                <w:sz w:val="22"/>
                <w:szCs w:val="22"/>
                <w:lang w:eastAsia="fr-FR"/>
              </w:rPr>
              <w:t>Année</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0210" w:rsidRPr="004D4A4C" w:rsidRDefault="00C00210" w:rsidP="0044335F">
            <w:pPr>
              <w:spacing w:before="0" w:after="0" w:line="240" w:lineRule="auto"/>
              <w:jc w:val="center"/>
              <w:rPr>
                <w:rFonts w:ascii="Nyala" w:eastAsia="Times New Roman" w:hAnsi="Nyala" w:cs="Times New Roman"/>
                <w:b/>
                <w:bCs/>
                <w:sz w:val="22"/>
                <w:szCs w:val="22"/>
                <w:lang w:eastAsia="fr-FR"/>
              </w:rPr>
            </w:pPr>
            <w:r w:rsidRPr="004D4A4C">
              <w:rPr>
                <w:rFonts w:ascii="Nyala" w:eastAsia="Times New Roman" w:hAnsi="Nyala" w:cs="Times New Roman"/>
                <w:b/>
                <w:bCs/>
                <w:sz w:val="22"/>
                <w:szCs w:val="22"/>
                <w:lang w:eastAsia="fr-FR"/>
              </w:rPr>
              <w:t>Mil</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C00210" w:rsidRPr="004D4A4C" w:rsidRDefault="00C00210" w:rsidP="00FB1228">
            <w:pPr>
              <w:spacing w:before="0" w:after="0" w:line="240" w:lineRule="auto"/>
              <w:jc w:val="center"/>
              <w:rPr>
                <w:rFonts w:ascii="Nyala" w:eastAsia="Times New Roman" w:hAnsi="Nyala" w:cs="Times New Roman"/>
                <w:b/>
                <w:bCs/>
                <w:sz w:val="22"/>
                <w:szCs w:val="22"/>
                <w:lang w:eastAsia="fr-FR"/>
              </w:rPr>
            </w:pPr>
            <w:r w:rsidRPr="004D4A4C">
              <w:rPr>
                <w:rFonts w:ascii="Nyala" w:eastAsia="Times New Roman" w:hAnsi="Nyala" w:cs="Times New Roman"/>
                <w:b/>
                <w:bCs/>
                <w:sz w:val="22"/>
                <w:szCs w:val="22"/>
                <w:lang w:eastAsia="fr-FR"/>
              </w:rPr>
              <w:t>Sorgho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C00210" w:rsidRPr="004D4A4C" w:rsidRDefault="00C00210" w:rsidP="00180985">
            <w:pPr>
              <w:spacing w:before="0" w:after="0" w:line="240" w:lineRule="auto"/>
              <w:jc w:val="center"/>
              <w:rPr>
                <w:rFonts w:ascii="Nyala" w:eastAsia="Times New Roman" w:hAnsi="Nyala" w:cs="Times New Roman"/>
                <w:b/>
                <w:bCs/>
                <w:sz w:val="22"/>
                <w:szCs w:val="22"/>
                <w:lang w:eastAsia="fr-FR"/>
              </w:rPr>
            </w:pPr>
            <w:r w:rsidRPr="004D4A4C">
              <w:rPr>
                <w:rFonts w:ascii="Nyala" w:eastAsia="Times New Roman" w:hAnsi="Nyala" w:cs="Times New Roman"/>
                <w:b/>
                <w:bCs/>
                <w:sz w:val="22"/>
                <w:szCs w:val="22"/>
                <w:lang w:eastAsia="fr-FR"/>
              </w:rPr>
              <w:t>Maïs</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C00210" w:rsidRPr="004D4A4C" w:rsidRDefault="00C00210" w:rsidP="001A0938">
            <w:pPr>
              <w:spacing w:before="0" w:after="0" w:line="240" w:lineRule="auto"/>
              <w:jc w:val="center"/>
              <w:rPr>
                <w:rFonts w:ascii="Nyala" w:eastAsia="Times New Roman" w:hAnsi="Nyala" w:cs="Times New Roman"/>
                <w:b/>
                <w:bCs/>
                <w:sz w:val="22"/>
                <w:szCs w:val="22"/>
                <w:lang w:eastAsia="fr-FR"/>
              </w:rPr>
            </w:pPr>
            <w:r w:rsidRPr="004D4A4C">
              <w:rPr>
                <w:rFonts w:ascii="Nyala" w:eastAsia="Times New Roman" w:hAnsi="Nyala" w:cs="Times New Roman"/>
                <w:b/>
                <w:bCs/>
                <w:sz w:val="22"/>
                <w:szCs w:val="22"/>
                <w:lang w:eastAsia="fr-FR"/>
              </w:rPr>
              <w:t>Fonio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C00210" w:rsidRPr="004D4A4C" w:rsidRDefault="00C00210" w:rsidP="00BB20B9">
            <w:pPr>
              <w:spacing w:before="0" w:after="0" w:line="240" w:lineRule="auto"/>
              <w:jc w:val="center"/>
              <w:rPr>
                <w:rFonts w:ascii="Nyala" w:eastAsia="Times New Roman" w:hAnsi="Nyala" w:cs="Times New Roman"/>
                <w:b/>
                <w:bCs/>
                <w:sz w:val="22"/>
                <w:szCs w:val="22"/>
                <w:lang w:eastAsia="fr-FR"/>
              </w:rPr>
            </w:pPr>
            <w:r w:rsidRPr="004D4A4C">
              <w:rPr>
                <w:rFonts w:ascii="Nyala" w:eastAsia="Times New Roman" w:hAnsi="Nyala" w:cs="Times New Roman"/>
                <w:b/>
                <w:bCs/>
                <w:sz w:val="22"/>
                <w:szCs w:val="22"/>
                <w:lang w:eastAsia="fr-FR"/>
              </w:rPr>
              <w:t>Riz</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C00210" w:rsidRPr="004D4A4C" w:rsidRDefault="00C00210" w:rsidP="0020633B">
            <w:pPr>
              <w:spacing w:before="0" w:after="0" w:line="240" w:lineRule="auto"/>
              <w:jc w:val="center"/>
              <w:rPr>
                <w:rFonts w:ascii="Nyala" w:eastAsia="Times New Roman" w:hAnsi="Nyala" w:cs="Times New Roman"/>
                <w:b/>
                <w:bCs/>
                <w:sz w:val="22"/>
                <w:szCs w:val="22"/>
                <w:lang w:eastAsia="fr-FR"/>
              </w:rPr>
            </w:pPr>
            <w:r w:rsidRPr="004D4A4C">
              <w:rPr>
                <w:rFonts w:ascii="Nyala" w:eastAsia="Times New Roman" w:hAnsi="Nyala" w:cs="Times New Roman"/>
                <w:b/>
                <w:bCs/>
                <w:sz w:val="22"/>
                <w:szCs w:val="22"/>
                <w:lang w:eastAsia="fr-FR"/>
              </w:rPr>
              <w:t>Niébé</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rsidR="00C00210" w:rsidRPr="004D4A4C" w:rsidRDefault="00C00210" w:rsidP="0020633B">
            <w:pPr>
              <w:spacing w:before="0" w:after="0" w:line="240" w:lineRule="auto"/>
              <w:jc w:val="center"/>
              <w:rPr>
                <w:rFonts w:ascii="Nyala" w:eastAsia="Times New Roman" w:hAnsi="Nyala" w:cs="Times New Roman"/>
                <w:b/>
                <w:bCs/>
                <w:sz w:val="22"/>
                <w:szCs w:val="22"/>
                <w:lang w:eastAsia="fr-FR"/>
              </w:rPr>
            </w:pPr>
            <w:r w:rsidRPr="004D4A4C">
              <w:rPr>
                <w:rFonts w:ascii="Nyala" w:eastAsia="Times New Roman" w:hAnsi="Nyala" w:cs="Times New Roman"/>
                <w:b/>
                <w:bCs/>
                <w:sz w:val="22"/>
                <w:szCs w:val="22"/>
                <w:lang w:eastAsia="fr-FR"/>
              </w:rPr>
              <w:t>Arachide</w:t>
            </w:r>
          </w:p>
        </w:tc>
        <w:tc>
          <w:tcPr>
            <w:tcW w:w="788" w:type="dxa"/>
            <w:tcBorders>
              <w:top w:val="single" w:sz="4" w:space="0" w:color="auto"/>
              <w:left w:val="nil"/>
              <w:bottom w:val="single" w:sz="4" w:space="0" w:color="auto"/>
              <w:right w:val="single" w:sz="4" w:space="0" w:color="auto"/>
            </w:tcBorders>
            <w:shd w:val="clear" w:color="auto" w:fill="auto"/>
            <w:noWrap/>
            <w:vAlign w:val="center"/>
            <w:hideMark/>
          </w:tcPr>
          <w:p w:rsidR="00C00210" w:rsidRPr="004D4A4C" w:rsidRDefault="00C00210" w:rsidP="00D729B0">
            <w:pPr>
              <w:spacing w:before="0" w:after="0" w:line="240" w:lineRule="auto"/>
              <w:jc w:val="center"/>
              <w:rPr>
                <w:rFonts w:ascii="Nyala" w:eastAsia="Times New Roman" w:hAnsi="Nyala" w:cs="Times New Roman"/>
                <w:b/>
                <w:bCs/>
                <w:sz w:val="22"/>
                <w:szCs w:val="22"/>
                <w:lang w:eastAsia="fr-FR"/>
              </w:rPr>
            </w:pPr>
            <w:r w:rsidRPr="004D4A4C">
              <w:rPr>
                <w:rFonts w:ascii="Nyala" w:eastAsia="Times New Roman" w:hAnsi="Nyala" w:cs="Times New Roman"/>
                <w:b/>
                <w:bCs/>
                <w:sz w:val="22"/>
                <w:szCs w:val="22"/>
                <w:lang w:eastAsia="fr-FR"/>
              </w:rPr>
              <w:t>Sésame</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C00210" w:rsidRPr="004D4A4C" w:rsidRDefault="00C00210" w:rsidP="00CE0F9D">
            <w:pPr>
              <w:spacing w:before="0" w:after="0" w:line="240" w:lineRule="auto"/>
              <w:jc w:val="center"/>
              <w:rPr>
                <w:rFonts w:ascii="Nyala" w:eastAsia="Times New Roman" w:hAnsi="Nyala" w:cs="Times New Roman"/>
                <w:b/>
                <w:bCs/>
                <w:sz w:val="22"/>
                <w:szCs w:val="22"/>
                <w:lang w:eastAsia="fr-FR"/>
              </w:rPr>
            </w:pPr>
            <w:r w:rsidRPr="004D4A4C">
              <w:rPr>
                <w:rFonts w:ascii="Nyala" w:eastAsia="Times New Roman" w:hAnsi="Nyala" w:cs="Times New Roman"/>
                <w:b/>
                <w:bCs/>
                <w:sz w:val="22"/>
                <w:szCs w:val="22"/>
                <w:lang w:eastAsia="fr-FR"/>
              </w:rPr>
              <w:t>Souchet</w:t>
            </w:r>
          </w:p>
        </w:tc>
        <w:tc>
          <w:tcPr>
            <w:tcW w:w="1022" w:type="dxa"/>
            <w:tcBorders>
              <w:top w:val="single" w:sz="4" w:space="0" w:color="auto"/>
              <w:left w:val="nil"/>
              <w:bottom w:val="single" w:sz="4" w:space="0" w:color="auto"/>
              <w:right w:val="single" w:sz="4" w:space="0" w:color="auto"/>
            </w:tcBorders>
            <w:shd w:val="clear" w:color="auto" w:fill="auto"/>
            <w:noWrap/>
            <w:vAlign w:val="center"/>
            <w:hideMark/>
          </w:tcPr>
          <w:p w:rsidR="00C00210" w:rsidRPr="004D4A4C" w:rsidRDefault="00C00210" w:rsidP="00A85FEA">
            <w:pPr>
              <w:spacing w:before="0" w:after="0" w:line="240" w:lineRule="auto"/>
              <w:jc w:val="center"/>
              <w:rPr>
                <w:rFonts w:ascii="Nyala" w:eastAsia="Times New Roman" w:hAnsi="Nyala" w:cs="Times New Roman"/>
                <w:b/>
                <w:bCs/>
                <w:sz w:val="22"/>
                <w:szCs w:val="22"/>
                <w:lang w:eastAsia="fr-FR"/>
              </w:rPr>
            </w:pPr>
            <w:r w:rsidRPr="004D4A4C">
              <w:rPr>
                <w:rFonts w:ascii="Nyala" w:eastAsia="Times New Roman" w:hAnsi="Nyala" w:cs="Times New Roman"/>
                <w:b/>
                <w:bCs/>
                <w:sz w:val="22"/>
                <w:szCs w:val="22"/>
                <w:lang w:eastAsia="fr-FR"/>
              </w:rPr>
              <w:t>Voandzou</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C00210" w:rsidRPr="004D4A4C" w:rsidRDefault="00C00210" w:rsidP="00F4745A">
            <w:pPr>
              <w:spacing w:before="0" w:after="0" w:line="240" w:lineRule="auto"/>
              <w:jc w:val="center"/>
              <w:rPr>
                <w:rFonts w:ascii="Nyala" w:eastAsia="Times New Roman" w:hAnsi="Nyala" w:cs="Times New Roman"/>
                <w:b/>
                <w:bCs/>
                <w:sz w:val="22"/>
                <w:szCs w:val="22"/>
                <w:lang w:eastAsia="fr-FR"/>
              </w:rPr>
            </w:pPr>
            <w:r w:rsidRPr="004D4A4C">
              <w:rPr>
                <w:rFonts w:ascii="Nyala" w:eastAsia="Times New Roman" w:hAnsi="Nyala" w:cs="Times New Roman"/>
                <w:b/>
                <w:bCs/>
                <w:sz w:val="22"/>
                <w:szCs w:val="22"/>
                <w:lang w:eastAsia="fr-FR"/>
              </w:rPr>
              <w:t>Oseille</w:t>
            </w:r>
          </w:p>
        </w:tc>
      </w:tr>
      <w:tr w:rsidR="00AF174D" w:rsidRPr="00C00210" w:rsidTr="004D4A4C">
        <w:trPr>
          <w:trHeight w:val="300"/>
        </w:trPr>
        <w:tc>
          <w:tcPr>
            <w:tcW w:w="680" w:type="dxa"/>
            <w:tcBorders>
              <w:top w:val="nil"/>
              <w:left w:val="single" w:sz="4" w:space="0" w:color="000000"/>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2006</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483</w:t>
            </w:r>
          </w:p>
        </w:tc>
        <w:tc>
          <w:tcPr>
            <w:tcW w:w="711"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346</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1 123</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389</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1 789</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172</w:t>
            </w:r>
          </w:p>
        </w:tc>
        <w:tc>
          <w:tcPr>
            <w:tcW w:w="91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492</w:t>
            </w:r>
          </w:p>
        </w:tc>
        <w:tc>
          <w:tcPr>
            <w:tcW w:w="788"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459</w:t>
            </w:r>
          </w:p>
        </w:tc>
        <w:tc>
          <w:tcPr>
            <w:tcW w:w="84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3 419</w:t>
            </w:r>
          </w:p>
        </w:tc>
        <w:tc>
          <w:tcPr>
            <w:tcW w:w="102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571</w:t>
            </w:r>
          </w:p>
        </w:tc>
        <w:tc>
          <w:tcPr>
            <w:tcW w:w="73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207</w:t>
            </w:r>
          </w:p>
        </w:tc>
      </w:tr>
      <w:tr w:rsidR="00AF174D" w:rsidRPr="00C00210" w:rsidTr="004D4A4C">
        <w:trPr>
          <w:trHeight w:val="300"/>
        </w:trPr>
        <w:tc>
          <w:tcPr>
            <w:tcW w:w="680" w:type="dxa"/>
            <w:tcBorders>
              <w:top w:val="nil"/>
              <w:left w:val="single" w:sz="4" w:space="0" w:color="000000"/>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2007</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451</w:t>
            </w:r>
          </w:p>
        </w:tc>
        <w:tc>
          <w:tcPr>
            <w:tcW w:w="711"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344</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1 087</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460</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1 604</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210</w:t>
            </w:r>
          </w:p>
        </w:tc>
        <w:tc>
          <w:tcPr>
            <w:tcW w:w="91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393</w:t>
            </w:r>
          </w:p>
        </w:tc>
        <w:tc>
          <w:tcPr>
            <w:tcW w:w="788"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298</w:t>
            </w:r>
          </w:p>
        </w:tc>
        <w:tc>
          <w:tcPr>
            <w:tcW w:w="84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791</w:t>
            </w:r>
          </w:p>
        </w:tc>
        <w:tc>
          <w:tcPr>
            <w:tcW w:w="102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292</w:t>
            </w:r>
          </w:p>
        </w:tc>
        <w:tc>
          <w:tcPr>
            <w:tcW w:w="73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104</w:t>
            </w:r>
          </w:p>
        </w:tc>
      </w:tr>
      <w:tr w:rsidR="00AF174D" w:rsidRPr="00C00210" w:rsidTr="004D4A4C">
        <w:trPr>
          <w:trHeight w:val="300"/>
        </w:trPr>
        <w:tc>
          <w:tcPr>
            <w:tcW w:w="680" w:type="dxa"/>
            <w:tcBorders>
              <w:top w:val="nil"/>
              <w:left w:val="single" w:sz="4" w:space="0" w:color="000000"/>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2008</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523</w:t>
            </w:r>
          </w:p>
        </w:tc>
        <w:tc>
          <w:tcPr>
            <w:tcW w:w="711"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401</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794</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437</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1 830</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295</w:t>
            </w:r>
          </w:p>
        </w:tc>
        <w:tc>
          <w:tcPr>
            <w:tcW w:w="91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457</w:t>
            </w:r>
          </w:p>
        </w:tc>
        <w:tc>
          <w:tcPr>
            <w:tcW w:w="788"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623</w:t>
            </w:r>
          </w:p>
        </w:tc>
        <w:tc>
          <w:tcPr>
            <w:tcW w:w="84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3 751</w:t>
            </w:r>
          </w:p>
        </w:tc>
        <w:tc>
          <w:tcPr>
            <w:tcW w:w="102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417</w:t>
            </w:r>
          </w:p>
        </w:tc>
        <w:tc>
          <w:tcPr>
            <w:tcW w:w="73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186</w:t>
            </w:r>
          </w:p>
        </w:tc>
      </w:tr>
      <w:tr w:rsidR="00AF174D" w:rsidRPr="00C00210" w:rsidTr="004D4A4C">
        <w:trPr>
          <w:trHeight w:val="300"/>
        </w:trPr>
        <w:tc>
          <w:tcPr>
            <w:tcW w:w="680" w:type="dxa"/>
            <w:tcBorders>
              <w:top w:val="nil"/>
              <w:left w:val="single" w:sz="4" w:space="0" w:color="000000"/>
              <w:bottom w:val="nil"/>
              <w:right w:val="single" w:sz="4" w:space="0" w:color="000000"/>
            </w:tcBorders>
            <w:shd w:val="clear" w:color="auto" w:fill="auto"/>
            <w:vAlign w:val="center"/>
            <w:hideMark/>
          </w:tcPr>
          <w:p w:rsidR="00C00210" w:rsidRPr="004D4A4C" w:rsidRDefault="00C00210" w:rsidP="00141D20">
            <w:pPr>
              <w:spacing w:before="0" w:after="0" w:line="240" w:lineRule="auto"/>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2009</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411</w:t>
            </w:r>
          </w:p>
        </w:tc>
        <w:tc>
          <w:tcPr>
            <w:tcW w:w="711"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290</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901</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1 268</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1 432</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189</w:t>
            </w:r>
          </w:p>
        </w:tc>
        <w:tc>
          <w:tcPr>
            <w:tcW w:w="91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431</w:t>
            </w:r>
          </w:p>
        </w:tc>
        <w:tc>
          <w:tcPr>
            <w:tcW w:w="788"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512</w:t>
            </w:r>
          </w:p>
        </w:tc>
        <w:tc>
          <w:tcPr>
            <w:tcW w:w="84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4 162</w:t>
            </w:r>
          </w:p>
        </w:tc>
        <w:tc>
          <w:tcPr>
            <w:tcW w:w="102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418</w:t>
            </w:r>
          </w:p>
        </w:tc>
        <w:tc>
          <w:tcPr>
            <w:tcW w:w="73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244</w:t>
            </w:r>
          </w:p>
        </w:tc>
      </w:tr>
      <w:tr w:rsidR="00AF174D" w:rsidRPr="00C00210" w:rsidTr="004D4A4C">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210" w:rsidRPr="004D4A4C" w:rsidRDefault="00C00210" w:rsidP="00141D20">
            <w:pPr>
              <w:spacing w:before="0" w:after="0" w:line="240" w:lineRule="auto"/>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2010</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529</w:t>
            </w:r>
          </w:p>
        </w:tc>
        <w:tc>
          <w:tcPr>
            <w:tcW w:w="711"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392</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757</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483</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1 494</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318</w:t>
            </w:r>
          </w:p>
        </w:tc>
        <w:tc>
          <w:tcPr>
            <w:tcW w:w="91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511</w:t>
            </w:r>
          </w:p>
        </w:tc>
        <w:tc>
          <w:tcPr>
            <w:tcW w:w="788"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498</w:t>
            </w:r>
          </w:p>
        </w:tc>
        <w:tc>
          <w:tcPr>
            <w:tcW w:w="84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3 208</w:t>
            </w:r>
          </w:p>
        </w:tc>
        <w:tc>
          <w:tcPr>
            <w:tcW w:w="102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430</w:t>
            </w:r>
          </w:p>
        </w:tc>
        <w:tc>
          <w:tcPr>
            <w:tcW w:w="73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192</w:t>
            </w:r>
          </w:p>
        </w:tc>
      </w:tr>
      <w:tr w:rsidR="00AF174D" w:rsidRPr="00C00210" w:rsidTr="004D4A4C">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0210" w:rsidRPr="004D4A4C" w:rsidRDefault="00C00210" w:rsidP="00141D20">
            <w:pPr>
              <w:spacing w:before="0" w:after="0" w:line="240" w:lineRule="auto"/>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2011</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415</w:t>
            </w:r>
          </w:p>
        </w:tc>
        <w:tc>
          <w:tcPr>
            <w:tcW w:w="711"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280</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812</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483</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1 526</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327</w:t>
            </w:r>
          </w:p>
        </w:tc>
        <w:tc>
          <w:tcPr>
            <w:tcW w:w="91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555</w:t>
            </w:r>
          </w:p>
        </w:tc>
        <w:tc>
          <w:tcPr>
            <w:tcW w:w="788"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487</w:t>
            </w:r>
          </w:p>
        </w:tc>
        <w:tc>
          <w:tcPr>
            <w:tcW w:w="84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3 263</w:t>
            </w:r>
          </w:p>
        </w:tc>
        <w:tc>
          <w:tcPr>
            <w:tcW w:w="102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436</w:t>
            </w:r>
          </w:p>
        </w:tc>
        <w:tc>
          <w:tcPr>
            <w:tcW w:w="73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194</w:t>
            </w:r>
          </w:p>
        </w:tc>
      </w:tr>
      <w:tr w:rsidR="00AF174D" w:rsidRPr="00C00210" w:rsidTr="004D4A4C">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0210" w:rsidRPr="004D4A4C" w:rsidRDefault="00C00210" w:rsidP="00141D20">
            <w:pPr>
              <w:spacing w:before="0" w:after="0" w:line="240" w:lineRule="auto"/>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2012</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544</w:t>
            </w:r>
          </w:p>
        </w:tc>
        <w:tc>
          <w:tcPr>
            <w:tcW w:w="711"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442</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872</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524</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1 016</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283</w:t>
            </w:r>
          </w:p>
        </w:tc>
        <w:tc>
          <w:tcPr>
            <w:tcW w:w="91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394</w:t>
            </w:r>
          </w:p>
        </w:tc>
        <w:tc>
          <w:tcPr>
            <w:tcW w:w="788"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418</w:t>
            </w:r>
          </w:p>
        </w:tc>
        <w:tc>
          <w:tcPr>
            <w:tcW w:w="84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2 948</w:t>
            </w:r>
          </w:p>
        </w:tc>
        <w:tc>
          <w:tcPr>
            <w:tcW w:w="102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464</w:t>
            </w:r>
          </w:p>
        </w:tc>
        <w:tc>
          <w:tcPr>
            <w:tcW w:w="73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281</w:t>
            </w:r>
          </w:p>
        </w:tc>
      </w:tr>
      <w:tr w:rsidR="00AF174D" w:rsidRPr="00C00210" w:rsidTr="004D4A4C">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0210" w:rsidRPr="004D4A4C" w:rsidRDefault="00C00210" w:rsidP="00141D20">
            <w:pPr>
              <w:spacing w:before="0" w:after="0" w:line="240" w:lineRule="auto"/>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2013</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413</w:t>
            </w:r>
          </w:p>
        </w:tc>
        <w:tc>
          <w:tcPr>
            <w:tcW w:w="711"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370</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981</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442</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1 364</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349</w:t>
            </w:r>
          </w:p>
        </w:tc>
        <w:tc>
          <w:tcPr>
            <w:tcW w:w="91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451</w:t>
            </w:r>
          </w:p>
        </w:tc>
        <w:tc>
          <w:tcPr>
            <w:tcW w:w="788"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485</w:t>
            </w:r>
          </w:p>
        </w:tc>
        <w:tc>
          <w:tcPr>
            <w:tcW w:w="84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2 859</w:t>
            </w:r>
          </w:p>
        </w:tc>
        <w:tc>
          <w:tcPr>
            <w:tcW w:w="102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480</w:t>
            </w:r>
          </w:p>
        </w:tc>
        <w:tc>
          <w:tcPr>
            <w:tcW w:w="73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219</w:t>
            </w:r>
          </w:p>
        </w:tc>
      </w:tr>
      <w:tr w:rsidR="00AF174D" w:rsidRPr="00C00210" w:rsidTr="004D4A4C">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0210" w:rsidRPr="004D4A4C" w:rsidRDefault="00C00210" w:rsidP="00141D20">
            <w:pPr>
              <w:spacing w:before="0" w:after="0" w:line="240" w:lineRule="auto"/>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2014</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451</w:t>
            </w:r>
          </w:p>
        </w:tc>
        <w:tc>
          <w:tcPr>
            <w:tcW w:w="711"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399</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700</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514</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1 270</w:t>
            </w:r>
          </w:p>
        </w:tc>
        <w:tc>
          <w:tcPr>
            <w:tcW w:w="680"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298</w:t>
            </w:r>
          </w:p>
        </w:tc>
        <w:tc>
          <w:tcPr>
            <w:tcW w:w="91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518</w:t>
            </w:r>
          </w:p>
        </w:tc>
        <w:tc>
          <w:tcPr>
            <w:tcW w:w="788"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419</w:t>
            </w:r>
          </w:p>
        </w:tc>
        <w:tc>
          <w:tcPr>
            <w:tcW w:w="84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2 964</w:t>
            </w:r>
          </w:p>
        </w:tc>
        <w:tc>
          <w:tcPr>
            <w:tcW w:w="1022"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459</w:t>
            </w:r>
          </w:p>
        </w:tc>
        <w:tc>
          <w:tcPr>
            <w:tcW w:w="737" w:type="dxa"/>
            <w:tcBorders>
              <w:top w:val="nil"/>
              <w:left w:val="nil"/>
              <w:bottom w:val="single" w:sz="4" w:space="0" w:color="000000"/>
              <w:right w:val="single" w:sz="4" w:space="0" w:color="000000"/>
            </w:tcBorders>
            <w:shd w:val="clear" w:color="auto" w:fill="auto"/>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358</w:t>
            </w:r>
          </w:p>
        </w:tc>
      </w:tr>
      <w:tr w:rsidR="00AF174D" w:rsidRPr="00C00210" w:rsidTr="004D4A4C">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AF174D" w:rsidRPr="004D4A4C" w:rsidRDefault="00AF174D" w:rsidP="00141D20">
            <w:pPr>
              <w:spacing w:before="0" w:after="0" w:line="240" w:lineRule="auto"/>
              <w:rPr>
                <w:rFonts w:ascii="Nyala" w:eastAsia="Times New Roman" w:hAnsi="Nyala" w:cs="Times New Roman"/>
                <w:b/>
                <w:bCs/>
                <w:sz w:val="22"/>
                <w:szCs w:val="22"/>
                <w:lang w:eastAsia="fr-FR"/>
              </w:rPr>
            </w:pPr>
            <w:r w:rsidRPr="004D4A4C">
              <w:rPr>
                <w:rFonts w:ascii="Nyala" w:eastAsia="Times New Roman" w:hAnsi="Nyala" w:cs="Times New Roman"/>
                <w:b/>
                <w:bCs/>
                <w:sz w:val="22"/>
                <w:szCs w:val="22"/>
                <w:lang w:eastAsia="fr-FR"/>
              </w:rPr>
              <w:t xml:space="preserve">Moy </w:t>
            </w:r>
          </w:p>
        </w:tc>
        <w:tc>
          <w:tcPr>
            <w:tcW w:w="680" w:type="dxa"/>
            <w:tcBorders>
              <w:top w:val="nil"/>
              <w:left w:val="nil"/>
              <w:bottom w:val="single" w:sz="4" w:space="0" w:color="auto"/>
              <w:right w:val="single" w:sz="4" w:space="0" w:color="auto"/>
            </w:tcBorders>
            <w:shd w:val="clear" w:color="000000" w:fill="FFFF00"/>
            <w:vAlign w:val="center"/>
            <w:hideMark/>
          </w:tcPr>
          <w:p w:rsidR="00AF174D" w:rsidRPr="004D4A4C" w:rsidRDefault="00AF174D" w:rsidP="00141D20">
            <w:pPr>
              <w:spacing w:before="0" w:after="0" w:line="240" w:lineRule="auto"/>
              <w:jc w:val="center"/>
              <w:rPr>
                <w:rFonts w:ascii="Nyala" w:eastAsia="Times New Roman" w:hAnsi="Nyala" w:cs="Times New Roman"/>
                <w:b/>
                <w:bCs/>
                <w:sz w:val="22"/>
                <w:szCs w:val="22"/>
                <w:lang w:eastAsia="fr-FR"/>
              </w:rPr>
            </w:pPr>
            <w:r w:rsidRPr="004D4A4C">
              <w:rPr>
                <w:rFonts w:ascii="Nyala" w:hAnsi="Nyala"/>
                <w:sz w:val="22"/>
                <w:szCs w:val="22"/>
              </w:rPr>
              <w:t xml:space="preserve">               469   </w:t>
            </w:r>
          </w:p>
        </w:tc>
        <w:tc>
          <w:tcPr>
            <w:tcW w:w="711" w:type="dxa"/>
            <w:tcBorders>
              <w:top w:val="nil"/>
              <w:left w:val="nil"/>
              <w:bottom w:val="single" w:sz="4" w:space="0" w:color="auto"/>
              <w:right w:val="single" w:sz="4" w:space="0" w:color="auto"/>
            </w:tcBorders>
            <w:shd w:val="clear" w:color="000000" w:fill="FFFF00"/>
            <w:vAlign w:val="center"/>
            <w:hideMark/>
          </w:tcPr>
          <w:p w:rsidR="00AF174D" w:rsidRPr="004D4A4C" w:rsidRDefault="00AF174D" w:rsidP="00141D20">
            <w:pPr>
              <w:spacing w:before="0" w:after="0" w:line="240" w:lineRule="auto"/>
              <w:jc w:val="center"/>
              <w:rPr>
                <w:rFonts w:ascii="Nyala" w:eastAsia="Times New Roman" w:hAnsi="Nyala" w:cs="Times New Roman"/>
                <w:b/>
                <w:bCs/>
                <w:sz w:val="22"/>
                <w:szCs w:val="22"/>
                <w:lang w:eastAsia="fr-FR"/>
              </w:rPr>
            </w:pPr>
            <w:r w:rsidRPr="004D4A4C">
              <w:rPr>
                <w:rFonts w:ascii="Nyala" w:hAnsi="Nyala"/>
                <w:sz w:val="22"/>
                <w:szCs w:val="22"/>
              </w:rPr>
              <w:t xml:space="preserve">               363   </w:t>
            </w:r>
          </w:p>
        </w:tc>
        <w:tc>
          <w:tcPr>
            <w:tcW w:w="680" w:type="dxa"/>
            <w:tcBorders>
              <w:top w:val="nil"/>
              <w:left w:val="nil"/>
              <w:bottom w:val="single" w:sz="4" w:space="0" w:color="auto"/>
              <w:right w:val="single" w:sz="4" w:space="0" w:color="auto"/>
            </w:tcBorders>
            <w:shd w:val="clear" w:color="000000" w:fill="FFFF00"/>
            <w:vAlign w:val="center"/>
            <w:hideMark/>
          </w:tcPr>
          <w:p w:rsidR="00AF174D" w:rsidRPr="004D4A4C" w:rsidRDefault="00AF174D" w:rsidP="00141D20">
            <w:pPr>
              <w:spacing w:before="0" w:after="0" w:line="240" w:lineRule="auto"/>
              <w:jc w:val="center"/>
              <w:rPr>
                <w:rFonts w:ascii="Nyala" w:eastAsia="Times New Roman" w:hAnsi="Nyala" w:cs="Times New Roman"/>
                <w:b/>
                <w:bCs/>
                <w:sz w:val="22"/>
                <w:szCs w:val="22"/>
                <w:lang w:eastAsia="fr-FR"/>
              </w:rPr>
            </w:pPr>
            <w:r w:rsidRPr="004D4A4C">
              <w:rPr>
                <w:rFonts w:ascii="Nyala" w:hAnsi="Nyala"/>
                <w:sz w:val="22"/>
                <w:szCs w:val="22"/>
              </w:rPr>
              <w:t xml:space="preserve">               892   </w:t>
            </w:r>
          </w:p>
        </w:tc>
        <w:tc>
          <w:tcPr>
            <w:tcW w:w="680" w:type="dxa"/>
            <w:tcBorders>
              <w:top w:val="nil"/>
              <w:left w:val="nil"/>
              <w:bottom w:val="single" w:sz="4" w:space="0" w:color="auto"/>
              <w:right w:val="single" w:sz="4" w:space="0" w:color="auto"/>
            </w:tcBorders>
            <w:shd w:val="clear" w:color="000000" w:fill="FFFF00"/>
            <w:vAlign w:val="center"/>
            <w:hideMark/>
          </w:tcPr>
          <w:p w:rsidR="00AF174D" w:rsidRPr="004D4A4C" w:rsidRDefault="00AF174D" w:rsidP="00141D20">
            <w:pPr>
              <w:spacing w:before="0" w:after="0" w:line="240" w:lineRule="auto"/>
              <w:jc w:val="center"/>
              <w:rPr>
                <w:rFonts w:ascii="Nyala" w:eastAsia="Times New Roman" w:hAnsi="Nyala" w:cs="Times New Roman"/>
                <w:b/>
                <w:bCs/>
                <w:sz w:val="22"/>
                <w:szCs w:val="22"/>
                <w:lang w:eastAsia="fr-FR"/>
              </w:rPr>
            </w:pPr>
            <w:r w:rsidRPr="004D4A4C">
              <w:rPr>
                <w:rFonts w:ascii="Nyala" w:hAnsi="Nyala"/>
                <w:sz w:val="22"/>
                <w:szCs w:val="22"/>
              </w:rPr>
              <w:t xml:space="preserve">               555   </w:t>
            </w:r>
          </w:p>
        </w:tc>
        <w:tc>
          <w:tcPr>
            <w:tcW w:w="680" w:type="dxa"/>
            <w:tcBorders>
              <w:top w:val="nil"/>
              <w:left w:val="nil"/>
              <w:bottom w:val="single" w:sz="4" w:space="0" w:color="auto"/>
              <w:right w:val="single" w:sz="4" w:space="0" w:color="auto"/>
            </w:tcBorders>
            <w:shd w:val="clear" w:color="000000" w:fill="FFFF00"/>
            <w:vAlign w:val="center"/>
            <w:hideMark/>
          </w:tcPr>
          <w:p w:rsidR="00AF174D" w:rsidRPr="004D4A4C" w:rsidRDefault="00AF174D" w:rsidP="00141D20">
            <w:pPr>
              <w:spacing w:before="0" w:after="0" w:line="240" w:lineRule="auto"/>
              <w:jc w:val="center"/>
              <w:rPr>
                <w:rFonts w:ascii="Nyala" w:eastAsia="Times New Roman" w:hAnsi="Nyala" w:cs="Times New Roman"/>
                <w:b/>
                <w:bCs/>
                <w:sz w:val="22"/>
                <w:szCs w:val="22"/>
                <w:lang w:eastAsia="fr-FR"/>
              </w:rPr>
            </w:pPr>
            <w:r w:rsidRPr="004D4A4C">
              <w:rPr>
                <w:rFonts w:ascii="Nyala" w:hAnsi="Nyala"/>
                <w:sz w:val="22"/>
                <w:szCs w:val="22"/>
              </w:rPr>
              <w:t xml:space="preserve">           1 480   </w:t>
            </w:r>
          </w:p>
        </w:tc>
        <w:tc>
          <w:tcPr>
            <w:tcW w:w="680" w:type="dxa"/>
            <w:tcBorders>
              <w:top w:val="nil"/>
              <w:left w:val="nil"/>
              <w:bottom w:val="single" w:sz="4" w:space="0" w:color="auto"/>
              <w:right w:val="single" w:sz="4" w:space="0" w:color="auto"/>
            </w:tcBorders>
            <w:shd w:val="clear" w:color="000000" w:fill="FFFF00"/>
            <w:vAlign w:val="center"/>
            <w:hideMark/>
          </w:tcPr>
          <w:p w:rsidR="00AF174D" w:rsidRPr="004D4A4C" w:rsidRDefault="00AF174D" w:rsidP="00141D20">
            <w:pPr>
              <w:spacing w:before="0" w:after="0" w:line="240" w:lineRule="auto"/>
              <w:jc w:val="center"/>
              <w:rPr>
                <w:rFonts w:ascii="Nyala" w:eastAsia="Times New Roman" w:hAnsi="Nyala" w:cs="Times New Roman"/>
                <w:b/>
                <w:bCs/>
                <w:sz w:val="22"/>
                <w:szCs w:val="22"/>
                <w:lang w:eastAsia="fr-FR"/>
              </w:rPr>
            </w:pPr>
            <w:r w:rsidRPr="004D4A4C">
              <w:rPr>
                <w:rFonts w:ascii="Nyala" w:hAnsi="Nyala"/>
                <w:sz w:val="22"/>
                <w:szCs w:val="22"/>
              </w:rPr>
              <w:t xml:space="preserve">               271   </w:t>
            </w:r>
          </w:p>
        </w:tc>
        <w:tc>
          <w:tcPr>
            <w:tcW w:w="917" w:type="dxa"/>
            <w:tcBorders>
              <w:top w:val="nil"/>
              <w:left w:val="nil"/>
              <w:bottom w:val="single" w:sz="4" w:space="0" w:color="auto"/>
              <w:right w:val="single" w:sz="4" w:space="0" w:color="auto"/>
            </w:tcBorders>
            <w:shd w:val="clear" w:color="000000" w:fill="FFFF00"/>
            <w:vAlign w:val="center"/>
            <w:hideMark/>
          </w:tcPr>
          <w:p w:rsidR="00AF174D" w:rsidRPr="004D4A4C" w:rsidRDefault="00AF174D" w:rsidP="00141D20">
            <w:pPr>
              <w:spacing w:before="0" w:after="0" w:line="240" w:lineRule="auto"/>
              <w:jc w:val="center"/>
              <w:rPr>
                <w:rFonts w:ascii="Nyala" w:eastAsia="Times New Roman" w:hAnsi="Nyala" w:cs="Times New Roman"/>
                <w:b/>
                <w:bCs/>
                <w:sz w:val="22"/>
                <w:szCs w:val="22"/>
                <w:lang w:eastAsia="fr-FR"/>
              </w:rPr>
            </w:pPr>
            <w:r w:rsidRPr="004D4A4C">
              <w:rPr>
                <w:rFonts w:ascii="Nyala" w:hAnsi="Nyala"/>
                <w:sz w:val="22"/>
                <w:szCs w:val="22"/>
              </w:rPr>
              <w:t xml:space="preserve">               467   </w:t>
            </w:r>
          </w:p>
        </w:tc>
        <w:tc>
          <w:tcPr>
            <w:tcW w:w="788" w:type="dxa"/>
            <w:tcBorders>
              <w:top w:val="nil"/>
              <w:left w:val="nil"/>
              <w:bottom w:val="single" w:sz="4" w:space="0" w:color="auto"/>
              <w:right w:val="single" w:sz="4" w:space="0" w:color="auto"/>
            </w:tcBorders>
            <w:shd w:val="clear" w:color="000000" w:fill="FFFF00"/>
            <w:vAlign w:val="center"/>
            <w:hideMark/>
          </w:tcPr>
          <w:p w:rsidR="00AF174D" w:rsidRPr="004D4A4C" w:rsidRDefault="00AF174D" w:rsidP="00141D20">
            <w:pPr>
              <w:spacing w:before="0" w:after="0" w:line="240" w:lineRule="auto"/>
              <w:jc w:val="center"/>
              <w:rPr>
                <w:rFonts w:ascii="Nyala" w:eastAsia="Times New Roman" w:hAnsi="Nyala" w:cs="Times New Roman"/>
                <w:b/>
                <w:bCs/>
                <w:sz w:val="22"/>
                <w:szCs w:val="22"/>
                <w:lang w:eastAsia="fr-FR"/>
              </w:rPr>
            </w:pPr>
            <w:r w:rsidRPr="004D4A4C">
              <w:rPr>
                <w:rFonts w:ascii="Nyala" w:hAnsi="Nyala"/>
                <w:sz w:val="22"/>
                <w:szCs w:val="22"/>
              </w:rPr>
              <w:t xml:space="preserve">               467   </w:t>
            </w:r>
          </w:p>
        </w:tc>
        <w:tc>
          <w:tcPr>
            <w:tcW w:w="842" w:type="dxa"/>
            <w:tcBorders>
              <w:top w:val="nil"/>
              <w:left w:val="nil"/>
              <w:bottom w:val="single" w:sz="4" w:space="0" w:color="auto"/>
              <w:right w:val="single" w:sz="4" w:space="0" w:color="auto"/>
            </w:tcBorders>
            <w:shd w:val="clear" w:color="000000" w:fill="FFFF00"/>
            <w:vAlign w:val="center"/>
            <w:hideMark/>
          </w:tcPr>
          <w:p w:rsidR="00AF174D" w:rsidRPr="004D4A4C" w:rsidRDefault="00AF174D" w:rsidP="00141D20">
            <w:pPr>
              <w:spacing w:before="0" w:after="0" w:line="240" w:lineRule="auto"/>
              <w:jc w:val="center"/>
              <w:rPr>
                <w:rFonts w:ascii="Nyala" w:eastAsia="Times New Roman" w:hAnsi="Nyala" w:cs="Times New Roman"/>
                <w:b/>
                <w:bCs/>
                <w:sz w:val="22"/>
                <w:szCs w:val="22"/>
                <w:lang w:eastAsia="fr-FR"/>
              </w:rPr>
            </w:pPr>
            <w:r w:rsidRPr="004D4A4C">
              <w:rPr>
                <w:rFonts w:ascii="Nyala" w:hAnsi="Nyala"/>
                <w:sz w:val="22"/>
                <w:szCs w:val="22"/>
              </w:rPr>
              <w:t xml:space="preserve">           3 041   </w:t>
            </w:r>
          </w:p>
        </w:tc>
        <w:tc>
          <w:tcPr>
            <w:tcW w:w="1022" w:type="dxa"/>
            <w:tcBorders>
              <w:top w:val="nil"/>
              <w:left w:val="nil"/>
              <w:bottom w:val="single" w:sz="4" w:space="0" w:color="auto"/>
              <w:right w:val="single" w:sz="4" w:space="0" w:color="auto"/>
            </w:tcBorders>
            <w:shd w:val="clear" w:color="000000" w:fill="FFFF00"/>
            <w:vAlign w:val="center"/>
            <w:hideMark/>
          </w:tcPr>
          <w:p w:rsidR="00AF174D" w:rsidRPr="004D4A4C" w:rsidRDefault="00AF174D" w:rsidP="00141D20">
            <w:pPr>
              <w:spacing w:before="0" w:after="0" w:line="240" w:lineRule="auto"/>
              <w:jc w:val="center"/>
              <w:rPr>
                <w:rFonts w:ascii="Nyala" w:eastAsia="Times New Roman" w:hAnsi="Nyala" w:cs="Times New Roman"/>
                <w:b/>
                <w:bCs/>
                <w:sz w:val="22"/>
                <w:szCs w:val="22"/>
                <w:lang w:eastAsia="fr-FR"/>
              </w:rPr>
            </w:pPr>
            <w:r w:rsidRPr="004D4A4C">
              <w:rPr>
                <w:rFonts w:ascii="Nyala" w:hAnsi="Nyala"/>
                <w:sz w:val="22"/>
                <w:szCs w:val="22"/>
              </w:rPr>
              <w:t xml:space="preserve">               441   </w:t>
            </w:r>
          </w:p>
        </w:tc>
        <w:tc>
          <w:tcPr>
            <w:tcW w:w="737" w:type="dxa"/>
            <w:tcBorders>
              <w:top w:val="nil"/>
              <w:left w:val="nil"/>
              <w:bottom w:val="single" w:sz="4" w:space="0" w:color="auto"/>
              <w:right w:val="single" w:sz="4" w:space="0" w:color="auto"/>
            </w:tcBorders>
            <w:shd w:val="clear" w:color="000000" w:fill="FFFF00"/>
            <w:vAlign w:val="center"/>
            <w:hideMark/>
          </w:tcPr>
          <w:p w:rsidR="00AF174D" w:rsidRPr="004D4A4C" w:rsidRDefault="00AF174D" w:rsidP="00141D20">
            <w:pPr>
              <w:spacing w:before="0" w:after="0" w:line="240" w:lineRule="auto"/>
              <w:jc w:val="center"/>
              <w:rPr>
                <w:rFonts w:ascii="Nyala" w:eastAsia="Times New Roman" w:hAnsi="Nyala" w:cs="Times New Roman"/>
                <w:b/>
                <w:bCs/>
                <w:sz w:val="22"/>
                <w:szCs w:val="22"/>
                <w:lang w:eastAsia="fr-FR"/>
              </w:rPr>
            </w:pPr>
            <w:r w:rsidRPr="004D4A4C">
              <w:rPr>
                <w:rFonts w:ascii="Nyala" w:hAnsi="Nyala"/>
                <w:sz w:val="22"/>
                <w:szCs w:val="22"/>
              </w:rPr>
              <w:t xml:space="preserve">               469   </w:t>
            </w:r>
          </w:p>
        </w:tc>
      </w:tr>
      <w:tr w:rsidR="00AF174D" w:rsidRPr="00C00210" w:rsidTr="004D4A4C">
        <w:trPr>
          <w:trHeight w:val="300"/>
        </w:trPr>
        <w:tc>
          <w:tcPr>
            <w:tcW w:w="680" w:type="dxa"/>
            <w:tcBorders>
              <w:top w:val="nil"/>
              <w:left w:val="nil"/>
              <w:bottom w:val="nil"/>
              <w:right w:val="nil"/>
            </w:tcBorders>
            <w:shd w:val="clear" w:color="auto" w:fill="auto"/>
            <w:noWrap/>
            <w:vAlign w:val="center"/>
            <w:hideMark/>
          </w:tcPr>
          <w:p w:rsidR="00C00210" w:rsidRPr="004D4A4C" w:rsidRDefault="004D4A4C" w:rsidP="004D4A4C">
            <w:pPr>
              <w:spacing w:before="0" w:after="0" w:line="240" w:lineRule="auto"/>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 xml:space="preserve">Taux </w:t>
            </w:r>
            <w:r w:rsidR="00AF174D" w:rsidRPr="004D4A4C">
              <w:rPr>
                <w:rFonts w:ascii="Nyala" w:eastAsia="Times New Roman" w:hAnsi="Nyala" w:cs="Times New Roman"/>
                <w:sz w:val="22"/>
                <w:szCs w:val="22"/>
                <w:lang w:eastAsia="fr-FR"/>
              </w:rPr>
              <w:t xml:space="preserve">/an </w:t>
            </w:r>
          </w:p>
        </w:tc>
        <w:tc>
          <w:tcPr>
            <w:tcW w:w="680" w:type="dxa"/>
            <w:tcBorders>
              <w:top w:val="nil"/>
              <w:left w:val="nil"/>
              <w:bottom w:val="nil"/>
              <w:right w:val="nil"/>
            </w:tcBorders>
            <w:shd w:val="clear" w:color="auto" w:fill="auto"/>
            <w:noWrap/>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1,4%</w:t>
            </w:r>
          </w:p>
        </w:tc>
        <w:tc>
          <w:tcPr>
            <w:tcW w:w="711" w:type="dxa"/>
            <w:tcBorders>
              <w:top w:val="nil"/>
              <w:left w:val="nil"/>
              <w:bottom w:val="nil"/>
              <w:right w:val="nil"/>
            </w:tcBorders>
            <w:shd w:val="clear" w:color="auto" w:fill="auto"/>
            <w:noWrap/>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5,5%</w:t>
            </w:r>
          </w:p>
        </w:tc>
        <w:tc>
          <w:tcPr>
            <w:tcW w:w="680" w:type="dxa"/>
            <w:tcBorders>
              <w:top w:val="nil"/>
              <w:left w:val="nil"/>
              <w:bottom w:val="nil"/>
              <w:right w:val="nil"/>
            </w:tcBorders>
            <w:shd w:val="clear" w:color="auto" w:fill="auto"/>
            <w:noWrap/>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1,2%</w:t>
            </w:r>
          </w:p>
        </w:tc>
        <w:tc>
          <w:tcPr>
            <w:tcW w:w="680" w:type="dxa"/>
            <w:tcBorders>
              <w:top w:val="nil"/>
              <w:left w:val="nil"/>
              <w:bottom w:val="nil"/>
              <w:right w:val="nil"/>
            </w:tcBorders>
            <w:shd w:val="clear" w:color="auto" w:fill="auto"/>
            <w:noWrap/>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21,6%</w:t>
            </w:r>
          </w:p>
        </w:tc>
        <w:tc>
          <w:tcPr>
            <w:tcW w:w="680" w:type="dxa"/>
            <w:tcBorders>
              <w:top w:val="nil"/>
              <w:left w:val="nil"/>
              <w:bottom w:val="nil"/>
              <w:right w:val="nil"/>
            </w:tcBorders>
            <w:shd w:val="clear" w:color="auto" w:fill="auto"/>
            <w:noWrap/>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-3,2%</w:t>
            </w:r>
          </w:p>
        </w:tc>
        <w:tc>
          <w:tcPr>
            <w:tcW w:w="680" w:type="dxa"/>
            <w:tcBorders>
              <w:top w:val="nil"/>
              <w:left w:val="nil"/>
              <w:bottom w:val="nil"/>
              <w:right w:val="nil"/>
            </w:tcBorders>
            <w:shd w:val="clear" w:color="auto" w:fill="auto"/>
            <w:noWrap/>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13,0%</w:t>
            </w:r>
          </w:p>
        </w:tc>
        <w:tc>
          <w:tcPr>
            <w:tcW w:w="917" w:type="dxa"/>
            <w:tcBorders>
              <w:top w:val="nil"/>
              <w:left w:val="nil"/>
              <w:bottom w:val="nil"/>
              <w:right w:val="nil"/>
            </w:tcBorders>
            <w:shd w:val="clear" w:color="auto" w:fill="auto"/>
            <w:noWrap/>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2,6%</w:t>
            </w:r>
          </w:p>
        </w:tc>
        <w:tc>
          <w:tcPr>
            <w:tcW w:w="788" w:type="dxa"/>
            <w:tcBorders>
              <w:top w:val="nil"/>
              <w:left w:val="nil"/>
              <w:bottom w:val="nil"/>
              <w:right w:val="nil"/>
            </w:tcBorders>
            <w:shd w:val="clear" w:color="auto" w:fill="auto"/>
            <w:noWrap/>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85,9%</w:t>
            </w:r>
          </w:p>
        </w:tc>
        <w:tc>
          <w:tcPr>
            <w:tcW w:w="842" w:type="dxa"/>
            <w:tcBorders>
              <w:top w:val="nil"/>
              <w:left w:val="nil"/>
              <w:bottom w:val="nil"/>
              <w:right w:val="nil"/>
            </w:tcBorders>
            <w:shd w:val="clear" w:color="auto" w:fill="auto"/>
            <w:noWrap/>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39,7%</w:t>
            </w:r>
          </w:p>
        </w:tc>
        <w:tc>
          <w:tcPr>
            <w:tcW w:w="1022" w:type="dxa"/>
            <w:tcBorders>
              <w:top w:val="nil"/>
              <w:left w:val="nil"/>
              <w:bottom w:val="nil"/>
              <w:right w:val="nil"/>
            </w:tcBorders>
            <w:shd w:val="clear" w:color="auto" w:fill="auto"/>
            <w:noWrap/>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5,9%</w:t>
            </w:r>
          </w:p>
        </w:tc>
        <w:tc>
          <w:tcPr>
            <w:tcW w:w="737" w:type="dxa"/>
            <w:tcBorders>
              <w:top w:val="nil"/>
              <w:left w:val="nil"/>
              <w:bottom w:val="nil"/>
              <w:right w:val="nil"/>
            </w:tcBorders>
            <w:shd w:val="clear" w:color="auto" w:fill="auto"/>
            <w:noWrap/>
            <w:vAlign w:val="center"/>
            <w:hideMark/>
          </w:tcPr>
          <w:p w:rsidR="00C00210" w:rsidRPr="004D4A4C" w:rsidRDefault="00C00210" w:rsidP="00141D20">
            <w:pPr>
              <w:spacing w:before="0" w:after="0" w:line="240" w:lineRule="auto"/>
              <w:jc w:val="center"/>
              <w:rPr>
                <w:rFonts w:ascii="Nyala" w:eastAsia="Times New Roman" w:hAnsi="Nyala" w:cs="Times New Roman"/>
                <w:sz w:val="22"/>
                <w:szCs w:val="22"/>
                <w:lang w:eastAsia="fr-FR"/>
              </w:rPr>
            </w:pPr>
            <w:r w:rsidRPr="004D4A4C">
              <w:rPr>
                <w:rFonts w:ascii="Nyala" w:eastAsia="Times New Roman" w:hAnsi="Nyala" w:cs="Times New Roman"/>
                <w:sz w:val="22"/>
                <w:szCs w:val="22"/>
                <w:lang w:eastAsia="fr-FR"/>
              </w:rPr>
              <w:t>25,7%</w:t>
            </w:r>
          </w:p>
        </w:tc>
      </w:tr>
    </w:tbl>
    <w:p w:rsidR="001432A1" w:rsidRPr="00DD0F60" w:rsidRDefault="001432A1" w:rsidP="001432A1">
      <w:pPr>
        <w:spacing w:before="0" w:line="240" w:lineRule="auto"/>
        <w:jc w:val="both"/>
        <w:rPr>
          <w:rFonts w:ascii="Nyala" w:hAnsi="Nyala"/>
        </w:rPr>
      </w:pPr>
      <w:r w:rsidRPr="00DD0F60">
        <w:rPr>
          <w:rFonts w:ascii="Nyala" w:hAnsi="Nyala"/>
        </w:rPr>
        <w:t>Source : Direction des statistiques – MAGEL</w:t>
      </w:r>
    </w:p>
    <w:p w:rsidR="001432A1" w:rsidRDefault="001432A1" w:rsidP="00AF174D">
      <w:pPr>
        <w:jc w:val="both"/>
        <w:rPr>
          <w:rFonts w:ascii="Nyala" w:hAnsi="Nyala"/>
          <w:sz w:val="28"/>
          <w:szCs w:val="28"/>
        </w:rPr>
      </w:pPr>
    </w:p>
    <w:p w:rsidR="00641839" w:rsidRDefault="00AF174D" w:rsidP="00AF174D">
      <w:pPr>
        <w:jc w:val="both"/>
        <w:rPr>
          <w:rFonts w:ascii="Nyala" w:hAnsi="Nyala"/>
          <w:sz w:val="28"/>
          <w:szCs w:val="28"/>
        </w:rPr>
      </w:pPr>
      <w:r>
        <w:rPr>
          <w:rFonts w:ascii="Nyala" w:hAnsi="Nyala"/>
          <w:sz w:val="28"/>
          <w:szCs w:val="28"/>
        </w:rPr>
        <w:t xml:space="preserve">Ainsi, c’est par l’accroissement des superficies et non de la productivité que le Niger a réussi </w:t>
      </w:r>
      <w:r w:rsidR="00641839">
        <w:rPr>
          <w:rFonts w:ascii="Nyala" w:hAnsi="Nyala"/>
          <w:sz w:val="28"/>
          <w:szCs w:val="28"/>
        </w:rPr>
        <w:t>à assurer une disponibilité alimentaire en adéquation avec l’accroissement de la population.</w:t>
      </w:r>
      <w:r w:rsidR="00456A2E">
        <w:rPr>
          <w:rFonts w:ascii="Nyala" w:hAnsi="Nyala"/>
          <w:sz w:val="28"/>
          <w:szCs w:val="28"/>
        </w:rPr>
        <w:t xml:space="preserve"> Toutefois, à termes, il n’y a d’autres choix que de créer les conditions pour améliorer durablement la prod</w:t>
      </w:r>
      <w:r w:rsidR="00CC70A1">
        <w:rPr>
          <w:rFonts w:ascii="Nyala" w:hAnsi="Nyala"/>
          <w:sz w:val="28"/>
          <w:szCs w:val="28"/>
        </w:rPr>
        <w:t xml:space="preserve">uctivité et les productions agropastorales </w:t>
      </w:r>
      <w:r w:rsidR="00456A2E">
        <w:rPr>
          <w:rFonts w:ascii="Nyala" w:hAnsi="Nyala"/>
          <w:sz w:val="28"/>
          <w:szCs w:val="28"/>
        </w:rPr>
        <w:t xml:space="preserve">en faisant la promotion de systèmes </w:t>
      </w:r>
      <w:r w:rsidR="00CC70A1">
        <w:rPr>
          <w:rFonts w:ascii="Nyala" w:hAnsi="Nyala"/>
          <w:sz w:val="28"/>
          <w:szCs w:val="28"/>
        </w:rPr>
        <w:t xml:space="preserve">de production moins extensifs et </w:t>
      </w:r>
      <w:r w:rsidR="00456A2E">
        <w:rPr>
          <w:rFonts w:ascii="Nyala" w:hAnsi="Nyala"/>
          <w:sz w:val="28"/>
          <w:szCs w:val="28"/>
        </w:rPr>
        <w:t>de</w:t>
      </w:r>
      <w:r w:rsidR="00CC70A1">
        <w:rPr>
          <w:rFonts w:ascii="Nyala" w:hAnsi="Nyala"/>
          <w:sz w:val="28"/>
          <w:szCs w:val="28"/>
        </w:rPr>
        <w:t>s</w:t>
      </w:r>
      <w:r w:rsidR="00456A2E">
        <w:rPr>
          <w:rFonts w:ascii="Nyala" w:hAnsi="Nyala"/>
          <w:sz w:val="28"/>
          <w:szCs w:val="28"/>
        </w:rPr>
        <w:t xml:space="preserve"> techniques de production</w:t>
      </w:r>
      <w:r w:rsidR="00CC70A1">
        <w:rPr>
          <w:rFonts w:ascii="Nyala" w:hAnsi="Nyala"/>
          <w:sz w:val="28"/>
          <w:szCs w:val="28"/>
        </w:rPr>
        <w:t xml:space="preserve"> combinant résilience et performance accrue. </w:t>
      </w:r>
    </w:p>
    <w:p w:rsidR="002938CA" w:rsidRPr="006866D3" w:rsidRDefault="002938CA" w:rsidP="000500A5">
      <w:pPr>
        <w:rPr>
          <w:sz w:val="28"/>
          <w:szCs w:val="28"/>
        </w:rPr>
      </w:pPr>
    </w:p>
    <w:p w:rsidR="00E35B2B" w:rsidRPr="006866D3" w:rsidRDefault="00EB03C7" w:rsidP="00141D20">
      <w:pPr>
        <w:pStyle w:val="Titre3"/>
        <w:numPr>
          <w:ilvl w:val="2"/>
          <w:numId w:val="2"/>
        </w:numPr>
        <w:rPr>
          <w:sz w:val="28"/>
          <w:szCs w:val="28"/>
        </w:rPr>
      </w:pPr>
      <w:bookmarkStart w:id="435" w:name="_Toc526119980"/>
      <w:r w:rsidRPr="00A60851">
        <w:rPr>
          <w:sz w:val="28"/>
          <w:szCs w:val="28"/>
        </w:rPr>
        <w:t>Développement</w:t>
      </w:r>
      <w:r w:rsidRPr="006866D3">
        <w:rPr>
          <w:sz w:val="28"/>
          <w:szCs w:val="28"/>
        </w:rPr>
        <w:t xml:space="preserve"> Agricole </w:t>
      </w:r>
      <w:r w:rsidR="00AF377F" w:rsidRPr="006866D3">
        <w:rPr>
          <w:sz w:val="28"/>
          <w:szCs w:val="28"/>
        </w:rPr>
        <w:t>durable</w:t>
      </w:r>
      <w:bookmarkEnd w:id="435"/>
    </w:p>
    <w:p w:rsidR="00EB03C7" w:rsidRPr="006866D3" w:rsidRDefault="00EB03C7" w:rsidP="00EB03C7">
      <w:pPr>
        <w:rPr>
          <w:sz w:val="28"/>
          <w:szCs w:val="28"/>
        </w:rPr>
      </w:pPr>
    </w:p>
    <w:p w:rsidR="00F25688" w:rsidRPr="006866D3" w:rsidRDefault="00F25688" w:rsidP="00E8439C">
      <w:pPr>
        <w:spacing w:after="120"/>
        <w:jc w:val="both"/>
        <w:rPr>
          <w:rFonts w:ascii="Nyala" w:hAnsi="Nyala"/>
          <w:sz w:val="28"/>
          <w:szCs w:val="28"/>
        </w:rPr>
      </w:pPr>
      <w:r w:rsidRPr="006866D3">
        <w:rPr>
          <w:rFonts w:ascii="Nyala" w:hAnsi="Nyala"/>
          <w:sz w:val="28"/>
          <w:szCs w:val="28"/>
        </w:rPr>
        <w:t xml:space="preserve">La durabilité et la productivité de l’agriculture sont recherchées à travers les cibles 2.4 et 2.5 de l’ODD2. L’atteinte de ces deux cibles devrait pouvoir </w:t>
      </w:r>
      <w:r w:rsidR="00E8439C" w:rsidRPr="006866D3">
        <w:rPr>
          <w:rFonts w:ascii="Nyala" w:hAnsi="Nyala"/>
          <w:sz w:val="28"/>
          <w:szCs w:val="28"/>
        </w:rPr>
        <w:t xml:space="preserve">garantir une offre alimentaire saine et suffisante pour l’ensemble de la population et quel que soit par ailleurs les chocs enregistrés. </w:t>
      </w:r>
    </w:p>
    <w:p w:rsidR="00AF377F" w:rsidRPr="006866D3" w:rsidRDefault="00AF377F" w:rsidP="00AF377F">
      <w:pPr>
        <w:spacing w:after="120"/>
        <w:jc w:val="both"/>
        <w:rPr>
          <w:rFonts w:ascii="Nyala" w:hAnsi="Nyala"/>
          <w:sz w:val="28"/>
          <w:szCs w:val="28"/>
        </w:rPr>
      </w:pPr>
      <w:r w:rsidRPr="006866D3">
        <w:rPr>
          <w:rFonts w:ascii="Nyala" w:hAnsi="Nyala"/>
          <w:sz w:val="28"/>
          <w:szCs w:val="28"/>
        </w:rPr>
        <w:t xml:space="preserve">La cible 2.4 prévoit </w:t>
      </w:r>
      <w:r w:rsidR="00E8439C" w:rsidRPr="006866D3">
        <w:rPr>
          <w:rFonts w:ascii="Nyala" w:hAnsi="Nyala"/>
          <w:sz w:val="28"/>
          <w:szCs w:val="28"/>
        </w:rPr>
        <w:t xml:space="preserve">de </w:t>
      </w:r>
      <w:r w:rsidRPr="006866D3">
        <w:rPr>
          <w:rFonts w:ascii="Nyala" w:hAnsi="Nyala"/>
          <w:sz w:val="28"/>
          <w:szCs w:val="28"/>
        </w:rPr>
        <w:t xml:space="preserve">« assurer  d’ici à 2030,la viabilité des systèmes de production alimentaire et </w:t>
      </w:r>
      <w:r w:rsidR="00E8439C" w:rsidRPr="006866D3">
        <w:rPr>
          <w:rFonts w:ascii="Nyala" w:hAnsi="Nyala"/>
          <w:sz w:val="28"/>
          <w:szCs w:val="28"/>
        </w:rPr>
        <w:t xml:space="preserve">de </w:t>
      </w:r>
      <w:r w:rsidRPr="006866D3">
        <w:rPr>
          <w:rFonts w:ascii="Nyala" w:hAnsi="Nyala"/>
          <w:sz w:val="28"/>
          <w:szCs w:val="28"/>
        </w:rPr>
        <w:t xml:space="preserve">mettre en œuvre des pratiques agricoles résilientes qui permettent d’accroître la productivité et la production, contribuent à la préservation des écosystèmes, renforcent les capacités d’adaptation aux changements climatiques, aux phénomènes météorologiques extrêmes, à la sécheresse, aux inondations et à d’autres catastrophes et améliorent progressivement la qualité des terres et des sols. </w:t>
      </w:r>
    </w:p>
    <w:p w:rsidR="00AF377F" w:rsidRPr="006866D3" w:rsidRDefault="0099455A" w:rsidP="00AF377F">
      <w:pPr>
        <w:jc w:val="both"/>
        <w:rPr>
          <w:rFonts w:ascii="Nyala" w:hAnsi="Nyala"/>
          <w:sz w:val="28"/>
          <w:szCs w:val="28"/>
        </w:rPr>
      </w:pPr>
      <w:r w:rsidRPr="006866D3">
        <w:rPr>
          <w:rFonts w:ascii="Nyala" w:hAnsi="Nyala"/>
          <w:sz w:val="28"/>
          <w:szCs w:val="28"/>
        </w:rPr>
        <w:t xml:space="preserve">L’atteinte de la cible repose sur </w:t>
      </w:r>
      <w:r w:rsidR="00AF377F" w:rsidRPr="006866D3">
        <w:rPr>
          <w:rFonts w:ascii="Nyala" w:hAnsi="Nyala"/>
          <w:sz w:val="28"/>
          <w:szCs w:val="28"/>
        </w:rPr>
        <w:t>« la </w:t>
      </w:r>
      <w:r w:rsidR="00AF377F" w:rsidRPr="006866D3">
        <w:rPr>
          <w:rFonts w:ascii="Nyala" w:hAnsi="Nyala"/>
          <w:b/>
          <w:bCs/>
          <w:i/>
          <w:iCs/>
          <w:sz w:val="28"/>
          <w:szCs w:val="28"/>
        </w:rPr>
        <w:t xml:space="preserve">Proportion des zones agricoles exploitées de manière productive et durable ». </w:t>
      </w:r>
      <w:r w:rsidR="00AF377F" w:rsidRPr="00141D20">
        <w:rPr>
          <w:rFonts w:ascii="Nyala" w:hAnsi="Nyala"/>
          <w:bCs/>
          <w:iCs/>
          <w:sz w:val="28"/>
          <w:szCs w:val="28"/>
        </w:rPr>
        <w:t>Selon la FAO, ce</w:t>
      </w:r>
      <w:r w:rsidR="00AF377F" w:rsidRPr="00EA0CFC">
        <w:rPr>
          <w:rFonts w:ascii="Nyala" w:hAnsi="Nyala"/>
          <w:sz w:val="28"/>
          <w:szCs w:val="28"/>
        </w:rPr>
        <w:t>t</w:t>
      </w:r>
      <w:r w:rsidR="00AF377F" w:rsidRPr="006866D3">
        <w:rPr>
          <w:rFonts w:ascii="Nyala" w:hAnsi="Nyala"/>
          <w:sz w:val="28"/>
          <w:szCs w:val="28"/>
        </w:rPr>
        <w:t xml:space="preserve"> indicateur réunit des données empiriques sur les techniques agricoles qui sont sensibles aux changements climatiques tout en étant durables sur le plan environnemental, social et économique. Il fournit des informations sur la façon d’intensifier la production pour créer de meilleurs rendements avec moins d'intrants (FAO, 2017</w:t>
      </w:r>
      <w:r w:rsidR="00D462F1">
        <w:rPr>
          <w:rStyle w:val="Appelnotedebasdep"/>
          <w:rFonts w:ascii="Nyala" w:hAnsi="Nyala"/>
          <w:sz w:val="28"/>
          <w:szCs w:val="28"/>
        </w:rPr>
        <w:footnoteReference w:id="11"/>
      </w:r>
      <w:r w:rsidR="0060265C">
        <w:rPr>
          <w:rFonts w:ascii="Nyala" w:hAnsi="Nyala"/>
          <w:sz w:val="28"/>
          <w:szCs w:val="28"/>
        </w:rPr>
        <w:t>)</w:t>
      </w:r>
      <w:r w:rsidR="00AF377F" w:rsidRPr="006866D3">
        <w:rPr>
          <w:rFonts w:ascii="Nyala" w:hAnsi="Nyala"/>
          <w:sz w:val="28"/>
          <w:szCs w:val="28"/>
        </w:rPr>
        <w:t> :</w:t>
      </w:r>
    </w:p>
    <w:p w:rsidR="00AF377F" w:rsidRDefault="00FB7483" w:rsidP="00DC7EB7">
      <w:pPr>
        <w:spacing w:after="120"/>
        <w:jc w:val="both"/>
        <w:rPr>
          <w:rFonts w:ascii="Nyala" w:hAnsi="Nyala"/>
          <w:sz w:val="28"/>
          <w:szCs w:val="28"/>
        </w:rPr>
      </w:pPr>
      <w:r w:rsidRPr="006866D3">
        <w:rPr>
          <w:rFonts w:ascii="Nyala" w:hAnsi="Nyala"/>
          <w:sz w:val="28"/>
          <w:szCs w:val="28"/>
        </w:rPr>
        <w:t>Pour l’instant, le Niger n’a pas défini les paramètres à prendre en compte et les modalités de mesure permettant d’apprécier les progrès.</w:t>
      </w:r>
      <w:r w:rsidR="00DC7EB7" w:rsidRPr="006866D3">
        <w:rPr>
          <w:rFonts w:ascii="Nyala" w:hAnsi="Nyala"/>
          <w:sz w:val="28"/>
          <w:szCs w:val="28"/>
        </w:rPr>
        <w:t>Pourtant, l</w:t>
      </w:r>
      <w:r w:rsidR="00AC357D" w:rsidRPr="006866D3">
        <w:rPr>
          <w:rFonts w:ascii="Nyala" w:hAnsi="Nyala"/>
          <w:sz w:val="28"/>
          <w:szCs w:val="28"/>
        </w:rPr>
        <w:t>a résilience des systèmes de production face à divers aléas et contraintes agricoles est un objectif clairement annoncé dans la SANDAD dont les orientations, programmes et projets prioritaires sont pris en compte dans la SDDCI-2035, le PDES 2</w:t>
      </w:r>
      <w:r w:rsidR="00DC7EB7" w:rsidRPr="006866D3">
        <w:rPr>
          <w:rFonts w:ascii="Nyala" w:hAnsi="Nyala"/>
          <w:sz w:val="28"/>
          <w:szCs w:val="28"/>
        </w:rPr>
        <w:t xml:space="preserve">012-2015 et le PDES 2017-2021. </w:t>
      </w:r>
      <w:r w:rsidR="00AF377F" w:rsidRPr="006866D3">
        <w:rPr>
          <w:rFonts w:ascii="Nyala" w:hAnsi="Nyala"/>
          <w:sz w:val="28"/>
          <w:szCs w:val="28"/>
        </w:rPr>
        <w:t xml:space="preserve">Les investissements qui y sont prévues, devraient permettre au Niger d’apporter des réponses appropriées aux enjeux et défis pour une agriculture productive, résiliente et durable. </w:t>
      </w:r>
    </w:p>
    <w:p w:rsidR="00D729B0" w:rsidRPr="00141D20" w:rsidRDefault="00D729B0" w:rsidP="00DC7EB7">
      <w:pPr>
        <w:spacing w:after="120"/>
        <w:jc w:val="both"/>
        <w:rPr>
          <w:rFonts w:ascii="Nyala" w:hAnsi="Nyala"/>
          <w:i/>
          <w:sz w:val="28"/>
          <w:szCs w:val="28"/>
        </w:rPr>
      </w:pPr>
      <w:r w:rsidRPr="00141D20">
        <w:rPr>
          <w:rFonts w:ascii="Nyala" w:hAnsi="Nyala"/>
          <w:i/>
          <w:sz w:val="28"/>
          <w:szCs w:val="28"/>
        </w:rPr>
        <w:t xml:space="preserve">Toutefois et au plutôt, les ministères en charge du développement rural, la FAO et les autres parties prenantes de la résilience devraient se retrouver pour définir de manière consensuelle, les indicateurs, les méthodes d’évaluation et le dispositif de collecte de données et informations. </w:t>
      </w:r>
    </w:p>
    <w:p w:rsidR="00CC70A1" w:rsidRPr="00141D20" w:rsidRDefault="00CC70A1" w:rsidP="00DC7EB7">
      <w:pPr>
        <w:spacing w:after="120"/>
        <w:jc w:val="both"/>
        <w:rPr>
          <w:rFonts w:ascii="Nyala" w:hAnsi="Nyala"/>
          <w:i/>
          <w:sz w:val="28"/>
          <w:szCs w:val="28"/>
        </w:rPr>
      </w:pPr>
      <w:r w:rsidRPr="00141D20">
        <w:rPr>
          <w:rFonts w:ascii="Nyala" w:hAnsi="Nyala"/>
          <w:i/>
          <w:sz w:val="28"/>
          <w:szCs w:val="28"/>
        </w:rPr>
        <w:t xml:space="preserve">En attendant la définition des indicateurs, le Niger poursuivra ses efforts pour accroître et stabiliser son offre alimentaire en mettant à l’échelle, entre autres, des pratiques d’irrigation, de gestion durable des terres, de gestion intégrée de la fertilité des sols, de lutte intégrée contre les ennemis des cultures et les épizooties, de gestion des espaces pastoraux et toutes autres approches favorisant le double gain d’une disponibilité alimentaire accrue et stable dans le temps.   </w:t>
      </w:r>
    </w:p>
    <w:p w:rsidR="006269AA" w:rsidRDefault="006269AA" w:rsidP="006269AA">
      <w:pPr>
        <w:spacing w:after="120"/>
        <w:jc w:val="both"/>
        <w:rPr>
          <w:rFonts w:ascii="Calibri" w:hAnsi="Calibri" w:cs="Arial"/>
          <w:bCs/>
          <w:kern w:val="24"/>
          <w:sz w:val="28"/>
          <w:szCs w:val="28"/>
        </w:rPr>
      </w:pPr>
    </w:p>
    <w:p w:rsidR="00774A36" w:rsidRPr="006866D3" w:rsidRDefault="00774A36" w:rsidP="00774A36">
      <w:pPr>
        <w:spacing w:after="120"/>
        <w:jc w:val="both"/>
        <w:rPr>
          <w:rStyle w:val="Rfrenceintense"/>
          <w:sz w:val="28"/>
          <w:szCs w:val="28"/>
        </w:rPr>
      </w:pPr>
      <w:r w:rsidRPr="006866D3">
        <w:rPr>
          <w:rStyle w:val="Rfrenceintense"/>
          <w:sz w:val="28"/>
          <w:szCs w:val="28"/>
        </w:rPr>
        <w:t xml:space="preserve">Accroitre les superficies irriguées </w:t>
      </w:r>
    </w:p>
    <w:p w:rsidR="00774A36" w:rsidRPr="006866D3" w:rsidRDefault="00774A36" w:rsidP="00774A36">
      <w:pPr>
        <w:spacing w:after="120"/>
        <w:jc w:val="both"/>
        <w:rPr>
          <w:rFonts w:ascii="Nyala" w:hAnsi="Nyala"/>
          <w:sz w:val="28"/>
          <w:szCs w:val="28"/>
        </w:rPr>
      </w:pPr>
      <w:r w:rsidRPr="006866D3">
        <w:rPr>
          <w:rFonts w:ascii="Nyala" w:hAnsi="Nyala"/>
          <w:sz w:val="28"/>
          <w:szCs w:val="28"/>
        </w:rPr>
        <w:t xml:space="preserve">L’irrigation est une des mesures retenues pour assurer durablement la sécurité alimentaire et nutritionnelle et renforcer la résilience des agriculteurs et éleveurs face à la sécheresse. Le développement des cultures irriguées permet au Niger de réduire sa dépendance pour certaines céréales (blé et Riz), réduire le déséquilibre de sa balance commerciale, satisfaire les besoins nutritionnels des populations et créer de la richesse au niveau des producteurs, et générer une économie de filières impliquant de nombreux acteurs nationaux et internationaux. </w:t>
      </w:r>
    </w:p>
    <w:p w:rsidR="00774A36" w:rsidRPr="006866D3" w:rsidRDefault="00146983" w:rsidP="00774A36">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992064" behindDoc="0" locked="0" layoutInCell="1" allowOverlap="1" wp14:anchorId="14FB3F25">
                <wp:simplePos x="0" y="0"/>
                <wp:positionH relativeFrom="margin">
                  <wp:posOffset>1967865</wp:posOffset>
                </wp:positionH>
                <wp:positionV relativeFrom="paragraph">
                  <wp:posOffset>284480</wp:posOffset>
                </wp:positionV>
                <wp:extent cx="3701415" cy="2282825"/>
                <wp:effectExtent l="0" t="0" r="13335" b="22225"/>
                <wp:wrapSquare wrapText="bothSides"/>
                <wp:docPr id="154" name="Zone de text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1415" cy="2282825"/>
                        </a:xfrm>
                        <a:prstGeom prst="rect">
                          <a:avLst/>
                        </a:prstGeom>
                        <a:noFill/>
                        <a:ln w="6350">
                          <a:solidFill>
                            <a:prstClr val="black"/>
                          </a:solidFill>
                        </a:ln>
                        <a:effectLst/>
                      </wps:spPr>
                      <wps:txbx>
                        <w:txbxContent>
                          <w:p w:rsidR="00146325" w:rsidRDefault="00146325" w:rsidP="00774A36">
                            <w:pPr>
                              <w:pStyle w:val="Lgende"/>
                              <w:keepNext/>
                            </w:pPr>
                            <w:bookmarkStart w:id="436" w:name="_Toc526120094"/>
                            <w:r>
                              <w:t xml:space="preserve">Figure </w:t>
                            </w:r>
                            <w:r w:rsidR="00C73EE5">
                              <w:fldChar w:fldCharType="begin"/>
                            </w:r>
                            <w:r w:rsidR="00C73EE5">
                              <w:instrText xml:space="preserve"> SEQ Figure \* ARABIC </w:instrText>
                            </w:r>
                            <w:r w:rsidR="00C73EE5">
                              <w:fldChar w:fldCharType="separate"/>
                            </w:r>
                            <w:r>
                              <w:rPr>
                                <w:noProof/>
                              </w:rPr>
                              <w:t>28</w:t>
                            </w:r>
                            <w:r w:rsidR="00C73EE5">
                              <w:rPr>
                                <w:noProof/>
                              </w:rPr>
                              <w:fldChar w:fldCharType="end"/>
                            </w:r>
                            <w:r>
                              <w:t xml:space="preserve"> - Tendance évolutive des superficies irriguées</w:t>
                            </w:r>
                            <w:bookmarkEnd w:id="436"/>
                          </w:p>
                          <w:p w:rsidR="00146325" w:rsidRPr="00E27719" w:rsidRDefault="00146325" w:rsidP="00774A36">
                            <w:pPr>
                              <w:rPr>
                                <w:noProof/>
                              </w:rPr>
                            </w:pPr>
                            <w:r w:rsidRPr="00F5276C">
                              <w:rPr>
                                <w:noProof/>
                                <w:lang w:eastAsia="fr-FR"/>
                              </w:rPr>
                              <w:drawing>
                                <wp:inline distT="0" distB="0" distL="0" distR="0">
                                  <wp:extent cx="3512739" cy="1701800"/>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40612" cy="171530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4FB3F25" id="Zone de texte 154" o:spid="_x0000_s1060" type="#_x0000_t202" style="position:absolute;left:0;text-align:left;margin-left:154.95pt;margin-top:22.4pt;width:291.45pt;height:179.75pt;z-index:2519920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" filled="f" strokeweight=".5pt">
                <v:path arrowok="t"/>
                <v:textbox style="mso-fit-shape-to-text:t">
                  <w:txbxContent>
                    <w:p w:rsidR="00146325" w:rsidRDefault="00146325" w:rsidP="00774A36">
                      <w:pPr>
                        <w:pStyle w:val="Lgende"/>
                        <w:keepNext/>
                      </w:pPr>
                      <w:bookmarkStart w:id="437" w:name="_Toc526120094"/>
                      <w:r>
                        <w:t xml:space="preserve">Figure </w:t>
                      </w:r>
                      <w:r w:rsidR="00C73EE5">
                        <w:fldChar w:fldCharType="begin"/>
                      </w:r>
                      <w:r w:rsidR="00C73EE5">
                        <w:instrText xml:space="preserve"> SEQ Figure \* ARABIC </w:instrText>
                      </w:r>
                      <w:r w:rsidR="00C73EE5">
                        <w:fldChar w:fldCharType="separate"/>
                      </w:r>
                      <w:r>
                        <w:rPr>
                          <w:noProof/>
                        </w:rPr>
                        <w:t>28</w:t>
                      </w:r>
                      <w:r w:rsidR="00C73EE5">
                        <w:rPr>
                          <w:noProof/>
                        </w:rPr>
                        <w:fldChar w:fldCharType="end"/>
                      </w:r>
                      <w:r>
                        <w:t xml:space="preserve"> - Tendance évolutive des superficies irriguées</w:t>
                      </w:r>
                      <w:bookmarkEnd w:id="437"/>
                    </w:p>
                    <w:p w:rsidR="00146325" w:rsidRPr="00E27719" w:rsidRDefault="00146325" w:rsidP="00774A36">
                      <w:pPr>
                        <w:rPr>
                          <w:noProof/>
                        </w:rPr>
                      </w:pPr>
                      <w:r w:rsidRPr="00F5276C">
                        <w:rPr>
                          <w:noProof/>
                          <w:lang w:eastAsia="fr-FR"/>
                        </w:rPr>
                        <w:drawing>
                          <wp:inline distT="0" distB="0" distL="0" distR="0">
                            <wp:extent cx="3512739" cy="1701800"/>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40612" cy="1715304"/>
                                    </a:xfrm>
                                    <a:prstGeom prst="rect">
                                      <a:avLst/>
                                    </a:prstGeom>
                                    <a:noFill/>
                                    <a:ln>
                                      <a:noFill/>
                                    </a:ln>
                                  </pic:spPr>
                                </pic:pic>
                              </a:graphicData>
                            </a:graphic>
                          </wp:inline>
                        </w:drawing>
                      </w:r>
                    </w:p>
                  </w:txbxContent>
                </v:textbox>
                <w10:wrap type="square" anchorx="margin"/>
              </v:shape>
            </w:pict>
          </mc:Fallback>
        </mc:AlternateContent>
      </w:r>
      <w:r w:rsidR="00774A36" w:rsidRPr="006866D3">
        <w:rPr>
          <w:rFonts w:ascii="Nyala" w:hAnsi="Nyala"/>
          <w:sz w:val="28"/>
          <w:szCs w:val="28"/>
        </w:rPr>
        <w:t>La SDDCI prévoit de tripler les superficies irriguées entre 2015 et 2030, de 113 060 ha à 350.000 hectares répartis comme suit : 60.000 hectares de périmètres à maitrise totale de l’eau (40.000 hectares supplémentaires, essentiellement à l’aval de Kandadji) et 170.000 de Petite irrigation privée.  Dans la même période, il est attendu un accroissement de 50% des rendements du riz et des cultures maraîchères. Le PDES 2017-2021 et le PAGRA ont retenu 200 000 ha respectivement à l’horizon 2021 et 2023 (</w:t>
      </w:r>
      <w:r w:rsidR="00774A36" w:rsidRPr="006866D3">
        <w:rPr>
          <w:rFonts w:ascii="Nyala" w:hAnsi="Nyala"/>
          <w:b/>
          <w:sz w:val="28"/>
          <w:szCs w:val="28"/>
        </w:rPr>
        <w:t xml:space="preserve">figure </w:t>
      </w:r>
      <w:r w:rsidR="009F67D9">
        <w:rPr>
          <w:rFonts w:ascii="Nyala" w:hAnsi="Nyala"/>
          <w:b/>
          <w:sz w:val="28"/>
          <w:szCs w:val="28"/>
        </w:rPr>
        <w:t>2</w:t>
      </w:r>
      <w:r w:rsidR="00D413AC">
        <w:rPr>
          <w:rFonts w:ascii="Nyala" w:hAnsi="Nyala"/>
          <w:b/>
          <w:sz w:val="28"/>
          <w:szCs w:val="28"/>
        </w:rPr>
        <w:t>8</w:t>
      </w:r>
      <w:r w:rsidR="00774A36" w:rsidRPr="006866D3">
        <w:rPr>
          <w:rFonts w:ascii="Nyala" w:hAnsi="Nyala"/>
          <w:b/>
          <w:sz w:val="28"/>
          <w:szCs w:val="28"/>
        </w:rPr>
        <w:t>)</w:t>
      </w:r>
      <w:r w:rsidR="00774A36" w:rsidRPr="006866D3">
        <w:rPr>
          <w:rFonts w:ascii="Nyala" w:hAnsi="Nyala"/>
          <w:sz w:val="28"/>
          <w:szCs w:val="28"/>
        </w:rPr>
        <w:t xml:space="preserve">. </w:t>
      </w:r>
    </w:p>
    <w:p w:rsidR="00774A36" w:rsidRPr="006866D3" w:rsidRDefault="00774A36" w:rsidP="00774A36">
      <w:pPr>
        <w:jc w:val="both"/>
        <w:rPr>
          <w:rFonts w:ascii="Nyala" w:hAnsi="Nyala"/>
          <w:sz w:val="28"/>
          <w:szCs w:val="28"/>
        </w:rPr>
      </w:pPr>
      <w:r w:rsidRPr="006866D3">
        <w:rPr>
          <w:rFonts w:ascii="Nyala" w:hAnsi="Nyala"/>
          <w:sz w:val="28"/>
          <w:szCs w:val="28"/>
        </w:rPr>
        <w:t xml:space="preserve">La figure 38  montre que l’atteinte de ces objectifs-cibles est possible si les efforts se poursuivent en termes d’investissements publics et privés. D’autant que le pays place de nombreux espoirs sur le développement de l’irrigation pour accroître et stabiliser la disponibilité alimentaire et leur accessibilité pour les ménages. </w:t>
      </w:r>
    </w:p>
    <w:p w:rsidR="00774A36" w:rsidRPr="006866D3" w:rsidRDefault="00774A36" w:rsidP="00774A36">
      <w:pPr>
        <w:jc w:val="both"/>
        <w:rPr>
          <w:rFonts w:ascii="Nyala" w:hAnsi="Nyala"/>
          <w:sz w:val="28"/>
          <w:szCs w:val="28"/>
        </w:rPr>
      </w:pPr>
      <w:r w:rsidRPr="006866D3">
        <w:rPr>
          <w:rFonts w:ascii="Nyala" w:hAnsi="Nyala"/>
          <w:sz w:val="28"/>
          <w:szCs w:val="28"/>
        </w:rPr>
        <w:t>C’est pour cela d’ailleurs que le Niger s’est dotée La Stratégie Nationale de Développement de l’Irrigation et de Collecte des Eaux  de  Ruissellement  (SNDI/CER) :  validée  en  2003  et  relue  en  2005, retrace les priorités nationales et se fixe comme objectif général « d’améliorer la contribution de l’agriculture irriguée au PIB agricole en la portant de 14% en 2001à 28% en 2015». Cette stratégie a été complétée en 2015 par un document de stratégie de développement de la petite irrigation du Niger (SPIN)</w:t>
      </w:r>
      <w:r w:rsidRPr="006866D3">
        <w:rPr>
          <w:rFonts w:ascii="Nyala" w:hAnsi="Nyala"/>
          <w:sz w:val="28"/>
          <w:szCs w:val="28"/>
          <w:vertAlign w:val="superscript"/>
        </w:rPr>
        <w:footnoteReference w:id="12"/>
      </w:r>
      <w:r w:rsidRPr="006866D3">
        <w:rPr>
          <w:rFonts w:ascii="Nyala" w:hAnsi="Nyala"/>
          <w:sz w:val="28"/>
          <w:szCs w:val="28"/>
        </w:rPr>
        <w:t xml:space="preserve">.  La SPIN se propose d’intensifier  davantage la  petite  irrigation  dans le  pays  dans une  dynamique  d’exploitation  et  de  gestion  durable  des  ressources  disponibles. Les actions portent sur la gestion durable des terres et des eaux des zones d’irrigation ; la mise en valeur optimale du potentiel irrigable, l’accès aux marchés et le pilotage de la SPIN. </w:t>
      </w:r>
    </w:p>
    <w:p w:rsidR="00774A36" w:rsidRPr="00141D20" w:rsidRDefault="00774A36" w:rsidP="00774A36">
      <w:pPr>
        <w:jc w:val="both"/>
        <w:rPr>
          <w:rFonts w:ascii="Nyala" w:hAnsi="Nyala"/>
          <w:i/>
          <w:sz w:val="28"/>
          <w:szCs w:val="28"/>
        </w:rPr>
      </w:pPr>
      <w:r w:rsidRPr="00141D20">
        <w:rPr>
          <w:rFonts w:ascii="Nyala" w:hAnsi="Nyala"/>
          <w:i/>
          <w:sz w:val="28"/>
          <w:szCs w:val="28"/>
        </w:rPr>
        <w:t xml:space="preserve">Cependant, le développement de l’irrigation n’est pas sans poser des problèmes </w:t>
      </w:r>
      <w:r w:rsidR="00CC70A1" w:rsidRPr="00141D20">
        <w:rPr>
          <w:rFonts w:ascii="Nyala" w:hAnsi="Nyala"/>
          <w:i/>
          <w:sz w:val="28"/>
          <w:szCs w:val="28"/>
        </w:rPr>
        <w:t>sociaux, économiques e</w:t>
      </w:r>
      <w:r w:rsidR="00A14BC8" w:rsidRPr="00141D20">
        <w:rPr>
          <w:rFonts w:ascii="Nyala" w:hAnsi="Nyala"/>
          <w:i/>
          <w:sz w:val="28"/>
          <w:szCs w:val="28"/>
        </w:rPr>
        <w:t xml:space="preserve">t écologiques. Il s’agira surtout de renforcer la sécurité foncière des irrigants et autres usagers de l’eau (ex pasteurs), de minimiser les coûts d’acquisitions des infrastructures et équipements d’irrigation, faciliter la mise en marché des produits horticoles et préserver les écosystèmes humides qui sont également des habitats pour la faune et des espaces de biodiversité. </w:t>
      </w:r>
    </w:p>
    <w:p w:rsidR="00774A36" w:rsidRDefault="00774A36" w:rsidP="00774A36">
      <w:pPr>
        <w:jc w:val="both"/>
        <w:rPr>
          <w:rFonts w:ascii="Nyala" w:hAnsi="Nyala"/>
          <w:sz w:val="28"/>
          <w:szCs w:val="28"/>
        </w:rPr>
      </w:pPr>
    </w:p>
    <w:p w:rsidR="00774A36" w:rsidRPr="006866D3" w:rsidRDefault="00774A36" w:rsidP="00774A36">
      <w:pPr>
        <w:spacing w:after="120"/>
        <w:jc w:val="both"/>
        <w:rPr>
          <w:rStyle w:val="Rfrenceintense"/>
          <w:sz w:val="28"/>
          <w:szCs w:val="28"/>
        </w:rPr>
      </w:pPr>
      <w:r w:rsidRPr="006866D3">
        <w:rPr>
          <w:rStyle w:val="Rfrenceintense"/>
          <w:sz w:val="28"/>
          <w:szCs w:val="28"/>
        </w:rPr>
        <w:t xml:space="preserve">Généraliser la gestion durable des terres et des agrosystèmes </w:t>
      </w:r>
    </w:p>
    <w:p w:rsidR="00774A36" w:rsidRPr="006866D3" w:rsidRDefault="00774A36" w:rsidP="00774A36">
      <w:pPr>
        <w:jc w:val="both"/>
        <w:rPr>
          <w:rFonts w:ascii="Nyala" w:hAnsi="Nyala"/>
          <w:sz w:val="28"/>
          <w:szCs w:val="28"/>
        </w:rPr>
      </w:pPr>
      <w:r w:rsidRPr="006866D3">
        <w:rPr>
          <w:rFonts w:ascii="Nyala" w:hAnsi="Nyala"/>
          <w:sz w:val="28"/>
          <w:szCs w:val="28"/>
        </w:rPr>
        <w:t xml:space="preserve">La gestion et l’utilisation durable des terres sont un objectif récurrent dans les documents de politique, de stratégie ou de planification du secteur rural, tant les agrosystèmes se sont fragilisés avec les sécheresses récurrentes, la pression foncière, les pratiques extensives d’agriculture et d’élevage et l’exploitation minière des ressources forestières. </w:t>
      </w:r>
    </w:p>
    <w:p w:rsidR="00774A36" w:rsidRPr="006866D3" w:rsidRDefault="00774A36" w:rsidP="00774A36">
      <w:pPr>
        <w:jc w:val="both"/>
        <w:rPr>
          <w:rFonts w:ascii="Nyala" w:hAnsi="Nyala"/>
          <w:sz w:val="28"/>
          <w:szCs w:val="28"/>
        </w:rPr>
      </w:pPr>
      <w:r w:rsidRPr="006866D3">
        <w:rPr>
          <w:rFonts w:ascii="Nyala" w:hAnsi="Nyala"/>
          <w:sz w:val="28"/>
          <w:szCs w:val="28"/>
        </w:rPr>
        <w:t xml:space="preserve">L’indicateur le plus souvent pris en compte pour la gestion des terres, la gestion durable de l’environnement et changement climatique est la superficie des terres dégradées récupérées. Par traitement des terres dégradées, il faut entendre améliorer les propriétés du sol et les meilleures formes de gestion de l’eau et de la fertilité du sol.  Divers types de mesures sont pris en compte : Ex : lutte contre l’ensablement des cuvettes et plans d’eau ; techniques culturales et construction de dispositifs antiérosifs (banquettes, demi lunes, zai, techniques de fixation des dunes etc.) ; développement de l’agroforesterie </w:t>
      </w:r>
    </w:p>
    <w:p w:rsidR="00774A36" w:rsidRPr="006866D3" w:rsidRDefault="00146983" w:rsidP="00774A36">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993088" behindDoc="0" locked="0" layoutInCell="1" allowOverlap="1" wp14:anchorId="29A7A547">
                <wp:simplePos x="0" y="0"/>
                <wp:positionH relativeFrom="margin">
                  <wp:align>right</wp:align>
                </wp:positionH>
                <wp:positionV relativeFrom="paragraph">
                  <wp:posOffset>1057910</wp:posOffset>
                </wp:positionV>
                <wp:extent cx="3371215" cy="2339975"/>
                <wp:effectExtent l="0" t="0" r="19685" b="22225"/>
                <wp:wrapSquare wrapText="bothSides"/>
                <wp:docPr id="155" name="Zone de text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215" cy="2339975"/>
                        </a:xfrm>
                        <a:prstGeom prst="rect">
                          <a:avLst/>
                        </a:prstGeom>
                        <a:noFill/>
                        <a:ln w="6350">
                          <a:solidFill>
                            <a:prstClr val="black"/>
                          </a:solidFill>
                        </a:ln>
                        <a:effectLst/>
                      </wps:spPr>
                      <wps:txbx>
                        <w:txbxContent>
                          <w:p w:rsidR="00146325" w:rsidRDefault="00146325" w:rsidP="00774A36">
                            <w:pPr>
                              <w:pStyle w:val="Lgende"/>
                              <w:keepNext/>
                              <w:jc w:val="both"/>
                            </w:pPr>
                            <w:bookmarkStart w:id="438" w:name="_Toc526120095"/>
                            <w:r>
                              <w:t xml:space="preserve">Figure </w:t>
                            </w:r>
                            <w:r w:rsidR="00C73EE5">
                              <w:fldChar w:fldCharType="begin"/>
                            </w:r>
                            <w:r w:rsidR="00C73EE5">
                              <w:instrText xml:space="preserve"> SEQ Figure \* ARABIC </w:instrText>
                            </w:r>
                            <w:r w:rsidR="00C73EE5">
                              <w:fldChar w:fldCharType="separate"/>
                            </w:r>
                            <w:r>
                              <w:rPr>
                                <w:noProof/>
                              </w:rPr>
                              <w:t>29</w:t>
                            </w:r>
                            <w:r w:rsidR="00C73EE5">
                              <w:rPr>
                                <w:noProof/>
                              </w:rPr>
                              <w:fldChar w:fldCharType="end"/>
                            </w:r>
                            <w:r>
                              <w:t xml:space="preserve"> Tendance évolutive de la récupération des terres dégradées</w:t>
                            </w:r>
                            <w:bookmarkEnd w:id="438"/>
                          </w:p>
                          <w:p w:rsidR="00146325" w:rsidRPr="003F21FD" w:rsidRDefault="00146325" w:rsidP="00774A36">
                            <w:pPr>
                              <w:spacing w:after="120"/>
                              <w:jc w:val="both"/>
                              <w:rPr>
                                <w:noProof/>
                              </w:rPr>
                            </w:pPr>
                            <w:r w:rsidRPr="00331C22">
                              <w:rPr>
                                <w:noProof/>
                                <w:lang w:eastAsia="fr-FR"/>
                              </w:rPr>
                              <w:drawing>
                                <wp:inline distT="0" distB="0" distL="0" distR="0">
                                  <wp:extent cx="3181350" cy="1810172"/>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89350" cy="181472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9A7A547" id="Zone de texte 155" o:spid="_x0000_s1061" type="#_x0000_t202" style="position:absolute;left:0;text-align:left;margin-left:214.25pt;margin-top:83.3pt;width:265.45pt;height:184.25pt;z-index:2519930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" filled="f" strokeweight=".5pt">
                <v:path arrowok="t"/>
                <v:textbox style="mso-fit-shape-to-text:t">
                  <w:txbxContent>
                    <w:p w:rsidR="00146325" w:rsidRDefault="00146325" w:rsidP="00774A36">
                      <w:pPr>
                        <w:pStyle w:val="Lgende"/>
                        <w:keepNext/>
                        <w:jc w:val="both"/>
                      </w:pPr>
                      <w:bookmarkStart w:id="439" w:name="_Toc526120095"/>
                      <w:r>
                        <w:t xml:space="preserve">Figure </w:t>
                      </w:r>
                      <w:r w:rsidR="00C73EE5">
                        <w:fldChar w:fldCharType="begin"/>
                      </w:r>
                      <w:r w:rsidR="00C73EE5">
                        <w:instrText xml:space="preserve"> SEQ Figure \* ARABIC </w:instrText>
                      </w:r>
                      <w:r w:rsidR="00C73EE5">
                        <w:fldChar w:fldCharType="separate"/>
                      </w:r>
                      <w:r>
                        <w:rPr>
                          <w:noProof/>
                        </w:rPr>
                        <w:t>29</w:t>
                      </w:r>
                      <w:r w:rsidR="00C73EE5">
                        <w:rPr>
                          <w:noProof/>
                        </w:rPr>
                        <w:fldChar w:fldCharType="end"/>
                      </w:r>
                      <w:r>
                        <w:t xml:space="preserve"> Tendance évolutive de la récupération des terres dégradées</w:t>
                      </w:r>
                      <w:bookmarkEnd w:id="439"/>
                    </w:p>
                    <w:p w:rsidR="00146325" w:rsidRPr="003F21FD" w:rsidRDefault="00146325" w:rsidP="00774A36">
                      <w:pPr>
                        <w:spacing w:after="120"/>
                        <w:jc w:val="both"/>
                        <w:rPr>
                          <w:noProof/>
                        </w:rPr>
                      </w:pPr>
                      <w:r w:rsidRPr="00331C22">
                        <w:rPr>
                          <w:noProof/>
                          <w:lang w:eastAsia="fr-FR"/>
                        </w:rPr>
                        <w:drawing>
                          <wp:inline distT="0" distB="0" distL="0" distR="0">
                            <wp:extent cx="3181350" cy="1810172"/>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89350" cy="1814724"/>
                                    </a:xfrm>
                                    <a:prstGeom prst="rect">
                                      <a:avLst/>
                                    </a:prstGeom>
                                    <a:noFill/>
                                    <a:ln>
                                      <a:noFill/>
                                    </a:ln>
                                  </pic:spPr>
                                </pic:pic>
                              </a:graphicData>
                            </a:graphic>
                          </wp:inline>
                        </w:drawing>
                      </w:r>
                    </w:p>
                  </w:txbxContent>
                </v:textbox>
                <w10:wrap type="square" anchorx="margin"/>
              </v:shape>
            </w:pict>
          </mc:Fallback>
        </mc:AlternateContent>
      </w:r>
      <w:r w:rsidR="00774A36" w:rsidRPr="006866D3">
        <w:rPr>
          <w:rFonts w:ascii="Nyala" w:hAnsi="Nyala"/>
          <w:sz w:val="28"/>
          <w:szCs w:val="28"/>
        </w:rPr>
        <w:t xml:space="preserve">L’objectif-cible du PDES est de  traiter 1 065 500 ha de terres dégradées récupérées à l’horizon 2021 ; Le CSIN-GDT prévoit à l’horizon 2029, de réhabiliter 3,2 millions de terres dégradées et de réaliser 145.000  km  de  haie-vive,  brise  vents,  plantations  d'alignement  et  40.909  km  de  pare-feu. Le PAGRA prévoit à l’horizon 2023, l’adoption des techniques d’agroforestières sur 1 000 000 de terres agricoles additionnelles. </w:t>
      </w:r>
    </w:p>
    <w:p w:rsidR="00774A36" w:rsidRPr="006866D3" w:rsidRDefault="00774A36" w:rsidP="00774A36">
      <w:pPr>
        <w:jc w:val="both"/>
        <w:rPr>
          <w:rFonts w:ascii="Nyala" w:hAnsi="Nyala" w:cs="Arial"/>
          <w:sz w:val="28"/>
          <w:szCs w:val="28"/>
        </w:rPr>
      </w:pPr>
      <w:r w:rsidRPr="006866D3">
        <w:rPr>
          <w:rFonts w:ascii="Nyala" w:hAnsi="Nyala"/>
          <w:sz w:val="28"/>
          <w:szCs w:val="28"/>
        </w:rPr>
        <w:t xml:space="preserve">Pour réaliser cette ambition des efforts considérables sont à mener. En effet, entre 2012 et 2017, seulement 269 470 ha de terres dégradées ont été traitées et si la cadence observée dans le PDES 2012-2015 est maintenu, à l’horizon 2030, l’objectif-cible de 2021 ne sera pas atteint. La </w:t>
      </w:r>
      <w:r w:rsidRPr="006866D3">
        <w:rPr>
          <w:rFonts w:ascii="Nyala" w:hAnsi="Nyala"/>
          <w:b/>
          <w:sz w:val="28"/>
          <w:szCs w:val="28"/>
        </w:rPr>
        <w:t xml:space="preserve">figure </w:t>
      </w:r>
      <w:r w:rsidR="00D413AC">
        <w:rPr>
          <w:rFonts w:ascii="Nyala" w:hAnsi="Nyala"/>
          <w:b/>
          <w:sz w:val="28"/>
          <w:szCs w:val="28"/>
        </w:rPr>
        <w:t>29</w:t>
      </w:r>
      <w:r w:rsidRPr="006866D3">
        <w:rPr>
          <w:rFonts w:ascii="Nyala" w:hAnsi="Nyala"/>
          <w:sz w:val="28"/>
          <w:szCs w:val="28"/>
        </w:rPr>
        <w:t xml:space="preserve"> illustre les efforts à faire.</w:t>
      </w:r>
    </w:p>
    <w:p w:rsidR="00774A36" w:rsidRPr="006866D3" w:rsidRDefault="00774A36" w:rsidP="00774A36">
      <w:pPr>
        <w:jc w:val="both"/>
        <w:rPr>
          <w:rFonts w:ascii="Nyala" w:hAnsi="Nyala"/>
          <w:sz w:val="28"/>
          <w:szCs w:val="28"/>
        </w:rPr>
      </w:pPr>
      <w:r w:rsidRPr="006866D3">
        <w:rPr>
          <w:rFonts w:ascii="Nyala" w:hAnsi="Nyala"/>
          <w:sz w:val="28"/>
          <w:szCs w:val="28"/>
        </w:rPr>
        <w:t xml:space="preserve">Par ailleurs, au-delà des efforts à faire en termes de récupération des terres dégradées, il faut se préoccuper de l’impact réel des investissements sur la durabilité de l’utilisation qui en sera faite et également des modalités de leur évaluation. Jusqu’à présent les systèmes de suivi-évaluation du HC3N et des projets et programmes de gestion durable des terres se sont juste contentés de reporter les superficies traitées, sans par ailleurs donner une situation réelle dans le pays ou même dans la zone d’intervention, de l’ampleur des dégâts. </w:t>
      </w:r>
    </w:p>
    <w:p w:rsidR="00774A36" w:rsidRPr="00141D20" w:rsidRDefault="00774A36" w:rsidP="00774A36">
      <w:pPr>
        <w:jc w:val="both"/>
        <w:rPr>
          <w:rFonts w:ascii="Nyala" w:hAnsi="Nyala"/>
          <w:i/>
          <w:sz w:val="28"/>
          <w:szCs w:val="28"/>
        </w:rPr>
      </w:pPr>
      <w:r w:rsidRPr="00141D20">
        <w:rPr>
          <w:rFonts w:ascii="Nyala" w:hAnsi="Nyala"/>
          <w:i/>
          <w:sz w:val="28"/>
          <w:szCs w:val="28"/>
        </w:rPr>
        <w:t xml:space="preserve">Ainsi, pour s’assurer de la viabilité des systèmes de production dans le contexte actuelle d’une forte vulnérabilité aux risques climatiques et environnementaux, le Niger devrait sans doute renforcer les investissements d’intérêt collectif, encourager les initiatives au niveau de l’exploitation privée mais aussi renforcer son système d’information sur l’ampleur de la dégradation et les progrès réalisés grâce aux actions publiques et privées. Pour cela, certaines institutions comme le Centre National de Suivi Ecologique et Environnemental (CNSEE) devraient être renforcées en ressources (humaines, matérielles et financières). </w:t>
      </w:r>
    </w:p>
    <w:p w:rsidR="00774A36" w:rsidRPr="006866D3" w:rsidRDefault="00774A36" w:rsidP="00774A36">
      <w:pPr>
        <w:rPr>
          <w:rFonts w:ascii="Nyala" w:hAnsi="Nyala"/>
          <w:sz w:val="28"/>
          <w:szCs w:val="28"/>
        </w:rPr>
      </w:pPr>
    </w:p>
    <w:p w:rsidR="00774A36" w:rsidRPr="006866D3" w:rsidRDefault="00774A36" w:rsidP="00774A36">
      <w:pPr>
        <w:spacing w:after="120"/>
        <w:jc w:val="both"/>
        <w:rPr>
          <w:rStyle w:val="Rfrenceintense"/>
          <w:sz w:val="28"/>
          <w:szCs w:val="28"/>
        </w:rPr>
      </w:pPr>
      <w:r w:rsidRPr="006866D3">
        <w:rPr>
          <w:rStyle w:val="Rfrenceintense"/>
          <w:sz w:val="28"/>
          <w:szCs w:val="28"/>
        </w:rPr>
        <w:t>Renforcer la prise en compte de la gestion des risques agricoles</w:t>
      </w:r>
    </w:p>
    <w:p w:rsidR="00774A36" w:rsidRPr="006866D3" w:rsidRDefault="00774A36" w:rsidP="00774A36">
      <w:pPr>
        <w:spacing w:after="120"/>
        <w:jc w:val="both"/>
        <w:rPr>
          <w:rFonts w:ascii="Nyala" w:hAnsi="Nyala" w:cs="Univers-Light"/>
          <w:sz w:val="28"/>
          <w:szCs w:val="28"/>
        </w:rPr>
      </w:pPr>
      <w:r w:rsidRPr="006866D3">
        <w:rPr>
          <w:rFonts w:ascii="Nyala" w:hAnsi="Nyala"/>
          <w:sz w:val="28"/>
          <w:szCs w:val="28"/>
        </w:rPr>
        <w:t xml:space="preserve">Le renforcement de la résilience et de la durabilité des systèmes de production implique l’application à grande échelle de mesures pertinentes au niveau des exploitations, des collectivités territoriales, des services publics d’appui aux producteurs. Le Plan d’Action de Gestion des Risques Agricoles (PAGRA) du HC3N prévoit </w:t>
      </w:r>
      <w:r w:rsidRPr="006866D3">
        <w:rPr>
          <w:rFonts w:ascii="Nyala" w:hAnsi="Nyala" w:cs="Univers-Light"/>
          <w:sz w:val="28"/>
          <w:szCs w:val="28"/>
        </w:rPr>
        <w:t xml:space="preserve">de renforcer les capacités des différentes parties prenantes à comprendre et à intégrer la gestion des risques dans leurs stratégies d’intervention et plans d’actions. Les acteurs ciblés sont les administrations publiques, les ONG et Associations, le Secteur Privé, les Organisations Socioprofessionnelles, les Institutions de Recherche  et de Formation… La réalisation de cet objectif de renforcement des capacités implique d’engager des actions de plaidoyer, de formation, information et sensibilisation de tous les groupes d’acteurs et surtout d’amener les 262 communes du Niger à disposer et mettre en œuvre un plan local de développement qui tient compte des risques agricoles. </w:t>
      </w:r>
    </w:p>
    <w:p w:rsidR="00774A36" w:rsidRPr="006866D3" w:rsidRDefault="00774A36" w:rsidP="00774A36">
      <w:pPr>
        <w:spacing w:after="120"/>
        <w:jc w:val="both"/>
        <w:rPr>
          <w:rFonts w:ascii="Nyala" w:hAnsi="Nyala"/>
          <w:sz w:val="28"/>
          <w:szCs w:val="28"/>
        </w:rPr>
      </w:pPr>
      <w:r w:rsidRPr="006866D3">
        <w:rPr>
          <w:rFonts w:ascii="Nyala" w:hAnsi="Nyala" w:cs="Univers-Light"/>
          <w:sz w:val="28"/>
          <w:szCs w:val="28"/>
        </w:rPr>
        <w:t xml:space="preserve">A cet effet, le Gouvernement du Niger a obtenu de la Banque Mondiale et du MCC, un financement important pour la mise en œuvre du Programme d’Appui à l’Agriculture sensible au risque climatique (PASEC). Le PASEC est le premier projet mis en œuvre dans le cadre du PAGRA. Il </w:t>
      </w:r>
      <w:r w:rsidRPr="006866D3">
        <w:rPr>
          <w:rFonts w:ascii="Nyala" w:hAnsi="Nyala"/>
          <w:sz w:val="28"/>
          <w:szCs w:val="28"/>
        </w:rPr>
        <w:t>prône la mise à l’échelle de pratiques d’agriculture intelligente face au climat (Climate Smart Agriculture). A l’horizon 2022, le PASEC amènera des milliers de producteurs à adopter une approche de gestion intégrée et durable de leurs exploitations et 60 communes du Niger à disposer d’un plan d’Action pour une agriculture intelligente face au climat et qui fait office de plan local de gestion des risques agricoles.</w:t>
      </w:r>
    </w:p>
    <w:p w:rsidR="00774A36" w:rsidRPr="00141D20" w:rsidRDefault="00774A36" w:rsidP="00774A36">
      <w:pPr>
        <w:spacing w:after="120"/>
        <w:jc w:val="both"/>
        <w:rPr>
          <w:rFonts w:ascii="Nyala" w:hAnsi="Nyala"/>
          <w:i/>
          <w:sz w:val="28"/>
          <w:szCs w:val="28"/>
        </w:rPr>
      </w:pPr>
      <w:r w:rsidRPr="00141D20">
        <w:rPr>
          <w:rFonts w:ascii="Nyala" w:hAnsi="Nyala"/>
          <w:i/>
          <w:sz w:val="28"/>
          <w:szCs w:val="28"/>
        </w:rPr>
        <w:t>Amplifier et étendre les initiatives au niveau de toutes les Communes du Niger et de la très grande majorité des producteurs, quel que soit la zone agroécologique, est sans doute un défi que le pays doit relever pour qu’à l’horizon 2030, la cible 2.4 de l’ODD2 soit atteinte. Cela implique, de généraliser la prise en compte de la gestion des risques agricoles dans les PDC et surtout de mettre en œuvre toutes les mesures y relatives telles que la lutte contre la dégradation des terres, la maîtrise de l’eau, la promotion de technologies de productivité et de résilience et le développement des instruments de prévention et de gestion des risques et de leurs conséquences.</w:t>
      </w:r>
    </w:p>
    <w:p w:rsidR="00774A36" w:rsidRPr="00AA4A81" w:rsidRDefault="00774A36" w:rsidP="00774A36">
      <w:pPr>
        <w:spacing w:after="120"/>
        <w:jc w:val="both"/>
        <w:rPr>
          <w:rStyle w:val="Rfrenceintense"/>
          <w:sz w:val="28"/>
          <w:szCs w:val="28"/>
        </w:rPr>
      </w:pPr>
      <w:r w:rsidRPr="00AA4A81">
        <w:rPr>
          <w:rStyle w:val="Rfrenceintense"/>
          <w:sz w:val="28"/>
          <w:szCs w:val="28"/>
        </w:rPr>
        <w:t xml:space="preserve">renforcer </w:t>
      </w:r>
      <w:r>
        <w:rPr>
          <w:rStyle w:val="Rfrenceintense"/>
          <w:sz w:val="28"/>
          <w:szCs w:val="28"/>
        </w:rPr>
        <w:t xml:space="preserve">la place </w:t>
      </w:r>
      <w:r w:rsidRPr="00AA4A81">
        <w:rPr>
          <w:rStyle w:val="Rfrenceintense"/>
          <w:sz w:val="28"/>
          <w:szCs w:val="28"/>
        </w:rPr>
        <w:t xml:space="preserve">des femmes dans </w:t>
      </w:r>
      <w:r>
        <w:rPr>
          <w:rStyle w:val="Rfrenceintense"/>
          <w:sz w:val="28"/>
          <w:szCs w:val="28"/>
        </w:rPr>
        <w:t xml:space="preserve">la production agricole </w:t>
      </w:r>
    </w:p>
    <w:p w:rsidR="00774A36" w:rsidRPr="00141D20" w:rsidRDefault="00774A36" w:rsidP="00141D20">
      <w:pPr>
        <w:jc w:val="both"/>
        <w:rPr>
          <w:rFonts w:ascii="Nyala" w:hAnsi="Nyala"/>
          <w:bCs/>
          <w:sz w:val="28"/>
          <w:szCs w:val="28"/>
        </w:rPr>
      </w:pPr>
      <w:r w:rsidRPr="00A14BC8">
        <w:rPr>
          <w:rFonts w:ascii="Nyala" w:hAnsi="Nyala"/>
          <w:sz w:val="28"/>
          <w:szCs w:val="28"/>
        </w:rPr>
        <w:t xml:space="preserve">Les femmes représentent 49,5% de la population agricole ; les enfants et les jeunes de moins de 35 ans quant à eux, en constituent les trois quarts. Les femmes, sont notamment plus nombreuses dans les </w:t>
      </w:r>
      <w:r w:rsidRPr="00141D20">
        <w:rPr>
          <w:rFonts w:ascii="Nyala" w:hAnsi="Nyala"/>
          <w:bCs/>
          <w:sz w:val="28"/>
          <w:szCs w:val="28"/>
        </w:rPr>
        <w:t>classes d’âge de 15-34 ans, notamment dans les régions de Niamey (57,5%), Diffa (57,1%) et Agadez (56,7%).</w:t>
      </w:r>
    </w:p>
    <w:p w:rsidR="00774A36" w:rsidRPr="00141D20" w:rsidRDefault="00774A36" w:rsidP="00141D20">
      <w:pPr>
        <w:jc w:val="both"/>
        <w:rPr>
          <w:rFonts w:ascii="Nyala" w:hAnsi="Nyala"/>
          <w:bCs/>
          <w:sz w:val="28"/>
          <w:szCs w:val="28"/>
        </w:rPr>
      </w:pPr>
      <w:r w:rsidRPr="00141D20">
        <w:rPr>
          <w:rFonts w:ascii="Nyala" w:hAnsi="Nyala"/>
          <w:bCs/>
          <w:sz w:val="28"/>
          <w:szCs w:val="28"/>
        </w:rPr>
        <w:t xml:space="preserve">Selon le RGAC (2008), 6,6% des chefs d’exploitation sont des femmes. Cette proportion est plus élevée dans les régions de Tahoua (8,9%), Niamey (9,2%) Zinder (9,6%), Diffa (10%) et Agadez (12,4%) ; régions qui connaissent généralement une forte migration masculine. Les régions qui comptent le moins de femmes chef de ménage sont Tillabéri et Maradi avec respectivement 2,6% et 3,0%. </w:t>
      </w:r>
    </w:p>
    <w:p w:rsidR="00774A36" w:rsidRPr="00141D20" w:rsidRDefault="00774A36" w:rsidP="00141D20">
      <w:pPr>
        <w:jc w:val="both"/>
        <w:rPr>
          <w:rFonts w:ascii="Nyala" w:hAnsi="Nyala"/>
          <w:bCs/>
          <w:sz w:val="28"/>
          <w:szCs w:val="28"/>
        </w:rPr>
      </w:pPr>
      <w:r w:rsidRPr="00141D20">
        <w:rPr>
          <w:rFonts w:ascii="Nyala" w:hAnsi="Nyala"/>
          <w:bCs/>
          <w:sz w:val="28"/>
          <w:szCs w:val="28"/>
        </w:rPr>
        <w:t>Les exploitations dirigées par les femmes comptent 3,7 membres et celles des hommes 6,4 membres ; toutefois en termes d’actifs masculins les écarts sont minimes : 1,8 pour les exploitations dirigés par les hommes et 1,5 pour les femmes.</w:t>
      </w:r>
    </w:p>
    <w:p w:rsidR="00774A36" w:rsidRPr="00141D20" w:rsidRDefault="00774A36" w:rsidP="00141D20">
      <w:pPr>
        <w:jc w:val="both"/>
        <w:rPr>
          <w:rFonts w:ascii="Nyala" w:hAnsi="Nyala"/>
          <w:bCs/>
          <w:sz w:val="28"/>
          <w:szCs w:val="28"/>
        </w:rPr>
      </w:pPr>
      <w:r w:rsidRPr="00141D20">
        <w:rPr>
          <w:rFonts w:ascii="Nyala" w:hAnsi="Nyala"/>
          <w:bCs/>
          <w:sz w:val="28"/>
          <w:szCs w:val="28"/>
        </w:rPr>
        <w:t>Les femmes chef d’exploitation se retrouvent dans toutes les classes d’âge : 18,9% ont moins de 30 ans (27,1% pour les hommes), 32,7% entre 30 ans et 44 ans (41,7% pour les hommes), 25,8% entre 45 ans et 59 ans (25,3% pour les hommes) et 22,4% plus de 60 ans (16,5% pour les hommes).</w:t>
      </w:r>
    </w:p>
    <w:p w:rsidR="00774A36" w:rsidRPr="00141D20" w:rsidRDefault="00774A36" w:rsidP="00141D20">
      <w:pPr>
        <w:pStyle w:val="Paragraphedeliste"/>
        <w:shd w:val="clear" w:color="auto" w:fill="FFFFFF" w:themeFill="background1"/>
        <w:autoSpaceDE w:val="0"/>
        <w:autoSpaceDN w:val="0"/>
        <w:adjustRightInd w:val="0"/>
        <w:spacing w:after="0"/>
        <w:ind w:left="0"/>
        <w:jc w:val="both"/>
        <w:rPr>
          <w:rFonts w:ascii="Nyala" w:hAnsi="Nyala"/>
          <w:bCs/>
          <w:sz w:val="28"/>
          <w:szCs w:val="28"/>
        </w:rPr>
      </w:pPr>
      <w:r w:rsidRPr="00141D20">
        <w:rPr>
          <w:rFonts w:ascii="Nyala" w:hAnsi="Nyala"/>
          <w:bCs/>
          <w:sz w:val="28"/>
          <w:szCs w:val="28"/>
        </w:rPr>
        <w:t xml:space="preserve">La majorité de la population agricole n’ont aucune instruction formelle ; seuls 15,2% chez les femmes et 23,3% chez les hommes ont fini l’école primaire. </w:t>
      </w:r>
    </w:p>
    <w:p w:rsidR="00774A36" w:rsidRPr="00141D20" w:rsidRDefault="00774A36" w:rsidP="00141D20">
      <w:pPr>
        <w:pStyle w:val="Paragraphedeliste"/>
        <w:shd w:val="clear" w:color="auto" w:fill="FFFFFF" w:themeFill="background1"/>
        <w:autoSpaceDE w:val="0"/>
        <w:autoSpaceDN w:val="0"/>
        <w:adjustRightInd w:val="0"/>
        <w:spacing w:after="0"/>
        <w:ind w:left="0"/>
        <w:jc w:val="both"/>
        <w:rPr>
          <w:rFonts w:ascii="Nyala" w:hAnsi="Nyala"/>
          <w:bCs/>
          <w:sz w:val="28"/>
          <w:szCs w:val="28"/>
        </w:rPr>
      </w:pPr>
    </w:p>
    <w:p w:rsidR="00774A36" w:rsidRPr="00141D20" w:rsidRDefault="00774A36" w:rsidP="00141D20">
      <w:pPr>
        <w:pStyle w:val="Paragraphedeliste"/>
        <w:shd w:val="clear" w:color="auto" w:fill="FFFFFF" w:themeFill="background1"/>
        <w:autoSpaceDE w:val="0"/>
        <w:autoSpaceDN w:val="0"/>
        <w:adjustRightInd w:val="0"/>
        <w:spacing w:after="0"/>
        <w:ind w:left="0"/>
        <w:jc w:val="both"/>
        <w:rPr>
          <w:rFonts w:ascii="Nyala" w:hAnsi="Nyala"/>
          <w:bCs/>
          <w:sz w:val="28"/>
          <w:szCs w:val="28"/>
        </w:rPr>
      </w:pPr>
      <w:r w:rsidRPr="00141D20">
        <w:rPr>
          <w:rFonts w:ascii="Nyala" w:hAnsi="Nyala"/>
          <w:bCs/>
          <w:sz w:val="28"/>
          <w:szCs w:val="28"/>
        </w:rPr>
        <w:t xml:space="preserve">Les ménages agricoles sont pour la plupart agriculteurs et éleveurs. Ainsi, 66,3% des femmes et 78,7% des hommes pratiquent l’association agriculture-élevage. Il a été recensé 1 femme sur 4 et 1 homme sur 10 qui ne pratique que l’élevage; ils ne sont que 7,8% de femmes et 11,1% pour l’agriculture stricte. Les femmes sont très actives dans l’élevage des petits ruminants et de la volaille. </w:t>
      </w:r>
    </w:p>
    <w:p w:rsidR="00774A36" w:rsidRPr="00141D20" w:rsidRDefault="00774A36" w:rsidP="00141D20">
      <w:pPr>
        <w:pStyle w:val="Paragraphedeliste"/>
        <w:shd w:val="clear" w:color="auto" w:fill="FFFFFF" w:themeFill="background1"/>
        <w:autoSpaceDE w:val="0"/>
        <w:autoSpaceDN w:val="0"/>
        <w:adjustRightInd w:val="0"/>
        <w:spacing w:after="0"/>
        <w:ind w:left="0"/>
        <w:jc w:val="both"/>
        <w:rPr>
          <w:rFonts w:ascii="Nyala" w:hAnsi="Nyala"/>
          <w:bCs/>
          <w:sz w:val="28"/>
          <w:szCs w:val="28"/>
        </w:rPr>
      </w:pPr>
    </w:p>
    <w:p w:rsidR="00774A36" w:rsidRPr="00141D20" w:rsidRDefault="00774A36" w:rsidP="00141D20">
      <w:pPr>
        <w:pStyle w:val="Paragraphedeliste"/>
        <w:shd w:val="clear" w:color="auto" w:fill="FFFFFF" w:themeFill="background1"/>
        <w:autoSpaceDE w:val="0"/>
        <w:autoSpaceDN w:val="0"/>
        <w:adjustRightInd w:val="0"/>
        <w:spacing w:after="0"/>
        <w:ind w:left="0"/>
        <w:jc w:val="both"/>
        <w:rPr>
          <w:rFonts w:ascii="Nyala" w:hAnsi="Nyala"/>
          <w:bCs/>
          <w:sz w:val="28"/>
          <w:szCs w:val="28"/>
        </w:rPr>
      </w:pPr>
      <w:r w:rsidRPr="00141D20">
        <w:rPr>
          <w:rFonts w:ascii="Nyala" w:hAnsi="Nyala"/>
          <w:bCs/>
          <w:sz w:val="28"/>
          <w:szCs w:val="28"/>
        </w:rPr>
        <w:t xml:space="preserve">L’exploitation agricole peut être collective ou individuelle ; environ 60% des superficies dont disposent les femmes chefs d’exploitation sont sous exploitation individuelles ; 24% pour les hommes. Deux régions font exception : celle de Diffa où la gestion individuelle est pratiquée par tous (60,9% et 74,2% respectivement pour les femmes et les hommes) ; celle de Tahoua où la dominante pour tous est la gestion collective (63,4% pour les femmes et 73,1% pour les hommes) ; ces différences sont liées à la disponibilité de la terre. </w:t>
      </w:r>
    </w:p>
    <w:p w:rsidR="00774A36" w:rsidRPr="00141D20" w:rsidRDefault="00774A36" w:rsidP="00141D20">
      <w:pPr>
        <w:jc w:val="both"/>
        <w:rPr>
          <w:rFonts w:ascii="Nyala" w:hAnsi="Nyala"/>
          <w:bCs/>
          <w:sz w:val="28"/>
          <w:szCs w:val="28"/>
        </w:rPr>
      </w:pPr>
      <w:r w:rsidRPr="00141D20">
        <w:rPr>
          <w:rFonts w:ascii="Nyala" w:hAnsi="Nyala"/>
          <w:bCs/>
          <w:sz w:val="28"/>
          <w:szCs w:val="28"/>
        </w:rPr>
        <w:t>Quel que soit le sexe du chef d’exploitation, le mode principal d’acquisition est l’héritage  (81,8% pour les hommes et 85,2% pour les femmes). Les autres modes d’acquisition sont le prêt, le don et l’achat. L’exploitation peut comporter un ensemble de parcelles (ou champs) gérées collectivement ou individuellement. Des différences existent entre les hommes et les femmes, lorsque ces parcelles sont individuelles ; les femmes sont héritières dans 35% des cas et empruntent dans 48% (76% et 10% respectivement pour les hommes).</w:t>
      </w:r>
    </w:p>
    <w:p w:rsidR="00774A36" w:rsidRPr="00141D20" w:rsidRDefault="00774A36" w:rsidP="00141D20">
      <w:pPr>
        <w:jc w:val="both"/>
        <w:rPr>
          <w:rFonts w:ascii="Nyala" w:hAnsi="Nyala"/>
          <w:bCs/>
          <w:sz w:val="28"/>
          <w:szCs w:val="28"/>
        </w:rPr>
      </w:pPr>
      <w:r w:rsidRPr="00141D20">
        <w:rPr>
          <w:rFonts w:ascii="Nyala" w:hAnsi="Nyala"/>
          <w:bCs/>
          <w:sz w:val="28"/>
          <w:szCs w:val="28"/>
        </w:rPr>
        <w:t>Pour les cultures pluviales, il n’y a pas de différence entre les exploitations ; l’essentiel des superficies cultivées sont consacrées au mil, niébé et sorgho. Les pratiques agricoles sont similaires. La majorité ne fait aucun travail du sol spécifique en dehors du défrichage (52,6% pour les femmes et 55,4% pour les hommes). Les femmes apportent davantage de fumier de fonds à leurs parcelles que les hommes (19,6% Versus 20,7%) ; les écarts sont davantage accentués dans certaines régions comme Dosso (58,3% versus 32,4%) ou inversés, comme Tillaberi (6,8% versus 16,1%). Le labour préalable avec enfouissement de matière organique n’est pratiqué que par 5,6% des femmes et 13,3% d’hommes.</w:t>
      </w:r>
    </w:p>
    <w:p w:rsidR="00774A36" w:rsidRPr="00141D20" w:rsidRDefault="00774A36" w:rsidP="00141D20">
      <w:pPr>
        <w:jc w:val="both"/>
        <w:rPr>
          <w:rFonts w:ascii="Nyala" w:hAnsi="Nyala"/>
          <w:bCs/>
          <w:sz w:val="28"/>
          <w:szCs w:val="28"/>
        </w:rPr>
      </w:pPr>
      <w:r w:rsidRPr="00141D20">
        <w:rPr>
          <w:rFonts w:ascii="Nyala" w:hAnsi="Nyala"/>
          <w:bCs/>
          <w:sz w:val="28"/>
          <w:szCs w:val="28"/>
        </w:rPr>
        <w:t xml:space="preserve">En 2008, il a été recensé 19% de femmes dans la population agricole s’adonnant à l’horticulture. La majorité des horticultrices se retrouvent dans les régions de Zinder (48,1%) et Tahoua (23,3%) ; par contre 49,9% et 39,6% des horticultrices sont des régions de Dosso et Tillabéri. </w:t>
      </w:r>
    </w:p>
    <w:p w:rsidR="00774A36" w:rsidRPr="00141D20" w:rsidRDefault="00774A36" w:rsidP="00141D20">
      <w:pPr>
        <w:jc w:val="both"/>
        <w:rPr>
          <w:rFonts w:ascii="Nyala" w:hAnsi="Nyala"/>
          <w:bCs/>
          <w:sz w:val="28"/>
          <w:szCs w:val="28"/>
        </w:rPr>
      </w:pPr>
      <w:r w:rsidRPr="00141D20">
        <w:rPr>
          <w:rFonts w:ascii="Nyala" w:hAnsi="Nyala"/>
          <w:bCs/>
          <w:sz w:val="28"/>
          <w:szCs w:val="28"/>
        </w:rPr>
        <w:t xml:space="preserve">Les femmes n’occupent que 5% des superficies horticoles. Elles produisent une diversité de produits maraîchers dont l’oignon, le chou, la pomme de terre, le piment, la tomate, le poivron. Elles sont peu présentent dans l’arboriculture fruitière. </w:t>
      </w:r>
    </w:p>
    <w:p w:rsidR="00774A36" w:rsidRPr="00141D20" w:rsidRDefault="00774A36" w:rsidP="00141D20">
      <w:pPr>
        <w:jc w:val="both"/>
        <w:rPr>
          <w:rFonts w:ascii="Nyala" w:hAnsi="Nyala"/>
          <w:bCs/>
          <w:sz w:val="28"/>
          <w:szCs w:val="28"/>
        </w:rPr>
      </w:pPr>
      <w:r w:rsidRPr="00141D20">
        <w:rPr>
          <w:rFonts w:ascii="Nyala" w:hAnsi="Nyala"/>
          <w:bCs/>
          <w:sz w:val="28"/>
          <w:szCs w:val="28"/>
        </w:rPr>
        <w:t xml:space="preserve">Au plan des pratiques horticoles, 27,3% de femmes utilisent des semences sélectionnées (14,1% pour les hommes) et 59,8% les locales (versus 72,8%) ; 36,8% appliquent la fumure organique (versus 7,3%), 0,1% la fumure minérale (versus 25,9%) et 56% les deux (versus 64,1%). Les femmes horticultrices ont également recours aux pesticides (57,3% versus 48,7%). Le système d’irrigation est largement manuel (69,9% pour les femmes et 43,3% pour les hommes) ou gravitaire (29,9% versus 50,9%) ; le goutte-à-goutte et l’aspersion sont peu ou pas du tout utilisés. </w:t>
      </w:r>
    </w:p>
    <w:p w:rsidR="00774A36" w:rsidRPr="00141D20" w:rsidRDefault="00774A36" w:rsidP="00141D20">
      <w:pPr>
        <w:pStyle w:val="Paragraphedeliste"/>
        <w:shd w:val="clear" w:color="auto" w:fill="FFFFFF" w:themeFill="background1"/>
        <w:autoSpaceDE w:val="0"/>
        <w:autoSpaceDN w:val="0"/>
        <w:adjustRightInd w:val="0"/>
        <w:spacing w:after="0"/>
        <w:ind w:left="0"/>
        <w:jc w:val="both"/>
        <w:rPr>
          <w:rFonts w:ascii="Nyala" w:hAnsi="Nyala"/>
          <w:bCs/>
          <w:i/>
          <w:sz w:val="28"/>
          <w:szCs w:val="28"/>
        </w:rPr>
      </w:pPr>
      <w:r w:rsidRPr="00141D20">
        <w:rPr>
          <w:rFonts w:ascii="Nyala" w:hAnsi="Nyala"/>
          <w:bCs/>
          <w:sz w:val="28"/>
          <w:szCs w:val="28"/>
        </w:rPr>
        <w:t xml:space="preserve">Les femmes bénéficient de beaucoup d’initiatives de formation et de renforcement des capacités dans le cadre des projets et des programmes ; mais souvent il s’agit des appuis de courte durée. </w:t>
      </w:r>
      <w:r w:rsidRPr="00141D20">
        <w:rPr>
          <w:rFonts w:ascii="Nyala" w:hAnsi="Nyala"/>
          <w:bCs/>
          <w:i/>
          <w:sz w:val="28"/>
          <w:szCs w:val="28"/>
        </w:rPr>
        <w:t>Il est important que les agents des services techniques offrent des appuis de qualité et s’intéressent davantage aux cultures et initiatives des femmes dans une perspective de croisement des A</w:t>
      </w:r>
      <w:r w:rsidR="00ED12A8">
        <w:rPr>
          <w:rFonts w:ascii="Nyala" w:hAnsi="Nyala"/>
          <w:bCs/>
          <w:i/>
          <w:sz w:val="28"/>
          <w:szCs w:val="28"/>
        </w:rPr>
        <w:t>ctivités génératrices de revenus (A</w:t>
      </w:r>
      <w:r w:rsidRPr="00141D20">
        <w:rPr>
          <w:rFonts w:ascii="Nyala" w:hAnsi="Nyala"/>
          <w:bCs/>
          <w:i/>
          <w:sz w:val="28"/>
          <w:szCs w:val="28"/>
        </w:rPr>
        <w:t>GR</w:t>
      </w:r>
      <w:r w:rsidR="00ED12A8">
        <w:rPr>
          <w:rFonts w:ascii="Nyala" w:hAnsi="Nyala"/>
          <w:bCs/>
          <w:i/>
          <w:sz w:val="28"/>
          <w:szCs w:val="28"/>
        </w:rPr>
        <w:t>)</w:t>
      </w:r>
      <w:r w:rsidRPr="00141D20">
        <w:rPr>
          <w:rFonts w:ascii="Nyala" w:hAnsi="Nyala"/>
          <w:bCs/>
          <w:i/>
          <w:sz w:val="28"/>
          <w:szCs w:val="28"/>
        </w:rPr>
        <w:t xml:space="preserve"> et du développement de l’entrepreneuriat féminin avec tout ce que cela implique : des formations axées sur les compétences de base (savoir lire, écrire et compter), sur les connaissances économiques ; l’accès aux équipements et leur gestion ; un accompagnement de qualité qui prenne en compte le facteur temps ; un appui pendant une durée suffisante pour une réelle maîtrise et une continuité dans l’accompagnement pour répondre aux nouvelles difficultés.</w:t>
      </w:r>
    </w:p>
    <w:p w:rsidR="00774A36" w:rsidRDefault="00774A36" w:rsidP="006269AA">
      <w:pPr>
        <w:spacing w:after="120"/>
        <w:jc w:val="both"/>
        <w:rPr>
          <w:rFonts w:ascii="Calibri" w:hAnsi="Calibri" w:cs="Arial"/>
          <w:bCs/>
          <w:kern w:val="24"/>
          <w:sz w:val="28"/>
          <w:szCs w:val="28"/>
        </w:rPr>
      </w:pPr>
    </w:p>
    <w:p w:rsidR="001A19AB" w:rsidRPr="00141D20" w:rsidRDefault="001A19AB" w:rsidP="00141D20">
      <w:pPr>
        <w:pStyle w:val="Titre3"/>
        <w:numPr>
          <w:ilvl w:val="2"/>
          <w:numId w:val="2"/>
        </w:numPr>
        <w:rPr>
          <w:sz w:val="28"/>
          <w:szCs w:val="28"/>
        </w:rPr>
      </w:pPr>
      <w:bookmarkStart w:id="440" w:name="_Toc526119981"/>
      <w:r w:rsidRPr="00141D20">
        <w:rPr>
          <w:sz w:val="28"/>
          <w:szCs w:val="28"/>
        </w:rPr>
        <w:t>Enjeux et défis de la productivité et de la durabilité en agriculture</w:t>
      </w:r>
      <w:bookmarkEnd w:id="440"/>
    </w:p>
    <w:p w:rsidR="001A19AB" w:rsidRDefault="001A19AB" w:rsidP="001A19AB">
      <w:pPr>
        <w:jc w:val="both"/>
        <w:rPr>
          <w:rFonts w:ascii="Nyala" w:hAnsi="Nyala"/>
          <w:sz w:val="28"/>
          <w:szCs w:val="28"/>
        </w:rPr>
      </w:pPr>
    </w:p>
    <w:p w:rsidR="001A19AB" w:rsidRPr="009B11E1" w:rsidRDefault="009F67D9" w:rsidP="001A19AB">
      <w:pPr>
        <w:jc w:val="both"/>
        <w:rPr>
          <w:rStyle w:val="Rfrenceintense"/>
          <w:sz w:val="28"/>
          <w:szCs w:val="28"/>
        </w:rPr>
      </w:pPr>
      <w:r>
        <w:rPr>
          <w:rStyle w:val="Rfrenceintense"/>
          <w:sz w:val="28"/>
          <w:szCs w:val="28"/>
        </w:rPr>
        <w:t xml:space="preserve">quel accroissement de </w:t>
      </w:r>
      <w:r w:rsidR="001A19AB" w:rsidRPr="009B11E1">
        <w:rPr>
          <w:rStyle w:val="Rfrenceintense"/>
          <w:sz w:val="28"/>
          <w:szCs w:val="28"/>
        </w:rPr>
        <w:t>productivité agricole</w:t>
      </w:r>
      <w:r>
        <w:rPr>
          <w:rStyle w:val="Rfrenceintense"/>
          <w:sz w:val="28"/>
          <w:szCs w:val="28"/>
        </w:rPr>
        <w:t> ?</w:t>
      </w:r>
    </w:p>
    <w:p w:rsidR="001A19AB" w:rsidRPr="006866D3" w:rsidRDefault="001A19AB" w:rsidP="001A19AB">
      <w:pPr>
        <w:jc w:val="both"/>
        <w:rPr>
          <w:rFonts w:ascii="Nyala" w:hAnsi="Nyala"/>
          <w:sz w:val="28"/>
          <w:szCs w:val="28"/>
        </w:rPr>
      </w:pPr>
      <w:r w:rsidRPr="006866D3">
        <w:rPr>
          <w:rFonts w:ascii="Nyala" w:hAnsi="Nyala"/>
          <w:sz w:val="28"/>
          <w:szCs w:val="28"/>
        </w:rPr>
        <w:t xml:space="preserve">Avec un taux d’accroissement annuel de respectivement 2,2% et 4,6% des surfaces consacrées au Mil et Sorgho, une partie substantielle les terres cultivables seront utilisées à l’horizon 2030, y compris celles qui sont des zones marginales. Des prémices sont perceptibles avec la remontée du front agricole au-delà de l’isohyète 300 mm, considéré comme la limite entre zone agricole et zone pastorale. </w:t>
      </w:r>
    </w:p>
    <w:p w:rsidR="001A19AB" w:rsidRPr="006866D3" w:rsidRDefault="00146983" w:rsidP="001A19AB">
      <w:pPr>
        <w:jc w:val="both"/>
        <w:rPr>
          <w:sz w:val="28"/>
          <w:szCs w:val="28"/>
        </w:rPr>
      </w:pPr>
      <w:r>
        <w:rPr>
          <w:rFonts w:ascii="Nyala" w:hAnsi="Nyala"/>
          <w:noProof/>
          <w:sz w:val="28"/>
          <w:szCs w:val="28"/>
          <w:lang w:eastAsia="fr-FR"/>
        </w:rPr>
        <mc:AlternateContent>
          <mc:Choice Requires="wps">
            <w:drawing>
              <wp:anchor distT="0" distB="0" distL="114300" distR="114300" simplePos="0" relativeHeight="251997184" behindDoc="0" locked="0" layoutInCell="1" allowOverlap="1" wp14:anchorId="427FA05B">
                <wp:simplePos x="0" y="0"/>
                <wp:positionH relativeFrom="margin">
                  <wp:posOffset>1694815</wp:posOffset>
                </wp:positionH>
                <wp:positionV relativeFrom="paragraph">
                  <wp:posOffset>690880</wp:posOffset>
                </wp:positionV>
                <wp:extent cx="4029710" cy="2613025"/>
                <wp:effectExtent l="0" t="0" r="27940" b="15875"/>
                <wp:wrapSquare wrapText="bothSides"/>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9710" cy="2613025"/>
                        </a:xfrm>
                        <a:prstGeom prst="rect">
                          <a:avLst/>
                        </a:prstGeom>
                        <a:noFill/>
                        <a:ln w="6350">
                          <a:solidFill>
                            <a:prstClr val="black"/>
                          </a:solidFill>
                        </a:ln>
                        <a:effectLst/>
                      </wps:spPr>
                      <wps:txbx>
                        <w:txbxContent>
                          <w:p w:rsidR="00146325" w:rsidRDefault="00146325" w:rsidP="001A19AB">
                            <w:pPr>
                              <w:pStyle w:val="Lgende"/>
                              <w:keepNext/>
                              <w:jc w:val="both"/>
                            </w:pPr>
                            <w:bookmarkStart w:id="441" w:name="_Toc526120096"/>
                            <w:r>
                              <w:t xml:space="preserve">Figure </w:t>
                            </w:r>
                            <w:r w:rsidR="00C73EE5">
                              <w:fldChar w:fldCharType="begin"/>
                            </w:r>
                            <w:r w:rsidR="00C73EE5">
                              <w:instrText xml:space="preserve"> SEQ Figure \* ARABIC </w:instrText>
                            </w:r>
                            <w:r w:rsidR="00C73EE5">
                              <w:fldChar w:fldCharType="separate"/>
                            </w:r>
                            <w:r>
                              <w:rPr>
                                <w:noProof/>
                              </w:rPr>
                              <w:t>30</w:t>
                            </w:r>
                            <w:r w:rsidR="00C73EE5">
                              <w:rPr>
                                <w:noProof/>
                              </w:rPr>
                              <w:fldChar w:fldCharType="end"/>
                            </w:r>
                            <w:r>
                              <w:t xml:space="preserve"> - tendance évolutive des rendements céréaliers</w:t>
                            </w:r>
                            <w:bookmarkEnd w:id="441"/>
                          </w:p>
                          <w:p w:rsidR="00146325" w:rsidRDefault="00146325" w:rsidP="001A19AB">
                            <w:pPr>
                              <w:spacing w:after="0" w:line="240" w:lineRule="auto"/>
                              <w:jc w:val="both"/>
                            </w:pPr>
                            <w:r w:rsidRPr="00357ACA">
                              <w:rPr>
                                <w:noProof/>
                                <w:lang w:eastAsia="fr-FR"/>
                              </w:rPr>
                              <w:drawing>
                                <wp:inline distT="0" distB="0" distL="0" distR="0">
                                  <wp:extent cx="3807725" cy="2021663"/>
                                  <wp:effectExtent l="0" t="0" r="254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7152" cy="2026668"/>
                                          </a:xfrm>
                                          <a:prstGeom prst="rect">
                                            <a:avLst/>
                                          </a:prstGeom>
                                          <a:noFill/>
                                          <a:ln>
                                            <a:noFill/>
                                          </a:ln>
                                        </pic:spPr>
                                      </pic:pic>
                                    </a:graphicData>
                                  </a:graphic>
                                </wp:inline>
                              </w:drawing>
                            </w:r>
                          </w:p>
                          <w:p w:rsidR="00146325" w:rsidRPr="008A12B1" w:rsidRDefault="00146325" w:rsidP="001A19AB">
                            <w:pPr>
                              <w:spacing w:before="0" w:after="0" w:line="240" w:lineRule="auto"/>
                              <w:jc w:val="both"/>
                            </w:pPr>
                            <w:r>
                              <w:t>Source : DS MAG/EL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FA05B" id="Zone de texte 114" o:spid="_x0000_s1062" type="#_x0000_t202" style="position:absolute;left:0;text-align:left;margin-left:133.45pt;margin-top:54.4pt;width:317.3pt;height:205.7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" filled="f" strokeweight=".5pt">
                <v:path arrowok="t"/>
                <v:textbox>
                  <w:txbxContent>
                    <w:p w:rsidR="00146325" w:rsidRDefault="00146325" w:rsidP="001A19AB">
                      <w:pPr>
                        <w:pStyle w:val="Lgende"/>
                        <w:keepNext/>
                        <w:jc w:val="both"/>
                      </w:pPr>
                      <w:bookmarkStart w:id="442" w:name="_Toc526120096"/>
                      <w:r>
                        <w:t xml:space="preserve">Figure </w:t>
                      </w:r>
                      <w:r w:rsidR="00C73EE5">
                        <w:fldChar w:fldCharType="begin"/>
                      </w:r>
                      <w:r w:rsidR="00C73EE5">
                        <w:instrText xml:space="preserve"> SEQ Figure \* ARABIC </w:instrText>
                      </w:r>
                      <w:r w:rsidR="00C73EE5">
                        <w:fldChar w:fldCharType="separate"/>
                      </w:r>
                      <w:r>
                        <w:rPr>
                          <w:noProof/>
                        </w:rPr>
                        <w:t>30</w:t>
                      </w:r>
                      <w:r w:rsidR="00C73EE5">
                        <w:rPr>
                          <w:noProof/>
                        </w:rPr>
                        <w:fldChar w:fldCharType="end"/>
                      </w:r>
                      <w:r>
                        <w:t xml:space="preserve"> - tendance évolutive des rendements céréaliers</w:t>
                      </w:r>
                      <w:bookmarkEnd w:id="442"/>
                    </w:p>
                    <w:p w:rsidR="00146325" w:rsidRDefault="00146325" w:rsidP="001A19AB">
                      <w:pPr>
                        <w:spacing w:after="0" w:line="240" w:lineRule="auto"/>
                        <w:jc w:val="both"/>
                      </w:pPr>
                      <w:r w:rsidRPr="00357ACA">
                        <w:rPr>
                          <w:noProof/>
                          <w:lang w:eastAsia="fr-FR"/>
                        </w:rPr>
                        <w:drawing>
                          <wp:inline distT="0" distB="0" distL="0" distR="0">
                            <wp:extent cx="3807725" cy="2021663"/>
                            <wp:effectExtent l="0" t="0" r="254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7152" cy="2026668"/>
                                    </a:xfrm>
                                    <a:prstGeom prst="rect">
                                      <a:avLst/>
                                    </a:prstGeom>
                                    <a:noFill/>
                                    <a:ln>
                                      <a:noFill/>
                                    </a:ln>
                                  </pic:spPr>
                                </pic:pic>
                              </a:graphicData>
                            </a:graphic>
                          </wp:inline>
                        </w:drawing>
                      </w:r>
                    </w:p>
                    <w:p w:rsidR="00146325" w:rsidRPr="008A12B1" w:rsidRDefault="00146325" w:rsidP="001A19AB">
                      <w:pPr>
                        <w:spacing w:before="0" w:after="0" w:line="240" w:lineRule="auto"/>
                        <w:jc w:val="both"/>
                      </w:pPr>
                      <w:r>
                        <w:t>Source : DS MAG/EL</w:t>
                      </w:r>
                    </w:p>
                  </w:txbxContent>
                </v:textbox>
                <w10:wrap type="square" anchorx="margin"/>
              </v:shape>
            </w:pict>
          </mc:Fallback>
        </mc:AlternateContent>
      </w:r>
      <w:r w:rsidR="001A19AB" w:rsidRPr="006866D3">
        <w:rPr>
          <w:rFonts w:ascii="Nyala" w:hAnsi="Nyala"/>
          <w:sz w:val="28"/>
          <w:szCs w:val="28"/>
        </w:rPr>
        <w:t>Bien entendu, cette tendance apparente à la surexploitation des terres agricoles pourrait être inversée si la situation pluviométrique s’améliore et si l’amélioration de la productivité est boostée (voir cible 2.4). Ce sera certainement un grand défi pour les politiques publiques de créer les conditions pour cela, d’autant que l’analyse rétrospective révèle des  fortes variations interannuelles avec une légère tendance à l’accroissement des rendements au cours de ces cinq dernières années. Un maintien de cette tendance pourrait permettre d’atteindre 700 kg/ha à 1000 kg/ha de rendement à l’horizon 2030 (</w:t>
      </w:r>
      <w:r w:rsidR="001A19AB" w:rsidRPr="006866D3">
        <w:rPr>
          <w:rFonts w:ascii="Nyala" w:hAnsi="Nyala"/>
          <w:b/>
          <w:sz w:val="28"/>
          <w:szCs w:val="28"/>
        </w:rPr>
        <w:t>figure  3</w:t>
      </w:r>
      <w:r w:rsidR="00D413AC">
        <w:rPr>
          <w:rFonts w:ascii="Nyala" w:hAnsi="Nyala"/>
          <w:b/>
          <w:sz w:val="28"/>
          <w:szCs w:val="28"/>
        </w:rPr>
        <w:t>0</w:t>
      </w:r>
      <w:r w:rsidR="001A19AB" w:rsidRPr="006866D3">
        <w:rPr>
          <w:rFonts w:ascii="Nyala" w:hAnsi="Nyala"/>
          <w:sz w:val="28"/>
          <w:szCs w:val="28"/>
        </w:rPr>
        <w:t xml:space="preserve">). </w:t>
      </w:r>
    </w:p>
    <w:p w:rsidR="001A19AB" w:rsidRDefault="001A19AB" w:rsidP="001A19AB">
      <w:pPr>
        <w:jc w:val="both"/>
        <w:rPr>
          <w:rFonts w:ascii="Nyala" w:hAnsi="Nyala"/>
          <w:sz w:val="28"/>
          <w:szCs w:val="28"/>
        </w:rPr>
      </w:pPr>
    </w:p>
    <w:p w:rsidR="001A19AB" w:rsidRPr="009B11E1" w:rsidRDefault="001A19AB" w:rsidP="001A19AB">
      <w:pPr>
        <w:jc w:val="both"/>
        <w:rPr>
          <w:rStyle w:val="Rfrenceintense"/>
          <w:sz w:val="28"/>
          <w:szCs w:val="28"/>
        </w:rPr>
      </w:pPr>
      <w:r w:rsidRPr="009B11E1">
        <w:rPr>
          <w:rStyle w:val="Rfrenceintense"/>
          <w:sz w:val="28"/>
          <w:szCs w:val="28"/>
        </w:rPr>
        <w:t>Satisfaire la demande sur quelles normes de consommation ?</w:t>
      </w:r>
    </w:p>
    <w:p w:rsidR="001A19AB" w:rsidRPr="006866D3" w:rsidRDefault="001A19AB" w:rsidP="001A19AB">
      <w:pPr>
        <w:jc w:val="both"/>
        <w:rPr>
          <w:rFonts w:ascii="Nyala" w:eastAsia="Times New Roman" w:hAnsi="Nyala" w:cs="Times New Roman"/>
          <w:color w:val="000000"/>
          <w:sz w:val="28"/>
          <w:szCs w:val="28"/>
          <w:lang w:eastAsia="fr-FR"/>
        </w:rPr>
      </w:pPr>
      <w:r w:rsidRPr="006866D3">
        <w:rPr>
          <w:rFonts w:ascii="Nyala" w:hAnsi="Nyala"/>
          <w:sz w:val="28"/>
          <w:szCs w:val="28"/>
        </w:rPr>
        <w:t>Selon les projections de l’INS, la population du Niger à l’horizon 2030 sera de 34 277 877 habitants</w:t>
      </w:r>
      <w:r w:rsidRPr="006866D3">
        <w:rPr>
          <w:rFonts w:ascii="Nyala" w:eastAsia="Times New Roman" w:hAnsi="Nyala" w:cs="Times New Roman"/>
          <w:color w:val="000000"/>
          <w:sz w:val="28"/>
          <w:szCs w:val="28"/>
          <w:lang w:eastAsia="fr-FR"/>
        </w:rPr>
        <w:t xml:space="preserve"> soit le double de celle de 2012, du moins si aucune rupture n’intervient pour freiner cette croissance démographique. Le PDES 2017-2021 s’est fixé un objectif d’un taux de croissance de 3,06% à l’horizon 2021 et la SDDCI un taux de 3,2% à l’horizon 2035. Dans le cadre de la présente revue et pour tenir compte des ambitions affichées, l’hypothèse d’une maîtrise progressive de la croissance jusqu’à atteindre le taux de 3,1% en 2030 apparaît plus réalisable. Aussi, l’analyse de la demande tient compte de la tendance actuelle et des efforts à venir du pays pour une transition démographique réaliste et maîtrisée. </w:t>
      </w:r>
    </w:p>
    <w:p w:rsidR="001A19AB" w:rsidRPr="006866D3" w:rsidRDefault="001A19AB" w:rsidP="001A19AB">
      <w:pPr>
        <w:jc w:val="both"/>
        <w:rPr>
          <w:rFonts w:ascii="Nyala" w:eastAsia="Times New Roman" w:hAnsi="Nyala" w:cs="Times New Roman"/>
          <w:color w:val="000000"/>
          <w:sz w:val="28"/>
          <w:szCs w:val="28"/>
          <w:lang w:eastAsia="fr-FR"/>
        </w:rPr>
      </w:pPr>
      <w:r w:rsidRPr="006866D3">
        <w:rPr>
          <w:rFonts w:ascii="Nyala" w:eastAsia="Times New Roman" w:hAnsi="Nyala" w:cs="Times New Roman"/>
          <w:color w:val="000000"/>
          <w:sz w:val="28"/>
          <w:szCs w:val="28"/>
          <w:lang w:eastAsia="fr-FR"/>
        </w:rPr>
        <w:t xml:space="preserve">Avec une norme alimentaire minimale de 2200 cal/personne/j fournies par 355 kg de produits végétaux (dont 70% de céréales) et 52 kg de produits animaux  (dont 67% de viande et 15% de produits laitiers (CILSS, 2004), la demande alimentaire sera forte. Elle le sera d’autant plus qu’environ un tiers de la  population sera urbaine et que le pays a affiché sa volonté de voir émerger une classe moyenne de plus en plus forte. Pour tenir compte de ces deux facteurs, deux scénarios de normes ont été pris en considération : i) des normes inchangés jusqu’à l’horizon 2030 ; ii) une évolution de la norme qui évoluerait de 387 kg d’aliments à un peu moins de 402 kg (équivalent à celui de la Mauritanie) avec une consommation moins élevée de céréales et plus diversifiée (voir </w:t>
      </w:r>
      <w:r w:rsidRPr="00ED12A8">
        <w:rPr>
          <w:rFonts w:ascii="Nyala" w:eastAsia="Times New Roman" w:hAnsi="Nyala" w:cs="Times New Roman"/>
          <w:b/>
          <w:color w:val="000000"/>
          <w:sz w:val="28"/>
          <w:szCs w:val="28"/>
          <w:lang w:eastAsia="fr-FR"/>
        </w:rPr>
        <w:t>Tableau</w:t>
      </w:r>
      <w:r w:rsidR="00D413AC">
        <w:rPr>
          <w:rFonts w:ascii="Nyala" w:eastAsia="Times New Roman" w:hAnsi="Nyala" w:cs="Times New Roman"/>
          <w:b/>
          <w:color w:val="000000"/>
          <w:sz w:val="28"/>
          <w:szCs w:val="28"/>
          <w:lang w:eastAsia="fr-FR"/>
        </w:rPr>
        <w:t xml:space="preserve"> 10</w:t>
      </w:r>
      <w:r w:rsidRPr="006866D3">
        <w:rPr>
          <w:rFonts w:ascii="Nyala" w:eastAsia="Times New Roman" w:hAnsi="Nyala" w:cs="Times New Roman"/>
          <w:color w:val="000000"/>
          <w:sz w:val="28"/>
          <w:szCs w:val="28"/>
          <w:lang w:eastAsia="fr-FR"/>
        </w:rPr>
        <w:t>)</w:t>
      </w:r>
      <w:r>
        <w:rPr>
          <w:rStyle w:val="Appelnotedebasdep"/>
          <w:rFonts w:ascii="Nyala" w:eastAsia="Times New Roman" w:hAnsi="Nyala" w:cs="Times New Roman"/>
          <w:color w:val="000000"/>
          <w:sz w:val="28"/>
          <w:szCs w:val="28"/>
          <w:lang w:eastAsia="fr-FR"/>
        </w:rPr>
        <w:footnoteReference w:id="13"/>
      </w:r>
      <w:r w:rsidRPr="006866D3">
        <w:rPr>
          <w:rFonts w:ascii="Nyala" w:eastAsia="Times New Roman" w:hAnsi="Nyala" w:cs="Times New Roman"/>
          <w:color w:val="000000"/>
          <w:sz w:val="28"/>
          <w:szCs w:val="28"/>
          <w:lang w:eastAsia="fr-FR"/>
        </w:rPr>
        <w:t xml:space="preserve">. </w:t>
      </w:r>
    </w:p>
    <w:p w:rsidR="001A19AB" w:rsidRPr="006866D3" w:rsidRDefault="001A19AB" w:rsidP="001A19AB">
      <w:pPr>
        <w:jc w:val="both"/>
        <w:rPr>
          <w:rFonts w:ascii="Nyala" w:eastAsia="Times New Roman" w:hAnsi="Nyala" w:cs="Times New Roman"/>
          <w:color w:val="000000"/>
          <w:sz w:val="28"/>
          <w:szCs w:val="28"/>
          <w:lang w:eastAsia="fr-FR"/>
        </w:rPr>
      </w:pPr>
    </w:p>
    <w:p w:rsidR="001432A1" w:rsidRDefault="001432A1" w:rsidP="001432A1">
      <w:pPr>
        <w:pStyle w:val="Lgende"/>
        <w:keepNext/>
        <w:jc w:val="both"/>
      </w:pPr>
      <w:bookmarkStart w:id="443" w:name="_Toc526120064"/>
      <w:r>
        <w:t xml:space="preserve">Tableau </w:t>
      </w:r>
      <w:r w:rsidR="00D639F2">
        <w:fldChar w:fldCharType="begin"/>
      </w:r>
      <w:r w:rsidR="00440FAF">
        <w:instrText xml:space="preserve"> SEQ Tableau \* ARABIC </w:instrText>
      </w:r>
      <w:r w:rsidR="00D639F2">
        <w:fldChar w:fldCharType="separate"/>
      </w:r>
      <w:r w:rsidR="00440FAF">
        <w:rPr>
          <w:noProof/>
        </w:rPr>
        <w:t>10</w:t>
      </w:r>
      <w:r w:rsidR="00D639F2">
        <w:fldChar w:fldCharType="end"/>
      </w:r>
      <w:r>
        <w:t xml:space="preserve"> Normes de consommation alimentaire dans les pays du CILSS (kg/an)</w:t>
      </w:r>
      <w:bookmarkEnd w:id="443"/>
    </w:p>
    <w:tbl>
      <w:tblPr>
        <w:tblStyle w:val="Grilledutableau"/>
        <w:tblW w:w="9011" w:type="dxa"/>
        <w:tblLook w:val="04A0" w:firstRow="1" w:lastRow="0" w:firstColumn="1" w:lastColumn="0" w:noHBand="0" w:noVBand="1"/>
      </w:tblPr>
      <w:tblGrid>
        <w:gridCol w:w="2324"/>
        <w:gridCol w:w="736"/>
        <w:gridCol w:w="700"/>
        <w:gridCol w:w="735"/>
        <w:gridCol w:w="720"/>
        <w:gridCol w:w="700"/>
        <w:gridCol w:w="933"/>
        <w:gridCol w:w="711"/>
        <w:gridCol w:w="733"/>
        <w:gridCol w:w="719"/>
      </w:tblGrid>
      <w:tr w:rsidR="001A19AB" w:rsidRPr="006866D3" w:rsidTr="0050082C">
        <w:trPr>
          <w:trHeight w:val="20"/>
        </w:trPr>
        <w:tc>
          <w:tcPr>
            <w:tcW w:w="2324"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PRODUITS</w:t>
            </w:r>
          </w:p>
        </w:tc>
        <w:tc>
          <w:tcPr>
            <w:tcW w:w="736"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Burkina Faso</w:t>
            </w:r>
          </w:p>
        </w:tc>
        <w:tc>
          <w:tcPr>
            <w:tcW w:w="700"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Cap Vert</w:t>
            </w:r>
          </w:p>
        </w:tc>
        <w:tc>
          <w:tcPr>
            <w:tcW w:w="735"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Gambie</w:t>
            </w:r>
          </w:p>
        </w:tc>
        <w:tc>
          <w:tcPr>
            <w:tcW w:w="720"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G; Bissau</w:t>
            </w:r>
          </w:p>
        </w:tc>
        <w:tc>
          <w:tcPr>
            <w:tcW w:w="700"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Mali</w:t>
            </w:r>
          </w:p>
        </w:tc>
        <w:tc>
          <w:tcPr>
            <w:tcW w:w="933"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Mauritanie</w:t>
            </w:r>
          </w:p>
        </w:tc>
        <w:tc>
          <w:tcPr>
            <w:tcW w:w="711"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Niger</w:t>
            </w:r>
          </w:p>
        </w:tc>
        <w:tc>
          <w:tcPr>
            <w:tcW w:w="733"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Sénégal</w:t>
            </w:r>
          </w:p>
        </w:tc>
        <w:tc>
          <w:tcPr>
            <w:tcW w:w="719"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Tchad</w:t>
            </w:r>
          </w:p>
        </w:tc>
      </w:tr>
      <w:tr w:rsidR="001A19AB" w:rsidRPr="006866D3" w:rsidTr="0050082C">
        <w:trPr>
          <w:trHeight w:val="20"/>
        </w:trPr>
        <w:tc>
          <w:tcPr>
            <w:tcW w:w="2324"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Céréales</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203</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180</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140</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139</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186</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154</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231</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159</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114</w:t>
            </w:r>
          </w:p>
        </w:tc>
      </w:tr>
      <w:tr w:rsidR="001A19AB" w:rsidRPr="006866D3" w:rsidTr="0050082C">
        <w:trPr>
          <w:trHeight w:val="20"/>
        </w:trPr>
        <w:tc>
          <w:tcPr>
            <w:tcW w:w="2324" w:type="dxa"/>
            <w:hideMark/>
          </w:tcPr>
          <w:p w:rsidR="001A19AB" w:rsidRPr="00AA4A81" w:rsidRDefault="001A19AB" w:rsidP="0050082C">
            <w:pPr>
              <w:ind w:left="284"/>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Céréales traditionnelles</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186</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72</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59</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34</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147</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33</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212</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72</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99</w:t>
            </w:r>
          </w:p>
        </w:tc>
      </w:tr>
      <w:tr w:rsidR="001A19AB" w:rsidRPr="006866D3" w:rsidTr="0050082C">
        <w:trPr>
          <w:trHeight w:val="20"/>
        </w:trPr>
        <w:tc>
          <w:tcPr>
            <w:tcW w:w="2324" w:type="dxa"/>
            <w:hideMark/>
          </w:tcPr>
          <w:p w:rsidR="001A19AB" w:rsidRPr="00AA4A81" w:rsidRDefault="001A19AB" w:rsidP="0050082C">
            <w:pPr>
              <w:ind w:left="284"/>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Riz</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12</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51</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60</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100</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35</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45</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12</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64</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9</w:t>
            </w:r>
          </w:p>
        </w:tc>
      </w:tr>
      <w:tr w:rsidR="001A19AB" w:rsidRPr="006866D3" w:rsidTr="0050082C">
        <w:trPr>
          <w:trHeight w:val="20"/>
        </w:trPr>
        <w:tc>
          <w:tcPr>
            <w:tcW w:w="2324" w:type="dxa"/>
            <w:hideMark/>
          </w:tcPr>
          <w:p w:rsidR="001A19AB" w:rsidRPr="00AA4A81" w:rsidRDefault="001A19AB" w:rsidP="0050082C">
            <w:pPr>
              <w:ind w:left="284"/>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Blé</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5</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56</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21</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5</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5</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76</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7</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24</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6</w:t>
            </w:r>
          </w:p>
        </w:tc>
      </w:tr>
      <w:tr w:rsidR="001A19AB" w:rsidRPr="006866D3" w:rsidTr="0050082C">
        <w:trPr>
          <w:trHeight w:val="20"/>
        </w:trPr>
        <w:tc>
          <w:tcPr>
            <w:tcW w:w="2324"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Légumineuses</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7</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9</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9</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10</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19</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6</w:t>
            </w:r>
          </w:p>
        </w:tc>
      </w:tr>
      <w:tr w:rsidR="001A19AB" w:rsidRPr="006866D3" w:rsidTr="0050082C">
        <w:trPr>
          <w:trHeight w:val="20"/>
        </w:trPr>
        <w:tc>
          <w:tcPr>
            <w:tcW w:w="2324"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Tubercules</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6</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40</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7</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63</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5</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21</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9</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69</w:t>
            </w:r>
          </w:p>
        </w:tc>
      </w:tr>
      <w:tr w:rsidR="001A19AB" w:rsidRPr="006866D3" w:rsidTr="0050082C">
        <w:trPr>
          <w:trHeight w:val="20"/>
        </w:trPr>
        <w:tc>
          <w:tcPr>
            <w:tcW w:w="2324"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Légumes</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20</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39</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31</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17</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27</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12</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44</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35</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11</w:t>
            </w:r>
          </w:p>
        </w:tc>
      </w:tr>
      <w:tr w:rsidR="001A19AB" w:rsidRPr="006866D3" w:rsidTr="0050082C">
        <w:trPr>
          <w:trHeight w:val="20"/>
        </w:trPr>
        <w:tc>
          <w:tcPr>
            <w:tcW w:w="2324"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Fruits</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6</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46</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49</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9</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6</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13</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13</w:t>
            </w:r>
          </w:p>
        </w:tc>
      </w:tr>
      <w:tr w:rsidR="001A19AB" w:rsidRPr="006866D3" w:rsidTr="0050082C">
        <w:trPr>
          <w:trHeight w:val="20"/>
        </w:trPr>
        <w:tc>
          <w:tcPr>
            <w:tcW w:w="2324"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Sucre</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43</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34</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10</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27</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6</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16</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7</w:t>
            </w:r>
          </w:p>
        </w:tc>
      </w:tr>
      <w:tr w:rsidR="001A19AB" w:rsidRPr="006866D3" w:rsidTr="0050082C">
        <w:trPr>
          <w:trHeight w:val="20"/>
        </w:trPr>
        <w:tc>
          <w:tcPr>
            <w:tcW w:w="2324"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Huiles végétales et noix</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14</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23</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22</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19</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9</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11</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7</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20</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23</w:t>
            </w:r>
          </w:p>
        </w:tc>
      </w:tr>
      <w:tr w:rsidR="001A19AB" w:rsidRPr="006866D3" w:rsidTr="0050082C">
        <w:trPr>
          <w:trHeight w:val="20"/>
        </w:trPr>
        <w:tc>
          <w:tcPr>
            <w:tcW w:w="2324"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Boissons</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54</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26</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23</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22</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6</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0</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w:t>
            </w:r>
          </w:p>
        </w:tc>
      </w:tr>
      <w:tr w:rsidR="001A19AB" w:rsidRPr="006866D3" w:rsidTr="0050082C">
        <w:trPr>
          <w:trHeight w:val="20"/>
        </w:trPr>
        <w:tc>
          <w:tcPr>
            <w:tcW w:w="2324"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Epices et stimulants</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0</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0</w:t>
            </w:r>
          </w:p>
        </w:tc>
      </w:tr>
      <w:tr w:rsidR="001A19AB" w:rsidRPr="006866D3" w:rsidTr="0050082C">
        <w:trPr>
          <w:trHeight w:val="20"/>
        </w:trPr>
        <w:tc>
          <w:tcPr>
            <w:tcW w:w="2324"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Viandes</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12</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24</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7</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16</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20</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27</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15</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19</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17</w:t>
            </w:r>
          </w:p>
        </w:tc>
      </w:tr>
      <w:tr w:rsidR="001A19AB" w:rsidRPr="006866D3" w:rsidTr="0050082C">
        <w:trPr>
          <w:trHeight w:val="20"/>
        </w:trPr>
        <w:tc>
          <w:tcPr>
            <w:tcW w:w="2324"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Lait et produits laitiers</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18</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83</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16</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18</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44</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130</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35</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36</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24</w:t>
            </w:r>
          </w:p>
        </w:tc>
      </w:tr>
      <w:tr w:rsidR="001A19AB" w:rsidRPr="006866D3" w:rsidTr="0050082C">
        <w:trPr>
          <w:trHeight w:val="20"/>
        </w:trPr>
        <w:tc>
          <w:tcPr>
            <w:tcW w:w="2324"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Matières grasses animales</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0</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5</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0</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0</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0</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0</w:t>
            </w:r>
          </w:p>
        </w:tc>
      </w:tr>
      <w:tr w:rsidR="001A19AB" w:rsidRPr="006866D3" w:rsidTr="0050082C">
        <w:trPr>
          <w:trHeight w:val="20"/>
        </w:trPr>
        <w:tc>
          <w:tcPr>
            <w:tcW w:w="2324"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Poisson</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23</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21</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8</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11</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29</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6</w:t>
            </w:r>
          </w:p>
        </w:tc>
      </w:tr>
      <w:tr w:rsidR="001A19AB" w:rsidRPr="006866D3" w:rsidTr="0050082C">
        <w:trPr>
          <w:trHeight w:val="20"/>
        </w:trPr>
        <w:tc>
          <w:tcPr>
            <w:tcW w:w="2324"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Œufs</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0</w:t>
            </w:r>
          </w:p>
        </w:tc>
      </w:tr>
      <w:tr w:rsidR="001A19AB" w:rsidRPr="006866D3" w:rsidTr="0050082C">
        <w:trPr>
          <w:trHeight w:val="20"/>
        </w:trPr>
        <w:tc>
          <w:tcPr>
            <w:tcW w:w="2324"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TOTAL PRODUITS VEGETAUX</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314</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410</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265</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315</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256</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229</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335</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261</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245</w:t>
            </w:r>
          </w:p>
        </w:tc>
      </w:tr>
      <w:tr w:rsidR="001A19AB" w:rsidRPr="006866D3" w:rsidTr="0050082C">
        <w:trPr>
          <w:trHeight w:val="20"/>
        </w:trPr>
        <w:tc>
          <w:tcPr>
            <w:tcW w:w="2324" w:type="dxa"/>
            <w:hideMark/>
          </w:tcPr>
          <w:p w:rsidR="001A19AB" w:rsidRPr="00AA4A81" w:rsidRDefault="001A19AB" w:rsidP="0050082C">
            <w:pPr>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TOTAL PRODUITS ANIMAUX</w:t>
            </w:r>
          </w:p>
        </w:tc>
        <w:tc>
          <w:tcPr>
            <w:tcW w:w="736"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33</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139</w:t>
            </w:r>
          </w:p>
        </w:tc>
        <w:tc>
          <w:tcPr>
            <w:tcW w:w="735"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45</w:t>
            </w:r>
          </w:p>
        </w:tc>
        <w:tc>
          <w:tcPr>
            <w:tcW w:w="72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39</w:t>
            </w:r>
          </w:p>
        </w:tc>
        <w:tc>
          <w:tcPr>
            <w:tcW w:w="700"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74</w:t>
            </w:r>
          </w:p>
        </w:tc>
        <w:tc>
          <w:tcPr>
            <w:tcW w:w="9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173</w:t>
            </w:r>
          </w:p>
        </w:tc>
        <w:tc>
          <w:tcPr>
            <w:tcW w:w="711"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52</w:t>
            </w:r>
          </w:p>
        </w:tc>
        <w:tc>
          <w:tcPr>
            <w:tcW w:w="733"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87</w:t>
            </w:r>
          </w:p>
        </w:tc>
        <w:tc>
          <w:tcPr>
            <w:tcW w:w="719" w:type="dxa"/>
            <w:hideMark/>
          </w:tcPr>
          <w:p w:rsidR="001A19AB" w:rsidRPr="00AA4A81" w:rsidRDefault="001A19AB" w:rsidP="0050082C">
            <w:pPr>
              <w:jc w:val="right"/>
              <w:rPr>
                <w:rFonts w:ascii="Nyala" w:eastAsia="Times New Roman" w:hAnsi="Nyala" w:cs="Times New Roman"/>
                <w:color w:val="000000"/>
                <w:sz w:val="18"/>
                <w:szCs w:val="18"/>
                <w:lang w:eastAsia="fr-FR"/>
              </w:rPr>
            </w:pPr>
            <w:r w:rsidRPr="00AA4A81">
              <w:rPr>
                <w:rFonts w:ascii="Nyala" w:eastAsia="Times New Roman" w:hAnsi="Nyala" w:cs="Times New Roman"/>
                <w:color w:val="000000"/>
                <w:sz w:val="18"/>
                <w:szCs w:val="18"/>
                <w:lang w:eastAsia="fr-FR"/>
              </w:rPr>
              <w:t>47</w:t>
            </w:r>
          </w:p>
        </w:tc>
      </w:tr>
    </w:tbl>
    <w:p w:rsidR="001A19AB" w:rsidRPr="001432A1" w:rsidRDefault="001432A1" w:rsidP="001432A1">
      <w:pPr>
        <w:spacing w:before="0" w:line="240" w:lineRule="auto"/>
        <w:jc w:val="both"/>
        <w:rPr>
          <w:rFonts w:ascii="Nyala" w:eastAsia="Times New Roman" w:hAnsi="Nyala" w:cs="Times New Roman"/>
          <w:color w:val="000000"/>
          <w:lang w:eastAsia="fr-FR"/>
        </w:rPr>
      </w:pPr>
      <w:r w:rsidRPr="001432A1">
        <w:rPr>
          <w:rFonts w:ascii="Nyala" w:eastAsia="Times New Roman" w:hAnsi="Nyala" w:cs="Times New Roman"/>
          <w:color w:val="000000"/>
          <w:lang w:eastAsia="fr-FR"/>
        </w:rPr>
        <w:t>Source : CILSS (2004)</w:t>
      </w:r>
    </w:p>
    <w:p w:rsidR="009F67D9" w:rsidRDefault="009F67D9" w:rsidP="001A19AB">
      <w:pPr>
        <w:jc w:val="both"/>
        <w:rPr>
          <w:rFonts w:ascii="Nyala" w:eastAsia="Times New Roman" w:hAnsi="Nyala" w:cs="Times New Roman"/>
          <w:color w:val="000000"/>
          <w:sz w:val="28"/>
          <w:szCs w:val="28"/>
          <w:lang w:eastAsia="fr-FR"/>
        </w:rPr>
      </w:pPr>
    </w:p>
    <w:p w:rsidR="009F67D9" w:rsidRDefault="009F67D9" w:rsidP="001A19AB">
      <w:pPr>
        <w:jc w:val="both"/>
        <w:rPr>
          <w:rFonts w:ascii="Nyala" w:eastAsia="Times New Roman" w:hAnsi="Nyala" w:cs="Times New Roman"/>
          <w:color w:val="000000"/>
          <w:sz w:val="28"/>
          <w:szCs w:val="28"/>
          <w:lang w:eastAsia="fr-FR"/>
        </w:rPr>
      </w:pPr>
    </w:p>
    <w:p w:rsidR="009F67D9" w:rsidRPr="006866D3" w:rsidRDefault="009F67D9" w:rsidP="001A19AB">
      <w:pPr>
        <w:jc w:val="both"/>
        <w:rPr>
          <w:rFonts w:ascii="Nyala" w:eastAsia="Times New Roman" w:hAnsi="Nyala" w:cs="Times New Roman"/>
          <w:color w:val="000000"/>
          <w:sz w:val="28"/>
          <w:szCs w:val="28"/>
          <w:lang w:eastAsia="fr-FR"/>
        </w:rPr>
      </w:pPr>
    </w:p>
    <w:p w:rsidR="00434119" w:rsidRDefault="00146983" w:rsidP="001A19AB">
      <w:pPr>
        <w:jc w:val="both"/>
        <w:rPr>
          <w:rFonts w:ascii="Nyala" w:eastAsia="Times New Roman" w:hAnsi="Nyala" w:cs="Times New Roman"/>
          <w:color w:val="000000"/>
          <w:sz w:val="28"/>
          <w:szCs w:val="28"/>
          <w:lang w:eastAsia="fr-FR"/>
        </w:rPr>
      </w:pPr>
      <w:r>
        <w:rPr>
          <w:noProof/>
          <w:sz w:val="28"/>
          <w:szCs w:val="28"/>
          <w:lang w:eastAsia="fr-FR"/>
        </w:rPr>
        <mc:AlternateContent>
          <mc:Choice Requires="wps">
            <w:drawing>
              <wp:anchor distT="0" distB="0" distL="114300" distR="114300" simplePos="0" relativeHeight="251995136" behindDoc="0" locked="0" layoutInCell="1" allowOverlap="1" wp14:anchorId="60C0B751">
                <wp:simplePos x="0" y="0"/>
                <wp:positionH relativeFrom="margin">
                  <wp:posOffset>1833880</wp:posOffset>
                </wp:positionH>
                <wp:positionV relativeFrom="paragraph">
                  <wp:posOffset>261620</wp:posOffset>
                </wp:positionV>
                <wp:extent cx="3893820" cy="2237105"/>
                <wp:effectExtent l="0" t="0" r="20955" b="10795"/>
                <wp:wrapSquare wrapText="bothSides"/>
                <wp:docPr id="110" name="Zone de texte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3820" cy="2237105"/>
                        </a:xfrm>
                        <a:prstGeom prst="rect">
                          <a:avLst/>
                        </a:prstGeom>
                        <a:noFill/>
                        <a:ln w="6350">
                          <a:solidFill>
                            <a:prstClr val="black"/>
                          </a:solidFill>
                        </a:ln>
                        <a:effectLst/>
                      </wps:spPr>
                      <wps:txbx>
                        <w:txbxContent>
                          <w:p w:rsidR="00146325" w:rsidRDefault="00146325" w:rsidP="001A19AB">
                            <w:pPr>
                              <w:pStyle w:val="Lgende"/>
                              <w:keepNext/>
                              <w:jc w:val="both"/>
                            </w:pPr>
                            <w:bookmarkStart w:id="444" w:name="_Toc526120097"/>
                            <w:r>
                              <w:t xml:space="preserve">Figure </w:t>
                            </w:r>
                            <w:r w:rsidR="00C73EE5">
                              <w:fldChar w:fldCharType="begin"/>
                            </w:r>
                            <w:r w:rsidR="00C73EE5">
                              <w:instrText xml:space="preserve"> SEQ Figure \* ARABIC </w:instrText>
                            </w:r>
                            <w:r w:rsidR="00C73EE5">
                              <w:fldChar w:fldCharType="separate"/>
                            </w:r>
                            <w:r>
                              <w:rPr>
                                <w:noProof/>
                              </w:rPr>
                              <w:t>31</w:t>
                            </w:r>
                            <w:r w:rsidR="00C73EE5">
                              <w:rPr>
                                <w:noProof/>
                              </w:rPr>
                              <w:fldChar w:fldCharType="end"/>
                            </w:r>
                            <w:r>
                              <w:t xml:space="preserve"> - Tendance évolutive des superficies céréalières selon la demande alimentaire</w:t>
                            </w:r>
                            <w:bookmarkEnd w:id="444"/>
                          </w:p>
                          <w:p w:rsidR="00146325" w:rsidRPr="00097126" w:rsidRDefault="00146325" w:rsidP="001A19AB">
                            <w:pPr>
                              <w:jc w:val="both"/>
                              <w:rPr>
                                <w:noProof/>
                              </w:rPr>
                            </w:pPr>
                            <w:r w:rsidRPr="007A65A0">
                              <w:rPr>
                                <w:noProof/>
                                <w:lang w:eastAsia="fr-FR"/>
                              </w:rPr>
                              <w:drawing>
                                <wp:inline distT="0" distB="0" distL="0" distR="0">
                                  <wp:extent cx="3657096" cy="1595336"/>
                                  <wp:effectExtent l="0" t="0" r="635" b="508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76510" cy="160380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C0B751" id="Zone de texte 110" o:spid="_x0000_s1063" type="#_x0000_t202" style="position:absolute;left:0;text-align:left;margin-left:144.4pt;margin-top:20.6pt;width:306.6pt;height:176.15pt;z-index:2519951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" filled="f" strokeweight=".5pt">
                <v:path arrowok="t"/>
                <v:textbox>
                  <w:txbxContent>
                    <w:p w:rsidR="00146325" w:rsidRDefault="00146325" w:rsidP="001A19AB">
                      <w:pPr>
                        <w:pStyle w:val="Lgende"/>
                        <w:keepNext/>
                        <w:jc w:val="both"/>
                      </w:pPr>
                      <w:bookmarkStart w:id="445" w:name="_Toc526120097"/>
                      <w:r>
                        <w:t xml:space="preserve">Figure </w:t>
                      </w:r>
                      <w:r w:rsidR="00C73EE5">
                        <w:fldChar w:fldCharType="begin"/>
                      </w:r>
                      <w:r w:rsidR="00C73EE5">
                        <w:instrText xml:space="preserve"> SEQ Figure \* ARABIC </w:instrText>
                      </w:r>
                      <w:r w:rsidR="00C73EE5">
                        <w:fldChar w:fldCharType="separate"/>
                      </w:r>
                      <w:r>
                        <w:rPr>
                          <w:noProof/>
                        </w:rPr>
                        <w:t>31</w:t>
                      </w:r>
                      <w:r w:rsidR="00C73EE5">
                        <w:rPr>
                          <w:noProof/>
                        </w:rPr>
                        <w:fldChar w:fldCharType="end"/>
                      </w:r>
                      <w:r>
                        <w:t xml:space="preserve"> - Tendance évolutive des superficies céréalières selon la demande alimentaire</w:t>
                      </w:r>
                      <w:bookmarkEnd w:id="445"/>
                    </w:p>
                    <w:p w:rsidR="00146325" w:rsidRPr="00097126" w:rsidRDefault="00146325" w:rsidP="001A19AB">
                      <w:pPr>
                        <w:jc w:val="both"/>
                        <w:rPr>
                          <w:noProof/>
                        </w:rPr>
                      </w:pPr>
                      <w:r w:rsidRPr="007A65A0">
                        <w:rPr>
                          <w:noProof/>
                          <w:lang w:eastAsia="fr-FR"/>
                        </w:rPr>
                        <w:drawing>
                          <wp:inline distT="0" distB="0" distL="0" distR="0">
                            <wp:extent cx="3657096" cy="1595336"/>
                            <wp:effectExtent l="0" t="0" r="635" b="508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76510" cy="1603805"/>
                                    </a:xfrm>
                                    <a:prstGeom prst="rect">
                                      <a:avLst/>
                                    </a:prstGeom>
                                    <a:noFill/>
                                    <a:ln>
                                      <a:noFill/>
                                    </a:ln>
                                  </pic:spPr>
                                </pic:pic>
                              </a:graphicData>
                            </a:graphic>
                          </wp:inline>
                        </w:drawing>
                      </w:r>
                    </w:p>
                  </w:txbxContent>
                </v:textbox>
                <w10:wrap type="square" anchorx="margin"/>
              </v:shape>
            </w:pict>
          </mc:Fallback>
        </mc:AlternateContent>
      </w:r>
      <w:r w:rsidR="001A19AB" w:rsidRPr="006866D3">
        <w:rPr>
          <w:rFonts w:ascii="Nyala" w:eastAsia="Times New Roman" w:hAnsi="Nyala" w:cs="Times New Roman"/>
          <w:color w:val="000000"/>
          <w:sz w:val="28"/>
          <w:szCs w:val="28"/>
          <w:lang w:eastAsia="fr-FR"/>
        </w:rPr>
        <w:t>Selon les projections faites, la demande oscillera selon les différents scénarios entre 11 et 13 millions de tonnes d’aliments dont 6 à 7 millions de céréales (</w:t>
      </w:r>
      <w:r w:rsidR="00D413AC">
        <w:rPr>
          <w:rFonts w:ascii="Nyala" w:eastAsia="Times New Roman" w:hAnsi="Nyala" w:cs="Times New Roman"/>
          <w:b/>
          <w:color w:val="000000"/>
          <w:sz w:val="28"/>
          <w:szCs w:val="28"/>
          <w:lang w:eastAsia="fr-FR"/>
        </w:rPr>
        <w:t>figure 31</w:t>
      </w:r>
      <w:r w:rsidR="001A19AB" w:rsidRPr="006866D3">
        <w:rPr>
          <w:rFonts w:ascii="Nyala" w:eastAsia="Times New Roman" w:hAnsi="Nyala" w:cs="Times New Roman"/>
          <w:color w:val="000000"/>
          <w:sz w:val="28"/>
          <w:szCs w:val="28"/>
          <w:lang w:eastAsia="fr-FR"/>
        </w:rPr>
        <w:t xml:space="preserve">).  </w:t>
      </w:r>
    </w:p>
    <w:p w:rsidR="001A19AB" w:rsidRPr="006866D3" w:rsidRDefault="001A19AB" w:rsidP="001A19AB">
      <w:pPr>
        <w:jc w:val="both"/>
        <w:rPr>
          <w:rFonts w:ascii="Nyala" w:eastAsia="Times New Roman" w:hAnsi="Nyala" w:cs="Times New Roman"/>
          <w:color w:val="000000"/>
          <w:sz w:val="28"/>
          <w:szCs w:val="28"/>
          <w:lang w:eastAsia="fr-FR"/>
        </w:rPr>
      </w:pPr>
      <w:r w:rsidRPr="006866D3">
        <w:rPr>
          <w:rFonts w:ascii="Nyala" w:eastAsia="Times New Roman" w:hAnsi="Nyala" w:cs="Times New Roman"/>
          <w:color w:val="000000"/>
          <w:sz w:val="28"/>
          <w:szCs w:val="28"/>
          <w:lang w:eastAsia="fr-FR"/>
        </w:rPr>
        <w:t xml:space="preserve">Satisfaire une telle demande avec seulement les productions nationales, n’est pas sans conséquence écologique, du moins si les tendances actuelles de stagnation des rendements agricoles et de maintien des systèmes extensifs d’agriculture et d’élevage, nécessairement consommateurs de terres et de ressources biologiques. </w:t>
      </w:r>
    </w:p>
    <w:p w:rsidR="001A19AB" w:rsidRPr="006866D3" w:rsidRDefault="001A19AB" w:rsidP="001A19AB">
      <w:pPr>
        <w:jc w:val="both"/>
        <w:rPr>
          <w:rFonts w:ascii="Nyala" w:eastAsia="Times New Roman" w:hAnsi="Nyala" w:cs="Times New Roman"/>
          <w:color w:val="000000"/>
          <w:sz w:val="28"/>
          <w:szCs w:val="28"/>
          <w:lang w:eastAsia="fr-FR"/>
        </w:rPr>
      </w:pPr>
      <w:r w:rsidRPr="006866D3">
        <w:rPr>
          <w:rFonts w:ascii="Nyala" w:eastAsia="Times New Roman" w:hAnsi="Nyala" w:cs="Times New Roman"/>
          <w:color w:val="000000"/>
          <w:sz w:val="28"/>
          <w:szCs w:val="28"/>
          <w:lang w:eastAsia="fr-FR"/>
        </w:rPr>
        <w:t>Dans l’hypothèse d’une stagnation des rendements, le Niger aura besoin de mettre en valeur entre 70% et 92% de ses terres cultivables, dépendamment de la maîtrise de la croissance démographique et du changement du panier de la ménagère nigérienne (</w:t>
      </w:r>
      <w:r w:rsidRPr="006866D3">
        <w:rPr>
          <w:rFonts w:ascii="Nyala" w:eastAsia="Times New Roman" w:hAnsi="Nyala" w:cs="Times New Roman"/>
          <w:b/>
          <w:color w:val="000000"/>
          <w:sz w:val="28"/>
          <w:szCs w:val="28"/>
          <w:lang w:eastAsia="fr-FR"/>
        </w:rPr>
        <w:t>figures 3</w:t>
      </w:r>
      <w:r w:rsidR="00D413AC">
        <w:rPr>
          <w:rFonts w:ascii="Nyala" w:eastAsia="Times New Roman" w:hAnsi="Nyala" w:cs="Times New Roman"/>
          <w:b/>
          <w:color w:val="000000"/>
          <w:sz w:val="28"/>
          <w:szCs w:val="28"/>
          <w:lang w:eastAsia="fr-FR"/>
        </w:rPr>
        <w:t>2</w:t>
      </w:r>
      <w:r w:rsidRPr="006866D3">
        <w:rPr>
          <w:rFonts w:ascii="Nyala" w:eastAsia="Times New Roman" w:hAnsi="Nyala" w:cs="Times New Roman"/>
          <w:color w:val="000000"/>
          <w:sz w:val="28"/>
          <w:szCs w:val="28"/>
          <w:lang w:eastAsia="fr-FR"/>
        </w:rPr>
        <w:t>)</w:t>
      </w:r>
    </w:p>
    <w:p w:rsidR="001A19AB" w:rsidRPr="006866D3" w:rsidRDefault="00146983" w:rsidP="001A19AB">
      <w:pPr>
        <w:jc w:val="both"/>
        <w:rPr>
          <w:rFonts w:ascii="Nyala" w:eastAsia="Times New Roman" w:hAnsi="Nyala" w:cs="Times New Roman"/>
          <w:color w:val="000000"/>
          <w:sz w:val="28"/>
          <w:szCs w:val="28"/>
          <w:lang w:eastAsia="fr-FR"/>
        </w:rPr>
      </w:pPr>
      <w:r>
        <w:rPr>
          <w:noProof/>
          <w:sz w:val="28"/>
          <w:szCs w:val="28"/>
          <w:lang w:eastAsia="fr-FR"/>
        </w:rPr>
        <mc:AlternateContent>
          <mc:Choice Requires="wps">
            <w:drawing>
              <wp:anchor distT="0" distB="0" distL="114300" distR="114300" simplePos="0" relativeHeight="251996160" behindDoc="0" locked="0" layoutInCell="1" allowOverlap="1" wp14:anchorId="65501D2F">
                <wp:simplePos x="0" y="0"/>
                <wp:positionH relativeFrom="margin">
                  <wp:posOffset>33655</wp:posOffset>
                </wp:positionH>
                <wp:positionV relativeFrom="paragraph">
                  <wp:posOffset>274320</wp:posOffset>
                </wp:positionV>
                <wp:extent cx="5767070" cy="2702560"/>
                <wp:effectExtent l="0" t="0" r="24130" b="28575"/>
                <wp:wrapSquare wrapText="bothSides"/>
                <wp:docPr id="111"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7070" cy="2702560"/>
                        </a:xfrm>
                        <a:prstGeom prst="rect">
                          <a:avLst/>
                        </a:prstGeom>
                        <a:noFill/>
                        <a:ln w="6350">
                          <a:solidFill>
                            <a:prstClr val="black"/>
                          </a:solidFill>
                        </a:ln>
                        <a:effectLst/>
                      </wps:spPr>
                      <wps:txbx>
                        <w:txbxContent>
                          <w:p w:rsidR="00146325" w:rsidRDefault="00146325" w:rsidP="001A19AB">
                            <w:pPr>
                              <w:pStyle w:val="Lgende"/>
                              <w:keepNext/>
                              <w:jc w:val="both"/>
                            </w:pPr>
                            <w:bookmarkStart w:id="446" w:name="_Toc526120098"/>
                            <w:r>
                              <w:t xml:space="preserve">Figure </w:t>
                            </w:r>
                            <w:r w:rsidR="00C73EE5">
                              <w:fldChar w:fldCharType="begin"/>
                            </w:r>
                            <w:r w:rsidR="00C73EE5">
                              <w:instrText xml:space="preserve"> SEQ Figure \* ARABIC </w:instrText>
                            </w:r>
                            <w:r w:rsidR="00C73EE5">
                              <w:fldChar w:fldCharType="separate"/>
                            </w:r>
                            <w:r>
                              <w:rPr>
                                <w:noProof/>
                              </w:rPr>
                              <w:t>32</w:t>
                            </w:r>
                            <w:r w:rsidR="00C73EE5">
                              <w:rPr>
                                <w:noProof/>
                              </w:rPr>
                              <w:fldChar w:fldCharType="end"/>
                            </w:r>
                            <w:r>
                              <w:t xml:space="preserve"> - Superficies autres cultures selon la demande alimentaire</w:t>
                            </w:r>
                            <w:bookmarkEnd w:id="446"/>
                          </w:p>
                          <w:p w:rsidR="00146325" w:rsidRPr="00216B1B" w:rsidRDefault="00146325" w:rsidP="001A19AB">
                            <w:pPr>
                              <w:jc w:val="both"/>
                              <w:rPr>
                                <w:noProof/>
                              </w:rPr>
                            </w:pPr>
                            <w:r w:rsidRPr="00186CB7">
                              <w:rPr>
                                <w:noProof/>
                                <w:lang w:eastAsia="fr-FR"/>
                              </w:rPr>
                              <w:drawing>
                                <wp:inline distT="0" distB="0" distL="0" distR="0">
                                  <wp:extent cx="5605145" cy="182880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21644" cy="183418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5501D2F" id="Zone de texte 111" o:spid="_x0000_s1064" type="#_x0000_t202" style="position:absolute;left:0;text-align:left;margin-left:2.65pt;margin-top:21.6pt;width:454.1pt;height:212.8pt;z-index:2519961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" filled="f" strokeweight=".5pt">
                <v:path arrowok="t"/>
                <v:textbox style="mso-fit-shape-to-text:t">
                  <w:txbxContent>
                    <w:p w:rsidR="00146325" w:rsidRDefault="00146325" w:rsidP="001A19AB">
                      <w:pPr>
                        <w:pStyle w:val="Lgende"/>
                        <w:keepNext/>
                        <w:jc w:val="both"/>
                      </w:pPr>
                      <w:bookmarkStart w:id="447" w:name="_Toc526120098"/>
                      <w:r>
                        <w:t xml:space="preserve">Figure </w:t>
                      </w:r>
                      <w:r w:rsidR="00C73EE5">
                        <w:fldChar w:fldCharType="begin"/>
                      </w:r>
                      <w:r w:rsidR="00C73EE5">
                        <w:instrText xml:space="preserve"> SEQ Figure \* ARABIC </w:instrText>
                      </w:r>
                      <w:r w:rsidR="00C73EE5">
                        <w:fldChar w:fldCharType="separate"/>
                      </w:r>
                      <w:r>
                        <w:rPr>
                          <w:noProof/>
                        </w:rPr>
                        <w:t>32</w:t>
                      </w:r>
                      <w:r w:rsidR="00C73EE5">
                        <w:rPr>
                          <w:noProof/>
                        </w:rPr>
                        <w:fldChar w:fldCharType="end"/>
                      </w:r>
                      <w:r>
                        <w:t xml:space="preserve"> - Superficies autres cultures selon la demande alimentaire</w:t>
                      </w:r>
                      <w:bookmarkEnd w:id="447"/>
                    </w:p>
                    <w:p w:rsidR="00146325" w:rsidRPr="00216B1B" w:rsidRDefault="00146325" w:rsidP="001A19AB">
                      <w:pPr>
                        <w:jc w:val="both"/>
                        <w:rPr>
                          <w:noProof/>
                        </w:rPr>
                      </w:pPr>
                      <w:r w:rsidRPr="00186CB7">
                        <w:rPr>
                          <w:noProof/>
                          <w:lang w:eastAsia="fr-FR"/>
                        </w:rPr>
                        <w:drawing>
                          <wp:inline distT="0" distB="0" distL="0" distR="0">
                            <wp:extent cx="5605145" cy="182880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21644" cy="1834183"/>
                                    </a:xfrm>
                                    <a:prstGeom prst="rect">
                                      <a:avLst/>
                                    </a:prstGeom>
                                    <a:noFill/>
                                    <a:ln>
                                      <a:noFill/>
                                    </a:ln>
                                  </pic:spPr>
                                </pic:pic>
                              </a:graphicData>
                            </a:graphic>
                          </wp:inline>
                        </w:drawing>
                      </w:r>
                    </w:p>
                  </w:txbxContent>
                </v:textbox>
                <w10:wrap type="square" anchorx="margin"/>
              </v:shape>
            </w:pict>
          </mc:Fallback>
        </mc:AlternateContent>
      </w:r>
    </w:p>
    <w:p w:rsidR="009F67D9" w:rsidRDefault="009F67D9" w:rsidP="001A19AB">
      <w:pPr>
        <w:jc w:val="both"/>
        <w:rPr>
          <w:rFonts w:ascii="Nyala" w:eastAsia="Times New Roman" w:hAnsi="Nyala" w:cs="Times New Roman"/>
          <w:i/>
          <w:color w:val="000000"/>
          <w:sz w:val="28"/>
          <w:szCs w:val="28"/>
          <w:lang w:eastAsia="fr-FR"/>
        </w:rPr>
      </w:pPr>
    </w:p>
    <w:p w:rsidR="001A19AB" w:rsidRPr="00141D20" w:rsidRDefault="001A19AB" w:rsidP="001A19AB">
      <w:pPr>
        <w:jc w:val="both"/>
        <w:rPr>
          <w:rFonts w:ascii="Nyala" w:eastAsia="Times New Roman" w:hAnsi="Nyala" w:cs="Times New Roman"/>
          <w:i/>
          <w:color w:val="000000"/>
          <w:sz w:val="28"/>
          <w:szCs w:val="28"/>
          <w:lang w:eastAsia="fr-FR"/>
        </w:rPr>
      </w:pPr>
      <w:r w:rsidRPr="00141D20">
        <w:rPr>
          <w:rFonts w:ascii="Nyala" w:eastAsia="Times New Roman" w:hAnsi="Nyala" w:cs="Times New Roman"/>
          <w:i/>
          <w:color w:val="000000"/>
          <w:sz w:val="28"/>
          <w:szCs w:val="28"/>
          <w:lang w:eastAsia="fr-FR"/>
        </w:rPr>
        <w:t xml:space="preserve">Ainsi, au-delà des efforts de maîtrise de la croissance démographique, le Niger devrait trouver un intérêt évident pour l’accroissement de la productivité et la diversification des filières alimentaires, la gestion de contradictions éventuelles entre nécessité d’un marché agricole ouest africain dynamique pour satisfaire les besoins de tous les ménages et obligation de protection des filières et de garantie de revenus décents aux petits producteurs. </w:t>
      </w:r>
    </w:p>
    <w:p w:rsidR="00434119" w:rsidRPr="00141D20" w:rsidRDefault="00434119" w:rsidP="001A19AB">
      <w:pPr>
        <w:jc w:val="both"/>
        <w:rPr>
          <w:rFonts w:ascii="Nyala" w:eastAsia="Times New Roman" w:hAnsi="Nyala" w:cs="Times New Roman"/>
          <w:i/>
          <w:color w:val="000000"/>
          <w:sz w:val="28"/>
          <w:szCs w:val="28"/>
          <w:lang w:eastAsia="fr-FR"/>
        </w:rPr>
      </w:pPr>
      <w:r w:rsidRPr="00141D20">
        <w:rPr>
          <w:rFonts w:ascii="Nyala" w:eastAsia="Times New Roman" w:hAnsi="Nyala" w:cs="Times New Roman"/>
          <w:i/>
          <w:color w:val="000000"/>
          <w:sz w:val="28"/>
          <w:szCs w:val="28"/>
          <w:lang w:eastAsia="fr-FR"/>
        </w:rPr>
        <w:t xml:space="preserve">Un attention devrait être également accordée à l’actualisation de la ration alimentaire afin de tenir compte d’éventuelles évolutions des habitudes alimentaires qui pourraient résulter de l’urbanisation et des incertitudes d’acquisition des produits locaux du fait des déficits céréaliers récurrents et aussi du changement du pouvoir d’achat des différentes composantes de la société. </w:t>
      </w:r>
    </w:p>
    <w:p w:rsidR="00A14BC8" w:rsidRPr="006866D3" w:rsidRDefault="00A14BC8" w:rsidP="001A19AB">
      <w:pPr>
        <w:jc w:val="both"/>
        <w:rPr>
          <w:rFonts w:ascii="Nyala" w:eastAsia="Times New Roman" w:hAnsi="Nyala" w:cs="Times New Roman"/>
          <w:color w:val="000000"/>
          <w:sz w:val="28"/>
          <w:szCs w:val="28"/>
          <w:lang w:eastAsia="fr-FR"/>
        </w:rPr>
      </w:pPr>
    </w:p>
    <w:p w:rsidR="001A19AB" w:rsidRPr="009B11E1" w:rsidRDefault="001A19AB" w:rsidP="001A19AB">
      <w:pPr>
        <w:jc w:val="both"/>
        <w:rPr>
          <w:rStyle w:val="Rfrenceintense"/>
          <w:sz w:val="28"/>
          <w:szCs w:val="28"/>
        </w:rPr>
      </w:pPr>
      <w:r w:rsidRPr="009B11E1">
        <w:rPr>
          <w:rStyle w:val="Rfrenceintense"/>
          <w:sz w:val="28"/>
          <w:szCs w:val="28"/>
        </w:rPr>
        <w:t>Améliorer la disponibilité et l’accessibilité aux Sous-produits animaux</w:t>
      </w:r>
    </w:p>
    <w:p w:rsidR="001A19AB" w:rsidRDefault="00146983" w:rsidP="001A19AB">
      <w:pPr>
        <w:jc w:val="both"/>
        <w:rPr>
          <w:rFonts w:ascii="Nyala" w:hAnsi="Nyala"/>
          <w:sz w:val="28"/>
          <w:szCs w:val="28"/>
        </w:rPr>
      </w:pPr>
      <w:r>
        <w:rPr>
          <w:noProof/>
          <w:lang w:eastAsia="fr-FR"/>
        </w:rPr>
        <mc:AlternateContent>
          <mc:Choice Requires="wps">
            <w:drawing>
              <wp:anchor distT="0" distB="0" distL="114300" distR="114300" simplePos="0" relativeHeight="251998208" behindDoc="0" locked="0" layoutInCell="1" allowOverlap="1" wp14:anchorId="285D8A6F">
                <wp:simplePos x="0" y="0"/>
                <wp:positionH relativeFrom="margin">
                  <wp:align>right</wp:align>
                </wp:positionH>
                <wp:positionV relativeFrom="paragraph">
                  <wp:posOffset>525145</wp:posOffset>
                </wp:positionV>
                <wp:extent cx="1828800" cy="1828800"/>
                <wp:effectExtent l="0" t="0" r="19685" b="25400"/>
                <wp:wrapSquare wrapText="bothSides"/>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solidFill>
                            <a:prstClr val="black"/>
                          </a:solidFill>
                        </a:ln>
                        <a:effectLst/>
                      </wps:spPr>
                      <wps:txbx>
                        <w:txbxContent>
                          <w:p w:rsidR="00146325" w:rsidRDefault="00146325" w:rsidP="009B11E1">
                            <w:pPr>
                              <w:pStyle w:val="Lgende"/>
                              <w:keepNext/>
                            </w:pPr>
                            <w:bookmarkStart w:id="448" w:name="_Toc526120099"/>
                            <w:r>
                              <w:t xml:space="preserve">Figure </w:t>
                            </w:r>
                            <w:r w:rsidR="00C73EE5">
                              <w:fldChar w:fldCharType="begin"/>
                            </w:r>
                            <w:r w:rsidR="00C73EE5">
                              <w:instrText xml:space="preserve"> SEQ Figure \* ARABIC </w:instrText>
                            </w:r>
                            <w:r w:rsidR="00C73EE5">
                              <w:fldChar w:fldCharType="separate"/>
                            </w:r>
                            <w:r>
                              <w:rPr>
                                <w:noProof/>
                              </w:rPr>
                              <w:t>33</w:t>
                            </w:r>
                            <w:r w:rsidR="00C73EE5">
                              <w:rPr>
                                <w:noProof/>
                              </w:rPr>
                              <w:fldChar w:fldCharType="end"/>
                            </w:r>
                            <w:r>
                              <w:t xml:space="preserve"> - Evolution du bilan alimentaire (sous-produits animaux)</w:t>
                            </w:r>
                            <w:bookmarkEnd w:id="448"/>
                          </w:p>
                          <w:p w:rsidR="00146325" w:rsidRPr="00551078" w:rsidRDefault="00146325" w:rsidP="001A19AB">
                            <w:r w:rsidRPr="00171330">
                              <w:rPr>
                                <w:noProof/>
                                <w:lang w:eastAsia="fr-FR"/>
                              </w:rPr>
                              <w:drawing>
                                <wp:inline distT="0" distB="0" distL="0" distR="0">
                                  <wp:extent cx="3881383" cy="2003728"/>
                                  <wp:effectExtent l="0" t="0" r="508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85601" cy="200590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85D8A6F" id="Zone de texte 132" o:spid="_x0000_s1065" type="#_x0000_t202" style="position:absolute;left:0;text-align:left;margin-left:92.8pt;margin-top:41.35pt;width:2in;height:2in;z-index:25199820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" filled="f" strokeweight=".5pt">
                <v:path arrowok="t"/>
                <v:textbox style="mso-fit-shape-to-text:t">
                  <w:txbxContent>
                    <w:p w:rsidR="00146325" w:rsidRDefault="00146325" w:rsidP="009B11E1">
                      <w:pPr>
                        <w:pStyle w:val="Lgende"/>
                        <w:keepNext/>
                      </w:pPr>
                      <w:bookmarkStart w:id="449" w:name="_Toc526120099"/>
                      <w:r>
                        <w:t xml:space="preserve">Figure </w:t>
                      </w:r>
                      <w:r w:rsidR="00C73EE5">
                        <w:fldChar w:fldCharType="begin"/>
                      </w:r>
                      <w:r w:rsidR="00C73EE5">
                        <w:instrText xml:space="preserve"> SEQ Figure \* ARABIC </w:instrText>
                      </w:r>
                      <w:r w:rsidR="00C73EE5">
                        <w:fldChar w:fldCharType="separate"/>
                      </w:r>
                      <w:r>
                        <w:rPr>
                          <w:noProof/>
                        </w:rPr>
                        <w:t>33</w:t>
                      </w:r>
                      <w:r w:rsidR="00C73EE5">
                        <w:rPr>
                          <w:noProof/>
                        </w:rPr>
                        <w:fldChar w:fldCharType="end"/>
                      </w:r>
                      <w:r>
                        <w:t xml:space="preserve"> - Evolution du bilan alimentaire (sous-produits animaux)</w:t>
                      </w:r>
                      <w:bookmarkEnd w:id="449"/>
                    </w:p>
                    <w:p w:rsidR="00146325" w:rsidRPr="00551078" w:rsidRDefault="00146325" w:rsidP="001A19AB">
                      <w:r w:rsidRPr="00171330">
                        <w:rPr>
                          <w:noProof/>
                          <w:lang w:eastAsia="fr-FR"/>
                        </w:rPr>
                        <w:drawing>
                          <wp:inline distT="0" distB="0" distL="0" distR="0">
                            <wp:extent cx="3881383" cy="2003728"/>
                            <wp:effectExtent l="0" t="0" r="508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85601" cy="2005905"/>
                                    </a:xfrm>
                                    <a:prstGeom prst="rect">
                                      <a:avLst/>
                                    </a:prstGeom>
                                    <a:noFill/>
                                    <a:ln>
                                      <a:noFill/>
                                    </a:ln>
                                  </pic:spPr>
                                </pic:pic>
                              </a:graphicData>
                            </a:graphic>
                          </wp:inline>
                        </w:drawing>
                      </w:r>
                    </w:p>
                  </w:txbxContent>
                </v:textbox>
                <w10:wrap type="square" anchorx="margin"/>
              </v:shape>
            </w:pict>
          </mc:Fallback>
        </mc:AlternateContent>
      </w:r>
      <w:r w:rsidR="001A19AB" w:rsidRPr="00AA4A81">
        <w:rPr>
          <w:rFonts w:ascii="Nyala" w:hAnsi="Nyala"/>
          <w:sz w:val="28"/>
          <w:szCs w:val="28"/>
        </w:rPr>
        <w:t>Depuis 2010/11, la disponibilité apparente de</w:t>
      </w:r>
      <w:r w:rsidR="001A19AB">
        <w:rPr>
          <w:rFonts w:ascii="Nyala" w:hAnsi="Nyala"/>
          <w:sz w:val="28"/>
          <w:szCs w:val="28"/>
        </w:rPr>
        <w:t>s</w:t>
      </w:r>
      <w:r w:rsidR="001A19AB" w:rsidRPr="00AA4A81">
        <w:rPr>
          <w:rFonts w:ascii="Nyala" w:hAnsi="Nyala"/>
          <w:sz w:val="28"/>
          <w:szCs w:val="28"/>
        </w:rPr>
        <w:t xml:space="preserve"> sous-produits animaux semble amorcer une tendance baissière. En 2015-2016, le déficit aurait atteint 9kg par individu et par an pour la viande et 35 kg pour le lait et les sous-produits laitiers</w:t>
      </w:r>
      <w:r w:rsidR="001A19AB">
        <w:rPr>
          <w:rFonts w:ascii="Nyala" w:hAnsi="Nyala"/>
          <w:sz w:val="28"/>
          <w:szCs w:val="28"/>
        </w:rPr>
        <w:t xml:space="preserve"> (</w:t>
      </w:r>
      <w:r w:rsidR="001A19AB" w:rsidRPr="009B11E1">
        <w:rPr>
          <w:rFonts w:ascii="Nyala" w:hAnsi="Nyala"/>
          <w:b/>
          <w:sz w:val="28"/>
          <w:szCs w:val="28"/>
        </w:rPr>
        <w:t>figure</w:t>
      </w:r>
      <w:r w:rsidR="00D413AC">
        <w:rPr>
          <w:rFonts w:ascii="Nyala" w:hAnsi="Nyala"/>
          <w:b/>
          <w:sz w:val="28"/>
          <w:szCs w:val="28"/>
        </w:rPr>
        <w:t xml:space="preserve"> 33</w:t>
      </w:r>
      <w:r w:rsidR="001A19AB">
        <w:rPr>
          <w:rFonts w:ascii="Nyala" w:hAnsi="Nyala"/>
          <w:sz w:val="28"/>
          <w:szCs w:val="28"/>
        </w:rPr>
        <w:t>)</w:t>
      </w:r>
      <w:r w:rsidR="001A19AB" w:rsidRPr="00AA4A81">
        <w:rPr>
          <w:rFonts w:ascii="Nyala" w:hAnsi="Nyala"/>
          <w:sz w:val="28"/>
          <w:szCs w:val="28"/>
        </w:rPr>
        <w:t xml:space="preserve">. </w:t>
      </w:r>
    </w:p>
    <w:p w:rsidR="001A19AB" w:rsidRDefault="001A19AB" w:rsidP="001A19AB">
      <w:pPr>
        <w:jc w:val="both"/>
        <w:rPr>
          <w:rFonts w:ascii="Nyala" w:hAnsi="Nyala"/>
          <w:sz w:val="28"/>
          <w:szCs w:val="28"/>
        </w:rPr>
      </w:pPr>
      <w:r>
        <w:rPr>
          <w:rFonts w:ascii="Nyala" w:hAnsi="Nyala"/>
          <w:sz w:val="28"/>
          <w:szCs w:val="28"/>
        </w:rPr>
        <w:t xml:space="preserve">Accroître la disponibilité et l’accessibilité </w:t>
      </w:r>
      <w:r w:rsidRPr="00AA4A81">
        <w:rPr>
          <w:rFonts w:ascii="Nyala" w:hAnsi="Nyala"/>
          <w:sz w:val="28"/>
          <w:szCs w:val="28"/>
        </w:rPr>
        <w:t>de protéines</w:t>
      </w:r>
      <w:r>
        <w:rPr>
          <w:rFonts w:ascii="Nyala" w:hAnsi="Nyala"/>
          <w:sz w:val="28"/>
          <w:szCs w:val="28"/>
        </w:rPr>
        <w:t xml:space="preserve"> d’origine </w:t>
      </w:r>
      <w:r w:rsidRPr="00D729B0">
        <w:rPr>
          <w:rFonts w:ascii="Nyala" w:hAnsi="Nyala"/>
          <w:sz w:val="28"/>
          <w:szCs w:val="28"/>
        </w:rPr>
        <w:t>animale</w:t>
      </w:r>
      <w:r w:rsidRPr="00CE0F9D">
        <w:rPr>
          <w:rFonts w:ascii="Nyala" w:hAnsi="Nyala"/>
          <w:sz w:val="28"/>
          <w:szCs w:val="28"/>
        </w:rPr>
        <w:t xml:space="preserve">, </w:t>
      </w:r>
      <w:r>
        <w:rPr>
          <w:rFonts w:ascii="Nyala" w:hAnsi="Nyala"/>
          <w:sz w:val="28"/>
          <w:szCs w:val="28"/>
        </w:rPr>
        <w:t xml:space="preserve">dans un contexte de forte poussée démographique et de fragilité des écosystèmes pastoraux est </w:t>
      </w:r>
      <w:r w:rsidRPr="00D729B0">
        <w:rPr>
          <w:rFonts w:ascii="Nyala" w:hAnsi="Nyala"/>
          <w:sz w:val="28"/>
          <w:szCs w:val="28"/>
        </w:rPr>
        <w:t xml:space="preserve">sans doute un des plus gros challenges </w:t>
      </w:r>
      <w:r>
        <w:rPr>
          <w:rFonts w:ascii="Nyala" w:hAnsi="Nyala"/>
          <w:sz w:val="28"/>
          <w:szCs w:val="28"/>
        </w:rPr>
        <w:t xml:space="preserve">majeurs à relever </w:t>
      </w:r>
      <w:r w:rsidRPr="00D729B0">
        <w:rPr>
          <w:rFonts w:ascii="Nyala" w:hAnsi="Nyala"/>
          <w:sz w:val="28"/>
          <w:szCs w:val="28"/>
        </w:rPr>
        <w:t>pour l</w:t>
      </w:r>
      <w:r>
        <w:rPr>
          <w:rFonts w:ascii="Nyala" w:hAnsi="Nyala"/>
          <w:sz w:val="28"/>
          <w:szCs w:val="28"/>
        </w:rPr>
        <w:t xml:space="preserve">’atteinte des cibles de l’ODD2. </w:t>
      </w:r>
    </w:p>
    <w:p w:rsidR="001A19AB" w:rsidRDefault="001A19AB" w:rsidP="001A19AB">
      <w:pPr>
        <w:jc w:val="both"/>
        <w:rPr>
          <w:rFonts w:ascii="Nyala" w:hAnsi="Nyala"/>
          <w:sz w:val="28"/>
          <w:szCs w:val="28"/>
        </w:rPr>
      </w:pPr>
      <w:r>
        <w:rPr>
          <w:rFonts w:ascii="Nyala" w:hAnsi="Nyala"/>
          <w:sz w:val="28"/>
          <w:szCs w:val="28"/>
        </w:rPr>
        <w:t xml:space="preserve">L’augmentation de la disponibilité en sous-produits animaux nécessite de minimiser les multiples risques auxquels sont confrontés les éleveurs et agropasteurs, de diversifier les systèmes d’élevage et d’améliorer le taux d’exploitation du cheptel sans en hypothéquer le capital. </w:t>
      </w:r>
    </w:p>
    <w:p w:rsidR="001A19AB" w:rsidRDefault="001A19AB" w:rsidP="001A19AB">
      <w:pPr>
        <w:jc w:val="both"/>
        <w:rPr>
          <w:rFonts w:ascii="Nyala" w:hAnsi="Nyala"/>
          <w:sz w:val="28"/>
          <w:szCs w:val="28"/>
        </w:rPr>
      </w:pPr>
      <w:r>
        <w:rPr>
          <w:rFonts w:ascii="Nyala" w:hAnsi="Nyala"/>
          <w:sz w:val="28"/>
          <w:szCs w:val="28"/>
        </w:rPr>
        <w:t xml:space="preserve">Le risque le plus important est le déficit fourrager (voir </w:t>
      </w:r>
      <w:r w:rsidRPr="00ED12A8">
        <w:rPr>
          <w:rFonts w:ascii="Nyala" w:hAnsi="Nyala"/>
          <w:b/>
          <w:sz w:val="28"/>
          <w:szCs w:val="28"/>
        </w:rPr>
        <w:t>Tableau</w:t>
      </w:r>
      <w:r w:rsidR="00D413AC">
        <w:rPr>
          <w:rFonts w:ascii="Nyala" w:hAnsi="Nyala"/>
          <w:b/>
          <w:sz w:val="28"/>
          <w:szCs w:val="28"/>
        </w:rPr>
        <w:t>11</w:t>
      </w:r>
      <w:r>
        <w:rPr>
          <w:rFonts w:ascii="Nyala" w:hAnsi="Nyala"/>
          <w:sz w:val="28"/>
          <w:szCs w:val="28"/>
        </w:rPr>
        <w:t xml:space="preserve">) qui ne peut être minimisé qu’en régulant l’effectif en fonction de la capacité productive des espaces pastoraux, en promouvant la gestion durable des terres pastorales et en développant l’agriculture fourragère en irrigué ou en pluvial. </w:t>
      </w:r>
    </w:p>
    <w:p w:rsidR="00C16CC4" w:rsidRDefault="00C16CC4" w:rsidP="001A19AB">
      <w:pPr>
        <w:jc w:val="both"/>
        <w:rPr>
          <w:rFonts w:ascii="Nyala" w:hAnsi="Nyala"/>
          <w:sz w:val="28"/>
          <w:szCs w:val="28"/>
        </w:rPr>
      </w:pPr>
    </w:p>
    <w:p w:rsidR="00C16CC4" w:rsidRDefault="00C16CC4" w:rsidP="001A19AB">
      <w:pPr>
        <w:jc w:val="both"/>
        <w:rPr>
          <w:rFonts w:ascii="Nyala" w:hAnsi="Nyala"/>
          <w:sz w:val="28"/>
          <w:szCs w:val="28"/>
        </w:rPr>
      </w:pPr>
    </w:p>
    <w:p w:rsidR="00C16CC4" w:rsidRDefault="00C16CC4" w:rsidP="001A19AB">
      <w:pPr>
        <w:jc w:val="both"/>
        <w:rPr>
          <w:rFonts w:ascii="Nyala" w:hAnsi="Nyala"/>
          <w:sz w:val="28"/>
          <w:szCs w:val="28"/>
        </w:rPr>
      </w:pPr>
    </w:p>
    <w:p w:rsidR="001432A1" w:rsidRDefault="001432A1" w:rsidP="001432A1">
      <w:pPr>
        <w:pStyle w:val="Lgende"/>
        <w:rPr>
          <w:rFonts w:ascii="Nyala" w:hAnsi="Nyala"/>
          <w:sz w:val="28"/>
          <w:szCs w:val="28"/>
        </w:rPr>
      </w:pPr>
      <w:bookmarkStart w:id="450" w:name="_Toc526120065"/>
      <w:r>
        <w:t xml:space="preserve">Tableau </w:t>
      </w:r>
      <w:r w:rsidR="00D639F2">
        <w:fldChar w:fldCharType="begin"/>
      </w:r>
      <w:r w:rsidR="00440FAF">
        <w:instrText xml:space="preserve"> SEQ Tableau \* ARABIC </w:instrText>
      </w:r>
      <w:r w:rsidR="00D639F2">
        <w:fldChar w:fldCharType="separate"/>
      </w:r>
      <w:r w:rsidR="00440FAF">
        <w:rPr>
          <w:noProof/>
        </w:rPr>
        <w:t>11</w:t>
      </w:r>
      <w:r w:rsidR="00D639F2">
        <w:fldChar w:fldCharType="end"/>
      </w:r>
      <w:r>
        <w:t xml:space="preserve"> - Evolution du bilan fourrager au Niger</w:t>
      </w:r>
      <w:bookmarkEnd w:id="450"/>
    </w:p>
    <w:tbl>
      <w:tblPr>
        <w:tblW w:w="5034" w:type="pct"/>
        <w:tblInd w:w="60" w:type="dxa"/>
        <w:tblCellMar>
          <w:left w:w="70" w:type="dxa"/>
          <w:right w:w="70" w:type="dxa"/>
        </w:tblCellMar>
        <w:tblLook w:val="04A0" w:firstRow="1" w:lastRow="0" w:firstColumn="1" w:lastColumn="0" w:noHBand="0" w:noVBand="1"/>
      </w:tblPr>
      <w:tblGrid>
        <w:gridCol w:w="1097"/>
        <w:gridCol w:w="1080"/>
        <w:gridCol w:w="1080"/>
        <w:gridCol w:w="1117"/>
        <w:gridCol w:w="1117"/>
        <w:gridCol w:w="1117"/>
        <w:gridCol w:w="1300"/>
        <w:gridCol w:w="1367"/>
      </w:tblGrid>
      <w:tr w:rsidR="001A19AB" w:rsidRPr="006E0B1E" w:rsidTr="001432A1">
        <w:trPr>
          <w:trHeight w:val="227"/>
        </w:trPr>
        <w:tc>
          <w:tcPr>
            <w:tcW w:w="5000" w:type="pct"/>
            <w:gridSpan w:val="8"/>
            <w:tcBorders>
              <w:top w:val="nil"/>
              <w:left w:val="nil"/>
              <w:bottom w:val="nil"/>
              <w:right w:val="nil"/>
            </w:tcBorders>
            <w:shd w:val="clear" w:color="auto" w:fill="auto"/>
            <w:noWrap/>
            <w:vAlign w:val="center"/>
            <w:hideMark/>
          </w:tcPr>
          <w:p w:rsidR="001A19AB" w:rsidRPr="00141D20" w:rsidRDefault="001A19AB" w:rsidP="00141D20">
            <w:pPr>
              <w:spacing w:before="0" w:after="0" w:line="240" w:lineRule="auto"/>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Tableau      : Bilans fourragers de 2010/2011 à 2016/2017 (TMS)</w:t>
            </w:r>
          </w:p>
        </w:tc>
      </w:tr>
      <w:tr w:rsidR="001A19AB" w:rsidRPr="006E0B1E" w:rsidTr="001432A1">
        <w:trPr>
          <w:trHeight w:val="227"/>
        </w:trPr>
        <w:tc>
          <w:tcPr>
            <w:tcW w:w="5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Régions</w:t>
            </w:r>
          </w:p>
        </w:tc>
        <w:tc>
          <w:tcPr>
            <w:tcW w:w="582" w:type="pct"/>
            <w:tcBorders>
              <w:top w:val="single" w:sz="8" w:space="0" w:color="000000"/>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2010/2011</w:t>
            </w:r>
          </w:p>
        </w:tc>
        <w:tc>
          <w:tcPr>
            <w:tcW w:w="582" w:type="pct"/>
            <w:tcBorders>
              <w:top w:val="single" w:sz="8" w:space="0" w:color="000000"/>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2011/2012</w:t>
            </w:r>
          </w:p>
        </w:tc>
        <w:tc>
          <w:tcPr>
            <w:tcW w:w="602" w:type="pct"/>
            <w:tcBorders>
              <w:top w:val="single" w:sz="8" w:space="0" w:color="000000"/>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2012/2013</w:t>
            </w:r>
          </w:p>
        </w:tc>
        <w:tc>
          <w:tcPr>
            <w:tcW w:w="602" w:type="pct"/>
            <w:tcBorders>
              <w:top w:val="single" w:sz="8" w:space="0" w:color="000000"/>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2013/2014</w:t>
            </w:r>
          </w:p>
        </w:tc>
        <w:tc>
          <w:tcPr>
            <w:tcW w:w="602" w:type="pct"/>
            <w:tcBorders>
              <w:top w:val="single" w:sz="8" w:space="0" w:color="000000"/>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center"/>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2014/2915</w:t>
            </w:r>
          </w:p>
        </w:tc>
        <w:tc>
          <w:tcPr>
            <w:tcW w:w="701" w:type="pct"/>
            <w:tcBorders>
              <w:top w:val="single" w:sz="8" w:space="0" w:color="000000"/>
              <w:left w:val="nil"/>
              <w:bottom w:val="single" w:sz="8" w:space="0" w:color="000000"/>
              <w:right w:val="nil"/>
            </w:tcBorders>
            <w:shd w:val="clear" w:color="auto" w:fill="auto"/>
            <w:vAlign w:val="center"/>
            <w:hideMark/>
          </w:tcPr>
          <w:p w:rsidR="001A19AB" w:rsidRPr="00141D20" w:rsidRDefault="001A19AB" w:rsidP="00141D20">
            <w:pPr>
              <w:spacing w:before="0" w:after="0" w:line="240" w:lineRule="auto"/>
              <w:ind w:firstLineChars="200" w:firstLine="361"/>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2015/2016</w:t>
            </w:r>
          </w:p>
        </w:tc>
        <w:tc>
          <w:tcPr>
            <w:tcW w:w="737" w:type="pct"/>
            <w:tcBorders>
              <w:top w:val="single" w:sz="4" w:space="0" w:color="auto"/>
              <w:left w:val="single" w:sz="4" w:space="0" w:color="auto"/>
              <w:bottom w:val="single" w:sz="4" w:space="0" w:color="auto"/>
              <w:right w:val="nil"/>
            </w:tcBorders>
            <w:shd w:val="clear" w:color="auto" w:fill="auto"/>
            <w:noWrap/>
            <w:vAlign w:val="bottom"/>
            <w:hideMark/>
          </w:tcPr>
          <w:p w:rsidR="001A19AB" w:rsidRPr="00141D20" w:rsidRDefault="001A19AB" w:rsidP="00141D20">
            <w:pPr>
              <w:spacing w:before="0" w:after="0" w:line="240" w:lineRule="auto"/>
              <w:rPr>
                <w:rFonts w:ascii="Nyala" w:eastAsia="Times New Roman" w:hAnsi="Nyala" w:cs="Times New Roman"/>
                <w:b/>
                <w:bCs/>
                <w:color w:val="000000"/>
                <w:sz w:val="18"/>
                <w:szCs w:val="18"/>
                <w:lang w:eastAsia="fr-FR"/>
              </w:rPr>
            </w:pPr>
            <w:r w:rsidRPr="00141D20">
              <w:rPr>
                <w:rFonts w:ascii="Nyala" w:eastAsia="Times New Roman" w:hAnsi="Nyala" w:cs="Times New Roman"/>
                <w:b/>
                <w:bCs/>
                <w:color w:val="000000"/>
                <w:sz w:val="18"/>
                <w:szCs w:val="18"/>
                <w:lang w:eastAsia="fr-FR"/>
              </w:rPr>
              <w:t>2016/2017</w:t>
            </w:r>
          </w:p>
        </w:tc>
      </w:tr>
      <w:tr w:rsidR="001A19AB" w:rsidRPr="006E0B1E" w:rsidTr="001432A1">
        <w:trPr>
          <w:trHeight w:val="227"/>
        </w:trPr>
        <w:tc>
          <w:tcPr>
            <w:tcW w:w="592" w:type="pct"/>
            <w:tcBorders>
              <w:top w:val="nil"/>
              <w:left w:val="single" w:sz="8" w:space="0" w:color="000000"/>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Agadez</w:t>
            </w:r>
          </w:p>
        </w:tc>
        <w:tc>
          <w:tcPr>
            <w:tcW w:w="58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444 890</w:t>
            </w:r>
          </w:p>
        </w:tc>
        <w:tc>
          <w:tcPr>
            <w:tcW w:w="58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-263 222</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1 294 530</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-29 935</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-110 445</w:t>
            </w:r>
          </w:p>
        </w:tc>
        <w:tc>
          <w:tcPr>
            <w:tcW w:w="701" w:type="pct"/>
            <w:tcBorders>
              <w:top w:val="nil"/>
              <w:left w:val="nil"/>
              <w:bottom w:val="single" w:sz="8" w:space="0" w:color="000000"/>
              <w:right w:val="nil"/>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-214102</w:t>
            </w:r>
          </w:p>
        </w:tc>
        <w:tc>
          <w:tcPr>
            <w:tcW w:w="737" w:type="pct"/>
            <w:tcBorders>
              <w:top w:val="single" w:sz="8" w:space="0" w:color="000000"/>
              <w:left w:val="single" w:sz="8" w:space="0" w:color="000000"/>
              <w:bottom w:val="single" w:sz="8" w:space="0" w:color="000000"/>
              <w:right w:val="nil"/>
            </w:tcBorders>
            <w:shd w:val="clear" w:color="auto" w:fill="auto"/>
            <w:vAlign w:val="center"/>
            <w:hideMark/>
          </w:tcPr>
          <w:p w:rsidR="001A19AB" w:rsidRPr="00141D20" w:rsidRDefault="001A19AB" w:rsidP="00141D20">
            <w:pPr>
              <w:spacing w:before="0" w:after="0" w:line="240" w:lineRule="auto"/>
              <w:ind w:firstLineChars="200" w:firstLine="360"/>
              <w:rPr>
                <w:rFonts w:ascii="Nyala" w:eastAsia="Times New Roman" w:hAnsi="Nyala" w:cs="Arial"/>
                <w:color w:val="000000"/>
                <w:sz w:val="18"/>
                <w:szCs w:val="18"/>
                <w:lang w:eastAsia="fr-FR"/>
              </w:rPr>
            </w:pPr>
            <w:r w:rsidRPr="00141D20">
              <w:rPr>
                <w:rFonts w:ascii="Nyala" w:eastAsia="Times New Roman" w:hAnsi="Nyala" w:cs="Arial"/>
                <w:color w:val="000000"/>
                <w:sz w:val="18"/>
                <w:szCs w:val="18"/>
                <w:lang w:eastAsia="fr-FR"/>
              </w:rPr>
              <w:t>-262911</w:t>
            </w:r>
          </w:p>
        </w:tc>
      </w:tr>
      <w:tr w:rsidR="001A19AB" w:rsidRPr="006E0B1E" w:rsidTr="001432A1">
        <w:trPr>
          <w:trHeight w:val="227"/>
        </w:trPr>
        <w:tc>
          <w:tcPr>
            <w:tcW w:w="592" w:type="pct"/>
            <w:tcBorders>
              <w:top w:val="nil"/>
              <w:left w:val="single" w:sz="8" w:space="0" w:color="000000"/>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Diffa</w:t>
            </w:r>
          </w:p>
        </w:tc>
        <w:tc>
          <w:tcPr>
            <w:tcW w:w="58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284 294</w:t>
            </w:r>
          </w:p>
        </w:tc>
        <w:tc>
          <w:tcPr>
            <w:tcW w:w="58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-1 069 719</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856 184</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-1 121 035</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-1 126 095</w:t>
            </w:r>
          </w:p>
        </w:tc>
        <w:tc>
          <w:tcPr>
            <w:tcW w:w="701" w:type="pct"/>
            <w:tcBorders>
              <w:top w:val="nil"/>
              <w:left w:val="nil"/>
              <w:bottom w:val="single" w:sz="8" w:space="0" w:color="000000"/>
              <w:right w:val="nil"/>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-798200</w:t>
            </w:r>
          </w:p>
        </w:tc>
        <w:tc>
          <w:tcPr>
            <w:tcW w:w="737" w:type="pct"/>
            <w:tcBorders>
              <w:top w:val="nil"/>
              <w:left w:val="single" w:sz="8" w:space="0" w:color="000000"/>
              <w:bottom w:val="single" w:sz="8" w:space="0" w:color="000000"/>
              <w:right w:val="nil"/>
            </w:tcBorders>
            <w:shd w:val="clear" w:color="auto" w:fill="auto"/>
            <w:vAlign w:val="center"/>
            <w:hideMark/>
          </w:tcPr>
          <w:p w:rsidR="001A19AB" w:rsidRPr="00141D20" w:rsidRDefault="001A19AB" w:rsidP="00141D20">
            <w:pPr>
              <w:spacing w:before="0" w:after="0" w:line="240" w:lineRule="auto"/>
              <w:ind w:firstLineChars="200" w:firstLine="360"/>
              <w:rPr>
                <w:rFonts w:ascii="Nyala" w:eastAsia="Times New Roman" w:hAnsi="Nyala" w:cs="Arial"/>
                <w:color w:val="000000"/>
                <w:sz w:val="18"/>
                <w:szCs w:val="18"/>
                <w:lang w:eastAsia="fr-FR"/>
              </w:rPr>
            </w:pPr>
            <w:r w:rsidRPr="00141D20">
              <w:rPr>
                <w:rFonts w:ascii="Nyala" w:eastAsia="Times New Roman" w:hAnsi="Nyala" w:cs="Arial"/>
                <w:color w:val="000000"/>
                <w:sz w:val="18"/>
                <w:szCs w:val="18"/>
                <w:lang w:eastAsia="fr-FR"/>
              </w:rPr>
              <w:t>-2026905</w:t>
            </w:r>
          </w:p>
        </w:tc>
      </w:tr>
      <w:tr w:rsidR="001A19AB" w:rsidRPr="006E0B1E" w:rsidTr="001432A1">
        <w:trPr>
          <w:trHeight w:val="227"/>
        </w:trPr>
        <w:tc>
          <w:tcPr>
            <w:tcW w:w="592" w:type="pct"/>
            <w:tcBorders>
              <w:top w:val="nil"/>
              <w:left w:val="single" w:sz="8" w:space="0" w:color="000000"/>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Dosso</w:t>
            </w:r>
          </w:p>
        </w:tc>
        <w:tc>
          <w:tcPr>
            <w:tcW w:w="58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-297 334</w:t>
            </w:r>
          </w:p>
        </w:tc>
        <w:tc>
          <w:tcPr>
            <w:tcW w:w="58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-330 648</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-513 784</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-607 575</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-666 626</w:t>
            </w:r>
          </w:p>
        </w:tc>
        <w:tc>
          <w:tcPr>
            <w:tcW w:w="701" w:type="pct"/>
            <w:tcBorders>
              <w:top w:val="nil"/>
              <w:left w:val="nil"/>
              <w:bottom w:val="single" w:sz="8" w:space="0" w:color="000000"/>
              <w:right w:val="nil"/>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-591823</w:t>
            </w:r>
          </w:p>
        </w:tc>
        <w:tc>
          <w:tcPr>
            <w:tcW w:w="737" w:type="pct"/>
            <w:tcBorders>
              <w:top w:val="nil"/>
              <w:left w:val="single" w:sz="8" w:space="0" w:color="000000"/>
              <w:bottom w:val="single" w:sz="8" w:space="0" w:color="000000"/>
              <w:right w:val="nil"/>
            </w:tcBorders>
            <w:shd w:val="clear" w:color="auto" w:fill="auto"/>
            <w:vAlign w:val="center"/>
            <w:hideMark/>
          </w:tcPr>
          <w:p w:rsidR="001A19AB" w:rsidRPr="00141D20" w:rsidRDefault="001A19AB" w:rsidP="00141D20">
            <w:pPr>
              <w:spacing w:before="0" w:after="0" w:line="240" w:lineRule="auto"/>
              <w:ind w:firstLineChars="200" w:firstLine="360"/>
              <w:rPr>
                <w:rFonts w:ascii="Nyala" w:eastAsia="Times New Roman" w:hAnsi="Nyala" w:cs="Arial"/>
                <w:color w:val="000000"/>
                <w:sz w:val="18"/>
                <w:szCs w:val="18"/>
                <w:lang w:eastAsia="fr-FR"/>
              </w:rPr>
            </w:pPr>
            <w:r w:rsidRPr="00141D20">
              <w:rPr>
                <w:rFonts w:ascii="Nyala" w:eastAsia="Times New Roman" w:hAnsi="Nyala" w:cs="Arial"/>
                <w:color w:val="000000"/>
                <w:sz w:val="18"/>
                <w:szCs w:val="18"/>
                <w:lang w:eastAsia="fr-FR"/>
              </w:rPr>
              <w:t>-610462</w:t>
            </w:r>
          </w:p>
        </w:tc>
      </w:tr>
      <w:tr w:rsidR="001A19AB" w:rsidRPr="006E0B1E" w:rsidTr="001432A1">
        <w:trPr>
          <w:trHeight w:val="227"/>
        </w:trPr>
        <w:tc>
          <w:tcPr>
            <w:tcW w:w="592" w:type="pct"/>
            <w:tcBorders>
              <w:top w:val="nil"/>
              <w:left w:val="single" w:sz="8" w:space="0" w:color="000000"/>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Maradi</w:t>
            </w:r>
          </w:p>
        </w:tc>
        <w:tc>
          <w:tcPr>
            <w:tcW w:w="58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1 058 784</w:t>
            </w:r>
          </w:p>
        </w:tc>
        <w:tc>
          <w:tcPr>
            <w:tcW w:w="58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-1 086 105</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-359 128</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-1 186 167</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-309273</w:t>
            </w:r>
          </w:p>
        </w:tc>
        <w:tc>
          <w:tcPr>
            <w:tcW w:w="701" w:type="pct"/>
            <w:tcBorders>
              <w:top w:val="nil"/>
              <w:left w:val="nil"/>
              <w:bottom w:val="single" w:sz="8" w:space="0" w:color="000000"/>
              <w:right w:val="nil"/>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-1008911</w:t>
            </w:r>
          </w:p>
        </w:tc>
        <w:tc>
          <w:tcPr>
            <w:tcW w:w="737" w:type="pct"/>
            <w:tcBorders>
              <w:top w:val="nil"/>
              <w:left w:val="single" w:sz="8" w:space="0" w:color="000000"/>
              <w:bottom w:val="single" w:sz="8" w:space="0" w:color="000000"/>
              <w:right w:val="nil"/>
            </w:tcBorders>
            <w:shd w:val="clear" w:color="auto" w:fill="auto"/>
            <w:vAlign w:val="center"/>
            <w:hideMark/>
          </w:tcPr>
          <w:p w:rsidR="001A19AB" w:rsidRPr="00141D20" w:rsidRDefault="001A19AB" w:rsidP="00141D20">
            <w:pPr>
              <w:spacing w:before="0" w:after="0" w:line="240" w:lineRule="auto"/>
              <w:ind w:firstLineChars="200" w:firstLine="360"/>
              <w:rPr>
                <w:rFonts w:ascii="Nyala" w:eastAsia="Times New Roman" w:hAnsi="Nyala" w:cs="Arial"/>
                <w:color w:val="000000"/>
                <w:sz w:val="18"/>
                <w:szCs w:val="18"/>
                <w:lang w:eastAsia="fr-FR"/>
              </w:rPr>
            </w:pPr>
            <w:r w:rsidRPr="00141D20">
              <w:rPr>
                <w:rFonts w:ascii="Nyala" w:eastAsia="Times New Roman" w:hAnsi="Nyala" w:cs="Arial"/>
                <w:color w:val="000000"/>
                <w:sz w:val="18"/>
                <w:szCs w:val="18"/>
                <w:lang w:eastAsia="fr-FR"/>
              </w:rPr>
              <w:t>-1494720</w:t>
            </w:r>
          </w:p>
        </w:tc>
      </w:tr>
      <w:tr w:rsidR="001A19AB" w:rsidRPr="006E0B1E" w:rsidTr="001432A1">
        <w:trPr>
          <w:trHeight w:val="227"/>
        </w:trPr>
        <w:tc>
          <w:tcPr>
            <w:tcW w:w="592" w:type="pct"/>
            <w:tcBorders>
              <w:top w:val="nil"/>
              <w:left w:val="single" w:sz="8" w:space="0" w:color="000000"/>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Tahoua</w:t>
            </w:r>
          </w:p>
        </w:tc>
        <w:tc>
          <w:tcPr>
            <w:tcW w:w="58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1 467 094</w:t>
            </w:r>
          </w:p>
        </w:tc>
        <w:tc>
          <w:tcPr>
            <w:tcW w:w="58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-2 290 288</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829 927</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-1 316 648</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-2 297 279</w:t>
            </w:r>
          </w:p>
        </w:tc>
        <w:tc>
          <w:tcPr>
            <w:tcW w:w="701" w:type="pct"/>
            <w:tcBorders>
              <w:top w:val="nil"/>
              <w:left w:val="nil"/>
              <w:bottom w:val="single" w:sz="8" w:space="0" w:color="000000"/>
              <w:right w:val="nil"/>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-2 749 564</w:t>
            </w:r>
          </w:p>
        </w:tc>
        <w:tc>
          <w:tcPr>
            <w:tcW w:w="737" w:type="pct"/>
            <w:tcBorders>
              <w:top w:val="nil"/>
              <w:left w:val="single" w:sz="8" w:space="0" w:color="000000"/>
              <w:bottom w:val="single" w:sz="8" w:space="0" w:color="000000"/>
              <w:right w:val="nil"/>
            </w:tcBorders>
            <w:shd w:val="clear" w:color="auto" w:fill="auto"/>
            <w:vAlign w:val="center"/>
            <w:hideMark/>
          </w:tcPr>
          <w:p w:rsidR="001A19AB" w:rsidRPr="00141D20" w:rsidRDefault="001A19AB" w:rsidP="00141D20">
            <w:pPr>
              <w:spacing w:before="0" w:after="0" w:line="240" w:lineRule="auto"/>
              <w:ind w:firstLineChars="200" w:firstLine="360"/>
              <w:rPr>
                <w:rFonts w:ascii="Nyala" w:eastAsia="Times New Roman" w:hAnsi="Nyala" w:cs="Arial"/>
                <w:color w:val="000000"/>
                <w:sz w:val="18"/>
                <w:szCs w:val="18"/>
                <w:lang w:eastAsia="fr-FR"/>
              </w:rPr>
            </w:pPr>
            <w:r w:rsidRPr="00141D20">
              <w:rPr>
                <w:rFonts w:ascii="Nyala" w:eastAsia="Times New Roman" w:hAnsi="Nyala" w:cs="Arial"/>
                <w:color w:val="000000"/>
                <w:sz w:val="18"/>
                <w:szCs w:val="18"/>
                <w:lang w:eastAsia="fr-FR"/>
              </w:rPr>
              <w:t>-2907788</w:t>
            </w:r>
          </w:p>
        </w:tc>
      </w:tr>
      <w:tr w:rsidR="001A19AB" w:rsidRPr="006E0B1E" w:rsidTr="001432A1">
        <w:trPr>
          <w:trHeight w:val="227"/>
        </w:trPr>
        <w:tc>
          <w:tcPr>
            <w:tcW w:w="592" w:type="pct"/>
            <w:tcBorders>
              <w:top w:val="nil"/>
              <w:left w:val="single" w:sz="8" w:space="0" w:color="000000"/>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Tillaberi</w:t>
            </w:r>
          </w:p>
        </w:tc>
        <w:tc>
          <w:tcPr>
            <w:tcW w:w="58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-2 099 515</w:t>
            </w:r>
          </w:p>
        </w:tc>
        <w:tc>
          <w:tcPr>
            <w:tcW w:w="58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-2 769 227</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-1 132 939</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-2 099 619</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-2 087 535</w:t>
            </w:r>
          </w:p>
        </w:tc>
        <w:tc>
          <w:tcPr>
            <w:tcW w:w="701" w:type="pct"/>
            <w:tcBorders>
              <w:top w:val="nil"/>
              <w:left w:val="nil"/>
              <w:bottom w:val="single" w:sz="8" w:space="0" w:color="000000"/>
              <w:right w:val="nil"/>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-1 108 798</w:t>
            </w:r>
          </w:p>
        </w:tc>
        <w:tc>
          <w:tcPr>
            <w:tcW w:w="737" w:type="pct"/>
            <w:tcBorders>
              <w:top w:val="nil"/>
              <w:left w:val="single" w:sz="8" w:space="0" w:color="000000"/>
              <w:bottom w:val="single" w:sz="8" w:space="0" w:color="000000"/>
              <w:right w:val="nil"/>
            </w:tcBorders>
            <w:shd w:val="clear" w:color="auto" w:fill="auto"/>
            <w:vAlign w:val="center"/>
            <w:hideMark/>
          </w:tcPr>
          <w:p w:rsidR="001A19AB" w:rsidRPr="00141D20" w:rsidRDefault="001A19AB" w:rsidP="00141D20">
            <w:pPr>
              <w:spacing w:before="0" w:after="0" w:line="240" w:lineRule="auto"/>
              <w:ind w:firstLineChars="200" w:firstLine="360"/>
              <w:rPr>
                <w:rFonts w:ascii="Nyala" w:eastAsia="Times New Roman" w:hAnsi="Nyala" w:cs="Arial"/>
                <w:color w:val="000000"/>
                <w:sz w:val="18"/>
                <w:szCs w:val="18"/>
                <w:lang w:eastAsia="fr-FR"/>
              </w:rPr>
            </w:pPr>
            <w:r w:rsidRPr="00141D20">
              <w:rPr>
                <w:rFonts w:ascii="Nyala" w:eastAsia="Times New Roman" w:hAnsi="Nyala" w:cs="Arial"/>
                <w:color w:val="000000"/>
                <w:sz w:val="18"/>
                <w:szCs w:val="18"/>
                <w:lang w:eastAsia="fr-FR"/>
              </w:rPr>
              <w:t>-2350028</w:t>
            </w:r>
          </w:p>
        </w:tc>
      </w:tr>
      <w:tr w:rsidR="001A19AB" w:rsidRPr="006E0B1E" w:rsidTr="001432A1">
        <w:trPr>
          <w:trHeight w:val="227"/>
        </w:trPr>
        <w:tc>
          <w:tcPr>
            <w:tcW w:w="592" w:type="pct"/>
            <w:tcBorders>
              <w:top w:val="nil"/>
              <w:left w:val="single" w:sz="8" w:space="0" w:color="000000"/>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Zinder</w:t>
            </w:r>
          </w:p>
        </w:tc>
        <w:tc>
          <w:tcPr>
            <w:tcW w:w="58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507 743</w:t>
            </w:r>
          </w:p>
        </w:tc>
        <w:tc>
          <w:tcPr>
            <w:tcW w:w="58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-2 309 329</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883 002</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-202 681</w:t>
            </w:r>
          </w:p>
        </w:tc>
        <w:tc>
          <w:tcPr>
            <w:tcW w:w="602" w:type="pct"/>
            <w:tcBorders>
              <w:top w:val="nil"/>
              <w:left w:val="nil"/>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-1 689 276</w:t>
            </w:r>
          </w:p>
        </w:tc>
        <w:tc>
          <w:tcPr>
            <w:tcW w:w="701" w:type="pct"/>
            <w:tcBorders>
              <w:top w:val="nil"/>
              <w:left w:val="nil"/>
              <w:bottom w:val="single" w:sz="8" w:space="0" w:color="000000"/>
              <w:right w:val="nil"/>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-1 952 111</w:t>
            </w:r>
          </w:p>
        </w:tc>
        <w:tc>
          <w:tcPr>
            <w:tcW w:w="737" w:type="pct"/>
            <w:tcBorders>
              <w:top w:val="nil"/>
              <w:left w:val="single" w:sz="8" w:space="0" w:color="000000"/>
              <w:bottom w:val="single" w:sz="8" w:space="0" w:color="000000"/>
              <w:right w:val="nil"/>
            </w:tcBorders>
            <w:shd w:val="clear" w:color="auto" w:fill="auto"/>
            <w:vAlign w:val="center"/>
            <w:hideMark/>
          </w:tcPr>
          <w:p w:rsidR="001A19AB" w:rsidRPr="00141D20" w:rsidRDefault="001A19AB" w:rsidP="00141D20">
            <w:pPr>
              <w:spacing w:before="0" w:after="0" w:line="240" w:lineRule="auto"/>
              <w:ind w:firstLineChars="200" w:firstLine="360"/>
              <w:rPr>
                <w:rFonts w:ascii="Nyala" w:eastAsia="Times New Roman" w:hAnsi="Nyala" w:cs="Arial"/>
                <w:color w:val="000000"/>
                <w:sz w:val="18"/>
                <w:szCs w:val="18"/>
                <w:lang w:eastAsia="fr-FR"/>
              </w:rPr>
            </w:pPr>
            <w:r w:rsidRPr="00141D20">
              <w:rPr>
                <w:rFonts w:ascii="Nyala" w:eastAsia="Times New Roman" w:hAnsi="Nyala" w:cs="Arial"/>
                <w:color w:val="000000"/>
                <w:sz w:val="18"/>
                <w:szCs w:val="18"/>
                <w:lang w:eastAsia="fr-FR"/>
              </w:rPr>
              <w:t>-2422018</w:t>
            </w:r>
          </w:p>
        </w:tc>
      </w:tr>
      <w:tr w:rsidR="001A19AB" w:rsidRPr="006E0B1E" w:rsidTr="001432A1">
        <w:trPr>
          <w:trHeight w:val="227"/>
        </w:trPr>
        <w:tc>
          <w:tcPr>
            <w:tcW w:w="592" w:type="pct"/>
            <w:tcBorders>
              <w:top w:val="nil"/>
              <w:left w:val="single" w:sz="8" w:space="0" w:color="000000"/>
              <w:bottom w:val="single" w:sz="8" w:space="0" w:color="000000"/>
              <w:right w:val="single" w:sz="8" w:space="0" w:color="000000"/>
            </w:tcBorders>
            <w:shd w:val="clear" w:color="auto" w:fill="auto"/>
            <w:vAlign w:val="center"/>
            <w:hideMark/>
          </w:tcPr>
          <w:p w:rsidR="001A19AB" w:rsidRPr="00141D20" w:rsidRDefault="001A19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Niamey</w:t>
            </w:r>
          </w:p>
        </w:tc>
        <w:tc>
          <w:tcPr>
            <w:tcW w:w="582" w:type="pct"/>
            <w:tcBorders>
              <w:top w:val="nil"/>
              <w:left w:val="nil"/>
              <w:bottom w:val="nil"/>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-120 030</w:t>
            </w:r>
          </w:p>
        </w:tc>
        <w:tc>
          <w:tcPr>
            <w:tcW w:w="582" w:type="pct"/>
            <w:tcBorders>
              <w:top w:val="nil"/>
              <w:left w:val="nil"/>
              <w:bottom w:val="nil"/>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-103 870</w:t>
            </w:r>
          </w:p>
        </w:tc>
        <w:tc>
          <w:tcPr>
            <w:tcW w:w="602" w:type="pct"/>
            <w:tcBorders>
              <w:top w:val="nil"/>
              <w:left w:val="nil"/>
              <w:bottom w:val="nil"/>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-89 904</w:t>
            </w:r>
          </w:p>
        </w:tc>
        <w:tc>
          <w:tcPr>
            <w:tcW w:w="602" w:type="pct"/>
            <w:tcBorders>
              <w:top w:val="nil"/>
              <w:left w:val="nil"/>
              <w:bottom w:val="nil"/>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-145 172</w:t>
            </w:r>
          </w:p>
        </w:tc>
        <w:tc>
          <w:tcPr>
            <w:tcW w:w="602" w:type="pct"/>
            <w:tcBorders>
              <w:top w:val="nil"/>
              <w:left w:val="nil"/>
              <w:bottom w:val="nil"/>
              <w:right w:val="single" w:sz="8" w:space="0" w:color="000000"/>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-145 426</w:t>
            </w:r>
          </w:p>
        </w:tc>
        <w:tc>
          <w:tcPr>
            <w:tcW w:w="701" w:type="pct"/>
            <w:tcBorders>
              <w:top w:val="nil"/>
              <w:left w:val="nil"/>
              <w:bottom w:val="nil"/>
              <w:right w:val="nil"/>
            </w:tcBorders>
            <w:shd w:val="clear" w:color="auto" w:fill="auto"/>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-157 287</w:t>
            </w:r>
          </w:p>
        </w:tc>
        <w:tc>
          <w:tcPr>
            <w:tcW w:w="737" w:type="pct"/>
            <w:tcBorders>
              <w:top w:val="nil"/>
              <w:left w:val="single" w:sz="8" w:space="0" w:color="000000"/>
              <w:bottom w:val="single" w:sz="8" w:space="0" w:color="000000"/>
              <w:right w:val="nil"/>
            </w:tcBorders>
            <w:shd w:val="clear" w:color="auto" w:fill="auto"/>
            <w:vAlign w:val="center"/>
            <w:hideMark/>
          </w:tcPr>
          <w:p w:rsidR="001A19AB" w:rsidRPr="00141D20" w:rsidRDefault="001A19AB" w:rsidP="00141D20">
            <w:pPr>
              <w:spacing w:before="0" w:after="0" w:line="240" w:lineRule="auto"/>
              <w:ind w:firstLineChars="200" w:firstLine="360"/>
              <w:rPr>
                <w:rFonts w:ascii="Nyala" w:eastAsia="Times New Roman" w:hAnsi="Nyala" w:cs="Arial"/>
                <w:color w:val="000000"/>
                <w:sz w:val="18"/>
                <w:szCs w:val="18"/>
                <w:lang w:eastAsia="fr-FR"/>
              </w:rPr>
            </w:pPr>
            <w:r w:rsidRPr="00141D20">
              <w:rPr>
                <w:rFonts w:ascii="Nyala" w:eastAsia="Times New Roman" w:hAnsi="Nyala" w:cs="Arial"/>
                <w:color w:val="000000"/>
                <w:sz w:val="18"/>
                <w:szCs w:val="18"/>
                <w:lang w:eastAsia="fr-FR"/>
              </w:rPr>
              <w:t>-161050</w:t>
            </w:r>
          </w:p>
        </w:tc>
      </w:tr>
      <w:tr w:rsidR="001A19AB" w:rsidRPr="006E0B1E" w:rsidTr="001432A1">
        <w:trPr>
          <w:trHeight w:val="227"/>
        </w:trPr>
        <w:tc>
          <w:tcPr>
            <w:tcW w:w="592" w:type="pct"/>
            <w:tcBorders>
              <w:top w:val="nil"/>
              <w:left w:val="single" w:sz="12" w:space="0" w:color="BEBEBE"/>
              <w:bottom w:val="single" w:sz="8" w:space="0" w:color="000000"/>
              <w:right w:val="nil"/>
            </w:tcBorders>
            <w:shd w:val="clear" w:color="000000" w:fill="BEBEBE"/>
            <w:vAlign w:val="center"/>
            <w:hideMark/>
          </w:tcPr>
          <w:p w:rsidR="001A19AB" w:rsidRPr="00141D20" w:rsidRDefault="001A19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Niger</w:t>
            </w:r>
          </w:p>
        </w:tc>
        <w:tc>
          <w:tcPr>
            <w:tcW w:w="582" w:type="pct"/>
            <w:tcBorders>
              <w:top w:val="single" w:sz="4" w:space="0" w:color="auto"/>
              <w:left w:val="single" w:sz="4" w:space="0" w:color="auto"/>
              <w:bottom w:val="single" w:sz="4" w:space="0" w:color="auto"/>
              <w:right w:val="single" w:sz="4" w:space="0" w:color="auto"/>
            </w:tcBorders>
            <w:shd w:val="clear" w:color="000000" w:fill="BEBEBE"/>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1 245 926</w:t>
            </w:r>
          </w:p>
        </w:tc>
        <w:tc>
          <w:tcPr>
            <w:tcW w:w="582" w:type="pct"/>
            <w:tcBorders>
              <w:top w:val="single" w:sz="4" w:space="0" w:color="auto"/>
              <w:left w:val="nil"/>
              <w:bottom w:val="single" w:sz="4" w:space="0" w:color="auto"/>
              <w:right w:val="single" w:sz="4" w:space="0" w:color="auto"/>
            </w:tcBorders>
            <w:shd w:val="clear" w:color="000000" w:fill="BEBEBE"/>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-10 222 408</w:t>
            </w:r>
          </w:p>
        </w:tc>
        <w:tc>
          <w:tcPr>
            <w:tcW w:w="602" w:type="pct"/>
            <w:tcBorders>
              <w:top w:val="single" w:sz="4" w:space="0" w:color="auto"/>
              <w:left w:val="nil"/>
              <w:bottom w:val="single" w:sz="4" w:space="0" w:color="auto"/>
              <w:right w:val="single" w:sz="4" w:space="0" w:color="auto"/>
            </w:tcBorders>
            <w:shd w:val="clear" w:color="000000" w:fill="BEBEBE"/>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1 767 888</w:t>
            </w:r>
          </w:p>
        </w:tc>
        <w:tc>
          <w:tcPr>
            <w:tcW w:w="602" w:type="pct"/>
            <w:tcBorders>
              <w:top w:val="single" w:sz="4" w:space="0" w:color="auto"/>
              <w:left w:val="nil"/>
              <w:bottom w:val="single" w:sz="4" w:space="0" w:color="auto"/>
              <w:right w:val="single" w:sz="4" w:space="0" w:color="auto"/>
            </w:tcBorders>
            <w:shd w:val="clear" w:color="000000" w:fill="BEBEBE"/>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-6 708 832</w:t>
            </w:r>
          </w:p>
        </w:tc>
        <w:tc>
          <w:tcPr>
            <w:tcW w:w="602" w:type="pct"/>
            <w:tcBorders>
              <w:top w:val="single" w:sz="4" w:space="0" w:color="auto"/>
              <w:left w:val="nil"/>
              <w:bottom w:val="single" w:sz="4" w:space="0" w:color="auto"/>
              <w:right w:val="single" w:sz="4" w:space="0" w:color="auto"/>
            </w:tcBorders>
            <w:shd w:val="clear" w:color="000000" w:fill="BEBEBE"/>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-8 431 955</w:t>
            </w:r>
          </w:p>
        </w:tc>
        <w:tc>
          <w:tcPr>
            <w:tcW w:w="701" w:type="pct"/>
            <w:tcBorders>
              <w:top w:val="single" w:sz="4" w:space="0" w:color="auto"/>
              <w:left w:val="nil"/>
              <w:bottom w:val="single" w:sz="4" w:space="0" w:color="auto"/>
              <w:right w:val="nil"/>
            </w:tcBorders>
            <w:shd w:val="clear" w:color="000000" w:fill="BEBEBE"/>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-8 580 796</w:t>
            </w:r>
          </w:p>
        </w:tc>
        <w:tc>
          <w:tcPr>
            <w:tcW w:w="737" w:type="pct"/>
            <w:tcBorders>
              <w:top w:val="single" w:sz="4" w:space="0" w:color="auto"/>
              <w:left w:val="single" w:sz="4" w:space="0" w:color="auto"/>
              <w:bottom w:val="single" w:sz="4" w:space="0" w:color="auto"/>
              <w:right w:val="nil"/>
            </w:tcBorders>
            <w:shd w:val="clear" w:color="000000" w:fill="BEBEBE"/>
            <w:vAlign w:val="center"/>
            <w:hideMark/>
          </w:tcPr>
          <w:p w:rsidR="001A19AB" w:rsidRPr="00141D20" w:rsidRDefault="001A19AB" w:rsidP="00141D20">
            <w:pPr>
              <w:spacing w:before="0" w:after="0" w:line="240" w:lineRule="auto"/>
              <w:jc w:val="right"/>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-12 235 882</w:t>
            </w:r>
          </w:p>
        </w:tc>
      </w:tr>
    </w:tbl>
    <w:p w:rsidR="001432A1" w:rsidRPr="00DD0F60" w:rsidRDefault="001432A1" w:rsidP="001432A1">
      <w:pPr>
        <w:spacing w:before="0" w:line="240" w:lineRule="auto"/>
        <w:jc w:val="both"/>
        <w:rPr>
          <w:rFonts w:ascii="Nyala" w:hAnsi="Nyala"/>
        </w:rPr>
      </w:pPr>
      <w:r w:rsidRPr="00DD0F60">
        <w:rPr>
          <w:rFonts w:ascii="Nyala" w:hAnsi="Nyala"/>
        </w:rPr>
        <w:t>Source : MAGEL</w:t>
      </w:r>
    </w:p>
    <w:p w:rsidR="00C16CC4" w:rsidRDefault="00C16CC4" w:rsidP="001A19AB">
      <w:pPr>
        <w:jc w:val="both"/>
        <w:rPr>
          <w:rFonts w:ascii="Nyala" w:hAnsi="Nyala"/>
          <w:i/>
          <w:sz w:val="28"/>
          <w:szCs w:val="28"/>
        </w:rPr>
      </w:pPr>
    </w:p>
    <w:p w:rsidR="001A19AB" w:rsidRPr="00141D20" w:rsidRDefault="001A19AB" w:rsidP="001A19AB">
      <w:pPr>
        <w:jc w:val="both"/>
        <w:rPr>
          <w:rFonts w:ascii="Nyala" w:hAnsi="Nyala"/>
          <w:i/>
          <w:sz w:val="28"/>
          <w:szCs w:val="28"/>
        </w:rPr>
      </w:pPr>
      <w:r w:rsidRPr="00141D20">
        <w:rPr>
          <w:rFonts w:ascii="Nyala" w:hAnsi="Nyala"/>
          <w:i/>
          <w:sz w:val="28"/>
          <w:szCs w:val="28"/>
        </w:rPr>
        <w:t>L’amélioration de l’accessibilité passera, bien entendu par le pouvoir d’achat des ménages et également par le développement d’un élevage à cycle court en milieu rural (productions d’œufs et de viande de volaille, de poisson), le développement d’un élevage fermier dans les zones péri-urbaines et de système de ranching en zones pastorales, une plus grande mise en marché du bétail et l’augmentation de l’offre de viande des abattoirs modernes. Pour cela des incitatifs et des facilités de financement devraient être mis en place pour l’accroissement de l’offre en protéines animales à des coûts abordables. Pour les groupes vulnérables en situation d’urgence, les sous-produits animaux (par exemple viande ou poisson séché) devraient être introduits dans la ration alimentaire de soutien, si ce n’est déjà fait.</w:t>
      </w:r>
    </w:p>
    <w:p w:rsidR="00774A36" w:rsidRDefault="00774A36" w:rsidP="006269AA">
      <w:pPr>
        <w:spacing w:after="120"/>
        <w:jc w:val="both"/>
        <w:rPr>
          <w:rFonts w:ascii="Calibri" w:hAnsi="Calibri" w:cs="Arial"/>
          <w:bCs/>
          <w:kern w:val="24"/>
          <w:sz w:val="28"/>
          <w:szCs w:val="28"/>
        </w:rPr>
      </w:pPr>
    </w:p>
    <w:p w:rsidR="006269AA" w:rsidRDefault="006269AA" w:rsidP="00141D20">
      <w:pPr>
        <w:pStyle w:val="Titre3"/>
        <w:numPr>
          <w:ilvl w:val="2"/>
          <w:numId w:val="2"/>
        </w:numPr>
        <w:rPr>
          <w:sz w:val="28"/>
          <w:szCs w:val="28"/>
        </w:rPr>
      </w:pPr>
      <w:bookmarkStart w:id="451" w:name="_Toc525566631"/>
      <w:bookmarkStart w:id="452" w:name="_Toc525688749"/>
      <w:bookmarkStart w:id="453" w:name="_Toc526119982"/>
      <w:bookmarkEnd w:id="451"/>
      <w:bookmarkEnd w:id="452"/>
      <w:r w:rsidRPr="006866D3">
        <w:rPr>
          <w:sz w:val="28"/>
          <w:szCs w:val="28"/>
        </w:rPr>
        <w:t>Faciliter l’accès aux intrants</w:t>
      </w:r>
      <w:bookmarkEnd w:id="453"/>
    </w:p>
    <w:p w:rsidR="00B537E3" w:rsidRDefault="00B537E3" w:rsidP="00141D20"/>
    <w:p w:rsidR="006269AA" w:rsidRPr="006866D3" w:rsidRDefault="006269AA" w:rsidP="006269AA">
      <w:pPr>
        <w:spacing w:after="120"/>
        <w:jc w:val="both"/>
        <w:rPr>
          <w:rStyle w:val="Rfrenceintense"/>
          <w:sz w:val="28"/>
          <w:szCs w:val="28"/>
        </w:rPr>
      </w:pPr>
      <w:r w:rsidRPr="006866D3">
        <w:rPr>
          <w:rStyle w:val="Rfrenceintense"/>
          <w:sz w:val="28"/>
          <w:szCs w:val="28"/>
        </w:rPr>
        <w:t xml:space="preserve">Faciliter l’accessibilité aux intrants </w:t>
      </w:r>
    </w:p>
    <w:p w:rsidR="006269AA" w:rsidRPr="006866D3" w:rsidRDefault="006269AA" w:rsidP="006269AA">
      <w:pPr>
        <w:jc w:val="both"/>
        <w:rPr>
          <w:rFonts w:ascii="Nyala" w:hAnsi="Nyala"/>
          <w:sz w:val="28"/>
          <w:szCs w:val="28"/>
        </w:rPr>
      </w:pPr>
      <w:r w:rsidRPr="006866D3">
        <w:rPr>
          <w:rFonts w:ascii="Nyala" w:hAnsi="Nyala"/>
          <w:sz w:val="28"/>
          <w:szCs w:val="28"/>
        </w:rPr>
        <w:t xml:space="preserve">La SDDCI met l’accent sur une transformation radicale du secteur agricole grâce à l’adoption de pratiques agricoles productives, résilientes et durables. Pour le producteur, quel que soit la technique et la technologie à appliquer sur une partie ou la totalité de son exploitation, il y a un coût qu’il devra supporter par le travail, l’équipement ou l’acquisition d’intrants et autres petits matériels agricoles. Très souvent, la vitesse de pénétration des innovations techniques ou technologiques est freinée par leur accessibilité physique ou monétaire pour la grande majorité des exploitations. L’Initiative 3N a fait de l’accessibilité aux semences et engrais minéraux, un point important de son action. </w:t>
      </w:r>
    </w:p>
    <w:p w:rsidR="006269AA" w:rsidRPr="006866D3" w:rsidRDefault="006269AA" w:rsidP="006269AA">
      <w:pPr>
        <w:jc w:val="both"/>
        <w:rPr>
          <w:rFonts w:ascii="Nyala" w:hAnsi="Nyala"/>
          <w:sz w:val="28"/>
          <w:szCs w:val="28"/>
        </w:rPr>
      </w:pPr>
    </w:p>
    <w:p w:rsidR="006269AA" w:rsidRPr="006866D3" w:rsidRDefault="006269AA" w:rsidP="006269AA">
      <w:pPr>
        <w:pStyle w:val="Paragraphedeliste"/>
        <w:numPr>
          <w:ilvl w:val="0"/>
          <w:numId w:val="16"/>
        </w:numPr>
        <w:jc w:val="both"/>
        <w:rPr>
          <w:rStyle w:val="Emphaseple"/>
          <w:sz w:val="28"/>
          <w:szCs w:val="28"/>
        </w:rPr>
      </w:pPr>
      <w:r w:rsidRPr="006866D3">
        <w:rPr>
          <w:rStyle w:val="Emphaseple"/>
          <w:sz w:val="28"/>
          <w:szCs w:val="28"/>
        </w:rPr>
        <w:t>Réforme du secteur des engrais</w:t>
      </w:r>
    </w:p>
    <w:p w:rsidR="006269AA" w:rsidRPr="006866D3" w:rsidRDefault="006269AA" w:rsidP="006269AA">
      <w:pPr>
        <w:jc w:val="both"/>
        <w:rPr>
          <w:rFonts w:ascii="Nyala" w:eastAsia="Calibri" w:hAnsi="Nyala" w:cs="Times New Roman"/>
          <w:sz w:val="28"/>
          <w:szCs w:val="28"/>
        </w:rPr>
      </w:pPr>
      <w:r w:rsidRPr="006866D3">
        <w:rPr>
          <w:rFonts w:ascii="Nyala" w:hAnsi="Nyala"/>
          <w:sz w:val="28"/>
          <w:szCs w:val="28"/>
        </w:rPr>
        <w:t xml:space="preserve">Le Niger est l’un des pays africains où l’utilisation des engrais est très faible, notamment pour les cultures pluviales </w:t>
      </w:r>
      <w:r w:rsidRPr="006866D3">
        <w:rPr>
          <w:rFonts w:ascii="Nyala" w:eastAsia="Calibri" w:hAnsi="Nyala" w:cs="Times New Roman"/>
          <w:sz w:val="28"/>
          <w:szCs w:val="28"/>
        </w:rPr>
        <w:t>comme le mil (1%), le sorgho (5%) et le niébé (3%)</w:t>
      </w:r>
      <w:r w:rsidRPr="006866D3">
        <w:rPr>
          <w:rFonts w:ascii="Nyala" w:hAnsi="Nyala"/>
          <w:sz w:val="28"/>
          <w:szCs w:val="28"/>
        </w:rPr>
        <w:t>. L’utilisation de l’engrais est surtout forte pour les cultures maraîchères irriguées (</w:t>
      </w:r>
      <w:r w:rsidRPr="006866D3">
        <w:rPr>
          <w:rFonts w:ascii="Nyala" w:eastAsia="Calibri" w:hAnsi="Nyala" w:cs="Times New Roman"/>
          <w:sz w:val="28"/>
          <w:szCs w:val="28"/>
        </w:rPr>
        <w:t>80% à 84%), les céréales irriguées (35% à 60%)</w:t>
      </w:r>
      <w:r w:rsidRPr="006866D3">
        <w:rPr>
          <w:rStyle w:val="Appelnotedebasdep"/>
          <w:rFonts w:ascii="Nyala" w:eastAsia="Calibri" w:hAnsi="Nyala" w:cs="Times New Roman"/>
          <w:sz w:val="28"/>
          <w:szCs w:val="28"/>
        </w:rPr>
        <w:footnoteReference w:id="14"/>
      </w:r>
      <w:r w:rsidRPr="006866D3">
        <w:rPr>
          <w:rFonts w:ascii="Nyala" w:eastAsia="Calibri" w:hAnsi="Nyala" w:cs="Times New Roman"/>
          <w:sz w:val="28"/>
          <w:szCs w:val="28"/>
        </w:rPr>
        <w:t>.</w:t>
      </w:r>
    </w:p>
    <w:p w:rsidR="006269AA" w:rsidRPr="006866D3" w:rsidRDefault="006269AA" w:rsidP="006269AA">
      <w:pPr>
        <w:jc w:val="both"/>
        <w:rPr>
          <w:rFonts w:ascii="Nyala" w:eastAsia="Calibri" w:hAnsi="Nyala" w:cs="Times New Roman"/>
          <w:sz w:val="28"/>
          <w:szCs w:val="28"/>
        </w:rPr>
      </w:pPr>
      <w:r w:rsidRPr="006866D3">
        <w:rPr>
          <w:rFonts w:ascii="Nyala" w:eastAsia="Calibri" w:hAnsi="Nyala" w:cs="Times New Roman"/>
          <w:sz w:val="28"/>
          <w:szCs w:val="28"/>
        </w:rPr>
        <w:t xml:space="preserve">Jusqu’à présent, le système d’approvisionnement et de distribution des engrais repose i) au niveau national et régional sur un réseau étatique (représenté par la CAIMA) et un petit nombre d’importateurs privés formels ou informels ii) au niveau des Communes sur des détaillants privés et iii) au niveau des villages sur des Organisations de Producteurs (Boutiques d’Intrants). La CAIMA gère également la subvention accordée annuellement par l’Etat pour soutenir les producteurs. </w:t>
      </w:r>
    </w:p>
    <w:p w:rsidR="006269AA" w:rsidRPr="006866D3" w:rsidRDefault="006269AA" w:rsidP="006269AA">
      <w:pPr>
        <w:jc w:val="both"/>
        <w:rPr>
          <w:rFonts w:ascii="Nyala" w:eastAsia="Calibri" w:hAnsi="Nyala" w:cs="Times New Roman"/>
          <w:sz w:val="28"/>
          <w:szCs w:val="28"/>
        </w:rPr>
      </w:pPr>
      <w:r w:rsidRPr="006866D3">
        <w:rPr>
          <w:rFonts w:ascii="Nyala" w:eastAsia="Calibri" w:hAnsi="Nyala" w:cs="Times New Roman"/>
          <w:sz w:val="28"/>
          <w:szCs w:val="28"/>
        </w:rPr>
        <w:t xml:space="preserve">L’ensemble du système d’approvisionnement et distribution a été jugé inefficace pour faciliter la disponibilité et l’accessibilité des engrais dans tous les pays. En janvier 2018, avec l’appui du MCC, le Niger s’est doté d’un plan de réforme du secteur des engrais. Celui-ci apporte des corrections sur les deux dimensions  du système actuel de gestion du secteur des engrais : </w:t>
      </w:r>
    </w:p>
    <w:p w:rsidR="006269AA" w:rsidRPr="006866D3" w:rsidRDefault="006269AA" w:rsidP="006269AA">
      <w:pPr>
        <w:pStyle w:val="Paragraphedeliste"/>
        <w:numPr>
          <w:ilvl w:val="0"/>
          <w:numId w:val="4"/>
        </w:numPr>
        <w:spacing w:after="120"/>
        <w:jc w:val="both"/>
        <w:rPr>
          <w:rFonts w:ascii="Nyala" w:hAnsi="Nyala" w:cs="Times New Roman"/>
          <w:sz w:val="28"/>
          <w:szCs w:val="28"/>
        </w:rPr>
      </w:pPr>
      <w:r w:rsidRPr="006866D3">
        <w:rPr>
          <w:rFonts w:ascii="Nyala" w:eastAsia="Calibri" w:hAnsi="Nyala" w:cs="Times New Roman"/>
          <w:sz w:val="28"/>
          <w:szCs w:val="28"/>
        </w:rPr>
        <w:t xml:space="preserve">Pour assurer une disponibilité accrue, le marché des engrais va être libéralisé et laisser la place progressivement au secteur privé ; l’Etat devant assumer son rôle de contrôleur et régulateur à travers un </w:t>
      </w:r>
      <w:r w:rsidRPr="006866D3">
        <w:rPr>
          <w:rFonts w:ascii="Nyala" w:hAnsi="Nyala" w:cs="Times New Roman"/>
          <w:sz w:val="28"/>
          <w:szCs w:val="28"/>
        </w:rPr>
        <w:t xml:space="preserve">Observatoire des Marchés des Engrais du Niger’ (OMEN). </w:t>
      </w:r>
      <w:r w:rsidRPr="006866D3">
        <w:rPr>
          <w:rFonts w:ascii="Nyala" w:eastAsia="Calibri" w:hAnsi="Nyala" w:cs="Times New Roman"/>
          <w:sz w:val="28"/>
          <w:szCs w:val="28"/>
        </w:rPr>
        <w:t>Toutefois, jusqu’à ce le secteur privé soit totalement prêt, la CAIMA continuera à intervenir dans l’approvisionnement.</w:t>
      </w:r>
    </w:p>
    <w:p w:rsidR="006269AA" w:rsidRPr="006866D3" w:rsidRDefault="006269AA" w:rsidP="006269AA">
      <w:pPr>
        <w:pStyle w:val="Paragraphedeliste"/>
        <w:spacing w:after="120"/>
        <w:jc w:val="both"/>
        <w:rPr>
          <w:rFonts w:ascii="Nyala" w:hAnsi="Nyala" w:cs="Times New Roman"/>
          <w:sz w:val="28"/>
          <w:szCs w:val="28"/>
        </w:rPr>
      </w:pPr>
    </w:p>
    <w:p w:rsidR="006269AA" w:rsidRPr="006866D3" w:rsidRDefault="006269AA" w:rsidP="006269AA">
      <w:pPr>
        <w:pStyle w:val="Paragraphedeliste"/>
        <w:numPr>
          <w:ilvl w:val="0"/>
          <w:numId w:val="4"/>
        </w:numPr>
        <w:spacing w:after="120"/>
        <w:jc w:val="both"/>
        <w:rPr>
          <w:rFonts w:ascii="Nyala" w:eastAsia="Calibri" w:hAnsi="Nyala" w:cs="Times New Roman"/>
          <w:sz w:val="28"/>
          <w:szCs w:val="28"/>
        </w:rPr>
      </w:pPr>
      <w:r w:rsidRPr="006866D3">
        <w:rPr>
          <w:rFonts w:ascii="Nyala" w:eastAsia="Calibri" w:hAnsi="Nyala" w:cs="Times New Roman"/>
          <w:sz w:val="28"/>
          <w:szCs w:val="28"/>
        </w:rPr>
        <w:t>Pour assurer l’accessibilité, en d’autres termes rendre les prix supportables aux petits producteurs vulnérables, la subvention est maintenue comme instrument de politique agricole pour améliorer la compétitivité des filières agricoles et développer le marché des intrants. Mais, il est prévu que le ciblage des bénéficiaires de la subvention soit mieux fait et traçable grâce à la supervision d’un Comité Technique des Engrais du Niger (COTEN) placé auprès du Ministère en charge de l’Agriculture et à la mise en place d’un système de distribution par bons d’achats. D’ores et déjà, avec l’appui du PASEC cofinancé par la Banque Mondiale et le MCC, un système de bons d’achat utilisant la téléphonie mobile est sur le point d’être testé (voir Encadré).</w:t>
      </w:r>
    </w:p>
    <w:p w:rsidR="006269AA" w:rsidRPr="006866D3" w:rsidRDefault="006269AA" w:rsidP="006269AA">
      <w:pPr>
        <w:pStyle w:val="Paragraphedeliste"/>
        <w:spacing w:after="120"/>
        <w:ind w:left="0"/>
        <w:jc w:val="both"/>
        <w:rPr>
          <w:rFonts w:ascii="Nyala" w:eastAsia="Calibri" w:hAnsi="Nyala" w:cs="Times New Roman"/>
          <w:sz w:val="28"/>
          <w:szCs w:val="28"/>
        </w:rPr>
      </w:pPr>
    </w:p>
    <w:p w:rsidR="006269AA" w:rsidRPr="006866D3" w:rsidRDefault="00146983" w:rsidP="006269AA">
      <w:pPr>
        <w:pStyle w:val="Paragraphedeliste"/>
        <w:spacing w:after="120"/>
        <w:ind w:left="0"/>
        <w:jc w:val="both"/>
        <w:rPr>
          <w:rFonts w:ascii="Nyala" w:eastAsia="Calibri" w:hAnsi="Nyala" w:cs="Times New Roman"/>
          <w:sz w:val="28"/>
          <w:szCs w:val="28"/>
        </w:rPr>
      </w:pPr>
      <w:r>
        <w:rPr>
          <w:noProof/>
          <w:sz w:val="28"/>
          <w:szCs w:val="28"/>
          <w:lang w:eastAsia="fr-FR"/>
        </w:rPr>
        <mc:AlternateContent>
          <mc:Choice Requires="wps">
            <w:drawing>
              <wp:anchor distT="0" distB="0" distL="114300" distR="114300" simplePos="0" relativeHeight="251963392" behindDoc="0" locked="0" layoutInCell="1" allowOverlap="1" wp14:anchorId="12FC005C">
                <wp:simplePos x="0" y="0"/>
                <wp:positionH relativeFrom="margin">
                  <wp:align>right</wp:align>
                </wp:positionH>
                <wp:positionV relativeFrom="paragraph">
                  <wp:posOffset>298450</wp:posOffset>
                </wp:positionV>
                <wp:extent cx="3923665" cy="2519680"/>
                <wp:effectExtent l="0" t="0" r="19685" b="11430"/>
                <wp:wrapSquare wrapText="bothSides"/>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3665" cy="2519680"/>
                        </a:xfrm>
                        <a:prstGeom prst="rect">
                          <a:avLst/>
                        </a:prstGeom>
                        <a:noFill/>
                        <a:ln w="6350">
                          <a:solidFill>
                            <a:prstClr val="black"/>
                          </a:solidFill>
                        </a:ln>
                        <a:effectLst/>
                      </wps:spPr>
                      <wps:txbx>
                        <w:txbxContent>
                          <w:p w:rsidR="00146325" w:rsidRDefault="00146325" w:rsidP="006269AA">
                            <w:pPr>
                              <w:pStyle w:val="Lgende"/>
                              <w:keepNext/>
                              <w:jc w:val="both"/>
                            </w:pPr>
                            <w:bookmarkStart w:id="454" w:name="_Toc526120100"/>
                            <w:r>
                              <w:t xml:space="preserve">Figure </w:t>
                            </w:r>
                            <w:r w:rsidR="00C73EE5">
                              <w:fldChar w:fldCharType="begin"/>
                            </w:r>
                            <w:r w:rsidR="00C73EE5">
                              <w:instrText xml:space="preserve"> SEQ Figure \</w:instrText>
                            </w:r>
                            <w:r w:rsidR="00C73EE5">
                              <w:instrText xml:space="preserve">* ARABIC </w:instrText>
                            </w:r>
                            <w:r w:rsidR="00C73EE5">
                              <w:fldChar w:fldCharType="separate"/>
                            </w:r>
                            <w:r>
                              <w:rPr>
                                <w:noProof/>
                              </w:rPr>
                              <w:t>34</w:t>
                            </w:r>
                            <w:r w:rsidR="00C73EE5">
                              <w:rPr>
                                <w:noProof/>
                              </w:rPr>
                              <w:fldChar w:fldCharType="end"/>
                            </w:r>
                            <w:r>
                              <w:t xml:space="preserve"> - Impact du plan de réforme sur la disponibilité des engrais</w:t>
                            </w:r>
                            <w:bookmarkEnd w:id="454"/>
                          </w:p>
                          <w:p w:rsidR="00146325" w:rsidRPr="000B06D3" w:rsidRDefault="00146325" w:rsidP="006269AA">
                            <w:pPr>
                              <w:spacing w:after="120"/>
                              <w:jc w:val="both"/>
                              <w:rPr>
                                <w:rFonts w:ascii="Nyala" w:hAnsi="Nyala"/>
                                <w:noProof/>
                                <w:sz w:val="24"/>
                                <w:szCs w:val="24"/>
                              </w:rPr>
                            </w:pPr>
                            <w:r w:rsidRPr="00D00E73">
                              <w:rPr>
                                <w:rFonts w:ascii="Nyala" w:hAnsi="Nyala"/>
                                <w:noProof/>
                                <w:sz w:val="24"/>
                                <w:szCs w:val="24"/>
                                <w:lang w:eastAsia="fr-FR"/>
                              </w:rPr>
                              <w:drawing>
                                <wp:inline distT="0" distB="0" distL="0" distR="0">
                                  <wp:extent cx="3445459" cy="1837003"/>
                                  <wp:effectExtent l="0" t="0" r="317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56161" cy="184270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2FC005C" id="Zone de texte 57" o:spid="_x0000_s1066" type="#_x0000_t202" style="position:absolute;left:0;text-align:left;margin-left:257.75pt;margin-top:23.5pt;width:308.95pt;height:198.4pt;z-index:25196339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" filled="f" strokeweight=".5pt">
                <v:path arrowok="t"/>
                <v:textbox style="mso-fit-shape-to-text:t">
                  <w:txbxContent>
                    <w:p w:rsidR="00146325" w:rsidRDefault="00146325" w:rsidP="006269AA">
                      <w:pPr>
                        <w:pStyle w:val="Lgende"/>
                        <w:keepNext/>
                        <w:jc w:val="both"/>
                      </w:pPr>
                      <w:bookmarkStart w:id="455" w:name="_Toc526120100"/>
                      <w:r>
                        <w:t xml:space="preserve">Figure </w:t>
                      </w:r>
                      <w:r w:rsidR="00C73EE5">
                        <w:fldChar w:fldCharType="begin"/>
                      </w:r>
                      <w:r w:rsidR="00C73EE5">
                        <w:instrText xml:space="preserve"> SEQ Figure \</w:instrText>
                      </w:r>
                      <w:r w:rsidR="00C73EE5">
                        <w:instrText xml:space="preserve">* ARABIC </w:instrText>
                      </w:r>
                      <w:r w:rsidR="00C73EE5">
                        <w:fldChar w:fldCharType="separate"/>
                      </w:r>
                      <w:r>
                        <w:rPr>
                          <w:noProof/>
                        </w:rPr>
                        <w:t>34</w:t>
                      </w:r>
                      <w:r w:rsidR="00C73EE5">
                        <w:rPr>
                          <w:noProof/>
                        </w:rPr>
                        <w:fldChar w:fldCharType="end"/>
                      </w:r>
                      <w:r>
                        <w:t xml:space="preserve"> - Impact du plan de réforme sur la disponibilité des engrais</w:t>
                      </w:r>
                      <w:bookmarkEnd w:id="455"/>
                    </w:p>
                    <w:p w:rsidR="00146325" w:rsidRPr="000B06D3" w:rsidRDefault="00146325" w:rsidP="006269AA">
                      <w:pPr>
                        <w:spacing w:after="120"/>
                        <w:jc w:val="both"/>
                        <w:rPr>
                          <w:rFonts w:ascii="Nyala" w:hAnsi="Nyala"/>
                          <w:noProof/>
                          <w:sz w:val="24"/>
                          <w:szCs w:val="24"/>
                        </w:rPr>
                      </w:pPr>
                      <w:r w:rsidRPr="00D00E73">
                        <w:rPr>
                          <w:rFonts w:ascii="Nyala" w:hAnsi="Nyala"/>
                          <w:noProof/>
                          <w:sz w:val="24"/>
                          <w:szCs w:val="24"/>
                          <w:lang w:eastAsia="fr-FR"/>
                        </w:rPr>
                        <w:drawing>
                          <wp:inline distT="0" distB="0" distL="0" distR="0">
                            <wp:extent cx="3445459" cy="1837003"/>
                            <wp:effectExtent l="0" t="0" r="317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56161" cy="1842709"/>
                                    </a:xfrm>
                                    <a:prstGeom prst="rect">
                                      <a:avLst/>
                                    </a:prstGeom>
                                    <a:noFill/>
                                    <a:ln>
                                      <a:noFill/>
                                    </a:ln>
                                  </pic:spPr>
                                </pic:pic>
                              </a:graphicData>
                            </a:graphic>
                          </wp:inline>
                        </w:drawing>
                      </w:r>
                    </w:p>
                  </w:txbxContent>
                </v:textbox>
                <w10:wrap type="square" anchorx="margin"/>
              </v:shape>
            </w:pict>
          </mc:Fallback>
        </mc:AlternateContent>
      </w:r>
      <w:r w:rsidR="006269AA" w:rsidRPr="006866D3">
        <w:rPr>
          <w:rFonts w:ascii="Nyala" w:eastAsia="Calibri" w:hAnsi="Nyala" w:cs="Times New Roman"/>
          <w:sz w:val="28"/>
          <w:szCs w:val="28"/>
        </w:rPr>
        <w:t>La réforme du secteur des engrais devrait accroître significativement le volume d’engrais disponible de 24560 T en 2017 à 90 000 T en 2022 et si la tendance d’accroissement se maintient à près de 200 000 t en 2030 ; ce qui équivaudrait une dose d’utilisation de 20 kg/ha, bien au-delà des doses actuelles de 3kg//ha du Niger et 12 kg/ha de l’Afrique ; mais encore en deçà de l’objectif-cible de 50 kg/ha que les pays africains se sont fixés pour 2015 (</w:t>
      </w:r>
      <w:r w:rsidR="006269AA" w:rsidRPr="006866D3">
        <w:rPr>
          <w:rFonts w:ascii="Nyala" w:eastAsia="Calibri" w:hAnsi="Nyala" w:cs="Times New Roman"/>
          <w:b/>
          <w:sz w:val="28"/>
          <w:szCs w:val="28"/>
        </w:rPr>
        <w:t>figure 3</w:t>
      </w:r>
      <w:r w:rsidR="00D413AC">
        <w:rPr>
          <w:rFonts w:ascii="Nyala" w:eastAsia="Calibri" w:hAnsi="Nyala" w:cs="Times New Roman"/>
          <w:b/>
          <w:sz w:val="28"/>
          <w:szCs w:val="28"/>
        </w:rPr>
        <w:t>4</w:t>
      </w:r>
      <w:r w:rsidR="006269AA" w:rsidRPr="006866D3">
        <w:rPr>
          <w:rFonts w:ascii="Nyala" w:eastAsia="Calibri" w:hAnsi="Nyala" w:cs="Times New Roman"/>
          <w:sz w:val="28"/>
          <w:szCs w:val="28"/>
        </w:rPr>
        <w:t>).</w:t>
      </w:r>
    </w:p>
    <w:p w:rsidR="006269AA" w:rsidRPr="006866D3" w:rsidRDefault="006269AA" w:rsidP="006269AA">
      <w:pPr>
        <w:spacing w:after="120"/>
        <w:jc w:val="both"/>
        <w:rPr>
          <w:rFonts w:ascii="Nyala" w:eastAsia="Calibri" w:hAnsi="Nyala" w:cs="Times New Roman"/>
          <w:sz w:val="28"/>
          <w:szCs w:val="28"/>
        </w:rPr>
      </w:pPr>
    </w:p>
    <w:p w:rsidR="006269AA" w:rsidRPr="006866D3" w:rsidRDefault="006269AA" w:rsidP="006269AA">
      <w:pPr>
        <w:spacing w:after="120"/>
        <w:jc w:val="both"/>
        <w:rPr>
          <w:rFonts w:ascii="Nyala" w:hAnsi="Nyala" w:cs="Arial"/>
          <w:color w:val="000000"/>
          <w:sz w:val="28"/>
          <w:szCs w:val="28"/>
        </w:rPr>
      </w:pPr>
      <w:r w:rsidRPr="006866D3">
        <w:rPr>
          <w:rFonts w:ascii="Nyala" w:eastAsia="Calibri" w:hAnsi="Nyala" w:cs="Times New Roman"/>
          <w:sz w:val="28"/>
          <w:szCs w:val="28"/>
        </w:rPr>
        <w:t>Toutefois, il y a lieu de considérer que la réussite de la réforme du secteur des engrais dépendra de la maîtrise de la demande et de la qualité de la distribution bord-champ que seules des Organisations Paysannes bien structurées et représentatives sont à même d’assurer. Dans cette perspective, l’Initiative 3N se propose de mettre en place des centrales communales d’approvisionnements intégrées à la Maison du Paysan, véritable complexe de</w:t>
      </w:r>
      <w:r w:rsidRPr="006866D3">
        <w:rPr>
          <w:rFonts w:ascii="Nyala" w:hAnsi="Nyala" w:cs="Arial"/>
          <w:color w:val="000000"/>
          <w:sz w:val="28"/>
          <w:szCs w:val="28"/>
        </w:rPr>
        <w:t xml:space="preserve"> fourniture de biens et services aux producteurs placé sous l’égide des collectivités territoriales. Le Plan d’Action 2016-2020 de l’Initiative 3N prévoit de créer une centaine de centrales communautaires. Mais leur efficacité et leur viabilité devront être interrogées eu égard à la réforme du secteur des engrais.</w:t>
      </w:r>
    </w:p>
    <w:p w:rsidR="006269AA" w:rsidRPr="006866D3" w:rsidRDefault="006269AA" w:rsidP="006269AA">
      <w:pPr>
        <w:spacing w:after="120"/>
        <w:jc w:val="both"/>
        <w:rPr>
          <w:rFonts w:ascii="Nyala" w:hAnsi="Nyala" w:cs="Arial"/>
          <w:color w:val="000000"/>
          <w:sz w:val="28"/>
          <w:szCs w:val="28"/>
        </w:rPr>
      </w:pPr>
    </w:p>
    <w:p w:rsidR="006269AA" w:rsidRPr="006866D3" w:rsidRDefault="006269AA" w:rsidP="006269AA">
      <w:pPr>
        <w:pStyle w:val="Paragraphedeliste"/>
        <w:numPr>
          <w:ilvl w:val="0"/>
          <w:numId w:val="16"/>
        </w:numPr>
        <w:jc w:val="both"/>
        <w:rPr>
          <w:rStyle w:val="Emphaseple"/>
          <w:b/>
          <w:bCs/>
          <w:caps/>
          <w:sz w:val="28"/>
          <w:szCs w:val="28"/>
        </w:rPr>
      </w:pPr>
      <w:r w:rsidRPr="006866D3">
        <w:rPr>
          <w:rStyle w:val="Emphaseple"/>
          <w:b/>
          <w:bCs/>
          <w:caps/>
          <w:sz w:val="28"/>
          <w:szCs w:val="28"/>
        </w:rPr>
        <w:t xml:space="preserve"> Relance de la filière semencière</w:t>
      </w:r>
    </w:p>
    <w:p w:rsidR="006269AA" w:rsidRPr="00141D20" w:rsidRDefault="006269AA" w:rsidP="006269AA">
      <w:pPr>
        <w:jc w:val="both"/>
        <w:rPr>
          <w:rFonts w:ascii="Nyala" w:hAnsi="Nyala"/>
          <w:sz w:val="28"/>
          <w:szCs w:val="28"/>
        </w:rPr>
      </w:pPr>
      <w:r w:rsidRPr="006866D3">
        <w:rPr>
          <w:rFonts w:ascii="Nyala" w:hAnsi="Nyala"/>
          <w:sz w:val="28"/>
          <w:szCs w:val="28"/>
        </w:rPr>
        <w:t xml:space="preserve">L’Utilisation des semences de qualité de variétés sélectionnées, productives et tolérantes à la sécheresse, est une des mesures retenues pour renforcer la résilience des systèmes de production face aux risques climatiques. Aujourd’hui, à peine </w:t>
      </w:r>
      <w:r w:rsidRPr="00141D20">
        <w:rPr>
          <w:rFonts w:ascii="Nyala" w:hAnsi="Nyala"/>
          <w:sz w:val="28"/>
          <w:szCs w:val="28"/>
        </w:rPr>
        <w:t xml:space="preserve">2,5% des agriculteurs utilisent des semences sélectionnées. </w:t>
      </w:r>
    </w:p>
    <w:p w:rsidR="006269AA" w:rsidRPr="006866D3" w:rsidRDefault="006269AA" w:rsidP="006269AA">
      <w:pPr>
        <w:jc w:val="both"/>
        <w:rPr>
          <w:rFonts w:ascii="Nyala" w:hAnsi="Nyala"/>
          <w:sz w:val="28"/>
          <w:szCs w:val="28"/>
        </w:rPr>
      </w:pPr>
      <w:r w:rsidRPr="006866D3">
        <w:rPr>
          <w:rFonts w:ascii="Nyala" w:hAnsi="Nyala"/>
          <w:sz w:val="28"/>
          <w:szCs w:val="28"/>
        </w:rPr>
        <w:t>En 2012, le Niger s’est doté d’un Plan de Relance de la Filière Semencière qui prévoyait une utilisation de semences sélectionnées sur 30% des superficies emblavées en 2016 au lieu de 2,8% en 2012. Quant au PAGRA, il prévoyait la production de 48900 t à utiliser sur 50% des superficies cultivées en 2023</w:t>
      </w:r>
      <w:r w:rsidR="00146983">
        <w:rPr>
          <w:noProof/>
          <w:sz w:val="28"/>
          <w:szCs w:val="28"/>
          <w:lang w:eastAsia="fr-FR"/>
        </w:rPr>
        <mc:AlternateContent>
          <mc:Choice Requires="wps">
            <w:drawing>
              <wp:anchor distT="0" distB="0" distL="114300" distR="114300" simplePos="0" relativeHeight="251961344" behindDoc="0" locked="0" layoutInCell="1" allowOverlap="1" wp14:anchorId="75D7744E">
                <wp:simplePos x="0" y="0"/>
                <wp:positionH relativeFrom="margin">
                  <wp:align>right</wp:align>
                </wp:positionH>
                <wp:positionV relativeFrom="paragraph">
                  <wp:posOffset>179705</wp:posOffset>
                </wp:positionV>
                <wp:extent cx="3447415" cy="2390775"/>
                <wp:effectExtent l="0" t="0" r="19685" b="28575"/>
                <wp:wrapSquare wrapText="bothSides"/>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7415" cy="2390775"/>
                        </a:xfrm>
                        <a:prstGeom prst="rect">
                          <a:avLst/>
                        </a:prstGeom>
                        <a:noFill/>
                        <a:ln w="6350">
                          <a:solidFill>
                            <a:prstClr val="black"/>
                          </a:solidFill>
                        </a:ln>
                        <a:effectLst/>
                      </wps:spPr>
                      <wps:txbx>
                        <w:txbxContent>
                          <w:p w:rsidR="00146325" w:rsidRDefault="00146325" w:rsidP="006269AA">
                            <w:pPr>
                              <w:pStyle w:val="Lgende"/>
                              <w:keepNext/>
                              <w:jc w:val="both"/>
                            </w:pPr>
                            <w:bookmarkStart w:id="456" w:name="_Toc526120101"/>
                            <w:r>
                              <w:t xml:space="preserve">Figure </w:t>
                            </w:r>
                            <w:r w:rsidR="00C73EE5">
                              <w:fldChar w:fldCharType="begin"/>
                            </w:r>
                            <w:r w:rsidR="00C73EE5">
                              <w:instrText xml:space="preserve"> SEQ Figure \* ARABIC </w:instrText>
                            </w:r>
                            <w:r w:rsidR="00C73EE5">
                              <w:fldChar w:fldCharType="separate"/>
                            </w:r>
                            <w:r>
                              <w:rPr>
                                <w:noProof/>
                              </w:rPr>
                              <w:t>35</w:t>
                            </w:r>
                            <w:r w:rsidR="00C73EE5">
                              <w:rPr>
                                <w:noProof/>
                              </w:rPr>
                              <w:fldChar w:fldCharType="end"/>
                            </w:r>
                            <w:r>
                              <w:t xml:space="preserve"> - Tendance évolutive de l'utilisation des semences sélectionnées</w:t>
                            </w:r>
                            <w:bookmarkEnd w:id="456"/>
                          </w:p>
                          <w:p w:rsidR="00146325" w:rsidRPr="00DA5860" w:rsidRDefault="00146325" w:rsidP="006269AA">
                            <w:pPr>
                              <w:jc w:val="both"/>
                              <w:rPr>
                                <w:noProof/>
                              </w:rPr>
                            </w:pPr>
                            <w:r w:rsidRPr="00BD1787">
                              <w:rPr>
                                <w:noProof/>
                                <w:lang w:eastAsia="fr-FR"/>
                              </w:rPr>
                              <w:drawing>
                                <wp:inline distT="0" distB="0" distL="0" distR="0">
                                  <wp:extent cx="3257550" cy="1806965"/>
                                  <wp:effectExtent l="0" t="0" r="0" b="317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83424" cy="182131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5D7744E" id="Zone de texte 62" o:spid="_x0000_s1067" type="#_x0000_t202" style="position:absolute;left:0;text-align:left;margin-left:220.25pt;margin-top:14.15pt;width:271.45pt;height:188.25pt;z-index:25196134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" filled="f" strokeweight=".5pt">
                <v:path arrowok="t"/>
                <v:textbox style="mso-fit-shape-to-text:t">
                  <w:txbxContent>
                    <w:p w:rsidR="00146325" w:rsidRDefault="00146325" w:rsidP="006269AA">
                      <w:pPr>
                        <w:pStyle w:val="Lgende"/>
                        <w:keepNext/>
                        <w:jc w:val="both"/>
                      </w:pPr>
                      <w:bookmarkStart w:id="457" w:name="_Toc526120101"/>
                      <w:r>
                        <w:t xml:space="preserve">Figure </w:t>
                      </w:r>
                      <w:r w:rsidR="00C73EE5">
                        <w:fldChar w:fldCharType="begin"/>
                      </w:r>
                      <w:r w:rsidR="00C73EE5">
                        <w:instrText xml:space="preserve"> SEQ Figure \* ARABIC </w:instrText>
                      </w:r>
                      <w:r w:rsidR="00C73EE5">
                        <w:fldChar w:fldCharType="separate"/>
                      </w:r>
                      <w:r>
                        <w:rPr>
                          <w:noProof/>
                        </w:rPr>
                        <w:t>35</w:t>
                      </w:r>
                      <w:r w:rsidR="00C73EE5">
                        <w:rPr>
                          <w:noProof/>
                        </w:rPr>
                        <w:fldChar w:fldCharType="end"/>
                      </w:r>
                      <w:r>
                        <w:t xml:space="preserve"> - Tendance évolutive de l'utilisation des semences sélectionnées</w:t>
                      </w:r>
                      <w:bookmarkEnd w:id="457"/>
                    </w:p>
                    <w:p w:rsidR="00146325" w:rsidRPr="00DA5860" w:rsidRDefault="00146325" w:rsidP="006269AA">
                      <w:pPr>
                        <w:jc w:val="both"/>
                        <w:rPr>
                          <w:noProof/>
                        </w:rPr>
                      </w:pPr>
                      <w:r w:rsidRPr="00BD1787">
                        <w:rPr>
                          <w:noProof/>
                          <w:lang w:eastAsia="fr-FR"/>
                        </w:rPr>
                        <w:drawing>
                          <wp:inline distT="0" distB="0" distL="0" distR="0">
                            <wp:extent cx="3257550" cy="1806965"/>
                            <wp:effectExtent l="0" t="0" r="0" b="317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83424" cy="1821317"/>
                                    </a:xfrm>
                                    <a:prstGeom prst="rect">
                                      <a:avLst/>
                                    </a:prstGeom>
                                    <a:noFill/>
                                    <a:ln>
                                      <a:noFill/>
                                    </a:ln>
                                  </pic:spPr>
                                </pic:pic>
                              </a:graphicData>
                            </a:graphic>
                          </wp:inline>
                        </w:drawing>
                      </w:r>
                    </w:p>
                  </w:txbxContent>
                </v:textbox>
                <w10:wrap type="square" anchorx="margin"/>
              </v:shape>
            </w:pict>
          </mc:Fallback>
        </mc:AlternateContent>
      </w:r>
      <w:r w:rsidRPr="006866D3">
        <w:rPr>
          <w:rFonts w:ascii="Nyala" w:hAnsi="Nyala"/>
          <w:sz w:val="28"/>
          <w:szCs w:val="28"/>
        </w:rPr>
        <w:t xml:space="preserve"> (</w:t>
      </w:r>
      <w:r w:rsidRPr="006866D3">
        <w:rPr>
          <w:rFonts w:ascii="Nyala" w:hAnsi="Nyala"/>
          <w:b/>
          <w:sz w:val="28"/>
          <w:szCs w:val="28"/>
        </w:rPr>
        <w:t>figure 3</w:t>
      </w:r>
      <w:r w:rsidR="00D413AC">
        <w:rPr>
          <w:rFonts w:ascii="Nyala" w:hAnsi="Nyala"/>
          <w:b/>
          <w:sz w:val="28"/>
          <w:szCs w:val="28"/>
        </w:rPr>
        <w:t>5</w:t>
      </w:r>
      <w:r w:rsidRPr="006866D3">
        <w:rPr>
          <w:rFonts w:ascii="Nyala" w:hAnsi="Nyala"/>
          <w:sz w:val="28"/>
          <w:szCs w:val="28"/>
        </w:rPr>
        <w:t xml:space="preserve">). Une telle performance nécessiterait de renforcer la sensibilisation des producteurs sur l’intérêt des semences de qualité des variétés sélectionnées, appuyer l’émergence d’entreprises semencières et de paysans-multiplicateurs, réformer le marché de la filière semencière dans le but de confiner l’Etat dans son rôle de contrôle et de régulation et confirmer le rôle du secteur privé et des organisations paysannes dans la production et la distribution, renforcer la recherche variétale et les services de contrôle et de certification de l’Etat et rendre plus transparentes et traçables les subventions accordées aux agriculteurs vulnérables. </w:t>
      </w:r>
    </w:p>
    <w:p w:rsidR="006269AA" w:rsidRDefault="006269AA" w:rsidP="006269AA">
      <w:pPr>
        <w:jc w:val="both"/>
        <w:rPr>
          <w:rFonts w:ascii="Nyala" w:hAnsi="Nyala"/>
          <w:sz w:val="28"/>
          <w:szCs w:val="28"/>
        </w:rPr>
      </w:pPr>
      <w:r w:rsidRPr="006866D3">
        <w:rPr>
          <w:rFonts w:ascii="Nyala" w:hAnsi="Nyala"/>
          <w:sz w:val="28"/>
          <w:szCs w:val="28"/>
        </w:rPr>
        <w:t xml:space="preserve">Comme pour les engrais, les initiatives sont prises sur mieux cibler les bénéficiaires des subventions. ; Mais l’un des défis les plus importants est de faire admettre aux pouvoirs publics et certains partenaires de mettre en place un système d’achat excluant les non professionnels de la filière semencière. </w:t>
      </w:r>
    </w:p>
    <w:p w:rsidR="00C16CC4" w:rsidRPr="006866D3" w:rsidRDefault="00C16CC4" w:rsidP="006269AA">
      <w:pPr>
        <w:jc w:val="both"/>
        <w:rPr>
          <w:rFonts w:ascii="Nyala" w:hAnsi="Nyala"/>
          <w:sz w:val="28"/>
          <w:szCs w:val="28"/>
        </w:rPr>
      </w:pPr>
    </w:p>
    <w:p w:rsidR="004E2EE2" w:rsidRPr="006866D3" w:rsidRDefault="00EB03C7" w:rsidP="00141D20">
      <w:pPr>
        <w:pStyle w:val="Titre2"/>
        <w:numPr>
          <w:ilvl w:val="1"/>
          <w:numId w:val="2"/>
        </w:numPr>
        <w:rPr>
          <w:sz w:val="28"/>
          <w:szCs w:val="28"/>
        </w:rPr>
      </w:pPr>
      <w:bookmarkStart w:id="458" w:name="_Toc525566633"/>
      <w:bookmarkStart w:id="459" w:name="_Toc525688751"/>
      <w:bookmarkStart w:id="460" w:name="_Toc525566634"/>
      <w:bookmarkStart w:id="461" w:name="_Toc525688752"/>
      <w:bookmarkStart w:id="462" w:name="_Toc525566635"/>
      <w:bookmarkStart w:id="463" w:name="_Toc525688753"/>
      <w:bookmarkStart w:id="464" w:name="_Toc525566636"/>
      <w:bookmarkStart w:id="465" w:name="_Toc525688754"/>
      <w:bookmarkStart w:id="466" w:name="_Toc525566637"/>
      <w:bookmarkStart w:id="467" w:name="_Toc525688755"/>
      <w:bookmarkStart w:id="468" w:name="_Toc525566638"/>
      <w:bookmarkStart w:id="469" w:name="_Toc525688756"/>
      <w:bookmarkStart w:id="470" w:name="_Toc525566639"/>
      <w:bookmarkStart w:id="471" w:name="_Toc525688757"/>
      <w:bookmarkStart w:id="472" w:name="_Toc525566640"/>
      <w:bookmarkStart w:id="473" w:name="_Toc525688758"/>
      <w:bookmarkStart w:id="474" w:name="_Toc525566641"/>
      <w:bookmarkStart w:id="475" w:name="_Toc525688759"/>
      <w:bookmarkStart w:id="476" w:name="_Toc525566642"/>
      <w:bookmarkStart w:id="477" w:name="_Toc525688760"/>
      <w:bookmarkStart w:id="478" w:name="_Toc525566643"/>
      <w:bookmarkStart w:id="479" w:name="_Toc525688761"/>
      <w:bookmarkStart w:id="480" w:name="_Toc525566644"/>
      <w:bookmarkStart w:id="481" w:name="_Toc525688762"/>
      <w:bookmarkStart w:id="482" w:name="_Toc525566645"/>
      <w:bookmarkStart w:id="483" w:name="_Toc525688763"/>
      <w:bookmarkStart w:id="484" w:name="_Toc525566646"/>
      <w:bookmarkStart w:id="485" w:name="_Toc525688764"/>
      <w:bookmarkStart w:id="486" w:name="_Toc525566647"/>
      <w:bookmarkStart w:id="487" w:name="_Toc525688765"/>
      <w:bookmarkStart w:id="488" w:name="_Toc525566648"/>
      <w:bookmarkStart w:id="489" w:name="_Toc525688766"/>
      <w:bookmarkStart w:id="490" w:name="_Toc525566649"/>
      <w:bookmarkStart w:id="491" w:name="_Toc525688767"/>
      <w:bookmarkStart w:id="492" w:name="_Toc525566650"/>
      <w:bookmarkStart w:id="493" w:name="_Toc525688768"/>
      <w:bookmarkStart w:id="494" w:name="_Toc525566651"/>
      <w:bookmarkStart w:id="495" w:name="_Toc525688769"/>
      <w:bookmarkStart w:id="496" w:name="_Toc525566652"/>
      <w:bookmarkStart w:id="497" w:name="_Toc525688770"/>
      <w:bookmarkStart w:id="498" w:name="_Toc525566653"/>
      <w:bookmarkStart w:id="499" w:name="_Toc525688771"/>
      <w:bookmarkStart w:id="500" w:name="_Toc525322233"/>
      <w:bookmarkStart w:id="501" w:name="_Toc525392262"/>
      <w:bookmarkStart w:id="502" w:name="_Toc525392413"/>
      <w:bookmarkStart w:id="503" w:name="_Toc525392555"/>
      <w:bookmarkStart w:id="504" w:name="_Toc525392753"/>
      <w:bookmarkStart w:id="505" w:name="_Toc525392969"/>
      <w:bookmarkStart w:id="506" w:name="_Toc525393354"/>
      <w:bookmarkStart w:id="507" w:name="_Toc525396922"/>
      <w:bookmarkStart w:id="508" w:name="_Toc525397011"/>
      <w:bookmarkStart w:id="509" w:name="_Toc525397192"/>
      <w:bookmarkStart w:id="510" w:name="_Toc525410065"/>
      <w:bookmarkStart w:id="511" w:name="_Toc525561814"/>
      <w:bookmarkStart w:id="512" w:name="_Toc525562059"/>
      <w:bookmarkStart w:id="513" w:name="_Toc525562593"/>
      <w:bookmarkStart w:id="514" w:name="_Toc525563448"/>
      <w:bookmarkStart w:id="515" w:name="_Toc525563808"/>
      <w:bookmarkStart w:id="516" w:name="_Toc525564769"/>
      <w:bookmarkStart w:id="517" w:name="_Toc525566654"/>
      <w:bookmarkStart w:id="518" w:name="_Toc525688772"/>
      <w:bookmarkStart w:id="519" w:name="_Toc526119983"/>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6866D3">
        <w:rPr>
          <w:sz w:val="28"/>
          <w:szCs w:val="28"/>
        </w:rPr>
        <w:t xml:space="preserve">Création de </w:t>
      </w:r>
      <w:r w:rsidR="004E2EE2" w:rsidRPr="006866D3">
        <w:rPr>
          <w:sz w:val="28"/>
          <w:szCs w:val="28"/>
        </w:rPr>
        <w:t xml:space="preserve">conditions </w:t>
      </w:r>
      <w:r w:rsidRPr="006866D3">
        <w:rPr>
          <w:sz w:val="28"/>
          <w:szCs w:val="28"/>
        </w:rPr>
        <w:t>favorables à l’atteinte des objectifs</w:t>
      </w:r>
      <w:r w:rsidR="00041D42" w:rsidRPr="006866D3">
        <w:rPr>
          <w:sz w:val="28"/>
          <w:szCs w:val="28"/>
        </w:rPr>
        <w:t xml:space="preserve"> (</w:t>
      </w:r>
      <w:r w:rsidR="00041D42" w:rsidRPr="006866D3">
        <w:rPr>
          <w:caps w:val="0"/>
          <w:sz w:val="28"/>
          <w:szCs w:val="28"/>
        </w:rPr>
        <w:t>2a, b et c</w:t>
      </w:r>
      <w:r w:rsidR="00041D42" w:rsidRPr="006866D3">
        <w:rPr>
          <w:sz w:val="28"/>
          <w:szCs w:val="28"/>
        </w:rPr>
        <w:t>)</w:t>
      </w:r>
      <w:bookmarkEnd w:id="519"/>
    </w:p>
    <w:p w:rsidR="00E8439C" w:rsidRPr="006866D3" w:rsidRDefault="00E8439C" w:rsidP="000500A5">
      <w:pPr>
        <w:jc w:val="both"/>
        <w:rPr>
          <w:rFonts w:ascii="Nyala" w:hAnsi="Nyala"/>
          <w:sz w:val="28"/>
          <w:szCs w:val="28"/>
        </w:rPr>
      </w:pPr>
    </w:p>
    <w:p w:rsidR="00D413AC" w:rsidRDefault="002B7AF5" w:rsidP="002B7AF5">
      <w:pPr>
        <w:jc w:val="both"/>
        <w:rPr>
          <w:rFonts w:ascii="Nyala" w:hAnsi="Nyala"/>
          <w:sz w:val="28"/>
          <w:szCs w:val="28"/>
        </w:rPr>
      </w:pPr>
      <w:r w:rsidRPr="006866D3">
        <w:rPr>
          <w:rFonts w:ascii="Nyala" w:hAnsi="Nyala"/>
          <w:sz w:val="28"/>
          <w:szCs w:val="28"/>
        </w:rPr>
        <w:t xml:space="preserve">Pour assurer les conditions de succès pour l’élimination de la faim et le développement durable à l’horizon 2030, plusieurs mesures sont à prendre au niveau de chaque pays. Ces mesures ont trait aux investissements en faveur des infrastructures rurales et autres services aux producteurs et à l’amélioration du fonctionnement des marchés. </w:t>
      </w:r>
    </w:p>
    <w:p w:rsidR="002B7AF5" w:rsidRPr="006866D3" w:rsidRDefault="002B7AF5" w:rsidP="002B7AF5">
      <w:pPr>
        <w:jc w:val="both"/>
        <w:rPr>
          <w:rFonts w:ascii="Nyala" w:hAnsi="Nyala"/>
          <w:sz w:val="28"/>
          <w:szCs w:val="28"/>
        </w:rPr>
      </w:pPr>
      <w:r w:rsidRPr="006866D3">
        <w:rPr>
          <w:rFonts w:ascii="Nyala" w:hAnsi="Nyala"/>
          <w:sz w:val="28"/>
          <w:szCs w:val="28"/>
        </w:rPr>
        <w:t xml:space="preserve">Dans le cadre de la présente revue stratégique, l’attention a été surtout portée sur </w:t>
      </w:r>
      <w:r w:rsidR="00032D67" w:rsidRPr="006866D3">
        <w:rPr>
          <w:rFonts w:ascii="Nyala" w:hAnsi="Nyala"/>
          <w:sz w:val="28"/>
          <w:szCs w:val="28"/>
        </w:rPr>
        <w:t xml:space="preserve">i) les </w:t>
      </w:r>
      <w:r w:rsidRPr="006866D3">
        <w:rPr>
          <w:rFonts w:ascii="Nyala" w:hAnsi="Nyala"/>
          <w:sz w:val="28"/>
          <w:szCs w:val="28"/>
        </w:rPr>
        <w:t>efforts financiers nationaux en faveur de l’agriculture et de la recherche agricole à travers la mesure de l’Indice d’Orientation agricole des dépenses publiques et les dépenses de recherche agricole</w:t>
      </w:r>
      <w:r w:rsidR="00032D67" w:rsidRPr="006866D3">
        <w:rPr>
          <w:rFonts w:ascii="Nyala" w:hAnsi="Nyala"/>
          <w:sz w:val="28"/>
          <w:szCs w:val="28"/>
        </w:rPr>
        <w:t xml:space="preserve"> et ii) le fonctionnement des marchés</w:t>
      </w:r>
      <w:r w:rsidR="00FE0B1E" w:rsidRPr="006866D3">
        <w:rPr>
          <w:rFonts w:ascii="Nyala" w:hAnsi="Nyala"/>
          <w:sz w:val="28"/>
          <w:szCs w:val="28"/>
        </w:rPr>
        <w:t>.</w:t>
      </w:r>
    </w:p>
    <w:p w:rsidR="00FE0B1E" w:rsidRPr="006866D3" w:rsidRDefault="00FE0B1E" w:rsidP="002B7AF5">
      <w:pPr>
        <w:jc w:val="both"/>
        <w:rPr>
          <w:rFonts w:ascii="Nyala" w:hAnsi="Nyala"/>
          <w:sz w:val="28"/>
          <w:szCs w:val="28"/>
        </w:rPr>
      </w:pPr>
    </w:p>
    <w:p w:rsidR="00032D67" w:rsidRPr="006866D3" w:rsidRDefault="00032D67" w:rsidP="00141D20">
      <w:pPr>
        <w:pStyle w:val="Titre3"/>
        <w:numPr>
          <w:ilvl w:val="2"/>
          <w:numId w:val="2"/>
        </w:numPr>
        <w:rPr>
          <w:sz w:val="28"/>
          <w:szCs w:val="28"/>
        </w:rPr>
      </w:pPr>
      <w:bookmarkStart w:id="520" w:name="_Toc526119984"/>
      <w:r w:rsidRPr="006866D3">
        <w:rPr>
          <w:sz w:val="28"/>
          <w:szCs w:val="28"/>
        </w:rPr>
        <w:t>Efforts financiers en faveur de l’agriculture et de la recherche</w:t>
      </w:r>
      <w:r w:rsidR="00041D42" w:rsidRPr="006866D3">
        <w:rPr>
          <w:sz w:val="28"/>
          <w:szCs w:val="28"/>
        </w:rPr>
        <w:t xml:space="preserve"> (2</w:t>
      </w:r>
      <w:r w:rsidR="00041D42" w:rsidRPr="006866D3">
        <w:rPr>
          <w:caps w:val="0"/>
          <w:sz w:val="28"/>
          <w:szCs w:val="28"/>
        </w:rPr>
        <w:t>a</w:t>
      </w:r>
      <w:r w:rsidR="00041D42" w:rsidRPr="006866D3">
        <w:rPr>
          <w:sz w:val="28"/>
          <w:szCs w:val="28"/>
        </w:rPr>
        <w:t>)</w:t>
      </w:r>
      <w:bookmarkEnd w:id="520"/>
    </w:p>
    <w:p w:rsidR="00032D67" w:rsidRPr="006866D3" w:rsidRDefault="00780C36" w:rsidP="002B7AF5">
      <w:pPr>
        <w:jc w:val="both"/>
        <w:rPr>
          <w:rFonts w:ascii="Nyala" w:hAnsi="Nyala"/>
          <w:sz w:val="28"/>
          <w:szCs w:val="28"/>
        </w:rPr>
      </w:pPr>
      <w:r w:rsidRPr="006866D3">
        <w:rPr>
          <w:rFonts w:ascii="Nyala" w:hAnsi="Nyala"/>
          <w:sz w:val="28"/>
          <w:szCs w:val="28"/>
        </w:rPr>
        <w:t>Les efforts financiers en faveur de l’</w:t>
      </w:r>
      <w:r w:rsidR="003E1DBE" w:rsidRPr="006866D3">
        <w:rPr>
          <w:rFonts w:ascii="Nyala" w:hAnsi="Nyala"/>
          <w:sz w:val="28"/>
          <w:szCs w:val="28"/>
        </w:rPr>
        <w:t xml:space="preserve">agriculture sont appréciés à travers l’atteinte de la cible 2.a de l’ODD2 « Accroître, notamment grâce à la coopération internationale, l’investissement dans l’infrastructure rurale, les services de recherche et de vulgarisation agricoles et la mise au point de technologies et de banques de plantes et de gènes d’animaux d’élevage, afin de renforcer les capacités productives des pays en développement, en particulier les pays les moins avancés ». </w:t>
      </w:r>
    </w:p>
    <w:p w:rsidR="00287B44" w:rsidRPr="006866D3" w:rsidRDefault="00287B44" w:rsidP="002B7AF5">
      <w:pPr>
        <w:jc w:val="both"/>
        <w:rPr>
          <w:rFonts w:ascii="Nyala" w:hAnsi="Nyala"/>
          <w:sz w:val="28"/>
          <w:szCs w:val="28"/>
        </w:rPr>
      </w:pPr>
      <w:r w:rsidRPr="006866D3">
        <w:rPr>
          <w:rFonts w:ascii="Nyala" w:hAnsi="Nyala"/>
          <w:sz w:val="28"/>
          <w:szCs w:val="28"/>
        </w:rPr>
        <w:t xml:space="preserve">La présente revue stratégique s’est surtout intéressée à l’Indice d’Orientation Agricole et aux dépenses de recherche qui sont le reflet de l’importance accordée par les pouvoirs publics au monde rural et au développement des innovations technologiques pour l’agriculture, l’élevage, l’environnement et la pisciculture. </w:t>
      </w:r>
    </w:p>
    <w:p w:rsidR="00780C36" w:rsidRPr="006866D3" w:rsidRDefault="00780C36" w:rsidP="002B7AF5">
      <w:pPr>
        <w:jc w:val="both"/>
        <w:rPr>
          <w:rStyle w:val="lev"/>
          <w:sz w:val="28"/>
          <w:szCs w:val="28"/>
        </w:rPr>
      </w:pPr>
    </w:p>
    <w:p w:rsidR="00354A97" w:rsidRPr="006866D3" w:rsidRDefault="00354A97" w:rsidP="0059103A">
      <w:pPr>
        <w:pStyle w:val="Paragraphedeliste"/>
        <w:numPr>
          <w:ilvl w:val="0"/>
          <w:numId w:val="23"/>
        </w:numPr>
        <w:jc w:val="both"/>
        <w:rPr>
          <w:rStyle w:val="Rfrenceple"/>
          <w:sz w:val="28"/>
          <w:szCs w:val="28"/>
        </w:rPr>
      </w:pPr>
      <w:r w:rsidRPr="006866D3">
        <w:rPr>
          <w:rStyle w:val="Rfrenceple"/>
          <w:sz w:val="28"/>
          <w:szCs w:val="28"/>
        </w:rPr>
        <w:t>Indice d’orientation agricole dépenses publiques</w:t>
      </w:r>
    </w:p>
    <w:p w:rsidR="000651B8" w:rsidRPr="006866D3" w:rsidRDefault="00354A97" w:rsidP="00F34985">
      <w:pPr>
        <w:jc w:val="both"/>
        <w:rPr>
          <w:rFonts w:ascii="Nyala" w:hAnsi="Nyala"/>
          <w:sz w:val="28"/>
          <w:szCs w:val="28"/>
        </w:rPr>
      </w:pPr>
      <w:r w:rsidRPr="006866D3">
        <w:rPr>
          <w:rFonts w:ascii="Nyala" w:hAnsi="Nyala"/>
          <w:sz w:val="28"/>
          <w:szCs w:val="28"/>
        </w:rPr>
        <w:t>L'indice d'orientation agricole (</w:t>
      </w:r>
      <w:r w:rsidR="00ED12A8">
        <w:rPr>
          <w:rFonts w:ascii="Nyala" w:hAnsi="Nyala"/>
          <w:sz w:val="28"/>
          <w:szCs w:val="28"/>
        </w:rPr>
        <w:t>IOA</w:t>
      </w:r>
      <w:r w:rsidRPr="006866D3">
        <w:rPr>
          <w:rFonts w:ascii="Nyala" w:hAnsi="Nyala"/>
          <w:sz w:val="28"/>
          <w:szCs w:val="28"/>
        </w:rPr>
        <w:t xml:space="preserve">) pour les dépenses gouvernementales est défini comme la part de l'agriculture dans les dépenses gouvernementales, divisé par la part de l’agriculture dans le PIB, où </w:t>
      </w:r>
      <w:r w:rsidR="00A632C5">
        <w:rPr>
          <w:rFonts w:ascii="Nyala" w:hAnsi="Nyala"/>
          <w:sz w:val="28"/>
          <w:szCs w:val="28"/>
        </w:rPr>
        <w:t>a</w:t>
      </w:r>
      <w:r w:rsidR="00A632C5" w:rsidRPr="006866D3">
        <w:rPr>
          <w:rFonts w:ascii="Nyala" w:hAnsi="Nyala"/>
          <w:sz w:val="28"/>
          <w:szCs w:val="28"/>
        </w:rPr>
        <w:t xml:space="preserve">griculture </w:t>
      </w:r>
      <w:r w:rsidRPr="006866D3">
        <w:rPr>
          <w:rFonts w:ascii="Nyala" w:hAnsi="Nyala"/>
          <w:sz w:val="28"/>
          <w:szCs w:val="28"/>
        </w:rPr>
        <w:t>se réfère aux secteurs de l'agriculture, de l’élevage,  de la pêche et de la chasse et à l’exploitation forestière</w:t>
      </w:r>
      <w:r w:rsidR="006B5794" w:rsidRPr="006866D3">
        <w:rPr>
          <w:rStyle w:val="Appelnotedebasdep"/>
          <w:rFonts w:ascii="Nyala" w:hAnsi="Nyala"/>
          <w:sz w:val="28"/>
          <w:szCs w:val="28"/>
        </w:rPr>
        <w:footnoteReference w:id="15"/>
      </w:r>
      <w:r w:rsidRPr="006866D3">
        <w:rPr>
          <w:rFonts w:ascii="Nyala" w:hAnsi="Nyala"/>
          <w:sz w:val="28"/>
          <w:szCs w:val="28"/>
        </w:rPr>
        <w:t xml:space="preserve">. </w:t>
      </w:r>
    </w:p>
    <w:p w:rsidR="001874A9" w:rsidRPr="006866D3" w:rsidRDefault="00146983" w:rsidP="00F34985">
      <w:pPr>
        <w:jc w:val="both"/>
        <w:rPr>
          <w:rFonts w:ascii="Nyala" w:hAnsi="Nyala"/>
          <w:sz w:val="28"/>
          <w:szCs w:val="28"/>
        </w:rPr>
      </w:pPr>
      <w:r>
        <w:rPr>
          <w:rFonts w:ascii="Nyala" w:hAnsi="Nyala"/>
          <w:noProof/>
          <w:sz w:val="28"/>
          <w:szCs w:val="28"/>
          <w:lang w:eastAsia="fr-FR"/>
        </w:rPr>
        <mc:AlternateContent>
          <mc:Choice Requires="wps">
            <w:drawing>
              <wp:anchor distT="0" distB="0" distL="114300" distR="114300" simplePos="0" relativeHeight="251752448" behindDoc="0" locked="0" layoutInCell="1" allowOverlap="1" wp14:anchorId="726982D4">
                <wp:simplePos x="0" y="0"/>
                <wp:positionH relativeFrom="margin">
                  <wp:align>right</wp:align>
                </wp:positionH>
                <wp:positionV relativeFrom="paragraph">
                  <wp:posOffset>27305</wp:posOffset>
                </wp:positionV>
                <wp:extent cx="3637915" cy="2749550"/>
                <wp:effectExtent l="0" t="0" r="13335" b="18415"/>
                <wp:wrapSquare wrapText="bothSides"/>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7915" cy="2749550"/>
                        </a:xfrm>
                        <a:prstGeom prst="rect">
                          <a:avLst/>
                        </a:prstGeom>
                        <a:noFill/>
                        <a:ln w="6350">
                          <a:solidFill>
                            <a:prstClr val="black"/>
                          </a:solidFill>
                        </a:ln>
                        <a:effectLst/>
                      </wps:spPr>
                      <wps:txbx>
                        <w:txbxContent>
                          <w:p w:rsidR="00146325" w:rsidRDefault="00146325" w:rsidP="00D7361C">
                            <w:pPr>
                              <w:pStyle w:val="Lgende"/>
                              <w:keepNext/>
                            </w:pPr>
                            <w:bookmarkStart w:id="521" w:name="_Toc526120102"/>
                            <w:r>
                              <w:t xml:space="preserve">Figure </w:t>
                            </w:r>
                            <w:r w:rsidR="00C73EE5">
                              <w:fldChar w:fldCharType="begin"/>
                            </w:r>
                            <w:r w:rsidR="00C73EE5">
                              <w:instrText xml:space="preserve"> SEQ Figure \* ARABIC </w:instrText>
                            </w:r>
                            <w:r w:rsidR="00C73EE5">
                              <w:fldChar w:fldCharType="separate"/>
                            </w:r>
                            <w:r>
                              <w:rPr>
                                <w:noProof/>
                              </w:rPr>
                              <w:t>36</w:t>
                            </w:r>
                            <w:r w:rsidR="00C73EE5">
                              <w:rPr>
                                <w:noProof/>
                              </w:rPr>
                              <w:fldChar w:fldCharType="end"/>
                            </w:r>
                            <w:r>
                              <w:t xml:space="preserve"> - Evolution de l'Indice d'orientation Agricole</w:t>
                            </w:r>
                            <w:bookmarkEnd w:id="521"/>
                          </w:p>
                          <w:p w:rsidR="00146325" w:rsidRDefault="00146325" w:rsidP="0086115E">
                            <w:r w:rsidRPr="00417F42">
                              <w:rPr>
                                <w:noProof/>
                                <w:lang w:eastAsia="fr-FR"/>
                              </w:rPr>
                              <w:drawing>
                                <wp:inline distT="0" distB="0" distL="0" distR="0">
                                  <wp:extent cx="3225800" cy="1420239"/>
                                  <wp:effectExtent l="0" t="0" r="0" b="889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53202" cy="1432303"/>
                                          </a:xfrm>
                                          <a:prstGeom prst="rect">
                                            <a:avLst/>
                                          </a:prstGeom>
                                          <a:noFill/>
                                          <a:ln>
                                            <a:noFill/>
                                          </a:ln>
                                        </pic:spPr>
                                      </pic:pic>
                                    </a:graphicData>
                                  </a:graphic>
                                </wp:inline>
                              </w:drawing>
                            </w:r>
                          </w:p>
                          <w:p w:rsidR="00146325" w:rsidRPr="00D7361C" w:rsidRDefault="00146325" w:rsidP="00D7361C">
                            <w:pPr>
                              <w:spacing w:before="0" w:after="0" w:line="240" w:lineRule="auto"/>
                              <w:rPr>
                                <w:i/>
                                <w:sz w:val="16"/>
                                <w:szCs w:val="16"/>
                              </w:rPr>
                            </w:pPr>
                            <w:r w:rsidRPr="00D7361C">
                              <w:rPr>
                                <w:i/>
                                <w:sz w:val="16"/>
                                <w:szCs w:val="16"/>
                              </w:rPr>
                              <w:t>Calculé par l’auteur selon les données des Ministères du Plan et des Finances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26982D4" id="Zone de texte 23" o:spid="_x0000_s1068" type="#_x0000_t202" style="position:absolute;left:0;text-align:left;margin-left:235.25pt;margin-top:2.15pt;width:286.45pt;height:216.5pt;z-index:25175244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" filled="f" strokeweight=".5pt">
                <v:path arrowok="t"/>
                <v:textbox style="mso-fit-shape-to-text:t">
                  <w:txbxContent>
                    <w:p w:rsidR="00146325" w:rsidRDefault="00146325" w:rsidP="00D7361C">
                      <w:pPr>
                        <w:pStyle w:val="Lgende"/>
                        <w:keepNext/>
                      </w:pPr>
                      <w:bookmarkStart w:id="522" w:name="_Toc526120102"/>
                      <w:r>
                        <w:t xml:space="preserve">Figure </w:t>
                      </w:r>
                      <w:r w:rsidR="00C73EE5">
                        <w:fldChar w:fldCharType="begin"/>
                      </w:r>
                      <w:r w:rsidR="00C73EE5">
                        <w:instrText xml:space="preserve"> SEQ Figure \* ARABIC </w:instrText>
                      </w:r>
                      <w:r w:rsidR="00C73EE5">
                        <w:fldChar w:fldCharType="separate"/>
                      </w:r>
                      <w:r>
                        <w:rPr>
                          <w:noProof/>
                        </w:rPr>
                        <w:t>36</w:t>
                      </w:r>
                      <w:r w:rsidR="00C73EE5">
                        <w:rPr>
                          <w:noProof/>
                        </w:rPr>
                        <w:fldChar w:fldCharType="end"/>
                      </w:r>
                      <w:r>
                        <w:t xml:space="preserve"> - Evolution de l'Indice d'orientation Agricole</w:t>
                      </w:r>
                      <w:bookmarkEnd w:id="522"/>
                    </w:p>
                    <w:p w:rsidR="00146325" w:rsidRDefault="00146325" w:rsidP="0086115E">
                      <w:r w:rsidRPr="00417F42">
                        <w:rPr>
                          <w:noProof/>
                          <w:lang w:eastAsia="fr-FR"/>
                        </w:rPr>
                        <w:drawing>
                          <wp:inline distT="0" distB="0" distL="0" distR="0">
                            <wp:extent cx="3225800" cy="1420239"/>
                            <wp:effectExtent l="0" t="0" r="0" b="889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53202" cy="1432303"/>
                                    </a:xfrm>
                                    <a:prstGeom prst="rect">
                                      <a:avLst/>
                                    </a:prstGeom>
                                    <a:noFill/>
                                    <a:ln>
                                      <a:noFill/>
                                    </a:ln>
                                  </pic:spPr>
                                </pic:pic>
                              </a:graphicData>
                            </a:graphic>
                          </wp:inline>
                        </w:drawing>
                      </w:r>
                    </w:p>
                    <w:p w:rsidR="00146325" w:rsidRPr="00D7361C" w:rsidRDefault="00146325" w:rsidP="00D7361C">
                      <w:pPr>
                        <w:spacing w:before="0" w:after="0" w:line="240" w:lineRule="auto"/>
                        <w:rPr>
                          <w:i/>
                          <w:sz w:val="16"/>
                          <w:szCs w:val="16"/>
                        </w:rPr>
                      </w:pPr>
                      <w:r w:rsidRPr="00D7361C">
                        <w:rPr>
                          <w:i/>
                          <w:sz w:val="16"/>
                          <w:szCs w:val="16"/>
                        </w:rPr>
                        <w:t>Calculé par l’auteur selon les données des Ministères du Plan et des Finances</w:t>
                      </w:r>
                    </w:p>
                  </w:txbxContent>
                </v:textbox>
                <w10:wrap type="square" anchorx="margin"/>
              </v:shape>
            </w:pict>
          </mc:Fallback>
        </mc:AlternateContent>
      </w:r>
      <w:r w:rsidR="003F3124" w:rsidRPr="006866D3">
        <w:rPr>
          <w:rFonts w:ascii="Nyala" w:hAnsi="Nyala"/>
          <w:sz w:val="28"/>
          <w:szCs w:val="28"/>
        </w:rPr>
        <w:t>Il</w:t>
      </w:r>
      <w:r w:rsidR="00354A97" w:rsidRPr="006866D3">
        <w:rPr>
          <w:rFonts w:ascii="Nyala" w:hAnsi="Nyala"/>
          <w:sz w:val="28"/>
          <w:szCs w:val="28"/>
        </w:rPr>
        <w:t xml:space="preserve"> n’existe pas de valeur de référence pour cet indicateur.</w:t>
      </w:r>
      <w:r w:rsidR="000651B8" w:rsidRPr="006866D3">
        <w:rPr>
          <w:rFonts w:ascii="Nyala" w:hAnsi="Nyala"/>
          <w:sz w:val="28"/>
          <w:szCs w:val="28"/>
        </w:rPr>
        <w:t xml:space="preserve"> Cependant, pour les besoins de cette revue, l’IOA a été calculé sur la base des pr</w:t>
      </w:r>
      <w:r w:rsidR="00F34985" w:rsidRPr="006866D3">
        <w:rPr>
          <w:rFonts w:ascii="Nyala" w:hAnsi="Nyala"/>
          <w:sz w:val="28"/>
          <w:szCs w:val="28"/>
        </w:rPr>
        <w:t xml:space="preserve">évisions </w:t>
      </w:r>
      <w:r w:rsidR="006B5794" w:rsidRPr="006866D3">
        <w:rPr>
          <w:rFonts w:ascii="Nyala" w:hAnsi="Nyala"/>
          <w:sz w:val="28"/>
          <w:szCs w:val="28"/>
        </w:rPr>
        <w:t xml:space="preserve">et exécutions </w:t>
      </w:r>
      <w:r w:rsidR="00F34985" w:rsidRPr="006866D3">
        <w:rPr>
          <w:rFonts w:ascii="Nyala" w:hAnsi="Nyala"/>
          <w:sz w:val="28"/>
          <w:szCs w:val="28"/>
        </w:rPr>
        <w:t xml:space="preserve">budgétaires </w:t>
      </w:r>
      <w:r w:rsidR="006B5794" w:rsidRPr="006866D3">
        <w:rPr>
          <w:rFonts w:ascii="Nyala" w:hAnsi="Nyala"/>
          <w:sz w:val="28"/>
          <w:szCs w:val="28"/>
        </w:rPr>
        <w:t xml:space="preserve">du PDES 2012-2015 et des prévisions du PDES 2017-2021. </w:t>
      </w:r>
      <w:r w:rsidR="008220DF" w:rsidRPr="006866D3">
        <w:rPr>
          <w:rFonts w:ascii="Nyala" w:hAnsi="Nyala"/>
          <w:sz w:val="28"/>
          <w:szCs w:val="28"/>
        </w:rPr>
        <w:t xml:space="preserve">Les résultats de cette analyse sont illustrés dans la </w:t>
      </w:r>
      <w:r w:rsidR="008220DF" w:rsidRPr="006866D3">
        <w:rPr>
          <w:rFonts w:ascii="Nyala" w:hAnsi="Nyala"/>
          <w:b/>
          <w:sz w:val="28"/>
          <w:szCs w:val="28"/>
        </w:rPr>
        <w:t xml:space="preserve">figure </w:t>
      </w:r>
      <w:r w:rsidR="00D413AC">
        <w:rPr>
          <w:rFonts w:ascii="Nyala" w:hAnsi="Nyala"/>
          <w:b/>
          <w:sz w:val="28"/>
          <w:szCs w:val="28"/>
        </w:rPr>
        <w:t>36</w:t>
      </w:r>
      <w:r w:rsidR="00D7361C" w:rsidRPr="006866D3">
        <w:rPr>
          <w:rFonts w:ascii="Nyala" w:hAnsi="Nyala"/>
          <w:b/>
          <w:sz w:val="28"/>
          <w:szCs w:val="28"/>
        </w:rPr>
        <w:t>.</w:t>
      </w:r>
    </w:p>
    <w:p w:rsidR="008C0446" w:rsidRPr="006866D3" w:rsidRDefault="008C0446" w:rsidP="00F34985">
      <w:pPr>
        <w:jc w:val="both"/>
        <w:rPr>
          <w:rFonts w:ascii="Nyala" w:hAnsi="Nyala"/>
          <w:sz w:val="28"/>
          <w:szCs w:val="28"/>
        </w:rPr>
      </w:pPr>
      <w:r w:rsidRPr="006866D3">
        <w:rPr>
          <w:rFonts w:ascii="Nyala" w:hAnsi="Nyala"/>
          <w:sz w:val="28"/>
          <w:szCs w:val="28"/>
        </w:rPr>
        <w:t>Au cours de la période 2012-20</w:t>
      </w:r>
      <w:r w:rsidR="00A632C5">
        <w:rPr>
          <w:rFonts w:ascii="Nyala" w:hAnsi="Nyala"/>
          <w:sz w:val="28"/>
          <w:szCs w:val="28"/>
        </w:rPr>
        <w:t>1</w:t>
      </w:r>
      <w:r w:rsidRPr="006866D3">
        <w:rPr>
          <w:rFonts w:ascii="Nyala" w:hAnsi="Nyala"/>
          <w:sz w:val="28"/>
          <w:szCs w:val="28"/>
        </w:rPr>
        <w:t>5, l’I</w:t>
      </w:r>
      <w:r w:rsidR="00D462F1">
        <w:rPr>
          <w:rFonts w:ascii="Nyala" w:hAnsi="Nyala"/>
          <w:sz w:val="28"/>
          <w:szCs w:val="28"/>
        </w:rPr>
        <w:t>O</w:t>
      </w:r>
      <w:r w:rsidRPr="006866D3">
        <w:rPr>
          <w:rFonts w:ascii="Nyala" w:hAnsi="Nyala"/>
          <w:sz w:val="28"/>
          <w:szCs w:val="28"/>
        </w:rPr>
        <w:t>A a été en moyenne de 0,4/an (variation de 0,6 à 0,2), traduisant une baisse dans l’allocation des ressources pour l’agriculture. Les explications sont à rechercher dans la dégradation de la situation sécuritaire qui a incité les pouvoirs publics et aux partenaires à mettre davantage d’accent sur le maintien de la paix et la défense du territoire. Par contre, dans le PDES 2017-</w:t>
      </w:r>
      <w:r w:rsidR="00A632C5" w:rsidRPr="006866D3">
        <w:rPr>
          <w:rFonts w:ascii="Nyala" w:hAnsi="Nyala"/>
          <w:sz w:val="28"/>
          <w:szCs w:val="28"/>
        </w:rPr>
        <w:t>202</w:t>
      </w:r>
      <w:r w:rsidR="00A632C5">
        <w:rPr>
          <w:rFonts w:ascii="Nyala" w:hAnsi="Nyala"/>
          <w:sz w:val="28"/>
          <w:szCs w:val="28"/>
        </w:rPr>
        <w:t>1</w:t>
      </w:r>
      <w:r w:rsidRPr="006866D3">
        <w:rPr>
          <w:rFonts w:ascii="Nyala" w:hAnsi="Nyala"/>
          <w:sz w:val="28"/>
          <w:szCs w:val="28"/>
        </w:rPr>
        <w:t>, se basant sur une hypothèse d’accalmie dans les pays voisins et sur le territoire national, le poids économique du secteur est respecté dans les  dépenses prévisionnelles nationales ; l’IOA passerait à 0,90 sur la période 2017-2021</w:t>
      </w:r>
    </w:p>
    <w:p w:rsidR="00005E2E" w:rsidRPr="006866D3" w:rsidRDefault="00005E2E" w:rsidP="00F34985">
      <w:pPr>
        <w:jc w:val="both"/>
        <w:rPr>
          <w:rFonts w:ascii="Nyala" w:hAnsi="Nyala"/>
          <w:sz w:val="28"/>
          <w:szCs w:val="28"/>
        </w:rPr>
      </w:pPr>
      <w:r w:rsidRPr="006866D3">
        <w:rPr>
          <w:rFonts w:ascii="Nyala" w:hAnsi="Nyala"/>
          <w:sz w:val="28"/>
          <w:szCs w:val="28"/>
        </w:rPr>
        <w:t>Pour atteindre les objectifs-cibles de l’ODD2, le Niger devrait confirmer ses dépenses prévisionnelles sectorielles dans ses programmations budgétaires annuelles et pluriannuelles</w:t>
      </w:r>
      <w:r w:rsidR="00991781" w:rsidRPr="006866D3">
        <w:rPr>
          <w:rFonts w:ascii="Nyala" w:hAnsi="Nyala"/>
          <w:sz w:val="28"/>
          <w:szCs w:val="28"/>
        </w:rPr>
        <w:t xml:space="preserve"> et surtout dans leur exécution d’une part et, s’assurer que la recherche et la vulgarisation scientifique sont bien prises en compte.</w:t>
      </w:r>
    </w:p>
    <w:p w:rsidR="00AA77D4" w:rsidRPr="006866D3" w:rsidRDefault="00AA77D4" w:rsidP="00F34985">
      <w:pPr>
        <w:jc w:val="both"/>
        <w:rPr>
          <w:rFonts w:ascii="Nyala" w:hAnsi="Nyala"/>
          <w:sz w:val="28"/>
          <w:szCs w:val="28"/>
        </w:rPr>
      </w:pPr>
    </w:p>
    <w:p w:rsidR="00AA77D4" w:rsidRPr="006866D3" w:rsidRDefault="00AA77D4" w:rsidP="0059103A">
      <w:pPr>
        <w:pStyle w:val="Paragraphedeliste"/>
        <w:numPr>
          <w:ilvl w:val="0"/>
          <w:numId w:val="23"/>
        </w:numPr>
        <w:jc w:val="both"/>
        <w:rPr>
          <w:rStyle w:val="Rfrenceple"/>
          <w:sz w:val="28"/>
          <w:szCs w:val="28"/>
        </w:rPr>
      </w:pPr>
      <w:r w:rsidRPr="006866D3">
        <w:rPr>
          <w:rStyle w:val="Rfrenceple"/>
          <w:sz w:val="28"/>
          <w:szCs w:val="28"/>
        </w:rPr>
        <w:t>Dépenses de recherche</w:t>
      </w:r>
    </w:p>
    <w:p w:rsidR="002B7AF5" w:rsidRPr="006866D3" w:rsidRDefault="00146983" w:rsidP="00F34985">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825152" behindDoc="0" locked="0" layoutInCell="1" allowOverlap="1" wp14:anchorId="367B253C">
                <wp:simplePos x="0" y="0"/>
                <wp:positionH relativeFrom="page">
                  <wp:posOffset>3213735</wp:posOffset>
                </wp:positionH>
                <wp:positionV relativeFrom="paragraph">
                  <wp:posOffset>746760</wp:posOffset>
                </wp:positionV>
                <wp:extent cx="3248660" cy="2081530"/>
                <wp:effectExtent l="0" t="0" r="27940" b="13970"/>
                <wp:wrapSquare wrapText="bothSides"/>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2081530"/>
                        </a:xfrm>
                        <a:prstGeom prst="rect">
                          <a:avLst/>
                        </a:prstGeom>
                        <a:noFill/>
                        <a:ln w="6350">
                          <a:solidFill>
                            <a:prstClr val="black"/>
                          </a:solidFill>
                        </a:ln>
                        <a:effectLst/>
                      </wps:spPr>
                      <wps:txbx>
                        <w:txbxContent>
                          <w:p w:rsidR="00146325" w:rsidRDefault="00146325" w:rsidP="00D7361C">
                            <w:pPr>
                              <w:pStyle w:val="Lgende"/>
                              <w:keepNext/>
                              <w:jc w:val="both"/>
                            </w:pPr>
                            <w:bookmarkStart w:id="523" w:name="_Toc526120103"/>
                            <w:r>
                              <w:t xml:space="preserve">Figure </w:t>
                            </w:r>
                            <w:r w:rsidR="00C73EE5">
                              <w:fldChar w:fldCharType="begin"/>
                            </w:r>
                            <w:r w:rsidR="00C73EE5">
                              <w:instrText xml:space="preserve"> SEQ Figure \* ARABIC </w:instrText>
                            </w:r>
                            <w:r w:rsidR="00C73EE5">
                              <w:fldChar w:fldCharType="separate"/>
                            </w:r>
                            <w:r>
                              <w:rPr>
                                <w:noProof/>
                              </w:rPr>
                              <w:t>37</w:t>
                            </w:r>
                            <w:r w:rsidR="00C73EE5">
                              <w:rPr>
                                <w:noProof/>
                              </w:rPr>
                              <w:fldChar w:fldCharType="end"/>
                            </w:r>
                            <w:r>
                              <w:t xml:space="preserve"> - Evolution des dépenses de recherche en % du PIB</w:t>
                            </w:r>
                            <w:bookmarkEnd w:id="523"/>
                          </w:p>
                          <w:p w:rsidR="00146325" w:rsidRPr="00792FA7" w:rsidRDefault="00146325" w:rsidP="00792FA7">
                            <w:pPr>
                              <w:spacing w:before="0" w:after="0" w:line="240" w:lineRule="auto"/>
                              <w:jc w:val="both"/>
                              <w:rPr>
                                <w:noProof/>
                                <w:sz w:val="16"/>
                                <w:szCs w:val="16"/>
                              </w:rPr>
                            </w:pPr>
                            <w:r w:rsidRPr="00C16B45">
                              <w:rPr>
                                <w:noProof/>
                                <w:lang w:eastAsia="fr-FR"/>
                              </w:rPr>
                              <w:drawing>
                                <wp:inline distT="0" distB="0" distL="0" distR="0">
                                  <wp:extent cx="2898843" cy="1482935"/>
                                  <wp:effectExtent l="0" t="0" r="0" b="317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12677" cy="1490012"/>
                                          </a:xfrm>
                                          <a:prstGeom prst="rect">
                                            <a:avLst/>
                                          </a:prstGeom>
                                          <a:noFill/>
                                          <a:ln>
                                            <a:noFill/>
                                          </a:ln>
                                        </pic:spPr>
                                      </pic:pic>
                                    </a:graphicData>
                                  </a:graphic>
                                </wp:inline>
                              </w:drawing>
                            </w:r>
                            <w:r w:rsidRPr="00792FA7">
                              <w:rPr>
                                <w:noProof/>
                                <w:sz w:val="16"/>
                                <w:szCs w:val="16"/>
                              </w:rPr>
                              <w:t>Calculé par l’auteur selon les données de l’INS et de l’INRAN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B253C" id="Zone de texte 35" o:spid="_x0000_s1069" type="#_x0000_t202" style="position:absolute;left:0;text-align:left;margin-left:253.05pt;margin-top:58.8pt;width:255.8pt;height:163.9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" filled="f" strokeweight=".5pt">
                <v:path arrowok="t"/>
                <v:textbox>
                  <w:txbxContent>
                    <w:p w:rsidR="00146325" w:rsidRDefault="00146325" w:rsidP="00D7361C">
                      <w:pPr>
                        <w:pStyle w:val="Lgende"/>
                        <w:keepNext/>
                        <w:jc w:val="both"/>
                      </w:pPr>
                      <w:bookmarkStart w:id="524" w:name="_Toc526120103"/>
                      <w:r>
                        <w:t xml:space="preserve">Figure </w:t>
                      </w:r>
                      <w:r w:rsidR="00C73EE5">
                        <w:fldChar w:fldCharType="begin"/>
                      </w:r>
                      <w:r w:rsidR="00C73EE5">
                        <w:instrText xml:space="preserve"> SEQ Figure \* ARABIC </w:instrText>
                      </w:r>
                      <w:r w:rsidR="00C73EE5">
                        <w:fldChar w:fldCharType="separate"/>
                      </w:r>
                      <w:r>
                        <w:rPr>
                          <w:noProof/>
                        </w:rPr>
                        <w:t>37</w:t>
                      </w:r>
                      <w:r w:rsidR="00C73EE5">
                        <w:rPr>
                          <w:noProof/>
                        </w:rPr>
                        <w:fldChar w:fldCharType="end"/>
                      </w:r>
                      <w:r>
                        <w:t xml:space="preserve"> - Evolution des dépenses de recherche en % du PIB</w:t>
                      </w:r>
                      <w:bookmarkEnd w:id="524"/>
                    </w:p>
                    <w:p w:rsidR="00146325" w:rsidRPr="00792FA7" w:rsidRDefault="00146325" w:rsidP="00792FA7">
                      <w:pPr>
                        <w:spacing w:before="0" w:after="0" w:line="240" w:lineRule="auto"/>
                        <w:jc w:val="both"/>
                        <w:rPr>
                          <w:noProof/>
                          <w:sz w:val="16"/>
                          <w:szCs w:val="16"/>
                        </w:rPr>
                      </w:pPr>
                      <w:r w:rsidRPr="00C16B45">
                        <w:rPr>
                          <w:noProof/>
                          <w:lang w:eastAsia="fr-FR"/>
                        </w:rPr>
                        <w:drawing>
                          <wp:inline distT="0" distB="0" distL="0" distR="0">
                            <wp:extent cx="2898843" cy="1482935"/>
                            <wp:effectExtent l="0" t="0" r="0" b="317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12677" cy="1490012"/>
                                    </a:xfrm>
                                    <a:prstGeom prst="rect">
                                      <a:avLst/>
                                    </a:prstGeom>
                                    <a:noFill/>
                                    <a:ln>
                                      <a:noFill/>
                                    </a:ln>
                                  </pic:spPr>
                                </pic:pic>
                              </a:graphicData>
                            </a:graphic>
                          </wp:inline>
                        </w:drawing>
                      </w:r>
                      <w:r w:rsidRPr="00792FA7">
                        <w:rPr>
                          <w:noProof/>
                          <w:sz w:val="16"/>
                          <w:szCs w:val="16"/>
                        </w:rPr>
                        <w:t>Calculé par l’auteur selon les données de l’INS et de l’INRAN</w:t>
                      </w:r>
                    </w:p>
                  </w:txbxContent>
                </v:textbox>
                <w10:wrap type="square" anchorx="page"/>
              </v:shape>
            </w:pict>
          </mc:Fallback>
        </mc:AlternateContent>
      </w:r>
      <w:r w:rsidR="007720C7" w:rsidRPr="006866D3">
        <w:rPr>
          <w:rFonts w:ascii="Nyala" w:hAnsi="Nyala"/>
          <w:sz w:val="28"/>
          <w:szCs w:val="28"/>
        </w:rPr>
        <w:t xml:space="preserve">L’essentiel des activités de recherches agricoles est réalisé dans le cadre du Système National de Recherche Agronomique (SNRA) dont le principal acteur est l’Institut National de Recherche Agronomique du Niger (INRAN). Les autres membres du SNRA sont les Universités, la Direction de la Protection des Végétaux, le Centre National de Semences Forestières et une multitude de projets et programmes ayant un volet recherche (qu’il contractualise le plus souvent avec l’INRAN et autres acteurs). L’INRAN draine l’essentiel des ressources humaines, matérielles et financière allouées à la recherche agronomique. </w:t>
      </w:r>
      <w:r w:rsidR="00FC2568" w:rsidRPr="006866D3">
        <w:rPr>
          <w:rFonts w:ascii="Nyala" w:hAnsi="Nyala"/>
          <w:sz w:val="28"/>
          <w:szCs w:val="28"/>
        </w:rPr>
        <w:t xml:space="preserve">Le constat actuel est que les ressources allouées à </w:t>
      </w:r>
      <w:r w:rsidR="007720C7" w:rsidRPr="006866D3">
        <w:rPr>
          <w:rFonts w:ascii="Nyala" w:hAnsi="Nyala"/>
          <w:sz w:val="28"/>
          <w:szCs w:val="28"/>
        </w:rPr>
        <w:t xml:space="preserve">cette activité </w:t>
      </w:r>
      <w:r w:rsidR="00FC2568" w:rsidRPr="006866D3">
        <w:rPr>
          <w:rFonts w:ascii="Nyala" w:hAnsi="Nyala"/>
          <w:sz w:val="28"/>
          <w:szCs w:val="28"/>
        </w:rPr>
        <w:t xml:space="preserve">sont relativement faibles. Elles ne représentent que 0,21% du PIB agricole en 2015. Une analyse rétrospective </w:t>
      </w:r>
      <w:r w:rsidR="00BC5C3F" w:rsidRPr="006866D3">
        <w:rPr>
          <w:rFonts w:ascii="Nyala" w:hAnsi="Nyala"/>
          <w:sz w:val="28"/>
          <w:szCs w:val="28"/>
        </w:rPr>
        <w:t>montre que les efforts en matière de recherche avaient connu un pic en 1990 avec à 0,81% du PIB agricole pour retomber à 0,14% en 2000</w:t>
      </w:r>
      <w:r w:rsidR="00792FA7" w:rsidRPr="006866D3">
        <w:rPr>
          <w:rFonts w:ascii="Nyala" w:hAnsi="Nyala"/>
          <w:b/>
          <w:sz w:val="28"/>
          <w:szCs w:val="28"/>
        </w:rPr>
        <w:t xml:space="preserve">(Figure </w:t>
      </w:r>
      <w:r w:rsidR="00C16CC4">
        <w:rPr>
          <w:rFonts w:ascii="Nyala" w:hAnsi="Nyala"/>
          <w:b/>
          <w:sz w:val="28"/>
          <w:szCs w:val="28"/>
        </w:rPr>
        <w:t>3</w:t>
      </w:r>
      <w:r w:rsidR="00D413AC">
        <w:rPr>
          <w:rFonts w:ascii="Nyala" w:hAnsi="Nyala"/>
          <w:b/>
          <w:sz w:val="28"/>
          <w:szCs w:val="28"/>
        </w:rPr>
        <w:t>7</w:t>
      </w:r>
      <w:r w:rsidR="00792FA7" w:rsidRPr="006866D3">
        <w:rPr>
          <w:rFonts w:ascii="Nyala" w:hAnsi="Nyala"/>
          <w:sz w:val="28"/>
          <w:szCs w:val="28"/>
        </w:rPr>
        <w:t>)</w:t>
      </w:r>
      <w:r w:rsidR="00BC5C3F" w:rsidRPr="006866D3">
        <w:rPr>
          <w:rFonts w:ascii="Nyala" w:hAnsi="Nyala"/>
          <w:sz w:val="28"/>
          <w:szCs w:val="28"/>
        </w:rPr>
        <w:t xml:space="preserve">.  </w:t>
      </w:r>
    </w:p>
    <w:p w:rsidR="00B0771B" w:rsidRPr="006866D3" w:rsidRDefault="00146983" w:rsidP="00F34985">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823104" behindDoc="0" locked="0" layoutInCell="1" allowOverlap="1" wp14:anchorId="4E695999">
                <wp:simplePos x="0" y="0"/>
                <wp:positionH relativeFrom="margin">
                  <wp:posOffset>2718435</wp:posOffset>
                </wp:positionH>
                <wp:positionV relativeFrom="paragraph">
                  <wp:posOffset>166370</wp:posOffset>
                </wp:positionV>
                <wp:extent cx="3809365" cy="2743835"/>
                <wp:effectExtent l="0" t="0" r="19685" b="18415"/>
                <wp:wrapSquare wrapText="bothSides"/>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9365" cy="2743835"/>
                        </a:xfrm>
                        <a:prstGeom prst="rect">
                          <a:avLst/>
                        </a:prstGeom>
                        <a:noFill/>
                        <a:ln w="6350">
                          <a:solidFill>
                            <a:prstClr val="black"/>
                          </a:solidFill>
                        </a:ln>
                        <a:effectLst/>
                      </wps:spPr>
                      <wps:txbx>
                        <w:txbxContent>
                          <w:p w:rsidR="00146325" w:rsidRDefault="00146325" w:rsidP="00792FA7">
                            <w:pPr>
                              <w:pStyle w:val="Lgende"/>
                              <w:keepNext/>
                              <w:jc w:val="both"/>
                            </w:pPr>
                            <w:bookmarkStart w:id="525" w:name="_Toc526120104"/>
                            <w:r>
                              <w:t xml:space="preserve">Figure </w:t>
                            </w:r>
                            <w:r w:rsidR="00C73EE5">
                              <w:fldChar w:fldCharType="begin"/>
                            </w:r>
                            <w:r w:rsidR="00C73EE5">
                              <w:instrText xml:space="preserve"> SEQ Figure \* ARABIC </w:instrText>
                            </w:r>
                            <w:r w:rsidR="00C73EE5">
                              <w:fldChar w:fldCharType="separate"/>
                            </w:r>
                            <w:r>
                              <w:rPr>
                                <w:noProof/>
                              </w:rPr>
                              <w:t>38</w:t>
                            </w:r>
                            <w:r w:rsidR="00C73EE5">
                              <w:rPr>
                                <w:noProof/>
                              </w:rPr>
                              <w:fldChar w:fldCharType="end"/>
                            </w:r>
                            <w:r>
                              <w:t xml:space="preserve"> - Evolution du budget de l'INRAN</w:t>
                            </w:r>
                            <w:bookmarkEnd w:id="525"/>
                          </w:p>
                          <w:p w:rsidR="00146325" w:rsidRDefault="00146325" w:rsidP="0083199D">
                            <w:pPr>
                              <w:jc w:val="both"/>
                            </w:pPr>
                            <w:r w:rsidRPr="00B13DCD">
                              <w:rPr>
                                <w:noProof/>
                                <w:lang w:eastAsia="fr-FR"/>
                              </w:rPr>
                              <w:drawing>
                                <wp:inline distT="0" distB="0" distL="0" distR="0">
                                  <wp:extent cx="2801565" cy="1575806"/>
                                  <wp:effectExtent l="0" t="0" r="0" b="571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23433" cy="1588106"/>
                                          </a:xfrm>
                                          <a:prstGeom prst="rect">
                                            <a:avLst/>
                                          </a:prstGeom>
                                          <a:noFill/>
                                          <a:ln>
                                            <a:noFill/>
                                          </a:ln>
                                        </pic:spPr>
                                      </pic:pic>
                                    </a:graphicData>
                                  </a:graphic>
                                </wp:inline>
                              </w:drawing>
                            </w:r>
                          </w:p>
                          <w:p w:rsidR="00146325" w:rsidRPr="00792FA7" w:rsidRDefault="00146325" w:rsidP="00792FA7">
                            <w:pPr>
                              <w:spacing w:after="0" w:line="240" w:lineRule="auto"/>
                              <w:jc w:val="both"/>
                              <w:rPr>
                                <w:sz w:val="16"/>
                                <w:szCs w:val="16"/>
                              </w:rPr>
                            </w:pPr>
                            <w:r w:rsidRPr="00792FA7">
                              <w:rPr>
                                <w:sz w:val="16"/>
                                <w:szCs w:val="16"/>
                              </w:rPr>
                              <w:t>Source : INRAN (étude)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E695999" id="Zone de texte 21" o:spid="_x0000_s1070" type="#_x0000_t202" style="position:absolute;left:0;text-align:left;margin-left:214.05pt;margin-top:13.1pt;width:299.95pt;height:216.05pt;z-index:2518231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" filled="f" strokeweight=".5pt">
                <v:path arrowok="t"/>
                <v:textbox style="mso-fit-shape-to-text:t">
                  <w:txbxContent>
                    <w:p w:rsidR="00146325" w:rsidRDefault="00146325" w:rsidP="00792FA7">
                      <w:pPr>
                        <w:pStyle w:val="Lgende"/>
                        <w:keepNext/>
                        <w:jc w:val="both"/>
                      </w:pPr>
                      <w:bookmarkStart w:id="526" w:name="_Toc526120104"/>
                      <w:r>
                        <w:t xml:space="preserve">Figure </w:t>
                      </w:r>
                      <w:r w:rsidR="00C73EE5">
                        <w:fldChar w:fldCharType="begin"/>
                      </w:r>
                      <w:r w:rsidR="00C73EE5">
                        <w:instrText xml:space="preserve"> SEQ Figure \* ARABIC </w:instrText>
                      </w:r>
                      <w:r w:rsidR="00C73EE5">
                        <w:fldChar w:fldCharType="separate"/>
                      </w:r>
                      <w:r>
                        <w:rPr>
                          <w:noProof/>
                        </w:rPr>
                        <w:t>38</w:t>
                      </w:r>
                      <w:r w:rsidR="00C73EE5">
                        <w:rPr>
                          <w:noProof/>
                        </w:rPr>
                        <w:fldChar w:fldCharType="end"/>
                      </w:r>
                      <w:r>
                        <w:t xml:space="preserve"> - Evolution du budget de l'INRAN</w:t>
                      </w:r>
                      <w:bookmarkEnd w:id="526"/>
                    </w:p>
                    <w:p w:rsidR="00146325" w:rsidRDefault="00146325" w:rsidP="0083199D">
                      <w:pPr>
                        <w:jc w:val="both"/>
                      </w:pPr>
                      <w:r w:rsidRPr="00B13DCD">
                        <w:rPr>
                          <w:noProof/>
                          <w:lang w:eastAsia="fr-FR"/>
                        </w:rPr>
                        <w:drawing>
                          <wp:inline distT="0" distB="0" distL="0" distR="0">
                            <wp:extent cx="2801565" cy="1575806"/>
                            <wp:effectExtent l="0" t="0" r="0" b="571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23433" cy="1588106"/>
                                    </a:xfrm>
                                    <a:prstGeom prst="rect">
                                      <a:avLst/>
                                    </a:prstGeom>
                                    <a:noFill/>
                                    <a:ln>
                                      <a:noFill/>
                                    </a:ln>
                                  </pic:spPr>
                                </pic:pic>
                              </a:graphicData>
                            </a:graphic>
                          </wp:inline>
                        </w:drawing>
                      </w:r>
                    </w:p>
                    <w:p w:rsidR="00146325" w:rsidRPr="00792FA7" w:rsidRDefault="00146325" w:rsidP="00792FA7">
                      <w:pPr>
                        <w:spacing w:after="0" w:line="240" w:lineRule="auto"/>
                        <w:jc w:val="both"/>
                        <w:rPr>
                          <w:sz w:val="16"/>
                          <w:szCs w:val="16"/>
                        </w:rPr>
                      </w:pPr>
                      <w:r w:rsidRPr="00792FA7">
                        <w:rPr>
                          <w:sz w:val="16"/>
                          <w:szCs w:val="16"/>
                        </w:rPr>
                        <w:t>Source : INRAN (étude)</w:t>
                      </w:r>
                    </w:p>
                  </w:txbxContent>
                </v:textbox>
                <w10:wrap type="square" anchorx="margin"/>
              </v:shape>
            </w:pict>
          </mc:Fallback>
        </mc:AlternateContent>
      </w:r>
      <w:r w:rsidR="009C042E" w:rsidRPr="006866D3">
        <w:rPr>
          <w:rFonts w:ascii="Nyala" w:hAnsi="Nyala"/>
          <w:sz w:val="28"/>
          <w:szCs w:val="28"/>
        </w:rPr>
        <w:t>C</w:t>
      </w:r>
      <w:r w:rsidR="00BC5C3F" w:rsidRPr="006866D3">
        <w:rPr>
          <w:rFonts w:ascii="Nyala" w:hAnsi="Nyala"/>
          <w:sz w:val="28"/>
          <w:szCs w:val="28"/>
        </w:rPr>
        <w:t>ependant</w:t>
      </w:r>
      <w:r w:rsidR="009C042E" w:rsidRPr="006866D3">
        <w:rPr>
          <w:rFonts w:ascii="Nyala" w:hAnsi="Nyala"/>
          <w:sz w:val="28"/>
          <w:szCs w:val="28"/>
        </w:rPr>
        <w:t>,</w:t>
      </w:r>
      <w:r w:rsidR="00BC5C3F" w:rsidRPr="006866D3">
        <w:rPr>
          <w:rFonts w:ascii="Nyala" w:hAnsi="Nyala"/>
          <w:sz w:val="28"/>
          <w:szCs w:val="28"/>
        </w:rPr>
        <w:t xml:space="preserve"> dans la période 2012-2015 </w:t>
      </w:r>
      <w:r w:rsidR="002B7AF5" w:rsidRPr="006866D3">
        <w:rPr>
          <w:rFonts w:ascii="Nyala" w:hAnsi="Nyala"/>
          <w:sz w:val="28"/>
          <w:szCs w:val="28"/>
        </w:rPr>
        <w:t>(</w:t>
      </w:r>
      <w:r w:rsidR="00BC5C3F" w:rsidRPr="006866D3">
        <w:rPr>
          <w:rFonts w:ascii="Nyala" w:hAnsi="Nyala"/>
          <w:sz w:val="28"/>
          <w:szCs w:val="28"/>
        </w:rPr>
        <w:t>PDES</w:t>
      </w:r>
      <w:r w:rsidR="002B7AF5" w:rsidRPr="006866D3">
        <w:rPr>
          <w:rFonts w:ascii="Nyala" w:hAnsi="Nyala"/>
          <w:sz w:val="28"/>
          <w:szCs w:val="28"/>
        </w:rPr>
        <w:t xml:space="preserve"> 2012-2015)</w:t>
      </w:r>
      <w:r w:rsidR="00BC5C3F" w:rsidRPr="006866D3">
        <w:rPr>
          <w:rFonts w:ascii="Nyala" w:hAnsi="Nyala"/>
          <w:sz w:val="28"/>
          <w:szCs w:val="28"/>
        </w:rPr>
        <w:t>, une certaine amélioration du financement a été noté</w:t>
      </w:r>
      <w:r w:rsidR="009C042E" w:rsidRPr="006866D3">
        <w:rPr>
          <w:rFonts w:ascii="Nyala" w:hAnsi="Nyala"/>
          <w:sz w:val="28"/>
          <w:szCs w:val="28"/>
        </w:rPr>
        <w:t>e</w:t>
      </w:r>
      <w:r w:rsidR="00CE7BDB" w:rsidRPr="006866D3">
        <w:rPr>
          <w:rFonts w:ascii="Nyala" w:hAnsi="Nyala"/>
          <w:sz w:val="28"/>
          <w:szCs w:val="28"/>
        </w:rPr>
        <w:t xml:space="preserve"> (</w:t>
      </w:r>
      <w:r w:rsidR="00CE7BDB" w:rsidRPr="006866D3">
        <w:rPr>
          <w:rFonts w:ascii="Nyala" w:hAnsi="Nyala"/>
          <w:b/>
          <w:sz w:val="28"/>
          <w:szCs w:val="28"/>
        </w:rPr>
        <w:t xml:space="preserve">figure </w:t>
      </w:r>
      <w:r w:rsidR="00C16CC4">
        <w:rPr>
          <w:rFonts w:ascii="Nyala" w:hAnsi="Nyala"/>
          <w:b/>
          <w:sz w:val="28"/>
          <w:szCs w:val="28"/>
        </w:rPr>
        <w:t>3</w:t>
      </w:r>
      <w:r w:rsidR="00D413AC">
        <w:rPr>
          <w:rFonts w:ascii="Nyala" w:hAnsi="Nyala"/>
          <w:b/>
          <w:sz w:val="28"/>
          <w:szCs w:val="28"/>
        </w:rPr>
        <w:t>8</w:t>
      </w:r>
      <w:r w:rsidR="00CE7BDB" w:rsidRPr="006866D3">
        <w:rPr>
          <w:rFonts w:ascii="Nyala" w:hAnsi="Nyala"/>
          <w:b/>
          <w:sz w:val="28"/>
          <w:szCs w:val="28"/>
        </w:rPr>
        <w:t>)</w:t>
      </w:r>
      <w:r w:rsidR="009C042E" w:rsidRPr="006866D3">
        <w:rPr>
          <w:rFonts w:ascii="Nyala" w:hAnsi="Nyala"/>
          <w:sz w:val="28"/>
          <w:szCs w:val="28"/>
        </w:rPr>
        <w:t>. La contribution du budget national (volet trésor) est passée de 735 millions de FCFA en 2011 à 2126,6 millions FCFA en 2015.</w:t>
      </w:r>
      <w:r w:rsidR="00D77824" w:rsidRPr="006866D3">
        <w:rPr>
          <w:rFonts w:ascii="Nyala" w:hAnsi="Nyala"/>
          <w:sz w:val="28"/>
          <w:szCs w:val="28"/>
        </w:rPr>
        <w:t xml:space="preserve"> La contribution de l’Etat tient compte des recettes propres de l’Institut. En 2016, elle a baissé de 7%. Le financement extérieur direct à l’INRAN a été divisé pratiquement pa</w:t>
      </w:r>
      <w:r w:rsidR="007720C7" w:rsidRPr="006866D3">
        <w:rPr>
          <w:rFonts w:ascii="Nyala" w:hAnsi="Nyala"/>
          <w:sz w:val="28"/>
          <w:szCs w:val="28"/>
        </w:rPr>
        <w:t xml:space="preserve">r 4 entre 2013 et 2016 ; il est prévu dans le PDES un accroissement irrégulier et progressif de la contribution des bailleurs de fonds à la </w:t>
      </w:r>
      <w:r w:rsidR="00A632C5">
        <w:rPr>
          <w:rFonts w:ascii="Nyala" w:hAnsi="Nyala"/>
          <w:sz w:val="28"/>
          <w:szCs w:val="28"/>
        </w:rPr>
        <w:t>r</w:t>
      </w:r>
      <w:r w:rsidR="00A632C5" w:rsidRPr="006866D3">
        <w:rPr>
          <w:rFonts w:ascii="Nyala" w:hAnsi="Nyala"/>
          <w:sz w:val="28"/>
          <w:szCs w:val="28"/>
        </w:rPr>
        <w:t>echerche</w:t>
      </w:r>
      <w:r w:rsidR="007720C7" w:rsidRPr="006866D3">
        <w:rPr>
          <w:rFonts w:ascii="Nyala" w:hAnsi="Nyala"/>
          <w:sz w:val="28"/>
          <w:szCs w:val="28"/>
        </w:rPr>
        <w:t>.</w:t>
      </w:r>
      <w:r w:rsidR="009C042E" w:rsidRPr="006866D3">
        <w:rPr>
          <w:rFonts w:ascii="Nyala" w:hAnsi="Nyala"/>
          <w:sz w:val="28"/>
          <w:szCs w:val="28"/>
        </w:rPr>
        <w:t xml:space="preserve">Cet apparent désinvestissement national pour la recherche agronomique </w:t>
      </w:r>
      <w:r w:rsidR="00DA78B0" w:rsidRPr="006866D3">
        <w:rPr>
          <w:rFonts w:ascii="Nyala" w:hAnsi="Nyala"/>
          <w:sz w:val="28"/>
          <w:szCs w:val="28"/>
        </w:rPr>
        <w:t>interroge sur la place réservée au</w:t>
      </w:r>
      <w:r w:rsidR="00B0771B" w:rsidRPr="006866D3">
        <w:rPr>
          <w:rFonts w:ascii="Nyala" w:hAnsi="Nyala"/>
          <w:sz w:val="28"/>
          <w:szCs w:val="28"/>
        </w:rPr>
        <w:t xml:space="preserve"> développement adéquat de connaissances et d’innovations technologies pour la </w:t>
      </w:r>
      <w:r w:rsidR="00DA78B0" w:rsidRPr="006866D3">
        <w:rPr>
          <w:rFonts w:ascii="Nyala" w:hAnsi="Nyala"/>
          <w:sz w:val="28"/>
          <w:szCs w:val="28"/>
        </w:rPr>
        <w:t xml:space="preserve">transformation du monde rural, axe majeur du PDES 2017-2021. </w:t>
      </w:r>
    </w:p>
    <w:p w:rsidR="00434119" w:rsidRDefault="00DA78B0" w:rsidP="007720C7">
      <w:pPr>
        <w:jc w:val="both"/>
        <w:rPr>
          <w:rFonts w:ascii="Nyala" w:hAnsi="Nyala"/>
          <w:bCs/>
          <w:sz w:val="28"/>
          <w:szCs w:val="28"/>
        </w:rPr>
      </w:pPr>
      <w:r w:rsidRPr="006866D3">
        <w:rPr>
          <w:rFonts w:ascii="Nyala" w:hAnsi="Nyala"/>
          <w:bCs/>
          <w:sz w:val="28"/>
          <w:szCs w:val="28"/>
        </w:rPr>
        <w:t>Toutefois, il est à rappeler que p</w:t>
      </w:r>
      <w:r w:rsidR="007720C7" w:rsidRPr="006866D3">
        <w:rPr>
          <w:rFonts w:ascii="Nyala" w:hAnsi="Nyala"/>
          <w:bCs/>
          <w:sz w:val="28"/>
          <w:szCs w:val="28"/>
        </w:rPr>
        <w:t xml:space="preserve">our booster la recherche agronomique, l’Etat a revu le statut de l’INRAN et a aligné les chercheurs de l’INRAN sur leurs homologues des Universités. Actuellement, une nouvelle stratégie et plan de développement de la recherche à moyen et long terme sont en voie de finalisation et d’adoption. </w:t>
      </w:r>
    </w:p>
    <w:p w:rsidR="007720C7" w:rsidRPr="00141D20" w:rsidRDefault="00434119" w:rsidP="007720C7">
      <w:pPr>
        <w:jc w:val="both"/>
        <w:rPr>
          <w:rFonts w:ascii="Nyala" w:hAnsi="Nyala"/>
          <w:bCs/>
          <w:i/>
          <w:sz w:val="28"/>
          <w:szCs w:val="28"/>
        </w:rPr>
      </w:pPr>
      <w:r w:rsidRPr="00141D20">
        <w:rPr>
          <w:rFonts w:ascii="Nyala" w:hAnsi="Nyala"/>
          <w:bCs/>
          <w:i/>
          <w:sz w:val="28"/>
          <w:szCs w:val="28"/>
        </w:rPr>
        <w:t>P</w:t>
      </w:r>
      <w:r w:rsidR="006E4A0D" w:rsidRPr="00141D20">
        <w:rPr>
          <w:rFonts w:ascii="Nyala" w:hAnsi="Nyala"/>
          <w:bCs/>
          <w:i/>
          <w:sz w:val="28"/>
          <w:szCs w:val="28"/>
        </w:rPr>
        <w:t xml:space="preserve">our que la contribution de la recherche agronomique dans l’élimination de l’insécurité alimentaire et la malnutrition et la transformation durable des systèmes de productions et de l’économie agricole, des engagements politiques plus clairs, mieux définis et mieux structurés sont nécessaires. Des réformes institutionnelles et organisationnelles sont engagées et des lois-programmes doivent être mises en place avec un mécanisme de reddition des comptes du SNRA et de ses chercheurs. </w:t>
      </w:r>
    </w:p>
    <w:p w:rsidR="00032D67" w:rsidRPr="006866D3" w:rsidRDefault="00032D67" w:rsidP="007720C7">
      <w:pPr>
        <w:jc w:val="both"/>
        <w:rPr>
          <w:rFonts w:ascii="Nyala" w:hAnsi="Nyala"/>
          <w:bCs/>
          <w:sz w:val="28"/>
          <w:szCs w:val="28"/>
        </w:rPr>
      </w:pPr>
    </w:p>
    <w:p w:rsidR="00DA78B0" w:rsidRPr="006866D3" w:rsidRDefault="00032D67" w:rsidP="00141D20">
      <w:pPr>
        <w:pStyle w:val="Titre3"/>
        <w:numPr>
          <w:ilvl w:val="2"/>
          <w:numId w:val="2"/>
        </w:numPr>
        <w:rPr>
          <w:sz w:val="28"/>
          <w:szCs w:val="28"/>
        </w:rPr>
      </w:pPr>
      <w:bookmarkStart w:id="527" w:name="_Toc526119985"/>
      <w:bookmarkStart w:id="528" w:name="_Hlk523660162"/>
      <w:r w:rsidRPr="006866D3">
        <w:rPr>
          <w:sz w:val="28"/>
          <w:szCs w:val="28"/>
        </w:rPr>
        <w:t>Fonctionnement des marchés</w:t>
      </w:r>
      <w:bookmarkEnd w:id="527"/>
    </w:p>
    <w:bookmarkEnd w:id="528"/>
    <w:p w:rsidR="00032D67" w:rsidRPr="006866D3" w:rsidRDefault="00B4401D" w:rsidP="000500A5">
      <w:pPr>
        <w:jc w:val="both"/>
        <w:rPr>
          <w:rFonts w:ascii="Nyala" w:hAnsi="Nyala"/>
          <w:bCs/>
          <w:sz w:val="28"/>
          <w:szCs w:val="28"/>
        </w:rPr>
      </w:pPr>
      <w:r w:rsidRPr="006866D3">
        <w:rPr>
          <w:rFonts w:ascii="Nyala" w:hAnsi="Nyala"/>
          <w:bCs/>
          <w:sz w:val="28"/>
          <w:szCs w:val="28"/>
        </w:rPr>
        <w:t xml:space="preserve">Le fonctionnement des marchés est abordé à travers les cibles 2b et 2c. La première traite des restrictions et distorsions entravant le fonctionnement des marchés mondiaux y compris l’élimination des formes de subvention à l’exportation. La seconde traite du contrôle de la volatilité des prix à travers l’accès à l’information des marchés. </w:t>
      </w:r>
    </w:p>
    <w:p w:rsidR="00041D42" w:rsidRPr="006866D3" w:rsidRDefault="00041D42" w:rsidP="00491BC8">
      <w:pPr>
        <w:rPr>
          <w:b/>
          <w:sz w:val="28"/>
          <w:szCs w:val="28"/>
        </w:rPr>
      </w:pPr>
    </w:p>
    <w:p w:rsidR="00491BC8" w:rsidRPr="006866D3" w:rsidRDefault="00491BC8" w:rsidP="0059103A">
      <w:pPr>
        <w:pStyle w:val="Paragraphedeliste"/>
        <w:numPr>
          <w:ilvl w:val="0"/>
          <w:numId w:val="22"/>
        </w:numPr>
        <w:rPr>
          <w:rStyle w:val="Rfrenceple"/>
          <w:sz w:val="28"/>
          <w:szCs w:val="28"/>
        </w:rPr>
      </w:pPr>
      <w:r w:rsidRPr="006866D3">
        <w:rPr>
          <w:rStyle w:val="Rfrenceple"/>
          <w:sz w:val="28"/>
          <w:szCs w:val="28"/>
        </w:rPr>
        <w:t>Indicateur 2. b.1 : Estimation du soutien à la production agricole</w:t>
      </w:r>
      <w:r w:rsidR="00041D42" w:rsidRPr="006866D3">
        <w:rPr>
          <w:rStyle w:val="Rfrenceple"/>
          <w:sz w:val="28"/>
          <w:szCs w:val="28"/>
        </w:rPr>
        <w:t xml:space="preserve"> (2b1)</w:t>
      </w:r>
    </w:p>
    <w:p w:rsidR="00491BC8" w:rsidRDefault="00491BC8" w:rsidP="000500A5">
      <w:pPr>
        <w:jc w:val="both"/>
        <w:rPr>
          <w:rFonts w:ascii="Nyala" w:hAnsi="Nyala"/>
          <w:sz w:val="28"/>
          <w:szCs w:val="28"/>
        </w:rPr>
      </w:pPr>
      <w:r w:rsidRPr="006866D3">
        <w:rPr>
          <w:rFonts w:ascii="Nyala" w:hAnsi="Nyala"/>
          <w:sz w:val="28"/>
          <w:szCs w:val="28"/>
        </w:rPr>
        <w:t xml:space="preserve">L'estimation du soutien aux producteurs (%) représente les transferts aux producteurs agricoles, mesuré à la ferme et exprimé en pourcentage des recettes agricoles brutes. Les transferts inclus dans l'estimation du soutien aux producteurs sont : le soutien des prix du marché, les paiements budgétaires et les coûts des recettes perdues supportées par le gouvernement et autres agents économiques. Il ne dispose de valeur de référence à l’échelle nationale. </w:t>
      </w:r>
    </w:p>
    <w:p w:rsidR="00D729B0" w:rsidRDefault="00D729B0" w:rsidP="000500A5">
      <w:pPr>
        <w:jc w:val="both"/>
        <w:rPr>
          <w:rFonts w:ascii="Nyala" w:hAnsi="Nyala"/>
          <w:sz w:val="28"/>
          <w:szCs w:val="28"/>
        </w:rPr>
      </w:pPr>
      <w:r>
        <w:rPr>
          <w:rFonts w:ascii="Nyala" w:hAnsi="Nyala"/>
          <w:sz w:val="28"/>
          <w:szCs w:val="28"/>
        </w:rPr>
        <w:t xml:space="preserve">Pour cet indicateur, le Niger en relation avec les partenaires internationaux de suivi des indicateurs (et aussi en synergie avec l’UEMOA et la CEDEAO) devrait sans doute </w:t>
      </w:r>
      <w:r w:rsidR="00E30790">
        <w:rPr>
          <w:rFonts w:ascii="Nyala" w:hAnsi="Nyala"/>
          <w:sz w:val="28"/>
          <w:szCs w:val="28"/>
        </w:rPr>
        <w:t>engager</w:t>
      </w:r>
      <w:r>
        <w:rPr>
          <w:rFonts w:ascii="Nyala" w:hAnsi="Nyala"/>
          <w:sz w:val="28"/>
          <w:szCs w:val="28"/>
        </w:rPr>
        <w:t xml:space="preserve"> une réflexion sur le sujet. Cette réflexion devrait permettre de répondre à un certain nombre de questionn</w:t>
      </w:r>
      <w:r w:rsidR="00E30790">
        <w:rPr>
          <w:rFonts w:ascii="Nyala" w:hAnsi="Nyala"/>
          <w:sz w:val="28"/>
          <w:szCs w:val="28"/>
        </w:rPr>
        <w:t>ements : est-ce que la stratégie d’achats locaux</w:t>
      </w:r>
      <w:r w:rsidR="00CE0F9D">
        <w:rPr>
          <w:rStyle w:val="Appelnotedebasdep"/>
          <w:rFonts w:ascii="Nyala" w:hAnsi="Nyala"/>
          <w:sz w:val="28"/>
          <w:szCs w:val="28"/>
        </w:rPr>
        <w:footnoteReference w:id="16"/>
      </w:r>
      <w:r w:rsidR="00E30790">
        <w:rPr>
          <w:rFonts w:ascii="Nyala" w:hAnsi="Nyala"/>
          <w:sz w:val="28"/>
          <w:szCs w:val="28"/>
        </w:rPr>
        <w:t xml:space="preserve"> auprès des producteurs ou les exonérations des projets d’appui au développement rural relèvent de mesures de soutien ? Est-ce également le cas, pour les investissements dans la gestion durable des terres agricoles ou pastorales, l’aménagement de grands périmètres irrigués ? Est-ce que les traitements phytosanitaires de grande échelle, les campagnes de vaccination du cheptel en sont également ? </w:t>
      </w:r>
    </w:p>
    <w:p w:rsidR="00434119" w:rsidRDefault="00434119" w:rsidP="000500A5">
      <w:pPr>
        <w:jc w:val="both"/>
        <w:rPr>
          <w:rFonts w:ascii="Nyala" w:hAnsi="Nyala"/>
          <w:i/>
          <w:sz w:val="28"/>
          <w:szCs w:val="28"/>
        </w:rPr>
      </w:pPr>
      <w:r>
        <w:rPr>
          <w:rFonts w:ascii="Nyala" w:hAnsi="Nyala"/>
          <w:i/>
          <w:sz w:val="28"/>
          <w:szCs w:val="28"/>
        </w:rPr>
        <w:t>Les filières agricoles et pastorales bénéficient de nombreux soutiens de la part des pouvoirs publics. Malheureusement, la nature et le volume de ces soutiens ne sont pas suffisamment répertoriés. Il y a lieu d’engager des études et des réflexions sur le sujet.</w:t>
      </w:r>
    </w:p>
    <w:p w:rsidR="00032D67" w:rsidRPr="006866D3" w:rsidRDefault="00032D67" w:rsidP="00032D67">
      <w:pPr>
        <w:pStyle w:val="Paragraphedeliste"/>
        <w:ind w:left="0"/>
        <w:jc w:val="both"/>
        <w:rPr>
          <w:rFonts w:ascii="Nyala" w:hAnsi="Nyala"/>
          <w:bCs/>
          <w:sz w:val="28"/>
          <w:szCs w:val="28"/>
        </w:rPr>
      </w:pPr>
    </w:p>
    <w:p w:rsidR="00032D67" w:rsidRPr="006866D3" w:rsidRDefault="00883456" w:rsidP="0059103A">
      <w:pPr>
        <w:pStyle w:val="Paragraphedeliste"/>
        <w:numPr>
          <w:ilvl w:val="0"/>
          <w:numId w:val="22"/>
        </w:numPr>
        <w:rPr>
          <w:rStyle w:val="Rfrenceple"/>
          <w:sz w:val="28"/>
          <w:szCs w:val="28"/>
        </w:rPr>
      </w:pPr>
      <w:r w:rsidRPr="006866D3">
        <w:rPr>
          <w:rStyle w:val="Rfrenceple"/>
          <w:sz w:val="28"/>
          <w:szCs w:val="28"/>
        </w:rPr>
        <w:t>sout</w:t>
      </w:r>
      <w:r w:rsidR="00B4401D" w:rsidRPr="006866D3">
        <w:rPr>
          <w:rStyle w:val="Rfrenceple"/>
          <w:sz w:val="28"/>
          <w:szCs w:val="28"/>
        </w:rPr>
        <w:t>i</w:t>
      </w:r>
      <w:r w:rsidRPr="006866D3">
        <w:rPr>
          <w:rStyle w:val="Rfrenceple"/>
          <w:sz w:val="28"/>
          <w:szCs w:val="28"/>
        </w:rPr>
        <w:t xml:space="preserve">en </w:t>
      </w:r>
      <w:r w:rsidR="00CE7BDB" w:rsidRPr="006866D3">
        <w:rPr>
          <w:rStyle w:val="Rfrenceple"/>
          <w:sz w:val="28"/>
          <w:szCs w:val="28"/>
        </w:rPr>
        <w:t xml:space="preserve">à </w:t>
      </w:r>
      <w:r w:rsidR="00041D42" w:rsidRPr="006866D3">
        <w:rPr>
          <w:rStyle w:val="Rfrenceple"/>
          <w:sz w:val="28"/>
          <w:szCs w:val="28"/>
        </w:rPr>
        <w:t xml:space="preserve">l’exportation (indicateur 2b2) </w:t>
      </w:r>
    </w:p>
    <w:p w:rsidR="00032D67" w:rsidRPr="006866D3" w:rsidRDefault="00032D67" w:rsidP="00032D67">
      <w:pPr>
        <w:pStyle w:val="Paragraphedeliste"/>
        <w:ind w:left="0"/>
        <w:jc w:val="both"/>
        <w:rPr>
          <w:rFonts w:ascii="Nyala" w:hAnsi="Nyala"/>
          <w:bCs/>
          <w:sz w:val="28"/>
          <w:szCs w:val="28"/>
        </w:rPr>
      </w:pPr>
    </w:p>
    <w:p w:rsidR="00491BC8" w:rsidRPr="006866D3" w:rsidRDefault="00491BC8" w:rsidP="000500A5">
      <w:pPr>
        <w:pStyle w:val="Paragraphedeliste"/>
        <w:ind w:left="0"/>
        <w:jc w:val="both"/>
        <w:rPr>
          <w:rFonts w:ascii="Nyala" w:hAnsi="Nyala"/>
          <w:bCs/>
          <w:sz w:val="28"/>
          <w:szCs w:val="28"/>
        </w:rPr>
      </w:pPr>
      <w:r w:rsidRPr="006866D3">
        <w:rPr>
          <w:rFonts w:ascii="Nyala" w:hAnsi="Nyala"/>
          <w:bCs/>
          <w:sz w:val="28"/>
          <w:szCs w:val="28"/>
        </w:rPr>
        <w:t xml:space="preserve">Cet indicateur estime les coûts totaux des subventions à l’exportation dans le secteur agricole. Il n’existe pas de valeur de référence au niveau national. Il revient de ce fait au Ministère en charge du domaine de mettre en place une stratégie pour estimer sa valeur.  Pour l’instant, aucune information n’est disponible sur les soutiens au marché d’exportation. En principe, ceux-ci ont été éliminés, il y a une trentaine d’années avec les programmes d’ajustements structurels.  </w:t>
      </w:r>
    </w:p>
    <w:p w:rsidR="00041D42" w:rsidRPr="006866D3" w:rsidRDefault="00041D42" w:rsidP="000500A5">
      <w:pPr>
        <w:pStyle w:val="Paragraphedeliste"/>
        <w:ind w:left="0"/>
        <w:jc w:val="both"/>
        <w:rPr>
          <w:rFonts w:ascii="Nyala" w:hAnsi="Nyala"/>
          <w:bCs/>
          <w:sz w:val="28"/>
          <w:szCs w:val="28"/>
        </w:rPr>
      </w:pPr>
    </w:p>
    <w:p w:rsidR="00491BC8" w:rsidRPr="006866D3" w:rsidRDefault="00041D42" w:rsidP="00032D67">
      <w:pPr>
        <w:pStyle w:val="Paragraphedeliste"/>
        <w:ind w:left="0"/>
        <w:jc w:val="both"/>
        <w:rPr>
          <w:rFonts w:ascii="Nyala" w:hAnsi="Nyala"/>
          <w:bCs/>
          <w:sz w:val="28"/>
          <w:szCs w:val="28"/>
        </w:rPr>
      </w:pPr>
      <w:r w:rsidRPr="006866D3">
        <w:rPr>
          <w:rFonts w:ascii="Nyala" w:hAnsi="Nyala"/>
          <w:bCs/>
          <w:sz w:val="28"/>
          <w:szCs w:val="28"/>
        </w:rPr>
        <w:t xml:space="preserve">Il est simplement à rappeler que </w:t>
      </w:r>
      <w:r w:rsidR="00491BC8" w:rsidRPr="006866D3">
        <w:rPr>
          <w:rFonts w:ascii="Nyala" w:hAnsi="Nyala"/>
          <w:bCs/>
          <w:sz w:val="28"/>
          <w:szCs w:val="28"/>
        </w:rPr>
        <w:t>l</w:t>
      </w:r>
      <w:r w:rsidR="00883456" w:rsidRPr="006866D3">
        <w:rPr>
          <w:rFonts w:ascii="Nyala" w:hAnsi="Nyala"/>
          <w:bCs/>
          <w:sz w:val="28"/>
          <w:szCs w:val="28"/>
        </w:rPr>
        <w:t>es exportations agricoles du Niger concernent essentiellement des oléo-protéagineux (</w:t>
      </w:r>
      <w:r w:rsidR="003F5418">
        <w:rPr>
          <w:rFonts w:ascii="Nyala" w:hAnsi="Nyala"/>
          <w:bCs/>
          <w:sz w:val="28"/>
          <w:szCs w:val="28"/>
        </w:rPr>
        <w:t>n</w:t>
      </w:r>
      <w:r w:rsidR="003F5418" w:rsidRPr="006866D3">
        <w:rPr>
          <w:rFonts w:ascii="Nyala" w:hAnsi="Nyala"/>
          <w:bCs/>
          <w:sz w:val="28"/>
          <w:szCs w:val="28"/>
        </w:rPr>
        <w:t>iébé</w:t>
      </w:r>
      <w:r w:rsidR="003F5418">
        <w:rPr>
          <w:rFonts w:ascii="Nyala" w:hAnsi="Nyala"/>
          <w:bCs/>
          <w:sz w:val="28"/>
          <w:szCs w:val="28"/>
        </w:rPr>
        <w:t xml:space="preserve"> ets</w:t>
      </w:r>
      <w:r w:rsidR="003F5418" w:rsidRPr="006866D3">
        <w:rPr>
          <w:rFonts w:ascii="Nyala" w:hAnsi="Nyala"/>
          <w:bCs/>
          <w:sz w:val="28"/>
          <w:szCs w:val="28"/>
        </w:rPr>
        <w:t>ésame</w:t>
      </w:r>
      <w:r w:rsidR="00883456" w:rsidRPr="006866D3">
        <w:rPr>
          <w:rFonts w:ascii="Nyala" w:hAnsi="Nyala"/>
          <w:bCs/>
          <w:sz w:val="28"/>
          <w:szCs w:val="28"/>
        </w:rPr>
        <w:t xml:space="preserve">), des produits animaux (bétail, cuirs et peaux), des produits forestiers (gomme arabique) ou de la pêche. Les marchés ciblés sont ceux </w:t>
      </w:r>
      <w:r w:rsidR="0082237E" w:rsidRPr="006866D3">
        <w:rPr>
          <w:rFonts w:ascii="Nyala" w:hAnsi="Nyala"/>
          <w:bCs/>
          <w:sz w:val="28"/>
          <w:szCs w:val="28"/>
        </w:rPr>
        <w:t xml:space="preserve">des </w:t>
      </w:r>
      <w:r w:rsidR="00883456" w:rsidRPr="006866D3">
        <w:rPr>
          <w:rFonts w:ascii="Nyala" w:hAnsi="Nyala"/>
          <w:bCs/>
          <w:sz w:val="28"/>
          <w:szCs w:val="28"/>
        </w:rPr>
        <w:t xml:space="preserve">pays voisins avec lesquels il construit une Union ou une Communauté Economique sous régionale caractérisée par la libre circulation des personnes et des biens.  </w:t>
      </w:r>
    </w:p>
    <w:p w:rsidR="00491BC8" w:rsidRDefault="00491BC8" w:rsidP="00032D67">
      <w:pPr>
        <w:pStyle w:val="Paragraphedeliste"/>
        <w:ind w:left="0"/>
        <w:jc w:val="both"/>
        <w:rPr>
          <w:rFonts w:ascii="Nyala" w:hAnsi="Nyala"/>
          <w:bCs/>
          <w:sz w:val="28"/>
          <w:szCs w:val="28"/>
        </w:rPr>
      </w:pPr>
    </w:p>
    <w:p w:rsidR="00032D67" w:rsidRDefault="0084587E">
      <w:pPr>
        <w:pStyle w:val="Paragraphedeliste"/>
        <w:ind w:left="0"/>
        <w:jc w:val="both"/>
        <w:rPr>
          <w:rFonts w:ascii="Nyala" w:hAnsi="Nyala"/>
          <w:bCs/>
          <w:sz w:val="28"/>
          <w:szCs w:val="28"/>
        </w:rPr>
      </w:pPr>
      <w:r>
        <w:rPr>
          <w:rFonts w:ascii="Nyala" w:hAnsi="Nyala"/>
          <w:bCs/>
          <w:sz w:val="28"/>
          <w:szCs w:val="28"/>
        </w:rPr>
        <w:t>Les produits agropastoraux sont la seconde source de devise</w:t>
      </w:r>
      <w:r w:rsidR="009D2654">
        <w:rPr>
          <w:rFonts w:ascii="Nyala" w:hAnsi="Nyala"/>
          <w:bCs/>
          <w:sz w:val="28"/>
          <w:szCs w:val="28"/>
        </w:rPr>
        <w:t xml:space="preserve">s du pays, mais ils ne bénéficient d’aucune mesure de soutien à l’exportation. Bien au contraire, les exportations vers les pays voisins </w:t>
      </w:r>
      <w:r w:rsidR="00883456" w:rsidRPr="006866D3">
        <w:rPr>
          <w:rFonts w:ascii="Nyala" w:hAnsi="Nyala"/>
          <w:bCs/>
          <w:sz w:val="28"/>
          <w:szCs w:val="28"/>
        </w:rPr>
        <w:t xml:space="preserve">sont </w:t>
      </w:r>
      <w:r w:rsidR="009D2654">
        <w:rPr>
          <w:rFonts w:ascii="Nyala" w:hAnsi="Nyala"/>
          <w:bCs/>
          <w:sz w:val="28"/>
          <w:szCs w:val="28"/>
        </w:rPr>
        <w:t xml:space="preserve">souvent </w:t>
      </w:r>
      <w:r w:rsidR="00883456" w:rsidRPr="006866D3">
        <w:rPr>
          <w:rFonts w:ascii="Nyala" w:hAnsi="Nyala"/>
          <w:bCs/>
          <w:sz w:val="28"/>
          <w:szCs w:val="28"/>
        </w:rPr>
        <w:t>entravé</w:t>
      </w:r>
      <w:r w:rsidR="009D2654">
        <w:rPr>
          <w:rFonts w:ascii="Nyala" w:hAnsi="Nyala"/>
          <w:bCs/>
          <w:sz w:val="28"/>
          <w:szCs w:val="28"/>
        </w:rPr>
        <w:t>e</w:t>
      </w:r>
      <w:r w:rsidR="00883456" w:rsidRPr="006866D3">
        <w:rPr>
          <w:rFonts w:ascii="Nyala" w:hAnsi="Nyala"/>
          <w:bCs/>
          <w:sz w:val="28"/>
          <w:szCs w:val="28"/>
        </w:rPr>
        <w:t xml:space="preserve">s par la faiblesse des infrastructures routières et par les tracasseries administratives informelles des services de contrôle routier (police, douane, gendarmerie, services phytosanitaires, forestiers, agents de santé </w:t>
      </w:r>
      <w:r w:rsidR="00D02635" w:rsidRPr="006866D3">
        <w:rPr>
          <w:rFonts w:ascii="Nyala" w:hAnsi="Nyala"/>
          <w:bCs/>
          <w:sz w:val="28"/>
          <w:szCs w:val="28"/>
        </w:rPr>
        <w:t>.</w:t>
      </w:r>
      <w:r w:rsidR="00883456" w:rsidRPr="006866D3">
        <w:rPr>
          <w:rFonts w:ascii="Nyala" w:hAnsi="Nyala"/>
          <w:bCs/>
          <w:sz w:val="28"/>
          <w:szCs w:val="28"/>
        </w:rPr>
        <w:t xml:space="preserve">..). Des initiatives sont prises au niveau national et sous-régional pour réduire ces entraves au commerce transfrontalier et international. Mais c’est un travail de longue haleine. </w:t>
      </w:r>
      <w:r w:rsidR="009D2654" w:rsidRPr="00141D20">
        <w:rPr>
          <w:rFonts w:ascii="Nyala" w:hAnsi="Nyala"/>
          <w:bCs/>
          <w:i/>
          <w:sz w:val="28"/>
          <w:szCs w:val="28"/>
        </w:rPr>
        <w:t>Dans la perspective, d’instaurer une véritable économie des filières d’exportation, la lutte contre les tracasseries, des mesures incitatives et des facilités (financement, information …) devraient renforcées.</w:t>
      </w:r>
    </w:p>
    <w:p w:rsidR="00DE0207" w:rsidRPr="006866D3" w:rsidRDefault="00DE0207" w:rsidP="00032D67">
      <w:pPr>
        <w:pStyle w:val="Paragraphedeliste"/>
        <w:ind w:left="0"/>
        <w:jc w:val="both"/>
        <w:rPr>
          <w:rFonts w:ascii="Nyala" w:hAnsi="Nyala"/>
          <w:bCs/>
          <w:sz w:val="28"/>
          <w:szCs w:val="28"/>
        </w:rPr>
      </w:pPr>
    </w:p>
    <w:p w:rsidR="00D02635" w:rsidRPr="006866D3" w:rsidRDefault="00D02635" w:rsidP="00032D67">
      <w:pPr>
        <w:pStyle w:val="Paragraphedeliste"/>
        <w:ind w:left="0"/>
        <w:jc w:val="both"/>
        <w:rPr>
          <w:rFonts w:ascii="Nyala" w:hAnsi="Nyala"/>
          <w:bCs/>
          <w:sz w:val="28"/>
          <w:szCs w:val="28"/>
        </w:rPr>
      </w:pPr>
    </w:p>
    <w:p w:rsidR="00D02635" w:rsidRPr="006866D3" w:rsidRDefault="00AA0378" w:rsidP="0059103A">
      <w:pPr>
        <w:pStyle w:val="Paragraphedeliste"/>
        <w:numPr>
          <w:ilvl w:val="0"/>
          <w:numId w:val="22"/>
        </w:numPr>
        <w:rPr>
          <w:rStyle w:val="Rfrenceple"/>
          <w:sz w:val="28"/>
          <w:szCs w:val="28"/>
        </w:rPr>
      </w:pPr>
      <w:r w:rsidRPr="006866D3">
        <w:rPr>
          <w:rStyle w:val="Rfrenceple"/>
          <w:sz w:val="28"/>
          <w:szCs w:val="28"/>
        </w:rPr>
        <w:t xml:space="preserve">Anomalies tarifaires et perturbation du marché agricole (2c1) </w:t>
      </w:r>
    </w:p>
    <w:p w:rsidR="00491BC8" w:rsidRPr="006866D3" w:rsidRDefault="00491BC8" w:rsidP="005C2656">
      <w:pPr>
        <w:pStyle w:val="Paragraphedeliste"/>
        <w:ind w:left="0"/>
        <w:jc w:val="both"/>
        <w:rPr>
          <w:rFonts w:ascii="Nyala" w:hAnsi="Nyala"/>
          <w:bCs/>
          <w:sz w:val="28"/>
          <w:szCs w:val="28"/>
        </w:rPr>
      </w:pPr>
    </w:p>
    <w:p w:rsidR="00491BC8" w:rsidRDefault="00491BC8" w:rsidP="000500A5">
      <w:pPr>
        <w:pStyle w:val="Paragraphedeliste"/>
        <w:ind w:left="0"/>
        <w:jc w:val="both"/>
        <w:rPr>
          <w:rFonts w:ascii="Nyala" w:hAnsi="Nyala"/>
          <w:bCs/>
          <w:sz w:val="28"/>
          <w:szCs w:val="28"/>
        </w:rPr>
      </w:pPr>
      <w:r w:rsidRPr="006866D3">
        <w:rPr>
          <w:rFonts w:ascii="Nyala" w:hAnsi="Nyala"/>
          <w:bCs/>
          <w:sz w:val="28"/>
          <w:szCs w:val="28"/>
        </w:rPr>
        <w:t xml:space="preserve">L'indicateur proposé des anomalies des prix des aliments mesure le nombre de "Anomalies des prix" qui se produisent sur une série de prix des produits alimentaires donné sur une période de temps donnée. Les données de l’Indice Harmonisé des Prix à la </w:t>
      </w:r>
      <w:r w:rsidR="003F5418">
        <w:rPr>
          <w:rFonts w:ascii="Nyala" w:hAnsi="Nyala"/>
          <w:bCs/>
          <w:sz w:val="28"/>
          <w:szCs w:val="28"/>
        </w:rPr>
        <w:t>C</w:t>
      </w:r>
      <w:r w:rsidR="003F5418" w:rsidRPr="006866D3">
        <w:rPr>
          <w:rFonts w:ascii="Nyala" w:hAnsi="Nyala"/>
          <w:bCs/>
          <w:sz w:val="28"/>
          <w:szCs w:val="28"/>
        </w:rPr>
        <w:t xml:space="preserve">onsommation </w:t>
      </w:r>
      <w:r w:rsidRPr="006866D3">
        <w:rPr>
          <w:rFonts w:ascii="Nyala" w:hAnsi="Nyala"/>
          <w:bCs/>
          <w:sz w:val="28"/>
          <w:szCs w:val="28"/>
        </w:rPr>
        <w:t>(IHPC)</w:t>
      </w:r>
      <w:r w:rsidR="00F95B3A">
        <w:rPr>
          <w:rStyle w:val="Appelnotedebasdep"/>
          <w:rFonts w:ascii="Nyala" w:hAnsi="Nyala"/>
          <w:bCs/>
          <w:sz w:val="28"/>
          <w:szCs w:val="28"/>
        </w:rPr>
        <w:footnoteReference w:id="17"/>
      </w:r>
      <w:r w:rsidRPr="006866D3">
        <w:rPr>
          <w:rFonts w:ascii="Nyala" w:hAnsi="Nyala"/>
          <w:bCs/>
          <w:sz w:val="28"/>
          <w:szCs w:val="28"/>
        </w:rPr>
        <w:t xml:space="preserve"> peuvent être utilisées pour calculer la valeur de l’indicateur pour les denrées alimentaires. Ceci n’a pas été officiellement fait.</w:t>
      </w:r>
      <w:r w:rsidR="00CE0F9D">
        <w:rPr>
          <w:rFonts w:ascii="Nyala" w:hAnsi="Nyala"/>
          <w:bCs/>
          <w:sz w:val="28"/>
          <w:szCs w:val="28"/>
        </w:rPr>
        <w:t xml:space="preserve"> Il y a lieu de d’engager rapidement une étude sur les anomalies tarifaires et la perturbation du marché agricole en relation avec l’UEMOA et la CEDEAO dont l’objet est de créer un marché commun au niveau de l’Afrique de l’ouest. </w:t>
      </w:r>
    </w:p>
    <w:p w:rsidR="00E30790" w:rsidRDefault="00E30790" w:rsidP="000500A5">
      <w:pPr>
        <w:pStyle w:val="Paragraphedeliste"/>
        <w:ind w:left="0"/>
        <w:jc w:val="both"/>
        <w:rPr>
          <w:rFonts w:ascii="Nyala" w:hAnsi="Nyala"/>
          <w:bCs/>
          <w:sz w:val="28"/>
          <w:szCs w:val="28"/>
        </w:rPr>
      </w:pPr>
    </w:p>
    <w:p w:rsidR="00BC57CF" w:rsidRDefault="00CE0F9D" w:rsidP="005C2656">
      <w:pPr>
        <w:pStyle w:val="Paragraphedeliste"/>
        <w:ind w:left="0"/>
        <w:jc w:val="both"/>
        <w:rPr>
          <w:rFonts w:ascii="Nyala" w:hAnsi="Nyala"/>
          <w:bCs/>
          <w:sz w:val="28"/>
          <w:szCs w:val="28"/>
        </w:rPr>
      </w:pPr>
      <w:r>
        <w:rPr>
          <w:rFonts w:ascii="Nyala" w:hAnsi="Nyala"/>
          <w:bCs/>
          <w:sz w:val="28"/>
          <w:szCs w:val="28"/>
        </w:rPr>
        <w:t>Sur un autre plan, i</w:t>
      </w:r>
      <w:r w:rsidR="00491BC8" w:rsidRPr="006866D3">
        <w:rPr>
          <w:rFonts w:ascii="Nyala" w:hAnsi="Nyala"/>
          <w:bCs/>
          <w:sz w:val="28"/>
          <w:szCs w:val="28"/>
        </w:rPr>
        <w:t>l est à rappeler qu’avec l</w:t>
      </w:r>
      <w:r w:rsidR="00E910F3" w:rsidRPr="006866D3">
        <w:rPr>
          <w:rFonts w:ascii="Nyala" w:hAnsi="Nyala"/>
          <w:bCs/>
          <w:sz w:val="28"/>
          <w:szCs w:val="28"/>
        </w:rPr>
        <w:t xml:space="preserve">es déficits céréaliers et l’insécurité alimentaire étant récurrents, le Niger fait régulièrement appel à l’aide internationale pour faciliter l’accès aux aliments et nutriments pour les groupes les plus vulnérables. Cette aide est à la fois monétaire et alimentaire. D’aucuns se sont interrogés sur les effets potentiels d’une aide en nature sur les marchés agricoles locaux. Pour réduire les effets pervers de l’aide alimentaire en nature, les pays du Sahel et de l’Afrique de l’Ouest en accord avec les Organisations de la Société Civile et les PTF ont adopté une charte pour la prévention et la gestion des crises alimentaires. Cette Charte engage les parties prenantes </w:t>
      </w:r>
      <w:r w:rsidR="005C2656" w:rsidRPr="006866D3">
        <w:rPr>
          <w:rFonts w:ascii="Nyala" w:hAnsi="Nyala"/>
          <w:bCs/>
          <w:sz w:val="28"/>
          <w:szCs w:val="28"/>
        </w:rPr>
        <w:t>à i) r</w:t>
      </w:r>
      <w:r w:rsidR="009E236B" w:rsidRPr="006866D3">
        <w:rPr>
          <w:rFonts w:ascii="Nyala" w:hAnsi="Nyala"/>
          <w:bCs/>
          <w:sz w:val="28"/>
          <w:szCs w:val="28"/>
        </w:rPr>
        <w:t>éserver l’aide alimentaire prioritairement à la réponse aux situations d’urgence et la cibler sur les seuls groupes les plus vulnérables identifiés en fonction des critères issus de l’analyse de vulnérabilité, qu’il s’agisse de situation d’urgence ou non ;</w:t>
      </w:r>
      <w:r w:rsidR="005C2656" w:rsidRPr="006866D3">
        <w:rPr>
          <w:rFonts w:ascii="Nyala" w:hAnsi="Nyala"/>
          <w:bCs/>
          <w:sz w:val="28"/>
          <w:szCs w:val="28"/>
        </w:rPr>
        <w:t xml:space="preserve"> ii) p</w:t>
      </w:r>
      <w:r w:rsidR="009E236B" w:rsidRPr="006866D3">
        <w:rPr>
          <w:rFonts w:ascii="Nyala" w:hAnsi="Nyala"/>
          <w:bCs/>
          <w:sz w:val="28"/>
          <w:szCs w:val="28"/>
        </w:rPr>
        <w:t>rivilégier les achats locaux selon les disponibilités et les opérations triangulaires.</w:t>
      </w:r>
    </w:p>
    <w:p w:rsidR="00CE0F9D" w:rsidRPr="00141D20" w:rsidRDefault="00993514" w:rsidP="005C2656">
      <w:pPr>
        <w:pStyle w:val="Paragraphedeliste"/>
        <w:ind w:left="0"/>
        <w:jc w:val="both"/>
        <w:rPr>
          <w:rFonts w:ascii="Nyala" w:hAnsi="Nyala"/>
          <w:bCs/>
          <w:i/>
          <w:sz w:val="28"/>
          <w:szCs w:val="28"/>
        </w:rPr>
      </w:pPr>
      <w:r>
        <w:rPr>
          <w:rFonts w:ascii="Nyala" w:hAnsi="Nyala"/>
          <w:bCs/>
          <w:sz w:val="28"/>
          <w:szCs w:val="28"/>
        </w:rPr>
        <w:t xml:space="preserve">Il y a lieu de s’assurer du respect effectif de cette charte et d’un éventuel impact de l’aide alimentaire sur le fonctionnement du marché agricole des céréales et autres produits agricoles entrant dans la ration alimentaire des ménages. </w:t>
      </w:r>
      <w:r w:rsidR="009D2654" w:rsidRPr="00141D20">
        <w:rPr>
          <w:rFonts w:ascii="Nyala" w:hAnsi="Nyala"/>
          <w:bCs/>
          <w:i/>
          <w:sz w:val="28"/>
          <w:szCs w:val="28"/>
        </w:rPr>
        <w:t xml:space="preserve">Pour cela, il y a lieu de réaliser une étude pour apprécier le degré d’application de la charte et les effets de l’aide alimentaire sur le fonctionnement des marchés.  </w:t>
      </w:r>
    </w:p>
    <w:p w:rsidR="00CE0F9D" w:rsidRPr="006866D3" w:rsidRDefault="00CE0F9D" w:rsidP="005C2656">
      <w:pPr>
        <w:pStyle w:val="Paragraphedeliste"/>
        <w:ind w:left="0"/>
        <w:jc w:val="both"/>
        <w:rPr>
          <w:rFonts w:ascii="Nyala" w:hAnsi="Nyala"/>
          <w:bCs/>
          <w:sz w:val="28"/>
          <w:szCs w:val="28"/>
        </w:rPr>
      </w:pPr>
    </w:p>
    <w:p w:rsidR="00B4401D" w:rsidRPr="006866D3" w:rsidRDefault="00B4401D" w:rsidP="00032D67">
      <w:pPr>
        <w:pStyle w:val="Paragraphedeliste"/>
        <w:ind w:left="0"/>
        <w:jc w:val="both"/>
        <w:rPr>
          <w:rFonts w:ascii="Nyala" w:hAnsi="Nyala"/>
          <w:bCs/>
          <w:sz w:val="28"/>
          <w:szCs w:val="28"/>
        </w:rPr>
      </w:pPr>
    </w:p>
    <w:p w:rsidR="00DA78B0" w:rsidRPr="006866D3" w:rsidRDefault="00DA78B0" w:rsidP="00141D20">
      <w:pPr>
        <w:pStyle w:val="Titre2"/>
        <w:numPr>
          <w:ilvl w:val="1"/>
          <w:numId w:val="2"/>
        </w:numPr>
        <w:rPr>
          <w:sz w:val="28"/>
          <w:szCs w:val="28"/>
        </w:rPr>
      </w:pPr>
      <w:bookmarkStart w:id="529" w:name="_Toc526119986"/>
      <w:r w:rsidRPr="006866D3">
        <w:rPr>
          <w:sz w:val="28"/>
          <w:szCs w:val="28"/>
        </w:rPr>
        <w:t>Conclusion partielle sur la mise en œuvre de l’ODD2</w:t>
      </w:r>
      <w:bookmarkEnd w:id="529"/>
    </w:p>
    <w:p w:rsidR="00BA485C" w:rsidRDefault="00BA485C" w:rsidP="000500A5">
      <w:pPr>
        <w:rPr>
          <w:sz w:val="28"/>
          <w:szCs w:val="28"/>
        </w:rPr>
      </w:pPr>
    </w:p>
    <w:p w:rsidR="00760AA0" w:rsidRDefault="00554120" w:rsidP="00760AA0">
      <w:pPr>
        <w:jc w:val="both"/>
        <w:rPr>
          <w:rFonts w:ascii="Nyala" w:hAnsi="Nyala"/>
          <w:sz w:val="28"/>
          <w:szCs w:val="28"/>
        </w:rPr>
      </w:pPr>
      <w:r w:rsidRPr="00760AA0">
        <w:rPr>
          <w:rFonts w:ascii="Nyala" w:hAnsi="Nyala"/>
          <w:sz w:val="28"/>
          <w:szCs w:val="28"/>
        </w:rPr>
        <w:t xml:space="preserve">Au sortir de la période de mise en œuvre des OMD, le constat a été fait que les investissements et mesures engagés par l’Etat avec l’appui de ses partenaire n’a pas permis d’atteindre la cible 3 de l’OMD1 «  réduire de moitié la proportion de population souffrant de la faim».  </w:t>
      </w:r>
      <w:r w:rsidR="00D82346" w:rsidRPr="00760AA0">
        <w:rPr>
          <w:rFonts w:ascii="Nyala" w:hAnsi="Nyala"/>
          <w:sz w:val="28"/>
          <w:szCs w:val="28"/>
        </w:rPr>
        <w:t>Entre 201</w:t>
      </w:r>
      <w:r w:rsidR="007C15F2" w:rsidRPr="00760AA0">
        <w:rPr>
          <w:rFonts w:ascii="Nyala" w:hAnsi="Nyala"/>
          <w:sz w:val="28"/>
          <w:szCs w:val="28"/>
        </w:rPr>
        <w:t>8 et 2011</w:t>
      </w:r>
      <w:r w:rsidR="00D82346" w:rsidRPr="00760AA0">
        <w:rPr>
          <w:rFonts w:ascii="Nyala" w:hAnsi="Nyala"/>
          <w:sz w:val="28"/>
          <w:szCs w:val="28"/>
        </w:rPr>
        <w:t>, la proportion de la population ne couvrant leurs besoins caloriques n’a baissé que de 1% en</w:t>
      </w:r>
      <w:r w:rsidR="007C15F2" w:rsidRPr="00760AA0">
        <w:rPr>
          <w:rFonts w:ascii="Nyala" w:hAnsi="Nyala"/>
          <w:sz w:val="28"/>
          <w:szCs w:val="28"/>
        </w:rPr>
        <w:t xml:space="preserve">tre 2008 et 2011 (de 37% à 36%)et augmenté de 14% entre 2011 et 2014 passant de 36% à 50% selon l’INS (bilan OMD et ECVMA). </w:t>
      </w:r>
    </w:p>
    <w:p w:rsidR="00760AA0" w:rsidRPr="00760AA0" w:rsidRDefault="007C15F2" w:rsidP="005550A6">
      <w:pPr>
        <w:tabs>
          <w:tab w:val="left" w:pos="6521"/>
        </w:tabs>
        <w:jc w:val="both"/>
        <w:rPr>
          <w:rFonts w:ascii="Nyala" w:hAnsi="Nyala"/>
          <w:sz w:val="28"/>
          <w:szCs w:val="28"/>
        </w:rPr>
      </w:pPr>
      <w:r w:rsidRPr="00760AA0">
        <w:rPr>
          <w:rFonts w:ascii="Nyala" w:hAnsi="Nyala"/>
          <w:sz w:val="28"/>
          <w:szCs w:val="28"/>
        </w:rPr>
        <w:t xml:space="preserve">La sous-alimentation est plus forte chez les ruraux (50,6%) que chez les citadins (46,7%). </w:t>
      </w:r>
      <w:r w:rsidR="00760AA0" w:rsidRPr="00760AA0">
        <w:rPr>
          <w:rFonts w:ascii="Nyala" w:hAnsi="Nyala"/>
          <w:sz w:val="28"/>
          <w:szCs w:val="28"/>
        </w:rPr>
        <w:t xml:space="preserve">En 2016, il a été noté que 18% à 20% des ménages ont un régime alimentaire pauvre ou faiblement diversifié. </w:t>
      </w:r>
    </w:p>
    <w:p w:rsidR="0028620E" w:rsidRPr="005550A6" w:rsidRDefault="0028620E" w:rsidP="005550A6">
      <w:pPr>
        <w:tabs>
          <w:tab w:val="left" w:pos="6521"/>
        </w:tabs>
        <w:jc w:val="both"/>
        <w:rPr>
          <w:rFonts w:ascii="Nyala" w:hAnsi="Nyala"/>
          <w:sz w:val="28"/>
          <w:szCs w:val="28"/>
        </w:rPr>
      </w:pPr>
      <w:r w:rsidRPr="005550A6">
        <w:rPr>
          <w:rFonts w:ascii="Nyala" w:hAnsi="Nyala"/>
          <w:sz w:val="28"/>
          <w:szCs w:val="28"/>
        </w:rPr>
        <w:t>La situation nutritionnelle des enfants reste encore très préoccupante. La situation s’est dégradée de 2016 à 2017 avec une progression de la proportion d’enfants souffrant d’insuffisance pondérale de 2,9% (de 31,7% à 34,6%) et de 3,2% pour le retard de croissance (de 42,2% à 45,4%).</w:t>
      </w:r>
    </w:p>
    <w:p w:rsidR="003D33B4" w:rsidRPr="005550A6" w:rsidRDefault="003D33B4" w:rsidP="005550A6">
      <w:pPr>
        <w:tabs>
          <w:tab w:val="left" w:pos="6521"/>
        </w:tabs>
        <w:jc w:val="both"/>
        <w:rPr>
          <w:rFonts w:ascii="Nyala" w:hAnsi="Nyala"/>
          <w:sz w:val="28"/>
          <w:szCs w:val="28"/>
        </w:rPr>
      </w:pPr>
      <w:r w:rsidRPr="005550A6">
        <w:rPr>
          <w:rFonts w:ascii="Nyala" w:hAnsi="Nyala"/>
          <w:sz w:val="28"/>
          <w:szCs w:val="28"/>
        </w:rPr>
        <w:t xml:space="preserve">Ainsi, pour relever les défis de l’élimination de la faim à l’horizon 2035, les efforts du Niger doivent être encore plus efficaces et plus efficients qu’ils ne l’ont été jusqu’à présent, d’autant plus que le Niger est l’un des pays où la disponibilité alimentaire est étroitement liée au climat et où l’accessibilité est sérieusement freinée par une pauvreté ambiante, des inégalités persistantes et un pouvoir d’achat parfois limité pour certaines couches sociales. </w:t>
      </w:r>
    </w:p>
    <w:p w:rsidR="008068F2" w:rsidRPr="006866D3" w:rsidRDefault="003D33B4" w:rsidP="005550A6">
      <w:pPr>
        <w:tabs>
          <w:tab w:val="left" w:pos="6521"/>
        </w:tabs>
        <w:jc w:val="both"/>
        <w:rPr>
          <w:rFonts w:ascii="Nyala" w:hAnsi="Nyala"/>
          <w:sz w:val="28"/>
          <w:szCs w:val="28"/>
        </w:rPr>
      </w:pPr>
      <w:r w:rsidRPr="005550A6">
        <w:rPr>
          <w:rFonts w:ascii="Nyala" w:hAnsi="Nyala"/>
          <w:sz w:val="28"/>
          <w:szCs w:val="28"/>
        </w:rPr>
        <w:t xml:space="preserve">Heureusement, le pays a conscience </w:t>
      </w:r>
      <w:r w:rsidR="002403E6" w:rsidRPr="005550A6">
        <w:rPr>
          <w:rFonts w:ascii="Nyala" w:hAnsi="Nyala"/>
          <w:sz w:val="28"/>
          <w:szCs w:val="28"/>
        </w:rPr>
        <w:t xml:space="preserve">de ces défis et cela se traduit par une volonté affichée dans toutes les politiques publiques et les plans d’actions. En effet, depuis  </w:t>
      </w:r>
      <w:r w:rsidR="008068F2" w:rsidRPr="006866D3">
        <w:rPr>
          <w:rFonts w:ascii="Nyala" w:hAnsi="Nyala"/>
          <w:sz w:val="28"/>
          <w:szCs w:val="28"/>
        </w:rPr>
        <w:t xml:space="preserve">la grande sécheresse du Sahel des années 70, dans la lutte contre la désertification, les changements climatiques et la dégradation des terres ainsi que dans la lutte préventive contre l’insécurité alimentaire et nutritionnelle. Le Niger a capitalisé de nombreuses expériences positives et des bonnes pratiques d’agriculture durable qu’il essaie de mettre à l’échelle. Malheureusement, l’absence d’un consensus sur les indicateurs et les modalités de leur évaluation ne permet pas d’en faire </w:t>
      </w:r>
      <w:r w:rsidR="002403E6">
        <w:rPr>
          <w:rFonts w:ascii="Nyala" w:hAnsi="Nyala"/>
          <w:sz w:val="28"/>
          <w:szCs w:val="28"/>
        </w:rPr>
        <w:t xml:space="preserve">état </w:t>
      </w:r>
      <w:r w:rsidR="008068F2" w:rsidRPr="006866D3">
        <w:rPr>
          <w:rFonts w:ascii="Nyala" w:hAnsi="Nyala"/>
          <w:sz w:val="28"/>
          <w:szCs w:val="28"/>
        </w:rPr>
        <w:t xml:space="preserve">dans le cadre de cette première revue stratégique faim zéro. </w:t>
      </w:r>
    </w:p>
    <w:p w:rsidR="002403E6" w:rsidRDefault="002403E6" w:rsidP="00280703">
      <w:pPr>
        <w:tabs>
          <w:tab w:val="left" w:pos="6521"/>
        </w:tabs>
        <w:jc w:val="both"/>
        <w:rPr>
          <w:rFonts w:ascii="Nyala" w:hAnsi="Nyala"/>
          <w:sz w:val="28"/>
          <w:szCs w:val="28"/>
        </w:rPr>
      </w:pPr>
      <w:r>
        <w:rPr>
          <w:rFonts w:ascii="Nyala" w:hAnsi="Nyala"/>
          <w:sz w:val="28"/>
          <w:szCs w:val="28"/>
        </w:rPr>
        <w:t xml:space="preserve">Toutefois, </w:t>
      </w:r>
      <w:r w:rsidR="00280703" w:rsidRPr="006866D3">
        <w:rPr>
          <w:rFonts w:ascii="Nyala" w:hAnsi="Nyala"/>
          <w:sz w:val="28"/>
          <w:szCs w:val="28"/>
        </w:rPr>
        <w:t xml:space="preserve">des ruptures sont nécessaires, si à l’horizon 2030, aucune nigérienne et aucun nigérien ne devrait souffrir de la faim ou de la malnutrition et si les productrices et producteurs devraient vivre dignement tout en adoptant des systèmes de productions résilients face aux multiples risques agricoles. </w:t>
      </w:r>
    </w:p>
    <w:p w:rsidR="00280703" w:rsidRPr="006866D3" w:rsidRDefault="002403E6" w:rsidP="00280703">
      <w:pPr>
        <w:tabs>
          <w:tab w:val="left" w:pos="6521"/>
        </w:tabs>
        <w:jc w:val="both"/>
        <w:rPr>
          <w:rFonts w:ascii="Nyala" w:hAnsi="Nyala"/>
          <w:sz w:val="28"/>
          <w:szCs w:val="28"/>
        </w:rPr>
      </w:pPr>
      <w:r>
        <w:rPr>
          <w:rFonts w:ascii="Nyala" w:hAnsi="Nyala"/>
          <w:sz w:val="28"/>
          <w:szCs w:val="28"/>
        </w:rPr>
        <w:t xml:space="preserve">Les ruptures passeront par des changements hardis sur les approches, les priorités d’actions, une plus grande confluence et convergence des investissements dans des zones où les changements sont possibles; pas seulement les zones où des problèmes sociaux sont identifiés, mais aussi des zones où l’exploitation des atouts et potentialités peuvent impacter sur la sécurité alimentaire et la transformation </w:t>
      </w:r>
      <w:r w:rsidR="005550A6">
        <w:rPr>
          <w:rFonts w:ascii="Nyala" w:hAnsi="Nyala"/>
          <w:sz w:val="28"/>
          <w:szCs w:val="28"/>
        </w:rPr>
        <w:t xml:space="preserve">de l’agriculture et </w:t>
      </w:r>
      <w:r>
        <w:rPr>
          <w:rFonts w:ascii="Nyala" w:hAnsi="Nyala"/>
          <w:sz w:val="28"/>
          <w:szCs w:val="28"/>
        </w:rPr>
        <w:t xml:space="preserve">du monde rural. </w:t>
      </w:r>
    </w:p>
    <w:p w:rsidR="00C76D4E" w:rsidRPr="006866D3" w:rsidRDefault="00C76D4E">
      <w:pPr>
        <w:rPr>
          <w:rFonts w:ascii="Nyala" w:hAnsi="Nyala"/>
          <w:sz w:val="28"/>
          <w:szCs w:val="28"/>
        </w:rPr>
      </w:pPr>
      <w:r w:rsidRPr="006866D3">
        <w:rPr>
          <w:rFonts w:ascii="Nyala" w:hAnsi="Nyala"/>
          <w:sz w:val="28"/>
          <w:szCs w:val="28"/>
        </w:rPr>
        <w:br w:type="page"/>
      </w:r>
    </w:p>
    <w:p w:rsidR="00F84EE7" w:rsidRPr="006866D3" w:rsidRDefault="0083199D" w:rsidP="00141D20">
      <w:pPr>
        <w:pStyle w:val="Titre1"/>
        <w:numPr>
          <w:ilvl w:val="0"/>
          <w:numId w:val="2"/>
        </w:numPr>
        <w:rPr>
          <w:sz w:val="28"/>
          <w:szCs w:val="28"/>
        </w:rPr>
      </w:pPr>
      <w:bookmarkStart w:id="530" w:name="_Toc526119987"/>
      <w:r w:rsidRPr="006866D3">
        <w:rPr>
          <w:sz w:val="28"/>
          <w:szCs w:val="28"/>
        </w:rPr>
        <w:t>L’insécurité alimentaire et</w:t>
      </w:r>
      <w:r w:rsidR="005F440B" w:rsidRPr="006866D3">
        <w:rPr>
          <w:sz w:val="28"/>
          <w:szCs w:val="28"/>
        </w:rPr>
        <w:t xml:space="preserve"> nutritionnelle </w:t>
      </w:r>
      <w:r w:rsidR="00AA77D4" w:rsidRPr="006866D3">
        <w:rPr>
          <w:sz w:val="28"/>
          <w:szCs w:val="28"/>
        </w:rPr>
        <w:t xml:space="preserve">dans les </w:t>
      </w:r>
      <w:r w:rsidR="00F84EE7" w:rsidRPr="006866D3">
        <w:rPr>
          <w:sz w:val="28"/>
          <w:szCs w:val="28"/>
        </w:rPr>
        <w:t>politiques publiques</w:t>
      </w:r>
      <w:bookmarkEnd w:id="530"/>
    </w:p>
    <w:p w:rsidR="005A31E8" w:rsidRPr="00141D20" w:rsidRDefault="005A31E8" w:rsidP="00141D20">
      <w:pPr>
        <w:contextualSpacing/>
        <w:jc w:val="both"/>
        <w:rPr>
          <w:rFonts w:ascii="Nyala" w:hAnsi="Nyala" w:cstheme="minorHAnsi"/>
          <w:sz w:val="28"/>
          <w:szCs w:val="28"/>
        </w:rPr>
      </w:pPr>
    </w:p>
    <w:p w:rsidR="00F84EE7" w:rsidRPr="006866D3" w:rsidRDefault="00F84EE7" w:rsidP="00F84EE7">
      <w:pPr>
        <w:contextualSpacing/>
        <w:jc w:val="both"/>
        <w:rPr>
          <w:rFonts w:ascii="Nyala" w:hAnsi="Nyala" w:cstheme="minorHAnsi"/>
          <w:sz w:val="28"/>
          <w:szCs w:val="28"/>
        </w:rPr>
      </w:pPr>
      <w:r w:rsidRPr="006866D3">
        <w:rPr>
          <w:rFonts w:ascii="Nyala" w:hAnsi="Nyala" w:cstheme="minorHAnsi"/>
          <w:sz w:val="28"/>
          <w:szCs w:val="28"/>
        </w:rPr>
        <w:t>Assurer une alimentation pour tous est un droit universel reconnu dans la Constitution nigérienne de 2010. Celle-ci stipule en son article 12 que : « chacun a droit à la vie, à la santé, à l'intégrité physique et morale, à une alimentation saine et suffisante, à l'</w:t>
      </w:r>
      <w:r w:rsidR="00A56E42" w:rsidRPr="006866D3">
        <w:rPr>
          <w:rFonts w:ascii="Nyala" w:hAnsi="Nyala" w:cstheme="minorHAnsi"/>
          <w:sz w:val="28"/>
          <w:szCs w:val="28"/>
        </w:rPr>
        <w:t>eau potable</w:t>
      </w:r>
      <w:r w:rsidRPr="006866D3">
        <w:rPr>
          <w:rFonts w:ascii="Nyala" w:hAnsi="Nyala" w:cstheme="minorHAnsi"/>
          <w:sz w:val="28"/>
          <w:szCs w:val="28"/>
        </w:rPr>
        <w:t>, à l'éducation et à l'instruction dans les conditions définies par la loi ».</w:t>
      </w:r>
    </w:p>
    <w:p w:rsidR="00F84EE7" w:rsidRPr="006866D3" w:rsidRDefault="00F84EE7" w:rsidP="00F84EE7">
      <w:pPr>
        <w:spacing w:line="259" w:lineRule="auto"/>
        <w:contextualSpacing/>
        <w:jc w:val="both"/>
        <w:rPr>
          <w:rFonts w:ascii="Nyala" w:hAnsi="Nyala" w:cstheme="minorHAnsi"/>
          <w:sz w:val="28"/>
          <w:szCs w:val="28"/>
        </w:rPr>
      </w:pPr>
      <w:r w:rsidRPr="006866D3">
        <w:rPr>
          <w:rFonts w:ascii="Nyala" w:hAnsi="Nyala" w:cstheme="minorHAnsi"/>
          <w:sz w:val="28"/>
          <w:szCs w:val="28"/>
        </w:rPr>
        <w:t xml:space="preserve">L’article 146 précise que « les politiques publiques doivent promouvoir la souveraineté alimentaire, le développement durable, l'accès de tous aux services sociaux ainsi que l'amélioration de la qualité de vie.  Cela implique, implicitement que l’Etat veille à investir dans les domaines prioritaires, notamment l'agriculture, l'élevage, la santé et l'éducation, et à la création d'un fonds pour les générations futures (Article 153), tout en prenant en compte la protection de l'environnement, du patrimoine culturel ainsi que la préservation des intérêts des générations présentes </w:t>
      </w:r>
      <w:r w:rsidR="00A56E42" w:rsidRPr="006866D3">
        <w:rPr>
          <w:rFonts w:ascii="Nyala" w:hAnsi="Nyala" w:cstheme="minorHAnsi"/>
          <w:sz w:val="28"/>
          <w:szCs w:val="28"/>
        </w:rPr>
        <w:t>et futures</w:t>
      </w:r>
      <w:r w:rsidRPr="006866D3">
        <w:rPr>
          <w:rFonts w:ascii="Nyala" w:hAnsi="Nyala" w:cstheme="minorHAnsi"/>
          <w:sz w:val="28"/>
          <w:szCs w:val="28"/>
        </w:rPr>
        <w:t xml:space="preserve"> (Article 149).</w:t>
      </w:r>
    </w:p>
    <w:p w:rsidR="00F84EE7" w:rsidRPr="006866D3" w:rsidRDefault="00F84EE7" w:rsidP="00F84EE7">
      <w:pPr>
        <w:spacing w:line="259" w:lineRule="auto"/>
        <w:contextualSpacing/>
        <w:jc w:val="both"/>
        <w:rPr>
          <w:rFonts w:ascii="Arial Narrow" w:hAnsi="Arial Narrow" w:cstheme="minorHAnsi"/>
          <w:b/>
          <w:sz w:val="28"/>
          <w:szCs w:val="28"/>
        </w:rPr>
      </w:pPr>
    </w:p>
    <w:p w:rsidR="00F84EE7" w:rsidRPr="006866D3" w:rsidRDefault="00F84EE7" w:rsidP="00F84EE7">
      <w:pPr>
        <w:jc w:val="both"/>
        <w:rPr>
          <w:rFonts w:ascii="Nyala" w:hAnsi="Nyala"/>
          <w:sz w:val="28"/>
          <w:szCs w:val="28"/>
        </w:rPr>
      </w:pPr>
      <w:r w:rsidRPr="006866D3">
        <w:rPr>
          <w:rFonts w:ascii="Nyala" w:hAnsi="Nyala"/>
          <w:sz w:val="28"/>
          <w:szCs w:val="28"/>
        </w:rPr>
        <w:t xml:space="preserve">Le présent chapitre traite de la prise en compte des cibles et indicateurs de l’ODD2 dans les politiques nationales traitant de la lutte contre la faim, la malnutrition et le développement agricole durable. </w:t>
      </w:r>
    </w:p>
    <w:p w:rsidR="00082D58" w:rsidRPr="006866D3" w:rsidRDefault="00082D58" w:rsidP="00046834">
      <w:pPr>
        <w:jc w:val="both"/>
        <w:rPr>
          <w:rFonts w:ascii="Nyala" w:hAnsi="Nyala"/>
          <w:sz w:val="28"/>
          <w:szCs w:val="28"/>
        </w:rPr>
      </w:pPr>
    </w:p>
    <w:p w:rsidR="00F84EE7" w:rsidRPr="006866D3" w:rsidRDefault="00F84EE7" w:rsidP="00141D20">
      <w:pPr>
        <w:pStyle w:val="Titre2"/>
        <w:numPr>
          <w:ilvl w:val="1"/>
          <w:numId w:val="2"/>
        </w:numPr>
      </w:pPr>
      <w:bookmarkStart w:id="531" w:name="_Toc526119988"/>
      <w:r w:rsidRPr="006866D3">
        <w:t>L</w:t>
      </w:r>
      <w:r w:rsidR="0083199D" w:rsidRPr="006866D3">
        <w:t>es documents d’orientation et de stratégie a long terme</w:t>
      </w:r>
      <w:bookmarkEnd w:id="531"/>
    </w:p>
    <w:p w:rsidR="00F84EE7" w:rsidRPr="006866D3" w:rsidRDefault="00F84EE7" w:rsidP="00F84EE7">
      <w:pPr>
        <w:contextualSpacing/>
        <w:jc w:val="both"/>
        <w:rPr>
          <w:caps/>
          <w:color w:val="294E1C" w:themeColor="accent1" w:themeShade="7F"/>
          <w:spacing w:val="15"/>
          <w:sz w:val="28"/>
          <w:szCs w:val="28"/>
        </w:rPr>
      </w:pPr>
    </w:p>
    <w:p w:rsidR="006E4A0D" w:rsidRPr="006866D3" w:rsidRDefault="006E4A0D" w:rsidP="00F84EE7">
      <w:pPr>
        <w:jc w:val="both"/>
        <w:rPr>
          <w:rFonts w:ascii="Nyala" w:hAnsi="Nyala"/>
          <w:sz w:val="28"/>
          <w:szCs w:val="28"/>
        </w:rPr>
      </w:pPr>
      <w:r w:rsidRPr="006866D3">
        <w:rPr>
          <w:rFonts w:ascii="Nyala" w:hAnsi="Nyala"/>
          <w:sz w:val="28"/>
          <w:szCs w:val="28"/>
        </w:rPr>
        <w:t xml:space="preserve">Au cours de ces dernières années, le Niger s’est défini des orientations en matière de développement économique et social, de lutte contre la faim et la malnutrition, de protection sociale et de lutte contre la dégradation de l’environnement et le changement climatique. Ces documents s’inscrivent dans une perspective de long terme et servent de cadre de référence pour toute intervention globale ou sectorielle. Il s’agit de la Stratégie de Développement et de Croissance Inclusive (SDDCI), de la Stratégie de Sécurité alimentaire et Nutritionnelle et de développement agricole durable (SANDAD ou Initiative 3n), de la Politique Nationale de Protection Sociale (PNPS), de la Politique Nationale de l’Environnement et développement durable et autres stratégies de gestion environnementale. </w:t>
      </w:r>
    </w:p>
    <w:p w:rsidR="006E4A0D" w:rsidRPr="006866D3" w:rsidRDefault="006E4A0D" w:rsidP="00F84EE7">
      <w:pPr>
        <w:jc w:val="both"/>
        <w:rPr>
          <w:rFonts w:ascii="Nyala" w:hAnsi="Nyala"/>
          <w:sz w:val="28"/>
          <w:szCs w:val="28"/>
        </w:rPr>
      </w:pPr>
    </w:p>
    <w:p w:rsidR="00F84EE7" w:rsidRPr="00141D20" w:rsidRDefault="005A31E8" w:rsidP="00141D20">
      <w:pPr>
        <w:rPr>
          <w:rStyle w:val="Rfrenceintense"/>
          <w:sz w:val="28"/>
          <w:szCs w:val="28"/>
        </w:rPr>
      </w:pPr>
      <w:r w:rsidRPr="00141D20">
        <w:rPr>
          <w:rStyle w:val="Rfrenceintense"/>
          <w:sz w:val="28"/>
          <w:szCs w:val="28"/>
        </w:rPr>
        <w:t xml:space="preserve">SDDCI - </w:t>
      </w:r>
      <w:r w:rsidR="00F84EE7" w:rsidRPr="00141D20">
        <w:rPr>
          <w:rStyle w:val="Rfrenceintense"/>
          <w:sz w:val="28"/>
          <w:szCs w:val="28"/>
        </w:rPr>
        <w:t>vision de developpement a l’horizon 2035</w:t>
      </w:r>
    </w:p>
    <w:p w:rsidR="00F84EE7" w:rsidRPr="006866D3" w:rsidRDefault="00F84EE7" w:rsidP="00F84EE7">
      <w:pPr>
        <w:jc w:val="both"/>
        <w:rPr>
          <w:rFonts w:ascii="Nyala" w:hAnsi="Nyala"/>
          <w:i/>
          <w:sz w:val="28"/>
          <w:szCs w:val="28"/>
        </w:rPr>
      </w:pPr>
      <w:r w:rsidRPr="006866D3">
        <w:rPr>
          <w:rFonts w:ascii="Nyala" w:hAnsi="Nyala"/>
          <w:sz w:val="28"/>
          <w:szCs w:val="28"/>
        </w:rPr>
        <w:t xml:space="preserve">Du fait de sa forte vulnérabilité aux variations et changements climatiques et de l’importance du secteur primaire dans l’économie nationale, le Niger a toujours intégré dans ses stratégies et plans nationaux de développement, des actions concourant à la sécurité alimentaire et nutritionnelle et la résilience des systèmes de production. Depuis 20*** et ce Conformément à l’Article 100 de la Constitution, </w:t>
      </w:r>
      <w:r w:rsidRPr="006866D3">
        <w:rPr>
          <w:rFonts w:ascii="Nyala" w:hAnsi="Nyala" w:cstheme="minorHAnsi"/>
          <w:sz w:val="28"/>
          <w:szCs w:val="28"/>
        </w:rPr>
        <w:t xml:space="preserve">l'Etat du Niger s’est doté d’un document-cadre de développement définissant sa vision stratégique traduisant son ambition à l’horizon 2035 d’être </w:t>
      </w:r>
      <w:r w:rsidRPr="006866D3">
        <w:rPr>
          <w:rFonts w:ascii="Nyala" w:hAnsi="Nyala"/>
          <w:i/>
          <w:sz w:val="28"/>
          <w:szCs w:val="28"/>
        </w:rPr>
        <w:t>« un pays moderne, paisible, prospère et fier de ses valeurs culturelles, sous-tendu par un développement durable, éthique, équitable et équilibré dans une Afrique unie et solidaire ».</w:t>
      </w:r>
    </w:p>
    <w:p w:rsidR="00F84EE7" w:rsidRPr="006866D3" w:rsidRDefault="00F84EE7" w:rsidP="00F84EE7">
      <w:pPr>
        <w:spacing w:line="259" w:lineRule="auto"/>
        <w:contextualSpacing/>
        <w:jc w:val="both"/>
        <w:rPr>
          <w:rFonts w:ascii="Nyala" w:hAnsi="Nyala" w:cstheme="minorHAnsi"/>
          <w:i/>
          <w:sz w:val="28"/>
          <w:szCs w:val="28"/>
        </w:rPr>
      </w:pPr>
      <w:r w:rsidRPr="006866D3">
        <w:rPr>
          <w:rFonts w:ascii="Nyala" w:hAnsi="Nyala" w:cstheme="minorHAnsi"/>
          <w:sz w:val="28"/>
          <w:szCs w:val="28"/>
        </w:rPr>
        <w:t>La Stratégie de Développement Durable et de Croissance Inclusive (SDDCI) du Niger s’est donnée comme Vision 2035 d’«</w:t>
      </w:r>
      <w:r w:rsidRPr="006866D3">
        <w:rPr>
          <w:rFonts w:ascii="Nyala" w:hAnsi="Nyala" w:cstheme="minorHAnsi"/>
          <w:i/>
          <w:sz w:val="28"/>
          <w:szCs w:val="28"/>
        </w:rPr>
        <w:t>avoir l’audace de réussir par la rupture &amp; la réalisation</w:t>
      </w:r>
      <w:r w:rsidRPr="006866D3">
        <w:rPr>
          <w:rFonts w:ascii="Nyala" w:hAnsi="Nyala" w:cstheme="minorHAnsi"/>
          <w:sz w:val="28"/>
          <w:szCs w:val="28"/>
        </w:rPr>
        <w:t xml:space="preserve">» à travers le soutien de six (6) objectifs stratégiques : i) </w:t>
      </w:r>
      <w:r w:rsidRPr="006866D3">
        <w:rPr>
          <w:rFonts w:ascii="Nyala" w:hAnsi="Nyala" w:cstheme="minorHAnsi"/>
          <w:i/>
          <w:sz w:val="28"/>
          <w:szCs w:val="28"/>
        </w:rPr>
        <w:t>assurer la sécurité du territoire</w:t>
      </w:r>
      <w:r w:rsidRPr="006866D3">
        <w:rPr>
          <w:rFonts w:ascii="Nyala" w:hAnsi="Nyala" w:cstheme="minorHAnsi"/>
          <w:sz w:val="28"/>
          <w:szCs w:val="28"/>
        </w:rPr>
        <w:t xml:space="preserve">, ii) </w:t>
      </w:r>
      <w:r w:rsidRPr="006866D3">
        <w:rPr>
          <w:rFonts w:ascii="Nyala" w:hAnsi="Nyala" w:cstheme="minorHAnsi"/>
          <w:i/>
          <w:sz w:val="28"/>
          <w:szCs w:val="28"/>
        </w:rPr>
        <w:t>construire une « administration de développement » efficace</w:t>
      </w:r>
      <w:r w:rsidRPr="006866D3">
        <w:rPr>
          <w:rFonts w:ascii="Nyala" w:hAnsi="Nyala" w:cstheme="minorHAnsi"/>
          <w:sz w:val="28"/>
          <w:szCs w:val="28"/>
        </w:rPr>
        <w:t xml:space="preserve">, iii) </w:t>
      </w:r>
      <w:r w:rsidRPr="006866D3">
        <w:rPr>
          <w:rFonts w:ascii="Nyala" w:hAnsi="Nyala" w:cstheme="minorHAnsi"/>
          <w:i/>
          <w:sz w:val="28"/>
          <w:szCs w:val="28"/>
        </w:rPr>
        <w:t>assurer un effort vigoureux indispensable pour la formation du capital humain</w:t>
      </w:r>
      <w:r w:rsidRPr="006866D3">
        <w:rPr>
          <w:rFonts w:ascii="Nyala" w:hAnsi="Nyala" w:cstheme="minorHAnsi"/>
          <w:sz w:val="28"/>
          <w:szCs w:val="28"/>
        </w:rPr>
        <w:t xml:space="preserve">, iv) </w:t>
      </w:r>
      <w:r w:rsidRPr="006866D3">
        <w:rPr>
          <w:rFonts w:ascii="Nyala" w:hAnsi="Nyala" w:cstheme="minorHAnsi"/>
          <w:i/>
          <w:sz w:val="28"/>
          <w:szCs w:val="28"/>
        </w:rPr>
        <w:t>créer massivement des emplois par l' indispensable dynamisation et modernisation du monde rural</w:t>
      </w:r>
      <w:r w:rsidRPr="006866D3">
        <w:rPr>
          <w:rFonts w:ascii="Nyala" w:hAnsi="Nyala" w:cstheme="minorHAnsi"/>
          <w:sz w:val="28"/>
          <w:szCs w:val="28"/>
        </w:rPr>
        <w:t xml:space="preserve"> (croissance agricole d’au moins 6,3%: pour un revenu agricole/hbt de s’accroitre de 3% par an, soit de plus de 80% sur la période), v) </w:t>
      </w:r>
      <w:r w:rsidRPr="006866D3">
        <w:rPr>
          <w:rFonts w:ascii="Nyala" w:hAnsi="Nyala" w:cstheme="minorHAnsi"/>
          <w:i/>
          <w:sz w:val="28"/>
          <w:szCs w:val="28"/>
        </w:rPr>
        <w:t>créer massivement d’emplois par la facilitation du développement d’un secteur privé dynamique et vi) ramener le taux de croissance de la population à un niveau compatible avec la capacité économique du pays.</w:t>
      </w:r>
    </w:p>
    <w:p w:rsidR="00F84EE7" w:rsidRPr="006866D3" w:rsidRDefault="00F84EE7" w:rsidP="00F84EE7">
      <w:pPr>
        <w:contextualSpacing/>
        <w:jc w:val="both"/>
        <w:rPr>
          <w:rFonts w:ascii="Nyala" w:hAnsi="Nyala"/>
          <w:b/>
          <w:sz w:val="28"/>
          <w:szCs w:val="28"/>
        </w:rPr>
      </w:pPr>
    </w:p>
    <w:p w:rsidR="00F84EE7" w:rsidRDefault="00F84EE7" w:rsidP="00F84EE7">
      <w:pPr>
        <w:contextualSpacing/>
        <w:jc w:val="both"/>
        <w:rPr>
          <w:rFonts w:ascii="Nyala" w:hAnsi="Nyala" w:cstheme="minorHAnsi"/>
          <w:sz w:val="28"/>
          <w:szCs w:val="28"/>
        </w:rPr>
      </w:pPr>
      <w:r w:rsidRPr="006866D3">
        <w:rPr>
          <w:rFonts w:ascii="Nyala" w:hAnsi="Nyala" w:cstheme="minorHAnsi"/>
          <w:sz w:val="28"/>
          <w:szCs w:val="28"/>
        </w:rPr>
        <w:t>La SD</w:t>
      </w:r>
      <w:r w:rsidR="007C3680">
        <w:rPr>
          <w:rFonts w:ascii="Nyala" w:hAnsi="Nyala" w:cstheme="minorHAnsi"/>
          <w:sz w:val="28"/>
          <w:szCs w:val="28"/>
        </w:rPr>
        <w:t>D</w:t>
      </w:r>
      <w:r w:rsidRPr="006866D3">
        <w:rPr>
          <w:rFonts w:ascii="Nyala" w:hAnsi="Nyala" w:cstheme="minorHAnsi"/>
          <w:sz w:val="28"/>
          <w:szCs w:val="28"/>
        </w:rPr>
        <w:t xml:space="preserve">CI n’a pas fait de l’élimination de la faim et de l’’agriculture durable, un résultat et un axe stratégiques explicites. Ceux-ci devraient découler d’une modernisation du monde rural dont les effets sont un taux de croissance agricole de 6% par an et une contribution à « la réduction de la pauvreté rurale de 62% à 35% et à stabiliser le nombre absolu de pauvres ruraux à son niveau de 2015 (entre 9 et 10 millions) en 2035 ». La lutte contre la malnutrition est perçue dans la SDDCI comme une des voies pour </w:t>
      </w:r>
      <w:r w:rsidRPr="006866D3">
        <w:rPr>
          <w:rFonts w:ascii="Nyala" w:hAnsi="Nyala" w:cstheme="minorHAnsi"/>
          <w:i/>
          <w:sz w:val="28"/>
          <w:szCs w:val="28"/>
        </w:rPr>
        <w:t>rehausser le capital humain et réussir la transition démographique</w:t>
      </w:r>
      <w:r w:rsidRPr="006866D3">
        <w:rPr>
          <w:rFonts w:ascii="Nyala" w:hAnsi="Nyala" w:cstheme="minorHAnsi"/>
          <w:sz w:val="28"/>
          <w:szCs w:val="28"/>
        </w:rPr>
        <w:t xml:space="preserve"> et </w:t>
      </w:r>
      <w:r w:rsidRPr="006866D3">
        <w:rPr>
          <w:rFonts w:ascii="Nyala" w:hAnsi="Nyala" w:cstheme="minorHAnsi"/>
          <w:i/>
          <w:sz w:val="28"/>
          <w:szCs w:val="28"/>
        </w:rPr>
        <w:t>la prévalence de l’insécurité alimentaire</w:t>
      </w:r>
      <w:r w:rsidRPr="006866D3">
        <w:rPr>
          <w:rFonts w:ascii="Nyala" w:hAnsi="Nyala" w:cstheme="minorHAnsi"/>
          <w:sz w:val="28"/>
          <w:szCs w:val="28"/>
        </w:rPr>
        <w:t xml:space="preserve"> (ODD 2.1.2 ) comme un des indicateurs devant traduire la transformation radicale du secteur rural.</w:t>
      </w:r>
    </w:p>
    <w:p w:rsidR="007C3680" w:rsidRDefault="007C3680" w:rsidP="00F84EE7">
      <w:pPr>
        <w:contextualSpacing/>
        <w:jc w:val="both"/>
        <w:rPr>
          <w:rFonts w:ascii="Nyala" w:hAnsi="Nyala" w:cstheme="minorHAnsi"/>
          <w:sz w:val="28"/>
          <w:szCs w:val="28"/>
        </w:rPr>
      </w:pPr>
    </w:p>
    <w:p w:rsidR="007C3680" w:rsidRPr="00141D20" w:rsidRDefault="007C3680" w:rsidP="00F84EE7">
      <w:pPr>
        <w:contextualSpacing/>
        <w:jc w:val="both"/>
        <w:rPr>
          <w:rFonts w:ascii="Nyala" w:hAnsi="Nyala" w:cstheme="minorHAnsi"/>
          <w:i/>
          <w:sz w:val="28"/>
          <w:szCs w:val="28"/>
        </w:rPr>
      </w:pPr>
      <w:r w:rsidRPr="00141D20">
        <w:rPr>
          <w:rFonts w:ascii="Nyala" w:hAnsi="Nyala" w:cstheme="minorHAnsi"/>
          <w:i/>
          <w:sz w:val="28"/>
          <w:szCs w:val="28"/>
        </w:rPr>
        <w:t>Pour tenir compte des orientations affichées dans l’Agenda 2030, il y aura lieu d’ajuster les objectifs-cibles de la SDDCI, en les rendant plus ambitieux et plus approchant des ODD en général et de l’ODD2 en particulier. Le nombre absolu de pauvres à l’horizon 2035 devrait être revue à la baisse, l’accroissement du revenu agricole à la hausse et les objectifs-cibles en matière d’insécurité alimentaire, de lutte contre la malnutrition et de développement agricole durable mieux précisé</w:t>
      </w:r>
      <w:r w:rsidR="00A5088E" w:rsidRPr="00141D20">
        <w:rPr>
          <w:rFonts w:ascii="Nyala" w:hAnsi="Nyala" w:cstheme="minorHAnsi"/>
          <w:i/>
          <w:sz w:val="28"/>
          <w:szCs w:val="28"/>
        </w:rPr>
        <w:t xml:space="preserve">s. La traduction de la SDDCI en plans quinquennaux de développement est une opportunité pour ces ajustements. </w:t>
      </w:r>
    </w:p>
    <w:p w:rsidR="00B537E3" w:rsidRPr="006866D3" w:rsidRDefault="00B537E3" w:rsidP="00F84EE7">
      <w:pPr>
        <w:contextualSpacing/>
        <w:jc w:val="both"/>
        <w:rPr>
          <w:rFonts w:ascii="Nyala" w:hAnsi="Nyala" w:cstheme="minorHAnsi"/>
          <w:sz w:val="28"/>
          <w:szCs w:val="28"/>
        </w:rPr>
      </w:pPr>
    </w:p>
    <w:p w:rsidR="00F84EE7" w:rsidRPr="006866D3" w:rsidRDefault="00F84EE7" w:rsidP="00F84EE7">
      <w:pPr>
        <w:contextualSpacing/>
        <w:jc w:val="both"/>
        <w:rPr>
          <w:rFonts w:ascii="Nyala" w:hAnsi="Nyala" w:cstheme="minorHAnsi"/>
          <w:sz w:val="28"/>
          <w:szCs w:val="28"/>
        </w:rPr>
      </w:pPr>
    </w:p>
    <w:p w:rsidR="00F84EE7" w:rsidRPr="009B11E1" w:rsidRDefault="00F84EE7" w:rsidP="00141D20">
      <w:pPr>
        <w:rPr>
          <w:rStyle w:val="Rfrenceintense"/>
          <w:sz w:val="28"/>
          <w:szCs w:val="28"/>
        </w:rPr>
      </w:pPr>
      <w:r w:rsidRPr="009B11E1">
        <w:rPr>
          <w:rStyle w:val="Rfrenceintense"/>
          <w:sz w:val="28"/>
          <w:szCs w:val="28"/>
        </w:rPr>
        <w:t>Initiative 3N, une stratégie volontariste pour la Faim Zéro</w:t>
      </w:r>
    </w:p>
    <w:p w:rsidR="00F84EE7" w:rsidRPr="006866D3" w:rsidRDefault="00F84EE7" w:rsidP="00F84EE7">
      <w:pPr>
        <w:spacing w:after="120"/>
        <w:jc w:val="both"/>
        <w:rPr>
          <w:rFonts w:ascii="Nyala" w:hAnsi="Nyala"/>
          <w:sz w:val="28"/>
          <w:szCs w:val="28"/>
        </w:rPr>
      </w:pPr>
      <w:r w:rsidRPr="006866D3">
        <w:rPr>
          <w:rFonts w:ascii="Nyala" w:hAnsi="Nyala"/>
          <w:sz w:val="28"/>
          <w:szCs w:val="28"/>
        </w:rPr>
        <w:t xml:space="preserve">L’Initiative 3N représente le crédo actuel du Niger relativement aux actions à mener pour accroître significativement et durablement la productivité des systèmes de productions agro-sylvo-pastorales et halieutiques. Ainsi, à travers l’axe 1, le Niger se propose d’investir des ressources importantes pour : </w:t>
      </w:r>
    </w:p>
    <w:p w:rsidR="00F84EE7" w:rsidRPr="006866D3" w:rsidRDefault="00F84EE7" w:rsidP="00F84EE7">
      <w:pPr>
        <w:spacing w:after="0" w:line="240" w:lineRule="auto"/>
        <w:jc w:val="both"/>
        <w:rPr>
          <w:rFonts w:ascii="Nyala" w:hAnsi="Nyala"/>
          <w:sz w:val="28"/>
          <w:szCs w:val="28"/>
        </w:rPr>
      </w:pPr>
    </w:p>
    <w:p w:rsidR="00F84EE7" w:rsidRPr="006866D3" w:rsidRDefault="00F84EE7" w:rsidP="0059103A">
      <w:pPr>
        <w:pStyle w:val="Paragraphedeliste"/>
        <w:numPr>
          <w:ilvl w:val="0"/>
          <w:numId w:val="5"/>
        </w:numPr>
        <w:spacing w:before="0" w:after="0" w:line="240" w:lineRule="auto"/>
        <w:jc w:val="both"/>
        <w:rPr>
          <w:rFonts w:ascii="Nyala" w:hAnsi="Nyala"/>
          <w:sz w:val="28"/>
          <w:szCs w:val="28"/>
        </w:rPr>
      </w:pPr>
      <w:r w:rsidRPr="006866D3">
        <w:rPr>
          <w:rFonts w:ascii="Nyala" w:hAnsi="Nyala"/>
          <w:sz w:val="28"/>
          <w:szCs w:val="28"/>
        </w:rPr>
        <w:t>Améliorer la capacité productive des terres et des eaux. Il s’agira de réaliser des investissements de grande envergure en matière de :</w:t>
      </w:r>
    </w:p>
    <w:p w:rsidR="00F84EE7" w:rsidRPr="006866D3" w:rsidRDefault="00F84EE7" w:rsidP="00F84EE7">
      <w:pPr>
        <w:spacing w:after="0" w:line="240" w:lineRule="auto"/>
        <w:jc w:val="both"/>
        <w:rPr>
          <w:rFonts w:ascii="Nyala" w:hAnsi="Nyala"/>
          <w:sz w:val="28"/>
          <w:szCs w:val="28"/>
        </w:rPr>
      </w:pPr>
    </w:p>
    <w:p w:rsidR="00F84EE7" w:rsidRPr="006866D3" w:rsidRDefault="00F84EE7" w:rsidP="0059103A">
      <w:pPr>
        <w:pStyle w:val="Paragraphedeliste"/>
        <w:numPr>
          <w:ilvl w:val="1"/>
          <w:numId w:val="6"/>
        </w:numPr>
        <w:spacing w:before="0" w:after="0" w:line="240" w:lineRule="auto"/>
        <w:jc w:val="both"/>
        <w:rPr>
          <w:rFonts w:ascii="Nyala" w:hAnsi="Nyala"/>
          <w:sz w:val="28"/>
          <w:szCs w:val="28"/>
        </w:rPr>
      </w:pPr>
      <w:r w:rsidRPr="006866D3">
        <w:rPr>
          <w:rFonts w:ascii="Nyala" w:hAnsi="Nyala"/>
          <w:sz w:val="28"/>
          <w:szCs w:val="28"/>
        </w:rPr>
        <w:t xml:space="preserve">Réhabilitation et réalisation de grands et petits périmètres irrigués, collectifs et individuels, avec maîtrise totale ou partielle d’eau pour la riziculture, l’horticulture et la production fourragère aussi bien le long du fleuve Niger, des dallols, des Goulbis et des Koramas que dans les grandes plaines de l’Irhazer, les oasis et les cuvettes oasiennes. </w:t>
      </w:r>
    </w:p>
    <w:p w:rsidR="00F84EE7" w:rsidRPr="006866D3" w:rsidRDefault="00F84EE7" w:rsidP="00F84EE7">
      <w:pPr>
        <w:pStyle w:val="Paragraphedeliste"/>
        <w:spacing w:after="0" w:line="240" w:lineRule="auto"/>
        <w:ind w:left="1440"/>
        <w:jc w:val="both"/>
        <w:rPr>
          <w:rFonts w:ascii="Nyala" w:hAnsi="Nyala"/>
          <w:sz w:val="28"/>
          <w:szCs w:val="28"/>
        </w:rPr>
      </w:pPr>
    </w:p>
    <w:p w:rsidR="00F84EE7" w:rsidRPr="006866D3" w:rsidRDefault="00F84EE7" w:rsidP="0059103A">
      <w:pPr>
        <w:pStyle w:val="Paragraphedeliste"/>
        <w:numPr>
          <w:ilvl w:val="1"/>
          <w:numId w:val="6"/>
        </w:numPr>
        <w:spacing w:before="0" w:after="0" w:line="240" w:lineRule="auto"/>
        <w:jc w:val="both"/>
        <w:rPr>
          <w:rFonts w:ascii="Nyala" w:hAnsi="Nyala"/>
          <w:sz w:val="28"/>
          <w:szCs w:val="28"/>
        </w:rPr>
      </w:pPr>
      <w:r w:rsidRPr="006866D3">
        <w:rPr>
          <w:rFonts w:ascii="Nyala" w:hAnsi="Nyala"/>
          <w:sz w:val="28"/>
          <w:szCs w:val="28"/>
        </w:rPr>
        <w:t>Aménagement des espaces pastoraux aussi bien dans la zone sahélo-saharienne que dans les zones à pluviométrie plus favorable à travers un meilleur maillage des points d’eau pastoraux, le développement d’une agriculture fourragère (ensemencement, travaux de sols, amélioration de la fertilité, association agriculture pluviale et culture fourragère) et la gestion optimale des enclaves pastorales en zone agricole.</w:t>
      </w:r>
    </w:p>
    <w:p w:rsidR="00F84EE7" w:rsidRPr="006866D3" w:rsidRDefault="00F84EE7" w:rsidP="00F84EE7">
      <w:pPr>
        <w:pStyle w:val="Paragraphedeliste"/>
        <w:spacing w:after="0" w:line="240" w:lineRule="auto"/>
        <w:ind w:left="1440"/>
        <w:jc w:val="both"/>
        <w:rPr>
          <w:rFonts w:ascii="Nyala" w:hAnsi="Nyala"/>
          <w:sz w:val="28"/>
          <w:szCs w:val="28"/>
        </w:rPr>
      </w:pPr>
    </w:p>
    <w:p w:rsidR="00F84EE7" w:rsidRPr="006866D3" w:rsidRDefault="00F84EE7" w:rsidP="0059103A">
      <w:pPr>
        <w:pStyle w:val="Paragraphedeliste"/>
        <w:numPr>
          <w:ilvl w:val="1"/>
          <w:numId w:val="6"/>
        </w:numPr>
        <w:spacing w:before="0" w:after="0" w:line="240" w:lineRule="auto"/>
        <w:jc w:val="both"/>
        <w:rPr>
          <w:rFonts w:ascii="Nyala" w:hAnsi="Nyala"/>
          <w:sz w:val="28"/>
          <w:szCs w:val="28"/>
        </w:rPr>
      </w:pPr>
      <w:r w:rsidRPr="006866D3">
        <w:rPr>
          <w:rFonts w:ascii="Nyala" w:hAnsi="Nyala"/>
          <w:sz w:val="28"/>
          <w:szCs w:val="28"/>
        </w:rPr>
        <w:t xml:space="preserve">Récupération et aménagement des terres agricoles par des travaux de CES/DRS, des travaux de redressement de la fertilité des sols et autres types d’intervention afin de les stabiliser et d’inverser leur tendance à la dégradation. </w:t>
      </w:r>
    </w:p>
    <w:p w:rsidR="00F84EE7" w:rsidRPr="006866D3" w:rsidRDefault="00F84EE7" w:rsidP="00F84EE7">
      <w:pPr>
        <w:pStyle w:val="Paragraphedeliste"/>
        <w:spacing w:after="0" w:line="240" w:lineRule="auto"/>
        <w:ind w:left="1440"/>
        <w:jc w:val="both"/>
        <w:rPr>
          <w:rFonts w:ascii="Nyala" w:hAnsi="Nyala"/>
          <w:sz w:val="28"/>
          <w:szCs w:val="28"/>
        </w:rPr>
      </w:pPr>
    </w:p>
    <w:p w:rsidR="00F84EE7" w:rsidRPr="006866D3" w:rsidRDefault="00F84EE7" w:rsidP="0059103A">
      <w:pPr>
        <w:pStyle w:val="Paragraphedeliste"/>
        <w:numPr>
          <w:ilvl w:val="1"/>
          <w:numId w:val="6"/>
        </w:numPr>
        <w:spacing w:before="0" w:after="0" w:line="240" w:lineRule="auto"/>
        <w:jc w:val="both"/>
        <w:rPr>
          <w:rFonts w:ascii="Nyala" w:hAnsi="Nyala"/>
          <w:sz w:val="28"/>
          <w:szCs w:val="28"/>
        </w:rPr>
      </w:pPr>
      <w:r w:rsidRPr="006866D3">
        <w:rPr>
          <w:rFonts w:ascii="Nyala" w:hAnsi="Nyala"/>
          <w:sz w:val="28"/>
          <w:szCs w:val="28"/>
        </w:rPr>
        <w:t xml:space="preserve">Préservation et accroissement du potentiel de production des formations forestières en vue de la fourniture de produits alimentaires et nutritionnelles, de fourrage alimentaire et de bois énergie ainsi que de la création de revenus pour les communautés.  </w:t>
      </w:r>
    </w:p>
    <w:p w:rsidR="00F84EE7" w:rsidRPr="006866D3" w:rsidRDefault="00F84EE7" w:rsidP="00F84EE7">
      <w:pPr>
        <w:pStyle w:val="Paragraphedeliste"/>
        <w:spacing w:after="0" w:line="240" w:lineRule="auto"/>
        <w:ind w:left="1440"/>
        <w:jc w:val="both"/>
        <w:rPr>
          <w:rFonts w:ascii="Nyala" w:hAnsi="Nyala"/>
          <w:sz w:val="28"/>
          <w:szCs w:val="28"/>
        </w:rPr>
      </w:pPr>
    </w:p>
    <w:p w:rsidR="00F84EE7" w:rsidRPr="006866D3" w:rsidRDefault="00F84EE7" w:rsidP="0059103A">
      <w:pPr>
        <w:pStyle w:val="Paragraphedeliste"/>
        <w:numPr>
          <w:ilvl w:val="1"/>
          <w:numId w:val="6"/>
        </w:numPr>
        <w:spacing w:before="0" w:after="0" w:line="240" w:lineRule="auto"/>
        <w:jc w:val="both"/>
        <w:rPr>
          <w:rFonts w:ascii="Nyala" w:hAnsi="Nyala"/>
          <w:sz w:val="28"/>
          <w:szCs w:val="28"/>
        </w:rPr>
      </w:pPr>
      <w:r w:rsidRPr="006866D3">
        <w:rPr>
          <w:rFonts w:ascii="Nyala" w:hAnsi="Nyala"/>
          <w:sz w:val="28"/>
          <w:szCs w:val="28"/>
        </w:rPr>
        <w:t xml:space="preserve">Accroissement des superficies des plans d’eau destinés à la pisciculture extensive ou semi-intensive à travers l’empoissonnement systématique des plans d’eau et le développement de petites unités individuelles ou collectives d’élevage de poissons. </w:t>
      </w:r>
    </w:p>
    <w:p w:rsidR="00F84EE7" w:rsidRPr="006866D3" w:rsidRDefault="00F84EE7" w:rsidP="00F84EE7">
      <w:pPr>
        <w:pStyle w:val="Paragraphedeliste"/>
        <w:spacing w:after="0" w:line="240" w:lineRule="auto"/>
        <w:jc w:val="both"/>
        <w:rPr>
          <w:rFonts w:ascii="Nyala" w:hAnsi="Nyala"/>
          <w:sz w:val="28"/>
          <w:szCs w:val="28"/>
        </w:rPr>
      </w:pPr>
    </w:p>
    <w:p w:rsidR="00F84EE7" w:rsidRPr="006866D3" w:rsidRDefault="00F84EE7" w:rsidP="0059103A">
      <w:pPr>
        <w:pStyle w:val="Paragraphedeliste"/>
        <w:numPr>
          <w:ilvl w:val="1"/>
          <w:numId w:val="6"/>
        </w:numPr>
        <w:spacing w:before="0" w:after="0" w:line="240" w:lineRule="auto"/>
        <w:jc w:val="both"/>
        <w:rPr>
          <w:rFonts w:ascii="Nyala" w:hAnsi="Nyala" w:cs="Calibri"/>
          <w:sz w:val="28"/>
          <w:szCs w:val="28"/>
        </w:rPr>
      </w:pPr>
      <w:r w:rsidRPr="006866D3">
        <w:rPr>
          <w:rFonts w:ascii="Nyala" w:hAnsi="Nyala"/>
          <w:sz w:val="28"/>
          <w:szCs w:val="28"/>
        </w:rPr>
        <w:t xml:space="preserve">Réduction des effets des variations et changements climatiques en augmentant  les précipitations au sol par des ensemencements de nuages et </w:t>
      </w:r>
      <w:r w:rsidRPr="006866D3">
        <w:rPr>
          <w:rFonts w:ascii="Nyala" w:hAnsi="Nyala" w:cs="Calibri"/>
          <w:sz w:val="28"/>
          <w:szCs w:val="28"/>
        </w:rPr>
        <w:t>en assurant une bonne couverture du pays en plantations forestières (muraille verte, bois villageois, parcs agro forestiers …).</w:t>
      </w:r>
    </w:p>
    <w:p w:rsidR="00F84EE7" w:rsidRPr="006866D3" w:rsidRDefault="00F84EE7" w:rsidP="00F84EE7">
      <w:pPr>
        <w:pStyle w:val="Paragraphedeliste"/>
        <w:spacing w:after="0" w:line="240" w:lineRule="auto"/>
        <w:ind w:left="1416"/>
        <w:jc w:val="both"/>
        <w:rPr>
          <w:rFonts w:ascii="Nyala" w:hAnsi="Nyala"/>
          <w:sz w:val="28"/>
          <w:szCs w:val="28"/>
        </w:rPr>
      </w:pPr>
    </w:p>
    <w:p w:rsidR="00F84EE7" w:rsidRPr="006866D3" w:rsidRDefault="00F84EE7" w:rsidP="0059103A">
      <w:pPr>
        <w:pStyle w:val="Paragraphedeliste"/>
        <w:numPr>
          <w:ilvl w:val="0"/>
          <w:numId w:val="5"/>
        </w:numPr>
        <w:spacing w:before="0" w:after="0" w:line="240" w:lineRule="auto"/>
        <w:jc w:val="both"/>
        <w:rPr>
          <w:rFonts w:ascii="Nyala" w:hAnsi="Nyala"/>
          <w:sz w:val="28"/>
          <w:szCs w:val="28"/>
        </w:rPr>
      </w:pPr>
      <w:r w:rsidRPr="006866D3">
        <w:rPr>
          <w:rFonts w:ascii="Nyala" w:hAnsi="Nyala"/>
          <w:sz w:val="28"/>
          <w:szCs w:val="28"/>
        </w:rPr>
        <w:t>Généraliser l’utilisation de techniques et technologies, innovantes et adaptées aux réalités écologiques et socioéconomiques du Niger. Les mesures de soutien seront engagées dans une perspective de :</w:t>
      </w:r>
    </w:p>
    <w:p w:rsidR="00F84EE7" w:rsidRPr="006866D3" w:rsidRDefault="00F84EE7" w:rsidP="00F84EE7">
      <w:pPr>
        <w:pStyle w:val="Paragraphedeliste"/>
        <w:spacing w:after="0" w:line="240" w:lineRule="auto"/>
        <w:ind w:left="360"/>
        <w:jc w:val="both"/>
        <w:rPr>
          <w:rFonts w:ascii="Nyala" w:hAnsi="Nyala"/>
          <w:sz w:val="28"/>
          <w:szCs w:val="28"/>
        </w:rPr>
      </w:pPr>
    </w:p>
    <w:p w:rsidR="00F84EE7" w:rsidRPr="006866D3" w:rsidRDefault="00F84EE7" w:rsidP="0059103A">
      <w:pPr>
        <w:pStyle w:val="Paragraphedeliste"/>
        <w:numPr>
          <w:ilvl w:val="1"/>
          <w:numId w:val="6"/>
        </w:numPr>
        <w:spacing w:before="0" w:after="0" w:line="240" w:lineRule="auto"/>
        <w:jc w:val="both"/>
        <w:rPr>
          <w:rFonts w:ascii="Nyala" w:hAnsi="Nyala"/>
          <w:sz w:val="28"/>
          <w:szCs w:val="28"/>
        </w:rPr>
      </w:pPr>
      <w:r w:rsidRPr="006866D3">
        <w:rPr>
          <w:rFonts w:ascii="Nyala" w:hAnsi="Nyala"/>
          <w:sz w:val="28"/>
          <w:szCs w:val="28"/>
        </w:rPr>
        <w:t xml:space="preserve">Accroissement de l’utilisation d’intrants, équipements et autres innovations technologiques au sein des exploitations familiales, agricoles ou pastorales. Cela se fera en intensifiant le système d’appui-conseil à l’exploitation. </w:t>
      </w:r>
    </w:p>
    <w:p w:rsidR="00F84EE7" w:rsidRPr="006866D3" w:rsidRDefault="00F84EE7" w:rsidP="00F84EE7">
      <w:pPr>
        <w:pStyle w:val="Paragraphedeliste"/>
        <w:spacing w:before="0" w:after="0" w:line="240" w:lineRule="auto"/>
        <w:ind w:left="1440"/>
        <w:jc w:val="both"/>
        <w:rPr>
          <w:rFonts w:ascii="Nyala" w:hAnsi="Nyala"/>
          <w:sz w:val="28"/>
          <w:szCs w:val="28"/>
        </w:rPr>
      </w:pPr>
    </w:p>
    <w:p w:rsidR="00F84EE7" w:rsidRPr="006866D3" w:rsidRDefault="00F84EE7" w:rsidP="0059103A">
      <w:pPr>
        <w:pStyle w:val="Paragraphedeliste"/>
        <w:numPr>
          <w:ilvl w:val="1"/>
          <w:numId w:val="6"/>
        </w:numPr>
        <w:spacing w:before="0" w:after="0" w:line="240" w:lineRule="auto"/>
        <w:jc w:val="both"/>
        <w:rPr>
          <w:rFonts w:ascii="Nyala" w:hAnsi="Nyala"/>
          <w:sz w:val="28"/>
          <w:szCs w:val="28"/>
        </w:rPr>
      </w:pPr>
      <w:r w:rsidRPr="006866D3">
        <w:rPr>
          <w:rFonts w:ascii="Nyala" w:hAnsi="Nyala"/>
          <w:sz w:val="28"/>
          <w:szCs w:val="28"/>
        </w:rPr>
        <w:t>Promotion des unités modernes d’exploitation agricole, d’agroforesterie et d’élevage intensif.</w:t>
      </w:r>
    </w:p>
    <w:p w:rsidR="00F84EE7" w:rsidRPr="006866D3" w:rsidRDefault="00F84EE7" w:rsidP="00F84EE7">
      <w:pPr>
        <w:pStyle w:val="Paragraphedeliste"/>
        <w:spacing w:before="0" w:after="0" w:line="240" w:lineRule="auto"/>
        <w:ind w:left="1440"/>
        <w:jc w:val="both"/>
        <w:rPr>
          <w:rFonts w:ascii="Nyala" w:hAnsi="Nyala"/>
          <w:sz w:val="28"/>
          <w:szCs w:val="28"/>
        </w:rPr>
      </w:pPr>
    </w:p>
    <w:p w:rsidR="00F84EE7" w:rsidRPr="006866D3" w:rsidRDefault="00F84EE7" w:rsidP="0059103A">
      <w:pPr>
        <w:pStyle w:val="Paragraphedeliste"/>
        <w:numPr>
          <w:ilvl w:val="1"/>
          <w:numId w:val="6"/>
        </w:numPr>
        <w:spacing w:before="0" w:after="0" w:line="240" w:lineRule="auto"/>
        <w:jc w:val="both"/>
        <w:rPr>
          <w:rFonts w:ascii="Nyala" w:hAnsi="Nyala"/>
          <w:sz w:val="28"/>
          <w:szCs w:val="28"/>
        </w:rPr>
      </w:pPr>
      <w:r w:rsidRPr="006866D3">
        <w:rPr>
          <w:rFonts w:ascii="Nyala" w:hAnsi="Nyala"/>
          <w:sz w:val="28"/>
          <w:szCs w:val="28"/>
        </w:rPr>
        <w:t>Amélioration de la disponibilité et de l’accessibilité des intrants et équipements agricoles, zootechniques et vétérinaires.</w:t>
      </w:r>
    </w:p>
    <w:p w:rsidR="00F84EE7" w:rsidRPr="006866D3" w:rsidRDefault="00F84EE7" w:rsidP="00F84EE7">
      <w:pPr>
        <w:pStyle w:val="Paragraphedeliste"/>
        <w:spacing w:after="0" w:line="240" w:lineRule="auto"/>
        <w:ind w:left="1440"/>
        <w:jc w:val="both"/>
        <w:rPr>
          <w:rFonts w:ascii="Nyala" w:hAnsi="Nyala"/>
          <w:sz w:val="28"/>
          <w:szCs w:val="28"/>
        </w:rPr>
      </w:pPr>
    </w:p>
    <w:p w:rsidR="00F84EE7" w:rsidRPr="006866D3" w:rsidRDefault="00F84EE7" w:rsidP="0059103A">
      <w:pPr>
        <w:pStyle w:val="Paragraphedeliste"/>
        <w:numPr>
          <w:ilvl w:val="0"/>
          <w:numId w:val="5"/>
        </w:numPr>
        <w:spacing w:before="0" w:after="0" w:line="240" w:lineRule="auto"/>
        <w:jc w:val="both"/>
        <w:rPr>
          <w:rFonts w:ascii="Nyala" w:hAnsi="Nyala"/>
          <w:sz w:val="28"/>
          <w:szCs w:val="28"/>
        </w:rPr>
      </w:pPr>
      <w:r w:rsidRPr="006866D3">
        <w:rPr>
          <w:rFonts w:ascii="Nyala" w:hAnsi="Nyala"/>
          <w:sz w:val="28"/>
          <w:szCs w:val="28"/>
        </w:rPr>
        <w:t>Créer les conditions juridiques, institutionnelles et fiscales favorisant le développement agricole, la transformation et la modernisation des systèmes des productions. Il s’</w:t>
      </w:r>
      <w:r w:rsidR="00100971">
        <w:rPr>
          <w:rFonts w:ascii="Nyala" w:hAnsi="Nyala"/>
          <w:sz w:val="28"/>
          <w:szCs w:val="28"/>
        </w:rPr>
        <w:t xml:space="preserve">agit plus précisément d’œuvrer </w:t>
      </w:r>
      <w:r w:rsidRPr="006866D3">
        <w:rPr>
          <w:rFonts w:ascii="Nyala" w:hAnsi="Nyala"/>
          <w:sz w:val="28"/>
          <w:szCs w:val="28"/>
        </w:rPr>
        <w:t xml:space="preserve">à :  </w:t>
      </w:r>
    </w:p>
    <w:p w:rsidR="00F84EE7" w:rsidRPr="006866D3" w:rsidRDefault="00F84EE7" w:rsidP="00F84EE7">
      <w:pPr>
        <w:pStyle w:val="Paragraphedeliste"/>
        <w:spacing w:before="0" w:after="0" w:line="240" w:lineRule="auto"/>
        <w:jc w:val="both"/>
        <w:rPr>
          <w:rFonts w:ascii="Nyala" w:hAnsi="Nyala"/>
          <w:sz w:val="28"/>
          <w:szCs w:val="28"/>
        </w:rPr>
      </w:pPr>
    </w:p>
    <w:p w:rsidR="00F84EE7" w:rsidRPr="006866D3" w:rsidRDefault="00F84EE7" w:rsidP="0059103A">
      <w:pPr>
        <w:pStyle w:val="Paragraphedeliste"/>
        <w:numPr>
          <w:ilvl w:val="1"/>
          <w:numId w:val="6"/>
        </w:numPr>
        <w:spacing w:before="0" w:after="0" w:line="240" w:lineRule="auto"/>
        <w:jc w:val="both"/>
        <w:rPr>
          <w:rFonts w:ascii="Nyala" w:hAnsi="Nyala"/>
          <w:sz w:val="28"/>
          <w:szCs w:val="28"/>
        </w:rPr>
      </w:pPr>
      <w:r w:rsidRPr="006866D3">
        <w:rPr>
          <w:rFonts w:ascii="Nyala" w:hAnsi="Nyala" w:cs="Calibri"/>
          <w:sz w:val="28"/>
          <w:szCs w:val="28"/>
        </w:rPr>
        <w:t xml:space="preserve">la </w:t>
      </w:r>
      <w:r w:rsidRPr="006866D3">
        <w:rPr>
          <w:rFonts w:ascii="Nyala" w:hAnsi="Nyala"/>
          <w:sz w:val="28"/>
          <w:szCs w:val="28"/>
        </w:rPr>
        <w:t>sécurisation foncière pour tous les usagers des ressources naturelles à travers entre autres, la vulgarisation des textes qui régissent l’utilisation des ressources foncières ; le renforcement des commissions foncières aux différents niveaux (villageois, communal, départemental, régional et SP de code rural)</w:t>
      </w:r>
      <w:r w:rsidR="00FF40F9">
        <w:rPr>
          <w:rFonts w:ascii="Nyala" w:hAnsi="Nyala"/>
          <w:sz w:val="28"/>
          <w:szCs w:val="28"/>
        </w:rPr>
        <w:t>.</w:t>
      </w:r>
    </w:p>
    <w:p w:rsidR="00F84EE7" w:rsidRPr="006866D3" w:rsidRDefault="00F84EE7" w:rsidP="00F84EE7">
      <w:pPr>
        <w:pStyle w:val="Paragraphedeliste"/>
        <w:spacing w:before="0" w:after="0" w:line="240" w:lineRule="auto"/>
        <w:ind w:left="1440"/>
        <w:jc w:val="both"/>
        <w:rPr>
          <w:rFonts w:ascii="Nyala" w:hAnsi="Nyala"/>
          <w:sz w:val="28"/>
          <w:szCs w:val="28"/>
        </w:rPr>
      </w:pPr>
    </w:p>
    <w:p w:rsidR="00F84EE7" w:rsidRPr="006866D3" w:rsidRDefault="00F84EE7" w:rsidP="0059103A">
      <w:pPr>
        <w:pStyle w:val="Paragraphedeliste"/>
        <w:numPr>
          <w:ilvl w:val="1"/>
          <w:numId w:val="6"/>
        </w:numPr>
        <w:spacing w:before="0" w:after="0" w:line="240" w:lineRule="auto"/>
        <w:jc w:val="both"/>
        <w:rPr>
          <w:rFonts w:ascii="Nyala" w:hAnsi="Nyala"/>
          <w:sz w:val="28"/>
          <w:szCs w:val="28"/>
        </w:rPr>
      </w:pPr>
      <w:r w:rsidRPr="006866D3">
        <w:rPr>
          <w:rFonts w:ascii="Nyala" w:hAnsi="Nyala"/>
          <w:sz w:val="28"/>
          <w:szCs w:val="28"/>
        </w:rPr>
        <w:t>la création de connaissances et les compétences générales acteurs et des parties prenantes en matière de  développement rural, de sécurité alimentaire et d’économie des filières.  La recherche scientifique et technique et la formation professionnelle seront promues dans tous les secteurs du développement agricole et de la sécurité alimentaire.</w:t>
      </w:r>
    </w:p>
    <w:p w:rsidR="00F84EE7" w:rsidRPr="006866D3" w:rsidRDefault="00F84EE7" w:rsidP="00F84EE7">
      <w:pPr>
        <w:pStyle w:val="Paragraphedeliste"/>
        <w:spacing w:before="0" w:after="0" w:line="240" w:lineRule="auto"/>
        <w:ind w:left="1440"/>
        <w:jc w:val="both"/>
        <w:rPr>
          <w:rFonts w:ascii="Nyala" w:hAnsi="Nyala"/>
          <w:sz w:val="28"/>
          <w:szCs w:val="28"/>
        </w:rPr>
      </w:pPr>
    </w:p>
    <w:p w:rsidR="00F84EE7" w:rsidRPr="006866D3" w:rsidRDefault="00640D38" w:rsidP="0059103A">
      <w:pPr>
        <w:pStyle w:val="Paragraphedeliste"/>
        <w:numPr>
          <w:ilvl w:val="1"/>
          <w:numId w:val="6"/>
        </w:numPr>
        <w:spacing w:before="0" w:after="0" w:line="240" w:lineRule="auto"/>
        <w:jc w:val="both"/>
        <w:rPr>
          <w:rFonts w:ascii="Nyala" w:hAnsi="Nyala"/>
          <w:sz w:val="28"/>
          <w:szCs w:val="28"/>
        </w:rPr>
      </w:pPr>
      <w:r>
        <w:rPr>
          <w:rFonts w:ascii="Nyala" w:hAnsi="Nyala"/>
          <w:sz w:val="28"/>
          <w:szCs w:val="28"/>
        </w:rPr>
        <w:t>l</w:t>
      </w:r>
      <w:r w:rsidR="00F84EE7" w:rsidRPr="006866D3">
        <w:rPr>
          <w:rFonts w:ascii="Nyala" w:hAnsi="Nyala"/>
          <w:sz w:val="28"/>
          <w:szCs w:val="28"/>
        </w:rPr>
        <w:t xml:space="preserve">e renforcement des capacités des institutions publiques et privées en matière d’appuis-conseils et de services à rendre à leurs groupes cibles respectifs. </w:t>
      </w:r>
    </w:p>
    <w:p w:rsidR="00F84EE7" w:rsidRPr="006866D3" w:rsidRDefault="00F84EE7" w:rsidP="00F84EE7">
      <w:pPr>
        <w:spacing w:before="0" w:after="0" w:line="240" w:lineRule="auto"/>
        <w:ind w:left="1068"/>
        <w:jc w:val="both"/>
        <w:rPr>
          <w:rFonts w:ascii="Nyala" w:hAnsi="Nyala" w:cs="Calibri"/>
          <w:sz w:val="28"/>
          <w:szCs w:val="28"/>
        </w:rPr>
      </w:pPr>
    </w:p>
    <w:p w:rsidR="00F84EE7" w:rsidRPr="006866D3" w:rsidRDefault="00F84EE7" w:rsidP="00F84EE7">
      <w:pPr>
        <w:spacing w:after="120"/>
        <w:jc w:val="both"/>
        <w:rPr>
          <w:rFonts w:ascii="Nyala" w:hAnsi="Nyala" w:cs="Calibri"/>
          <w:sz w:val="28"/>
          <w:szCs w:val="28"/>
        </w:rPr>
      </w:pPr>
      <w:r w:rsidRPr="006866D3">
        <w:rPr>
          <w:rFonts w:ascii="Nyala" w:hAnsi="Nyala" w:cs="Calibri"/>
          <w:sz w:val="28"/>
          <w:szCs w:val="28"/>
        </w:rPr>
        <w:t>La mise en place d’un système de gestion des risques permettant non seulement aux producteurs de faire face aux risques multiples auxquels ils sont confrontés (climatiques, écologiques, économiques, biologiques et sociaux) mais également de minimiser les impacts négatifs (sanitaires, environnementaux et sociaux) que certains investissements (Ex : micro-barrages, irrigation, utilisation excessive d’engrais chimique et de pesticides) peuvent induire localement.</w:t>
      </w:r>
    </w:p>
    <w:p w:rsidR="00F84EE7" w:rsidRPr="006866D3" w:rsidRDefault="00F84EE7" w:rsidP="00F84EE7">
      <w:pPr>
        <w:spacing w:after="120"/>
        <w:jc w:val="both"/>
        <w:rPr>
          <w:rFonts w:ascii="Nyala" w:hAnsi="Nyala" w:cs="Calibri"/>
          <w:sz w:val="28"/>
          <w:szCs w:val="28"/>
        </w:rPr>
      </w:pPr>
    </w:p>
    <w:p w:rsidR="00F84EE7" w:rsidRPr="006866D3" w:rsidRDefault="00F84EE7" w:rsidP="00F84EE7">
      <w:pPr>
        <w:jc w:val="both"/>
        <w:rPr>
          <w:rFonts w:ascii="Nyala" w:hAnsi="Nyala" w:cs="Calibri"/>
          <w:sz w:val="28"/>
          <w:szCs w:val="28"/>
        </w:rPr>
      </w:pPr>
      <w:r w:rsidRPr="006866D3">
        <w:rPr>
          <w:rFonts w:ascii="Nyala" w:hAnsi="Nyala" w:cs="Calibri"/>
          <w:sz w:val="28"/>
          <w:szCs w:val="28"/>
        </w:rPr>
        <w:t xml:space="preserve">La stratégie de l’Initiative 3N a été complétée par d’autres documents de stratégie tels que </w:t>
      </w:r>
    </w:p>
    <w:p w:rsidR="00F84EE7" w:rsidRPr="006866D3" w:rsidRDefault="00F84EE7" w:rsidP="0059103A">
      <w:pPr>
        <w:pStyle w:val="Paragraphedeliste"/>
        <w:numPr>
          <w:ilvl w:val="0"/>
          <w:numId w:val="11"/>
        </w:numPr>
        <w:spacing w:after="120"/>
        <w:jc w:val="both"/>
        <w:rPr>
          <w:rFonts w:ascii="Nyala" w:hAnsi="Nyala"/>
          <w:sz w:val="28"/>
          <w:szCs w:val="28"/>
        </w:rPr>
      </w:pPr>
      <w:r w:rsidRPr="006866D3">
        <w:rPr>
          <w:rFonts w:ascii="Nyala" w:hAnsi="Nyala" w:cs="Calibri"/>
          <w:i/>
          <w:sz w:val="28"/>
          <w:szCs w:val="28"/>
        </w:rPr>
        <w:t>La Stratégie Nationale d’Achats Locaux d’Aliments auprès des Petits Producteurs</w:t>
      </w:r>
      <w:r w:rsidRPr="006866D3">
        <w:rPr>
          <w:rFonts w:ascii="Nyala" w:hAnsi="Nyala" w:cs="Calibri"/>
          <w:sz w:val="28"/>
          <w:szCs w:val="28"/>
        </w:rPr>
        <w:t xml:space="preserve"> (SNALAPP), élaborée en septembre 2016 avec un objectif général qui est de contribuer à l’amélioration des conditions de vie des petits producteurs. De façon spécifique, Il s’agit de i) renforcer les capacités organisationnelles, techniques et financières des petits producteurs et leurs organisations (installation de centres de collecte et de fixation des prix par les OP); ii) appuyer l’organisation de la commercialisation des produits agricoles et animaux (formalisation de toutes  activités des OP par la contractualisation) et iii) améliorer le cadre juridique et promouvoir les bonnes pratiques d’achats locaux d’aliments auprès des petits producteurs (</w:t>
      </w:r>
      <w:bookmarkStart w:id="532" w:name="_Toc461778979"/>
      <w:bookmarkStart w:id="533" w:name="_Toc461779770"/>
      <w:bookmarkStart w:id="534" w:name="_Toc462255807"/>
      <w:bookmarkStart w:id="535" w:name="_Toc449456488"/>
      <w:r w:rsidRPr="006866D3">
        <w:rPr>
          <w:rFonts w:ascii="Nyala" w:hAnsi="Nyala" w:cs="Calibri"/>
          <w:sz w:val="28"/>
          <w:szCs w:val="28"/>
        </w:rPr>
        <w:t>limitation stricte des achats locaux aux excédents commercialisables du Niger</w:t>
      </w:r>
      <w:bookmarkEnd w:id="532"/>
      <w:bookmarkEnd w:id="533"/>
      <w:bookmarkEnd w:id="534"/>
      <w:r w:rsidRPr="006866D3">
        <w:rPr>
          <w:rFonts w:ascii="Nyala" w:hAnsi="Nyala" w:cs="Calibri"/>
          <w:sz w:val="28"/>
          <w:szCs w:val="28"/>
        </w:rPr>
        <w:t xml:space="preserve">, constitution de stocks nationaux et des Maisons du paysan approvisionnement des cantines et restaurants scolaires, universitaires, hôpitaux, militaires et </w:t>
      </w:r>
      <w:bookmarkEnd w:id="535"/>
      <w:r w:rsidRPr="006866D3">
        <w:rPr>
          <w:rFonts w:ascii="Nyala" w:hAnsi="Nyala" w:cs="Calibri"/>
          <w:sz w:val="28"/>
          <w:szCs w:val="28"/>
        </w:rPr>
        <w:t>pénitenciers, etc.).</w:t>
      </w:r>
    </w:p>
    <w:p w:rsidR="00F84EE7" w:rsidRPr="006866D3" w:rsidRDefault="00F84EE7" w:rsidP="00F84EE7">
      <w:pPr>
        <w:pStyle w:val="Paragraphedeliste"/>
        <w:spacing w:after="120"/>
        <w:jc w:val="both"/>
        <w:rPr>
          <w:rFonts w:ascii="Nyala" w:hAnsi="Nyala"/>
          <w:sz w:val="28"/>
          <w:szCs w:val="28"/>
        </w:rPr>
      </w:pPr>
    </w:p>
    <w:p w:rsidR="00F84EE7" w:rsidRPr="006866D3" w:rsidRDefault="00F84EE7" w:rsidP="0059103A">
      <w:pPr>
        <w:pStyle w:val="Paragraphedeliste"/>
        <w:numPr>
          <w:ilvl w:val="0"/>
          <w:numId w:val="11"/>
        </w:numPr>
        <w:spacing w:after="120"/>
        <w:jc w:val="both"/>
        <w:rPr>
          <w:rFonts w:ascii="Nyala" w:eastAsia="Times New Roman" w:hAnsi="Nyala" w:cs="Arial"/>
          <w:sz w:val="28"/>
          <w:szCs w:val="28"/>
        </w:rPr>
      </w:pPr>
      <w:r w:rsidRPr="006866D3">
        <w:rPr>
          <w:rFonts w:ascii="Nyala" w:hAnsi="Nyala"/>
          <w:i/>
          <w:sz w:val="28"/>
          <w:szCs w:val="28"/>
        </w:rPr>
        <w:t>La Politique Agricole (PAG)</w:t>
      </w:r>
      <w:r w:rsidRPr="006866D3">
        <w:rPr>
          <w:rFonts w:ascii="Nyala" w:hAnsi="Nyala"/>
          <w:sz w:val="28"/>
          <w:szCs w:val="28"/>
        </w:rPr>
        <w:t xml:space="preserve"> adopté en juin 2016 et qui aspire à c</w:t>
      </w:r>
      <w:r w:rsidRPr="006866D3">
        <w:rPr>
          <w:rFonts w:ascii="Nyala" w:eastAsia="Times New Roman" w:hAnsi="Nyala" w:cs="Arial"/>
          <w:sz w:val="28"/>
          <w:szCs w:val="28"/>
        </w:rPr>
        <w:t xml:space="preserve">ontribuer au développement soutenu du Niger par la promotion d’une agriculture modernisée, productive, compétitive, émérite à accroitre la résilience des populations nigériennes face aux adversités de la nature, et apte à les entretenir dans un état de sécurité alimentaire et nutritionnelle assurée, de façon durable, tout en préservant l’environnement de production persistant, pour les générations postérieures. Elle </w:t>
      </w:r>
      <w:r w:rsidRPr="006866D3">
        <w:rPr>
          <w:rFonts w:ascii="Nyala" w:hAnsi="Nyala" w:cs="Arial"/>
          <w:sz w:val="28"/>
          <w:szCs w:val="28"/>
        </w:rPr>
        <w:t>s’est donnée une ambition « Faim zéro au Niger d’ici 2020  à l’horizon 2020 par : i) l’</w:t>
      </w:r>
      <w:r w:rsidRPr="006866D3">
        <w:rPr>
          <w:rFonts w:ascii="Nyala" w:eastAsia="Times New Roman" w:hAnsi="Nyala" w:cs="Arial"/>
          <w:sz w:val="28"/>
          <w:szCs w:val="28"/>
        </w:rPr>
        <w:t>amélioration de l’efficacité de la gouvernance et de la gestion du secteur agricole ; ii)  la maitrise de l’eau ; iii) la modernisation des cultures sous pluie ; iv) la conquête des marchés intérieur et extérieur ; v) la protection sociale des exploitants et du personnel du secteur agricole ; vi) la mise en place d’un système d'incitation à l'investissement privé dans l'agriculture et vii) la réduction de l'impact des risques climatiques, environnementaux et phytosanitaires.</w:t>
      </w:r>
    </w:p>
    <w:p w:rsidR="001B7174" w:rsidRPr="006866D3" w:rsidRDefault="001B7174" w:rsidP="001B7174">
      <w:pPr>
        <w:pStyle w:val="Paragraphedeliste"/>
        <w:widowControl w:val="0"/>
        <w:autoSpaceDE w:val="0"/>
        <w:autoSpaceDN w:val="0"/>
        <w:adjustRightInd w:val="0"/>
        <w:spacing w:after="0"/>
        <w:ind w:right="425"/>
        <w:jc w:val="both"/>
        <w:rPr>
          <w:rFonts w:ascii="Nyala" w:eastAsia="Times New Roman" w:hAnsi="Nyala" w:cs="Arial"/>
          <w:sz w:val="28"/>
          <w:szCs w:val="28"/>
        </w:rPr>
      </w:pPr>
    </w:p>
    <w:p w:rsidR="00F84EE7" w:rsidRPr="006866D3" w:rsidRDefault="00F84EE7" w:rsidP="0059103A">
      <w:pPr>
        <w:pStyle w:val="Paragraphedeliste"/>
        <w:numPr>
          <w:ilvl w:val="0"/>
          <w:numId w:val="11"/>
        </w:numPr>
        <w:spacing w:after="120"/>
        <w:jc w:val="both"/>
        <w:rPr>
          <w:rFonts w:ascii="Nyala" w:eastAsia="Times New Roman" w:hAnsi="Nyala" w:cs="Arial"/>
          <w:sz w:val="28"/>
          <w:szCs w:val="28"/>
        </w:rPr>
      </w:pPr>
      <w:r w:rsidRPr="006866D3">
        <w:rPr>
          <w:rFonts w:ascii="Nyala" w:eastAsia="Times New Roman" w:hAnsi="Nyala" w:cs="Arial"/>
          <w:i/>
          <w:sz w:val="28"/>
          <w:szCs w:val="28"/>
        </w:rPr>
        <w:t>la Stratégie de Développement Durable  de l’Elevage (SDDEL</w:t>
      </w:r>
      <w:r w:rsidRPr="006866D3">
        <w:rPr>
          <w:rFonts w:ascii="Nyala" w:eastAsia="Times New Roman" w:hAnsi="Nyala" w:cs="Arial"/>
          <w:sz w:val="28"/>
          <w:szCs w:val="28"/>
        </w:rPr>
        <w:t>) pour la période 2012-2035 et qui a pour objectif d’« assurer l'émergence de systèmes de productions animales porteurs, à même de favoriser une gestion économique et écologique durable des ressources pastorales ». Trois (3)</w:t>
      </w:r>
      <w:r w:rsidRPr="006866D3">
        <w:rPr>
          <w:rFonts w:ascii="Nyala" w:hAnsi="Nyala"/>
          <w:sz w:val="28"/>
          <w:szCs w:val="28"/>
        </w:rPr>
        <w:t>axes stratégiques prioritaires sont définis :</w:t>
      </w:r>
      <w:r w:rsidRPr="006866D3">
        <w:rPr>
          <w:rFonts w:ascii="Nyala" w:eastAsia="Times New Roman" w:hAnsi="Nyala" w:cs="Arial"/>
          <w:sz w:val="28"/>
          <w:szCs w:val="28"/>
        </w:rPr>
        <w:t xml:space="preserve"> 1 : Développement durable de la santé animale ; 2)  Accroissement, diversification et valorisation des productions animales et 3) Création d’un environnement juridique et institutionnel  favorable au développement durable de l’élevage. Les principaux objectifs cibles de l’élevage sont : 1) une couverture sanitaire du cheptel (ruminants) assurée à 80%, 2) une couverture sanitaire du cheptel aviaire assurée ; 3) une hygiène des denrées animales et des aliments d’origine animale est assurée ; 4) des systèmes de productions animales sécurisés. </w:t>
      </w:r>
      <w:r w:rsidRPr="006866D3">
        <w:rPr>
          <w:rFonts w:ascii="Nyala" w:hAnsi="Nyala"/>
          <w:sz w:val="28"/>
          <w:szCs w:val="28"/>
        </w:rPr>
        <w:t>; 5) l</w:t>
      </w:r>
      <w:r w:rsidRPr="006866D3">
        <w:rPr>
          <w:rFonts w:ascii="Nyala" w:eastAsia="Times New Roman" w:hAnsi="Nyala" w:cs="Arial"/>
          <w:sz w:val="28"/>
          <w:szCs w:val="28"/>
        </w:rPr>
        <w:t>es races animales locales améliorées ; 6) la capacité de production agro industrielle et agroalimentaire renforcée ; 7) les systèmes d’information sur les crises et catastrophes naturelles en milieu pastoral sont efficaces ; 8) un système de gouvernance transparente, participative et inclusive mis en place</w:t>
      </w:r>
      <w:r w:rsidR="00023765">
        <w:rPr>
          <w:rFonts w:ascii="Nyala" w:eastAsia="Times New Roman" w:hAnsi="Nyala" w:cs="Arial"/>
          <w:sz w:val="28"/>
          <w:szCs w:val="28"/>
        </w:rPr>
        <w:t>.</w:t>
      </w:r>
    </w:p>
    <w:p w:rsidR="00F84EE7" w:rsidRDefault="00F84EE7" w:rsidP="00F84EE7">
      <w:pPr>
        <w:spacing w:after="120"/>
        <w:jc w:val="both"/>
        <w:rPr>
          <w:rFonts w:ascii="Nyala" w:hAnsi="Nyala"/>
          <w:sz w:val="28"/>
          <w:szCs w:val="28"/>
        </w:rPr>
      </w:pPr>
    </w:p>
    <w:p w:rsidR="00A5088E" w:rsidRPr="00141D20" w:rsidRDefault="00A5088E" w:rsidP="00F84EE7">
      <w:pPr>
        <w:spacing w:after="120"/>
        <w:jc w:val="both"/>
        <w:rPr>
          <w:rFonts w:ascii="Nyala" w:hAnsi="Nyala"/>
          <w:i/>
          <w:sz w:val="28"/>
          <w:szCs w:val="28"/>
        </w:rPr>
      </w:pPr>
      <w:r w:rsidRPr="00141D20">
        <w:rPr>
          <w:rFonts w:ascii="Nyala" w:hAnsi="Nyala"/>
          <w:i/>
          <w:sz w:val="28"/>
          <w:szCs w:val="28"/>
        </w:rPr>
        <w:t xml:space="preserve">Tous ces documents de politique ou de stratégie visant les différentes dimensions de la sécurité alimentaire répondent probablement à des besoins de combler des lacunes ou de préciser les orientations prises. Toutefois, la redondance et la duplication des actions à mener, l’imprécision ou l’irréalisme des objectifs-cibles sont une interpellation quant à la capacité du pays à se définir des politiques publiques cohérentes et/ou à trouver un système accepté et reconnu de gouvernance en matière de sécurité alimentaire et nutritionnelle.  </w:t>
      </w:r>
      <w:r w:rsidR="0056758C" w:rsidRPr="00141D20">
        <w:rPr>
          <w:rFonts w:ascii="Nyala" w:hAnsi="Nyala"/>
          <w:i/>
          <w:sz w:val="28"/>
          <w:szCs w:val="28"/>
        </w:rPr>
        <w:t xml:space="preserve">Autrement dit, le pays devrait lever les équivoques d’une superposition de systèmes de gouvernance sur des thématiques (ex : insécurité alimentaire, nutrition, environnement et développement durable) et les systèmes de gouvernance sous-sectorielle (agriculture, élevage, hydraulique, commerce, industrie ….). </w:t>
      </w:r>
    </w:p>
    <w:p w:rsidR="00A5088E" w:rsidRPr="006866D3" w:rsidRDefault="00A5088E" w:rsidP="00F84EE7">
      <w:pPr>
        <w:spacing w:after="120"/>
        <w:jc w:val="both"/>
        <w:rPr>
          <w:rFonts w:ascii="Nyala" w:hAnsi="Nyala"/>
          <w:sz w:val="28"/>
          <w:szCs w:val="28"/>
        </w:rPr>
      </w:pPr>
    </w:p>
    <w:p w:rsidR="00F84EE7" w:rsidRPr="009B11E1" w:rsidRDefault="00046834" w:rsidP="00141D20">
      <w:pPr>
        <w:rPr>
          <w:rStyle w:val="Rfrenceintense"/>
          <w:sz w:val="28"/>
          <w:szCs w:val="28"/>
        </w:rPr>
      </w:pPr>
      <w:r w:rsidRPr="009B11E1">
        <w:rPr>
          <w:rStyle w:val="Rfrenceintense"/>
          <w:sz w:val="28"/>
          <w:szCs w:val="28"/>
        </w:rPr>
        <w:t>Politique national</w:t>
      </w:r>
      <w:r w:rsidR="00C070B0" w:rsidRPr="009B11E1">
        <w:rPr>
          <w:rStyle w:val="Rfrenceintense"/>
          <w:sz w:val="28"/>
          <w:szCs w:val="28"/>
        </w:rPr>
        <w:t>e</w:t>
      </w:r>
      <w:r w:rsidRPr="009B11E1">
        <w:rPr>
          <w:rStyle w:val="Rfrenceintense"/>
          <w:sz w:val="28"/>
          <w:szCs w:val="28"/>
        </w:rPr>
        <w:t xml:space="preserve"> de </w:t>
      </w:r>
      <w:r w:rsidR="00F84EE7" w:rsidRPr="009B11E1">
        <w:rPr>
          <w:rStyle w:val="Rfrenceintense"/>
          <w:sz w:val="28"/>
          <w:szCs w:val="28"/>
        </w:rPr>
        <w:t xml:space="preserve">Lutte contre la malnutrition </w:t>
      </w:r>
    </w:p>
    <w:p w:rsidR="00082D58" w:rsidRPr="006866D3" w:rsidRDefault="00082D58" w:rsidP="00C16B45">
      <w:pPr>
        <w:autoSpaceDE w:val="0"/>
        <w:autoSpaceDN w:val="0"/>
        <w:adjustRightInd w:val="0"/>
        <w:spacing w:before="0" w:after="120"/>
        <w:jc w:val="both"/>
        <w:rPr>
          <w:rFonts w:ascii="Nyala" w:eastAsia="Times New Roman" w:hAnsi="Nyala" w:cs="Times New Roman"/>
          <w:sz w:val="28"/>
          <w:szCs w:val="28"/>
        </w:rPr>
      </w:pPr>
      <w:r w:rsidRPr="006866D3">
        <w:rPr>
          <w:rFonts w:ascii="Nyala" w:eastAsia="Times New Roman" w:hAnsi="Nyala" w:cs="Times New Roman"/>
          <w:sz w:val="28"/>
          <w:szCs w:val="28"/>
        </w:rPr>
        <w:t xml:space="preserve">Le Niger a démontré qu’il était conscient du rôle majeur d’une bonne nutrition pour le développement du pays et a indiqué son engagement à s’attaquer au problème de la </w:t>
      </w:r>
      <w:r w:rsidR="004D2673" w:rsidRPr="006866D3">
        <w:rPr>
          <w:rFonts w:ascii="Nyala" w:eastAsia="Times New Roman" w:hAnsi="Nyala" w:cs="Times New Roman"/>
          <w:sz w:val="28"/>
          <w:szCs w:val="28"/>
        </w:rPr>
        <w:t>sous-nutrition</w:t>
      </w:r>
      <w:r w:rsidRPr="006866D3">
        <w:rPr>
          <w:rFonts w:ascii="Nyala" w:eastAsia="Times New Roman" w:hAnsi="Nyala" w:cs="Times New Roman"/>
          <w:sz w:val="28"/>
          <w:szCs w:val="28"/>
        </w:rPr>
        <w:t>, notamment à travers la mise en œuvre du PDES. Preuve de cette volonté, le Niger a adhéré aux engagements de la résolution de l’Assemblée Mondiale de la Santé sur la Nutrition (2012), aux Objectifs de Développement Durables (2015), à la stratégie de Nutrition de la Région Africaine (2015-2025), et au mouvement global « SUN » (Scaling Up Nutrition)</w:t>
      </w:r>
      <w:r w:rsidR="003F5418">
        <w:rPr>
          <w:rFonts w:ascii="Nyala" w:eastAsia="Times New Roman" w:hAnsi="Nyala" w:cs="Times New Roman"/>
          <w:sz w:val="28"/>
          <w:szCs w:val="28"/>
        </w:rPr>
        <w:t xml:space="preserve">, </w:t>
      </w:r>
      <w:r w:rsidRPr="006866D3">
        <w:rPr>
          <w:rFonts w:ascii="Nyala" w:eastAsia="Times New Roman" w:hAnsi="Nyala" w:cs="Times New Roman"/>
          <w:sz w:val="28"/>
          <w:szCs w:val="28"/>
        </w:rPr>
        <w:t>.etc</w:t>
      </w:r>
      <w:r w:rsidR="003F5418">
        <w:rPr>
          <w:rFonts w:ascii="Nyala" w:eastAsia="Times New Roman" w:hAnsi="Nyala" w:cs="Times New Roman"/>
          <w:sz w:val="28"/>
          <w:szCs w:val="28"/>
        </w:rPr>
        <w:t>.</w:t>
      </w:r>
    </w:p>
    <w:p w:rsidR="00082D58" w:rsidRPr="006866D3" w:rsidRDefault="00082D58" w:rsidP="00C16B45">
      <w:pPr>
        <w:autoSpaceDE w:val="0"/>
        <w:autoSpaceDN w:val="0"/>
        <w:adjustRightInd w:val="0"/>
        <w:spacing w:before="0" w:after="120"/>
        <w:jc w:val="both"/>
        <w:rPr>
          <w:rFonts w:ascii="Nyala" w:eastAsia="Times New Roman" w:hAnsi="Nyala" w:cs="Times New Roman"/>
          <w:sz w:val="28"/>
          <w:szCs w:val="28"/>
        </w:rPr>
      </w:pPr>
      <w:r w:rsidRPr="006866D3">
        <w:rPr>
          <w:rFonts w:ascii="Nyala" w:eastAsia="Times New Roman" w:hAnsi="Nyala" w:cs="Times New Roman"/>
          <w:sz w:val="28"/>
          <w:szCs w:val="28"/>
        </w:rPr>
        <w:t>Améliorer de manière significative et durable le statut nutritionnel des populations implique donc que des actions multisectorielles soient mises en œuvre à l’échelle, soutenues par un engagement politique, une bonne coordination et une implication forte de tous les acteurs du développement. Cela passe aussi par la mise en place d’actions complémentaires qui produisent par synergie des effets directs sur la nutrition</w:t>
      </w:r>
      <w:r w:rsidR="00BE0D59">
        <w:rPr>
          <w:rFonts w:ascii="Nyala" w:eastAsia="Times New Roman" w:hAnsi="Nyala" w:cs="Times New Roman"/>
          <w:sz w:val="28"/>
          <w:szCs w:val="28"/>
        </w:rPr>
        <w:t>.</w:t>
      </w:r>
    </w:p>
    <w:p w:rsidR="00F84EE7" w:rsidRPr="006866D3" w:rsidRDefault="00F84EE7" w:rsidP="00F84EE7">
      <w:pPr>
        <w:autoSpaceDE w:val="0"/>
        <w:autoSpaceDN w:val="0"/>
        <w:adjustRightInd w:val="0"/>
        <w:spacing w:before="0" w:after="120"/>
        <w:jc w:val="both"/>
        <w:rPr>
          <w:rFonts w:ascii="Nyala" w:eastAsia="Times New Roman" w:hAnsi="Nyala" w:cs="Times New Roman"/>
          <w:sz w:val="28"/>
          <w:szCs w:val="28"/>
        </w:rPr>
      </w:pPr>
      <w:r w:rsidRPr="006866D3">
        <w:rPr>
          <w:rFonts w:ascii="Nyala" w:eastAsia="Times New Roman" w:hAnsi="Nyala" w:cs="Times New Roman"/>
          <w:sz w:val="28"/>
          <w:szCs w:val="28"/>
        </w:rPr>
        <w:t xml:space="preserve">L’élimination de la malnutrition requiert des efforts importants et constants dans le contexte particulier du Niger où la croissance démographique n’est pas encore maîtrisée, le nombre de pauvres ne fait qu’augmenter dans l’absolu et où les productions vivrières resteront pour </w:t>
      </w:r>
      <w:r w:rsidR="00BE0D59" w:rsidRPr="006866D3">
        <w:rPr>
          <w:rFonts w:ascii="Nyala" w:eastAsia="Times New Roman" w:hAnsi="Nyala" w:cs="Times New Roman"/>
          <w:sz w:val="28"/>
          <w:szCs w:val="28"/>
        </w:rPr>
        <w:t>une large part dépendante</w:t>
      </w:r>
      <w:r w:rsidRPr="006866D3">
        <w:rPr>
          <w:rFonts w:ascii="Nyala" w:eastAsia="Times New Roman" w:hAnsi="Nyala" w:cs="Times New Roman"/>
          <w:sz w:val="28"/>
          <w:szCs w:val="28"/>
        </w:rPr>
        <w:t xml:space="preserve"> des variations pluviométriques interannuelles. La lutte contre la malnutrition est prise en compte dans la SDDCI et est au cœur des stratégies et programmes d’actions de l’Etat, des ONG humanitaires et de la grande majorité des Partenaires Techniques et Financiers. </w:t>
      </w:r>
    </w:p>
    <w:p w:rsidR="00F84EE7" w:rsidRPr="006866D3" w:rsidRDefault="00BE0D59" w:rsidP="00F84EE7">
      <w:pPr>
        <w:autoSpaceDE w:val="0"/>
        <w:autoSpaceDN w:val="0"/>
        <w:adjustRightInd w:val="0"/>
        <w:spacing w:before="0" w:after="120"/>
        <w:jc w:val="both"/>
        <w:rPr>
          <w:rFonts w:ascii="Nyala" w:hAnsi="Nyala"/>
          <w:sz w:val="28"/>
          <w:szCs w:val="28"/>
        </w:rPr>
      </w:pPr>
      <w:r>
        <w:rPr>
          <w:rFonts w:ascii="Nyala" w:eastAsia="Times New Roman" w:hAnsi="Nyala" w:cs="Times New Roman"/>
          <w:sz w:val="28"/>
          <w:szCs w:val="28"/>
        </w:rPr>
        <w:t>La SDDCI reconnaît surtout que</w:t>
      </w:r>
      <w:r w:rsidR="00F84EE7" w:rsidRPr="006866D3">
        <w:rPr>
          <w:rFonts w:ascii="Nyala" w:eastAsia="Times New Roman" w:hAnsi="Nyala" w:cs="Times New Roman"/>
          <w:sz w:val="28"/>
          <w:szCs w:val="28"/>
        </w:rPr>
        <w:t xml:space="preserve"> « les enjeux </w:t>
      </w:r>
      <w:r w:rsidR="00F84EE7" w:rsidRPr="006866D3">
        <w:rPr>
          <w:rFonts w:ascii="Nyala" w:hAnsi="Nyala"/>
          <w:sz w:val="28"/>
          <w:szCs w:val="28"/>
        </w:rPr>
        <w:t xml:space="preserve">de la nutrition devraient être adressés afin de bénéficier de leurs effets multiplicateurs sur le capital humain », mais elle n’en traite pas explicitement.  C’est surtout dans les politiques sectorielles que les actions en faveur d’une amélioration de l’état nutritionnel des nigériens sont abordées explicitement : </w:t>
      </w:r>
    </w:p>
    <w:p w:rsidR="00F84EE7" w:rsidRPr="006866D3" w:rsidRDefault="00F84EE7" w:rsidP="00F84EE7">
      <w:pPr>
        <w:autoSpaceDE w:val="0"/>
        <w:autoSpaceDN w:val="0"/>
        <w:adjustRightInd w:val="0"/>
        <w:spacing w:before="0" w:after="120"/>
        <w:jc w:val="both"/>
        <w:rPr>
          <w:rFonts w:ascii="Nyala" w:hAnsi="Nyala"/>
          <w:sz w:val="28"/>
          <w:szCs w:val="28"/>
        </w:rPr>
      </w:pPr>
    </w:p>
    <w:p w:rsidR="00F84EE7" w:rsidRPr="006866D3" w:rsidRDefault="00F84EE7" w:rsidP="0059103A">
      <w:pPr>
        <w:pStyle w:val="Paragraphedeliste"/>
        <w:numPr>
          <w:ilvl w:val="0"/>
          <w:numId w:val="7"/>
        </w:numPr>
        <w:autoSpaceDE w:val="0"/>
        <w:autoSpaceDN w:val="0"/>
        <w:adjustRightInd w:val="0"/>
        <w:spacing w:before="0" w:after="120"/>
        <w:jc w:val="both"/>
        <w:rPr>
          <w:rFonts w:ascii="Nyala" w:hAnsi="Nyala" w:cs="Calibri"/>
          <w:sz w:val="28"/>
          <w:szCs w:val="28"/>
        </w:rPr>
      </w:pPr>
      <w:r w:rsidRPr="006866D3">
        <w:rPr>
          <w:rFonts w:ascii="Nyala" w:hAnsi="Nyala"/>
          <w:b/>
          <w:sz w:val="28"/>
          <w:szCs w:val="28"/>
        </w:rPr>
        <w:t>La SANDAD ou Initiative 3N</w:t>
      </w:r>
      <w:r w:rsidRPr="006866D3">
        <w:rPr>
          <w:rFonts w:ascii="Nyala" w:hAnsi="Nyala" w:cs="Calibri"/>
          <w:sz w:val="28"/>
          <w:szCs w:val="28"/>
        </w:rPr>
        <w:t>prévoit des mesures et investissements visant à contribuer à i) la promotion de modèles de consommation alimentaire équilibrée aussi bien au niveau des ménages que des établissements scolaires ; ii) La réduction de la prévalence des différentes formes de malnutrition à travers le passage à une échelle d’application plus grande de bonnes pratiques familiales essentielles ; iii) La prise en charge efficace de la malnutrition aigüe dans les situations de crises ; iv) le renforcement du dispositif de contrôle sanitaire des denrées alimentaires (chaine de froid, hygiène, etc.) et du  Système national de surveillance nutritionnelle et d’évaluation des interventions de nutrition (SNIS, sites sentinelles, SAP, les enquêtes de nutrition).</w:t>
      </w:r>
    </w:p>
    <w:p w:rsidR="00F84EE7" w:rsidRPr="006866D3" w:rsidRDefault="00F84EE7" w:rsidP="00F84EE7">
      <w:pPr>
        <w:autoSpaceDE w:val="0"/>
        <w:autoSpaceDN w:val="0"/>
        <w:adjustRightInd w:val="0"/>
        <w:spacing w:before="0" w:after="120"/>
        <w:jc w:val="both"/>
        <w:rPr>
          <w:rFonts w:ascii="Nyala" w:hAnsi="Nyala" w:cs="Calibri"/>
          <w:sz w:val="28"/>
          <w:szCs w:val="28"/>
        </w:rPr>
      </w:pPr>
    </w:p>
    <w:p w:rsidR="00F84EE7" w:rsidRPr="006866D3" w:rsidRDefault="00F84EE7" w:rsidP="0059103A">
      <w:pPr>
        <w:pStyle w:val="Paragraphedeliste"/>
        <w:numPr>
          <w:ilvl w:val="0"/>
          <w:numId w:val="7"/>
        </w:numPr>
        <w:autoSpaceDE w:val="0"/>
        <w:autoSpaceDN w:val="0"/>
        <w:adjustRightInd w:val="0"/>
        <w:spacing w:before="0" w:after="120"/>
        <w:jc w:val="both"/>
        <w:rPr>
          <w:rFonts w:ascii="Nyala" w:hAnsi="Nyala" w:cstheme="minorHAnsi"/>
          <w:i/>
          <w:sz w:val="28"/>
          <w:szCs w:val="28"/>
        </w:rPr>
      </w:pPr>
      <w:r w:rsidRPr="006866D3">
        <w:rPr>
          <w:rFonts w:ascii="Nyala" w:hAnsi="Nyala" w:cstheme="minorHAnsi"/>
          <w:b/>
          <w:sz w:val="28"/>
          <w:szCs w:val="28"/>
        </w:rPr>
        <w:t>LaPolitique Nationale de Santé</w:t>
      </w:r>
      <w:r w:rsidRPr="006866D3">
        <w:rPr>
          <w:rFonts w:ascii="Nyala" w:hAnsi="Nyala" w:cstheme="minorHAnsi"/>
          <w:sz w:val="28"/>
          <w:szCs w:val="28"/>
        </w:rPr>
        <w:t xml:space="preserve"> (PNS) de m</w:t>
      </w:r>
      <w:r w:rsidRPr="006866D3">
        <w:rPr>
          <w:rFonts w:ascii="Nyala" w:hAnsi="Nyala" w:cstheme="minorHAnsi"/>
          <w:i/>
          <w:sz w:val="28"/>
          <w:szCs w:val="28"/>
        </w:rPr>
        <w:t xml:space="preserve">ars 2017 s’inscrit dans la vision d’une nation moderne et émergente où les citoyens bénéficient d’un accès universel aux soins et services de santé de qualité sans aucune forme d’exclusion ou de discrimination avec leur pleine participation. </w:t>
      </w:r>
      <w:r w:rsidRPr="006866D3">
        <w:rPr>
          <w:rFonts w:ascii="Nyala" w:hAnsi="Nyala" w:cstheme="minorHAnsi"/>
          <w:sz w:val="28"/>
          <w:szCs w:val="28"/>
        </w:rPr>
        <w:t xml:space="preserve">En s’appuyant sur six (6) principes directeurs dont notamment i) </w:t>
      </w:r>
      <w:r w:rsidRPr="006866D3">
        <w:rPr>
          <w:rFonts w:ascii="Nyala" w:hAnsi="Nyala" w:cstheme="minorHAnsi"/>
          <w:i/>
          <w:sz w:val="28"/>
          <w:szCs w:val="28"/>
        </w:rPr>
        <w:t xml:space="preserve">la bonne gouvernance, en particulier la redevabilité  et la transparence à tous les niveaux et ii) l’accès universel à des soins et services de qualité dans le système de santé ; son Objectif général est de contribuer à l’amélioration de l’état de santé de la population et de </w:t>
      </w:r>
      <w:r w:rsidRPr="006866D3">
        <w:rPr>
          <w:rFonts w:ascii="Nyala" w:hAnsi="Nyala" w:cstheme="minorHAnsi"/>
          <w:sz w:val="28"/>
          <w:szCs w:val="28"/>
        </w:rPr>
        <w:t xml:space="preserve">façon spécifique à </w:t>
      </w:r>
      <w:r w:rsidRPr="006866D3">
        <w:rPr>
          <w:rFonts w:ascii="Nyala" w:hAnsi="Nyala" w:cstheme="minorHAnsi"/>
          <w:i/>
          <w:sz w:val="28"/>
          <w:szCs w:val="28"/>
        </w:rPr>
        <w:t>renforcer l’offre de soins et de service de qualité à la population.</w:t>
      </w:r>
    </w:p>
    <w:p w:rsidR="00D14BDE" w:rsidRPr="006866D3" w:rsidRDefault="00D14BDE" w:rsidP="00D14BDE">
      <w:pPr>
        <w:pStyle w:val="Paragraphedeliste"/>
        <w:autoSpaceDE w:val="0"/>
        <w:autoSpaceDN w:val="0"/>
        <w:adjustRightInd w:val="0"/>
        <w:spacing w:before="0" w:after="120"/>
        <w:jc w:val="both"/>
        <w:rPr>
          <w:rFonts w:ascii="Nyala" w:hAnsi="Nyala" w:cs="Calibri"/>
          <w:sz w:val="28"/>
          <w:szCs w:val="28"/>
        </w:rPr>
      </w:pPr>
    </w:p>
    <w:p w:rsidR="00F84EE7" w:rsidRPr="006866D3" w:rsidRDefault="00F84EE7" w:rsidP="0059103A">
      <w:pPr>
        <w:pStyle w:val="Paragraphedeliste"/>
        <w:numPr>
          <w:ilvl w:val="0"/>
          <w:numId w:val="7"/>
        </w:numPr>
        <w:autoSpaceDE w:val="0"/>
        <w:autoSpaceDN w:val="0"/>
        <w:adjustRightInd w:val="0"/>
        <w:spacing w:before="0" w:after="120"/>
        <w:ind w:left="708"/>
        <w:jc w:val="both"/>
        <w:rPr>
          <w:rFonts w:ascii="Nyala" w:hAnsi="Nyala" w:cs="Calibri"/>
          <w:sz w:val="28"/>
          <w:szCs w:val="28"/>
        </w:rPr>
      </w:pPr>
      <w:r w:rsidRPr="006866D3">
        <w:rPr>
          <w:rFonts w:ascii="Nyala" w:hAnsi="Nyala" w:cs="Calibri"/>
          <w:b/>
          <w:bCs/>
          <w:sz w:val="28"/>
          <w:szCs w:val="28"/>
        </w:rPr>
        <w:t>La Politique Nationale de Sécurité Nutritionnelle</w:t>
      </w:r>
      <w:r w:rsidRPr="006866D3">
        <w:rPr>
          <w:rFonts w:ascii="Nyala" w:hAnsi="Nyala" w:cs="Calibri"/>
          <w:bCs/>
          <w:sz w:val="28"/>
          <w:szCs w:val="28"/>
        </w:rPr>
        <w:t xml:space="preserve"> en cours de validation </w:t>
      </w:r>
      <w:r w:rsidR="00335460" w:rsidRPr="006866D3">
        <w:rPr>
          <w:rFonts w:ascii="Nyala" w:hAnsi="Nyala" w:cs="Calibri"/>
          <w:bCs/>
          <w:sz w:val="28"/>
          <w:szCs w:val="28"/>
        </w:rPr>
        <w:t>repose sur huit (8) engagements que le Niger compte assurer pour améliorer l’état nutritionn</w:t>
      </w:r>
      <w:r w:rsidR="00706D2E" w:rsidRPr="006866D3">
        <w:rPr>
          <w:rFonts w:ascii="Nyala" w:hAnsi="Nyala" w:cs="Calibri"/>
          <w:bCs/>
          <w:sz w:val="28"/>
          <w:szCs w:val="28"/>
        </w:rPr>
        <w:t>el des populations (</w:t>
      </w:r>
      <w:r w:rsidR="00706D2E" w:rsidRPr="00F95B3A">
        <w:rPr>
          <w:rFonts w:ascii="Nyala" w:hAnsi="Nyala" w:cs="Calibri"/>
          <w:b/>
          <w:bCs/>
          <w:sz w:val="28"/>
          <w:szCs w:val="28"/>
        </w:rPr>
        <w:t xml:space="preserve">Encadré </w:t>
      </w:r>
      <w:r w:rsidR="00F95B3A" w:rsidRPr="00F95B3A">
        <w:rPr>
          <w:rFonts w:ascii="Nyala" w:hAnsi="Nyala" w:cs="Calibri"/>
          <w:b/>
          <w:bCs/>
          <w:sz w:val="28"/>
          <w:szCs w:val="28"/>
        </w:rPr>
        <w:t>2</w:t>
      </w:r>
      <w:r w:rsidR="00706D2E" w:rsidRPr="00F95B3A">
        <w:rPr>
          <w:rFonts w:ascii="Nyala" w:hAnsi="Nyala" w:cs="Calibri"/>
          <w:b/>
          <w:bCs/>
          <w:sz w:val="28"/>
          <w:szCs w:val="28"/>
        </w:rPr>
        <w:t>)</w:t>
      </w:r>
      <w:r w:rsidR="00706D2E" w:rsidRPr="006866D3">
        <w:rPr>
          <w:rFonts w:ascii="Nyala" w:hAnsi="Nyala" w:cs="Calibri"/>
          <w:bCs/>
          <w:sz w:val="28"/>
          <w:szCs w:val="28"/>
        </w:rPr>
        <w:t xml:space="preserve">. </w:t>
      </w:r>
      <w:r w:rsidR="00EE78C0" w:rsidRPr="006866D3">
        <w:rPr>
          <w:rFonts w:ascii="Nyala" w:hAnsi="Nyala" w:cs="Calibri"/>
          <w:bCs/>
          <w:sz w:val="28"/>
          <w:szCs w:val="28"/>
        </w:rPr>
        <w:t xml:space="preserve">La PNSN </w:t>
      </w:r>
      <w:r w:rsidRPr="006866D3">
        <w:rPr>
          <w:rFonts w:ascii="Nyala" w:hAnsi="Nyala" w:cs="Calibri"/>
          <w:bCs/>
          <w:sz w:val="28"/>
          <w:szCs w:val="28"/>
        </w:rPr>
        <w:t>reprend à son compte les types d’actions retenues par AGIR pour éliminer la malnutrition, en particulier celles recherchant « le renforcement de la nutrition des ménages vulnérables (enfants de  moins de 2 ans, femmes enceintes et allaitantes, adolescents, ménages pauvres en situation récurrente d’insécurité alimentaire) et qui prévoit</w:t>
      </w:r>
      <w:r w:rsidRPr="006866D3">
        <w:rPr>
          <w:rFonts w:ascii="Nyala" w:hAnsi="Nyala"/>
          <w:sz w:val="28"/>
          <w:szCs w:val="28"/>
        </w:rPr>
        <w:t xml:space="preserve">: a) </w:t>
      </w:r>
      <w:r w:rsidRPr="006866D3">
        <w:rPr>
          <w:rFonts w:ascii="Nyala" w:hAnsi="Nyala" w:cs="Calibri"/>
          <w:sz w:val="28"/>
          <w:szCs w:val="28"/>
        </w:rPr>
        <w:t xml:space="preserve">des interventions « sensibles à la nutrition » devant contribuer à la prévention des différentes formes de malnutrition ; b) des actions « spécifiques à la nutrition » (en particulier dans le domaine de la santé et de l’accès à l’eau potable), qui comprennent aussi bien des actions de prévention que de prise en charge médicale des cas de malnutrition aigüe. </w:t>
      </w:r>
    </w:p>
    <w:p w:rsidR="00F84EE7" w:rsidRPr="006866D3" w:rsidRDefault="00F84EE7" w:rsidP="00F84EE7">
      <w:pPr>
        <w:ind w:left="708"/>
        <w:jc w:val="both"/>
        <w:rPr>
          <w:rFonts w:ascii="Nyala" w:hAnsi="Nyala" w:cs="Arial"/>
          <w:sz w:val="28"/>
          <w:szCs w:val="28"/>
        </w:rPr>
      </w:pPr>
      <w:r w:rsidRPr="006866D3">
        <w:rPr>
          <w:rFonts w:ascii="Nyala" w:hAnsi="Nyala" w:cs="Arial"/>
          <w:sz w:val="28"/>
          <w:szCs w:val="28"/>
        </w:rPr>
        <w:t>Le</w:t>
      </w:r>
      <w:r w:rsidR="00EE78C0" w:rsidRPr="006866D3">
        <w:rPr>
          <w:rFonts w:ascii="Nyala" w:hAnsi="Nyala" w:cs="Arial"/>
          <w:sz w:val="28"/>
          <w:szCs w:val="28"/>
        </w:rPr>
        <w:t>s interventions dites sensibles consisteront</w:t>
      </w:r>
      <w:r w:rsidRPr="006866D3">
        <w:rPr>
          <w:rFonts w:ascii="Nyala" w:hAnsi="Nyala" w:cs="Arial"/>
          <w:sz w:val="28"/>
          <w:szCs w:val="28"/>
        </w:rPr>
        <w:t> : (i) la création des conditions d’une disponibilité et d’une consommation accrue d'aliments nutritifs et diversifiés pour garantir une alimentation quantitativement et qualitativement adéquate en toute période de l'année, (ii) le développement des stratégies permettant un accès à l’eau potable, et aux infrastructures d’hygiène et d’assainissement pour assurer la sécurité nutritionnelle des enfants, des femmes et des hommes, (iii) le renforcement des systèmes de protection sociale pour protéger les moyens d’existence des catégories les plus vulnérables et améliorer leur situation alimentaire et nutritionnelle et (iv) la promotion des  bonnes pratiques, des attitudes et des connaissances nutritionnelles chez les enfants et adolescents de manière durable.</w:t>
      </w:r>
    </w:p>
    <w:p w:rsidR="00F84EE7" w:rsidRPr="006866D3" w:rsidRDefault="00F84EE7" w:rsidP="00F84EE7">
      <w:pPr>
        <w:ind w:left="708"/>
        <w:jc w:val="both"/>
        <w:rPr>
          <w:rFonts w:ascii="Nyala" w:hAnsi="Nyala" w:cs="Arial"/>
          <w:sz w:val="28"/>
          <w:szCs w:val="28"/>
        </w:rPr>
      </w:pPr>
      <w:r w:rsidRPr="006866D3">
        <w:rPr>
          <w:rFonts w:ascii="Nyala" w:hAnsi="Nyala" w:cs="Arial"/>
          <w:sz w:val="28"/>
          <w:szCs w:val="28"/>
        </w:rPr>
        <w:t xml:space="preserve">La mise en œuvre de la stratégie multisectorielle de communication pour la sécurité nutritionnelle passe </w:t>
      </w:r>
      <w:r w:rsidR="00EF1E17" w:rsidRPr="006866D3">
        <w:rPr>
          <w:rFonts w:ascii="Nyala" w:hAnsi="Nyala" w:cs="Arial"/>
          <w:sz w:val="28"/>
          <w:szCs w:val="28"/>
        </w:rPr>
        <w:t>par</w:t>
      </w:r>
      <w:r w:rsidRPr="006866D3">
        <w:rPr>
          <w:rFonts w:ascii="Nyala" w:hAnsi="Nyala" w:cs="Arial"/>
          <w:sz w:val="28"/>
          <w:szCs w:val="28"/>
        </w:rPr>
        <w:t xml:space="preserve"> le renforcement des connaissances et de l'engagement du grand public et des communautés locales en faveur de la nutrition, le renforcement de l'implication et de l'engagement des décideurs et leaders d'opinion en faveur de la nutrition.</w:t>
      </w:r>
    </w:p>
    <w:p w:rsidR="00F84EE7" w:rsidRPr="006866D3" w:rsidRDefault="00146983" w:rsidP="00F84EE7">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882496" behindDoc="0" locked="0" layoutInCell="1" allowOverlap="1" wp14:anchorId="1E0B3C3F">
                <wp:simplePos x="0" y="0"/>
                <wp:positionH relativeFrom="margin">
                  <wp:align>right</wp:align>
                </wp:positionH>
                <wp:positionV relativeFrom="paragraph">
                  <wp:posOffset>178435</wp:posOffset>
                </wp:positionV>
                <wp:extent cx="1828800" cy="3569970"/>
                <wp:effectExtent l="0" t="0" r="24130" b="11430"/>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3569970"/>
                        </a:xfrm>
                        <a:prstGeom prst="rect">
                          <a:avLst/>
                        </a:prstGeom>
                        <a:noFill/>
                        <a:ln w="6350">
                          <a:solidFill>
                            <a:prstClr val="black"/>
                          </a:solidFill>
                        </a:ln>
                        <a:effectLst/>
                      </wps:spPr>
                      <wps:txbx>
                        <w:txbxContent>
                          <w:p w:rsidR="00146325" w:rsidRPr="001432A1" w:rsidRDefault="00146325" w:rsidP="001432A1">
                            <w:pPr>
                              <w:spacing w:before="130" w:after="0" w:line="240" w:lineRule="auto"/>
                              <w:jc w:val="center"/>
                              <w:rPr>
                                <w:rStyle w:val="Rfrenceintense"/>
                              </w:rPr>
                            </w:pPr>
                            <w:r w:rsidRPr="001432A1">
                              <w:rPr>
                                <w:rStyle w:val="Rfrenceintense"/>
                              </w:rPr>
                              <w:t>Encadré 2 Rappel des huit (8) engagements de la PNSN</w:t>
                            </w:r>
                          </w:p>
                          <w:p w:rsidR="00146325" w:rsidRPr="009F7A99" w:rsidRDefault="00146325" w:rsidP="009F7A99">
                            <w:pPr>
                              <w:spacing w:before="130" w:after="0" w:line="240" w:lineRule="auto"/>
                              <w:rPr>
                                <w:rFonts w:cstheme="minorHAnsi"/>
                                <w:sz w:val="16"/>
                                <w:szCs w:val="16"/>
                              </w:rPr>
                            </w:pPr>
                          </w:p>
                          <w:p w:rsidR="00146325" w:rsidRPr="009F7A99" w:rsidRDefault="00146325" w:rsidP="0059103A">
                            <w:pPr>
                              <w:pStyle w:val="Paragraphedeliste"/>
                              <w:numPr>
                                <w:ilvl w:val="0"/>
                                <w:numId w:val="18"/>
                              </w:numPr>
                              <w:spacing w:before="0" w:after="0"/>
                              <w:ind w:left="357" w:hanging="357"/>
                              <w:contextualSpacing w:val="0"/>
                              <w:jc w:val="both"/>
                              <w:rPr>
                                <w:rFonts w:cstheme="minorHAnsi"/>
                                <w:sz w:val="16"/>
                                <w:szCs w:val="16"/>
                              </w:rPr>
                            </w:pPr>
                            <w:r w:rsidRPr="009F7A99">
                              <w:rPr>
                                <w:rFonts w:cstheme="minorHAnsi"/>
                                <w:b/>
                                <w:i/>
                                <w:sz w:val="16"/>
                                <w:szCs w:val="16"/>
                              </w:rPr>
                              <w:t>Engagement 1</w:t>
                            </w:r>
                            <w:r w:rsidRPr="009F7A99">
                              <w:rPr>
                                <w:rFonts w:cstheme="minorHAnsi"/>
                                <w:sz w:val="16"/>
                                <w:szCs w:val="16"/>
                              </w:rPr>
                              <w:t>: Le Niger s’engage à assurer que les politiques et instruments qui protègent et améliorent  la  sécurité  nutritionnelle  et  le  cadre  de  vie  des  Nigériennes  et  des  Nigériens, particulièrement au niveau des groupes vulnérables, soient formulés et guident les décisions et actions du Gouvernement et de ses partenaires.</w:t>
                            </w:r>
                          </w:p>
                          <w:p w:rsidR="00146325" w:rsidRPr="009F7A99" w:rsidRDefault="00146325" w:rsidP="0059103A">
                            <w:pPr>
                              <w:pStyle w:val="Paragraphedeliste"/>
                              <w:numPr>
                                <w:ilvl w:val="0"/>
                                <w:numId w:val="18"/>
                              </w:numPr>
                              <w:spacing w:before="0" w:after="0"/>
                              <w:ind w:left="357" w:hanging="357"/>
                              <w:contextualSpacing w:val="0"/>
                              <w:jc w:val="both"/>
                              <w:rPr>
                                <w:rFonts w:cstheme="minorHAnsi"/>
                                <w:sz w:val="16"/>
                                <w:szCs w:val="16"/>
                              </w:rPr>
                            </w:pPr>
                            <w:r w:rsidRPr="009F7A99">
                              <w:rPr>
                                <w:rFonts w:cstheme="minorHAnsi"/>
                                <w:b/>
                                <w:i/>
                                <w:sz w:val="16"/>
                                <w:szCs w:val="16"/>
                              </w:rPr>
                              <w:t>Engagement 2</w:t>
                            </w:r>
                            <w:r w:rsidRPr="009F7A99">
                              <w:rPr>
                                <w:rFonts w:cstheme="minorHAnsi"/>
                                <w:sz w:val="16"/>
                                <w:szCs w:val="16"/>
                              </w:rPr>
                              <w:t>:  Le Niger s’engage à assurer une nutrition et un  développement optimal pour chaque  enfant,  une  nutrition  adéquate  durant  l’adolescence  en  particulier  pour  les  jeunes filles, et un apport nutritionnel approprié pendant la grossesse et l’allaitement.</w:t>
                            </w:r>
                          </w:p>
                          <w:p w:rsidR="00146325" w:rsidRPr="009F7A99" w:rsidRDefault="00146325" w:rsidP="0059103A">
                            <w:pPr>
                              <w:pStyle w:val="Paragraphedeliste"/>
                              <w:numPr>
                                <w:ilvl w:val="0"/>
                                <w:numId w:val="18"/>
                              </w:numPr>
                              <w:spacing w:before="0" w:after="0"/>
                              <w:ind w:left="357" w:hanging="357"/>
                              <w:contextualSpacing w:val="0"/>
                              <w:jc w:val="both"/>
                              <w:rPr>
                                <w:rFonts w:cstheme="minorHAnsi"/>
                                <w:sz w:val="16"/>
                                <w:szCs w:val="16"/>
                              </w:rPr>
                            </w:pPr>
                            <w:r w:rsidRPr="009F7A99">
                              <w:rPr>
                                <w:rFonts w:cstheme="minorHAnsi"/>
                                <w:b/>
                                <w:i/>
                                <w:sz w:val="16"/>
                                <w:szCs w:val="16"/>
                              </w:rPr>
                              <w:t>Engagement  3</w:t>
                            </w:r>
                            <w:r w:rsidRPr="009F7A99">
                              <w:rPr>
                                <w:rFonts w:cstheme="minorHAnsi"/>
                                <w:sz w:val="16"/>
                                <w:szCs w:val="16"/>
                              </w:rPr>
                              <w:t>:  Le  Niger  s’engage  à  créer  les  conditions  d’une  disponibilité  accrue  de l’approvisionnement  et  de  la  consommation  d’aliments  diversifiés,  pour  garantir  une alimentation quantitativement et qualitativement adéquate aux enfants de moins de cinq ans, aux  adolescentes  et  adolescents,  aux  femmes  enceintes  et  allaitantes  et  ceci  durant  les différentes périodes de l’année y compris la période de soudure.</w:t>
                            </w:r>
                          </w:p>
                          <w:p w:rsidR="00146325" w:rsidRPr="009F7A99" w:rsidRDefault="00146325" w:rsidP="0059103A">
                            <w:pPr>
                              <w:pStyle w:val="Paragraphedeliste"/>
                              <w:numPr>
                                <w:ilvl w:val="0"/>
                                <w:numId w:val="18"/>
                              </w:numPr>
                              <w:spacing w:before="0" w:after="0"/>
                              <w:ind w:left="357" w:hanging="357"/>
                              <w:contextualSpacing w:val="0"/>
                              <w:jc w:val="both"/>
                              <w:rPr>
                                <w:rFonts w:cstheme="minorHAnsi"/>
                                <w:sz w:val="16"/>
                                <w:szCs w:val="16"/>
                              </w:rPr>
                            </w:pPr>
                            <w:r w:rsidRPr="009F7A99">
                              <w:rPr>
                                <w:rFonts w:cstheme="minorHAnsi"/>
                                <w:b/>
                                <w:i/>
                                <w:sz w:val="16"/>
                                <w:szCs w:val="16"/>
                              </w:rPr>
                              <w:t>Engagement  4:</w:t>
                            </w:r>
                            <w:r w:rsidRPr="009F7A99">
                              <w:rPr>
                                <w:rFonts w:cstheme="minorHAnsi"/>
                                <w:sz w:val="16"/>
                                <w:szCs w:val="16"/>
                              </w:rPr>
                              <w:t xml:space="preserve">  Le  Niger  s’engage  à  assurer  le  développement  et  la  mise  à  l’échelle  de stratégies  permettant  un  accès  à  l’eau  potable,  et  aux  infrastructures  d’hygiène  et d’assainissement pour les enfants, les femmes et les hommes.</w:t>
                            </w:r>
                          </w:p>
                          <w:p w:rsidR="00146325" w:rsidRPr="009F7A99" w:rsidRDefault="00146325" w:rsidP="0059103A">
                            <w:pPr>
                              <w:pStyle w:val="Paragraphedeliste"/>
                              <w:numPr>
                                <w:ilvl w:val="0"/>
                                <w:numId w:val="18"/>
                              </w:numPr>
                              <w:spacing w:before="0" w:after="0"/>
                              <w:ind w:left="357" w:hanging="357"/>
                              <w:contextualSpacing w:val="0"/>
                              <w:jc w:val="both"/>
                              <w:rPr>
                                <w:rFonts w:cstheme="minorHAnsi"/>
                                <w:sz w:val="16"/>
                                <w:szCs w:val="16"/>
                              </w:rPr>
                            </w:pPr>
                            <w:r w:rsidRPr="009F7A99">
                              <w:rPr>
                                <w:rFonts w:cstheme="minorHAnsi"/>
                                <w:b/>
                                <w:i/>
                                <w:sz w:val="16"/>
                                <w:szCs w:val="16"/>
                              </w:rPr>
                              <w:t>Engagement 5</w:t>
                            </w:r>
                            <w:r w:rsidRPr="009F7A99">
                              <w:rPr>
                                <w:rFonts w:cstheme="minorHAnsi"/>
                                <w:sz w:val="16"/>
                                <w:szCs w:val="16"/>
                              </w:rPr>
                              <w:t xml:space="preserve"> : Le Niger s’engage  à ce qu’un socle de protection  sociale  ou des programmes de  protection  sociale  contribuent  directement  ou  indirectement  à  la  promotion  de  la sécurité nutritionnelle en particulier pour les catégories les plus vulnérables</w:t>
                            </w:r>
                          </w:p>
                          <w:p w:rsidR="00146325" w:rsidRPr="009F7A99" w:rsidRDefault="00146325" w:rsidP="0059103A">
                            <w:pPr>
                              <w:pStyle w:val="Paragraphedeliste"/>
                              <w:numPr>
                                <w:ilvl w:val="0"/>
                                <w:numId w:val="18"/>
                              </w:numPr>
                              <w:spacing w:before="0" w:after="0"/>
                              <w:ind w:left="357" w:hanging="357"/>
                              <w:contextualSpacing w:val="0"/>
                              <w:jc w:val="both"/>
                              <w:rPr>
                                <w:rFonts w:cstheme="minorHAnsi"/>
                                <w:sz w:val="16"/>
                                <w:szCs w:val="16"/>
                              </w:rPr>
                            </w:pPr>
                            <w:r w:rsidRPr="009F7A99">
                              <w:rPr>
                                <w:rFonts w:cstheme="minorHAnsi"/>
                                <w:b/>
                                <w:i/>
                                <w:sz w:val="16"/>
                                <w:szCs w:val="16"/>
                              </w:rPr>
                              <w:t>Engagement 6</w:t>
                            </w:r>
                            <w:r w:rsidRPr="009F7A99">
                              <w:rPr>
                                <w:rFonts w:cstheme="minorHAnsi"/>
                                <w:sz w:val="16"/>
                                <w:szCs w:val="16"/>
                              </w:rPr>
                              <w:t>: Le Niger s’engage  pour une éducation formelle et non formelle qui promeut la sécurité nutritionnelle.</w:t>
                            </w:r>
                          </w:p>
                          <w:p w:rsidR="00146325" w:rsidRPr="009F7A99" w:rsidRDefault="00146325" w:rsidP="0059103A">
                            <w:pPr>
                              <w:pStyle w:val="Paragraphedeliste"/>
                              <w:numPr>
                                <w:ilvl w:val="0"/>
                                <w:numId w:val="18"/>
                              </w:numPr>
                              <w:spacing w:before="0" w:after="0"/>
                              <w:ind w:left="357" w:hanging="357"/>
                              <w:contextualSpacing w:val="0"/>
                              <w:jc w:val="both"/>
                              <w:rPr>
                                <w:rFonts w:cstheme="minorHAnsi"/>
                                <w:sz w:val="16"/>
                                <w:szCs w:val="16"/>
                              </w:rPr>
                            </w:pPr>
                            <w:r w:rsidRPr="009F7A99">
                              <w:rPr>
                                <w:rFonts w:cstheme="minorHAnsi"/>
                                <w:b/>
                                <w:i/>
                                <w:sz w:val="16"/>
                                <w:szCs w:val="16"/>
                              </w:rPr>
                              <w:t>Engagement  7</w:t>
                            </w:r>
                            <w:r w:rsidRPr="009F7A99">
                              <w:rPr>
                                <w:rFonts w:cstheme="minorHAnsi"/>
                                <w:sz w:val="16"/>
                                <w:szCs w:val="16"/>
                              </w:rPr>
                              <w:t>:  Le  Niger  s’engage  à  lutter  contre  le  surpoids  et  l’obésité,  y  compris la surnutrition des enfants,  et à réduire l’incidence  des maladies non transmissibles  (prévenir et contrôler les maladies liées à la mauvaise alimentation et ses conséquences).</w:t>
                            </w:r>
                          </w:p>
                          <w:p w:rsidR="00146325" w:rsidRPr="009F7A99" w:rsidRDefault="00146325" w:rsidP="0059103A">
                            <w:pPr>
                              <w:pStyle w:val="Paragraphedeliste"/>
                              <w:numPr>
                                <w:ilvl w:val="0"/>
                                <w:numId w:val="18"/>
                              </w:numPr>
                              <w:spacing w:before="0" w:after="0"/>
                              <w:ind w:left="357" w:hanging="357"/>
                              <w:contextualSpacing w:val="0"/>
                              <w:jc w:val="both"/>
                              <w:rPr>
                                <w:rFonts w:cstheme="minorHAnsi"/>
                                <w:sz w:val="16"/>
                                <w:szCs w:val="16"/>
                              </w:rPr>
                            </w:pPr>
                            <w:r w:rsidRPr="009F7A99">
                              <w:rPr>
                                <w:rFonts w:cstheme="minorHAnsi"/>
                                <w:b/>
                                <w:i/>
                                <w:sz w:val="16"/>
                                <w:szCs w:val="16"/>
                              </w:rPr>
                              <w:t>Engagement  8</w:t>
                            </w:r>
                            <w:r w:rsidRPr="009F7A99">
                              <w:rPr>
                                <w:rFonts w:cstheme="minorHAnsi"/>
                                <w:sz w:val="16"/>
                                <w:szCs w:val="16"/>
                              </w:rPr>
                              <w:t>:  Le  Niger  s’engage  à  développer  et  mettre  à  l’échelle  des  stratégies  de communication  cohérentes  et  multisectorielles  assurant  un  support  politique,  des changements sociaux et de comportements favorisant une meilleure nutrition.</w:t>
                            </w:r>
                          </w:p>
                          <w:p w:rsidR="00146325" w:rsidRPr="009F7A99" w:rsidRDefault="00146325" w:rsidP="009F7A99">
                            <w:pPr>
                              <w:pStyle w:val="Paragraphedeliste"/>
                              <w:spacing w:before="130" w:after="0" w:line="240" w:lineRule="auto"/>
                              <w:ind w:left="360"/>
                              <w:jc w:val="both"/>
                              <w:rPr>
                                <w:rFonts w:cstheme="minorHAnsi"/>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B3C3F" id="Zone de texte 3" o:spid="_x0000_s1071" type="#_x0000_t202" style="position:absolute;left:0;text-align:left;margin-left:92.8pt;margin-top:14.05pt;width:2in;height:281.1pt;z-index:25188249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" filled="f" strokeweight=".5pt">
                <v:path arrowok="t"/>
                <v:textbox>
                  <w:txbxContent>
                    <w:p w:rsidR="00146325" w:rsidRPr="001432A1" w:rsidRDefault="00146325" w:rsidP="001432A1">
                      <w:pPr>
                        <w:spacing w:before="130" w:after="0" w:line="240" w:lineRule="auto"/>
                        <w:jc w:val="center"/>
                        <w:rPr>
                          <w:rStyle w:val="Rfrenceintense"/>
                        </w:rPr>
                      </w:pPr>
                      <w:r w:rsidRPr="001432A1">
                        <w:rPr>
                          <w:rStyle w:val="Rfrenceintense"/>
                        </w:rPr>
                        <w:t>Encadré 2 Rappel des huit (8) engagements de la PNSN</w:t>
                      </w:r>
                    </w:p>
                    <w:p w:rsidR="00146325" w:rsidRPr="009F7A99" w:rsidRDefault="00146325" w:rsidP="009F7A99">
                      <w:pPr>
                        <w:spacing w:before="130" w:after="0" w:line="240" w:lineRule="auto"/>
                        <w:rPr>
                          <w:rFonts w:cstheme="minorHAnsi"/>
                          <w:sz w:val="16"/>
                          <w:szCs w:val="16"/>
                        </w:rPr>
                      </w:pPr>
                    </w:p>
                    <w:p w:rsidR="00146325" w:rsidRPr="009F7A99" w:rsidRDefault="00146325" w:rsidP="0059103A">
                      <w:pPr>
                        <w:pStyle w:val="Paragraphedeliste"/>
                        <w:numPr>
                          <w:ilvl w:val="0"/>
                          <w:numId w:val="18"/>
                        </w:numPr>
                        <w:spacing w:before="0" w:after="0"/>
                        <w:ind w:left="357" w:hanging="357"/>
                        <w:contextualSpacing w:val="0"/>
                        <w:jc w:val="both"/>
                        <w:rPr>
                          <w:rFonts w:cstheme="minorHAnsi"/>
                          <w:sz w:val="16"/>
                          <w:szCs w:val="16"/>
                        </w:rPr>
                      </w:pPr>
                      <w:r w:rsidRPr="009F7A99">
                        <w:rPr>
                          <w:rFonts w:cstheme="minorHAnsi"/>
                          <w:b/>
                          <w:i/>
                          <w:sz w:val="16"/>
                          <w:szCs w:val="16"/>
                        </w:rPr>
                        <w:t>Engagement 1</w:t>
                      </w:r>
                      <w:r w:rsidRPr="009F7A99">
                        <w:rPr>
                          <w:rFonts w:cstheme="minorHAnsi"/>
                          <w:sz w:val="16"/>
                          <w:szCs w:val="16"/>
                        </w:rPr>
                        <w:t>: Le Niger s’engage à assurer que les politiques et instruments qui protègent et améliorent  la  sécurité  nutritionnelle  et  le  cadre  de  vie  des  Nigériennes  et  des  Nigériens, particulièrement au niveau des groupes vulnérables, soient formulés et guident les décisions et actions du Gouvernement et de ses partenaires.</w:t>
                      </w:r>
                    </w:p>
                    <w:p w:rsidR="00146325" w:rsidRPr="009F7A99" w:rsidRDefault="00146325" w:rsidP="0059103A">
                      <w:pPr>
                        <w:pStyle w:val="Paragraphedeliste"/>
                        <w:numPr>
                          <w:ilvl w:val="0"/>
                          <w:numId w:val="18"/>
                        </w:numPr>
                        <w:spacing w:before="0" w:after="0"/>
                        <w:ind w:left="357" w:hanging="357"/>
                        <w:contextualSpacing w:val="0"/>
                        <w:jc w:val="both"/>
                        <w:rPr>
                          <w:rFonts w:cstheme="minorHAnsi"/>
                          <w:sz w:val="16"/>
                          <w:szCs w:val="16"/>
                        </w:rPr>
                      </w:pPr>
                      <w:r w:rsidRPr="009F7A99">
                        <w:rPr>
                          <w:rFonts w:cstheme="minorHAnsi"/>
                          <w:b/>
                          <w:i/>
                          <w:sz w:val="16"/>
                          <w:szCs w:val="16"/>
                        </w:rPr>
                        <w:t>Engagement 2</w:t>
                      </w:r>
                      <w:r w:rsidRPr="009F7A99">
                        <w:rPr>
                          <w:rFonts w:cstheme="minorHAnsi"/>
                          <w:sz w:val="16"/>
                          <w:szCs w:val="16"/>
                        </w:rPr>
                        <w:t>:  Le Niger s’engage à assurer une nutrition et un  développement optimal pour chaque  enfant,  une  nutrition  adéquate  durant  l’adolescence  en  particulier  pour  les  jeunes filles, et un apport nutritionnel approprié pendant la grossesse et l’allaitement.</w:t>
                      </w:r>
                    </w:p>
                    <w:p w:rsidR="00146325" w:rsidRPr="009F7A99" w:rsidRDefault="00146325" w:rsidP="0059103A">
                      <w:pPr>
                        <w:pStyle w:val="Paragraphedeliste"/>
                        <w:numPr>
                          <w:ilvl w:val="0"/>
                          <w:numId w:val="18"/>
                        </w:numPr>
                        <w:spacing w:before="0" w:after="0"/>
                        <w:ind w:left="357" w:hanging="357"/>
                        <w:contextualSpacing w:val="0"/>
                        <w:jc w:val="both"/>
                        <w:rPr>
                          <w:rFonts w:cstheme="minorHAnsi"/>
                          <w:sz w:val="16"/>
                          <w:szCs w:val="16"/>
                        </w:rPr>
                      </w:pPr>
                      <w:r w:rsidRPr="009F7A99">
                        <w:rPr>
                          <w:rFonts w:cstheme="minorHAnsi"/>
                          <w:b/>
                          <w:i/>
                          <w:sz w:val="16"/>
                          <w:szCs w:val="16"/>
                        </w:rPr>
                        <w:t>Engagement  3</w:t>
                      </w:r>
                      <w:r w:rsidRPr="009F7A99">
                        <w:rPr>
                          <w:rFonts w:cstheme="minorHAnsi"/>
                          <w:sz w:val="16"/>
                          <w:szCs w:val="16"/>
                        </w:rPr>
                        <w:t>:  Le  Niger  s’engage  à  créer  les  conditions  d’une  disponibilité  accrue  de l’approvisionnement  et  de  la  consommation  d’aliments  diversifiés,  pour  garantir  une alimentation quantitativement et qualitativement adéquate aux enfants de moins de cinq ans, aux  adolescentes  et  adolescents,  aux  femmes  enceintes  et  allaitantes  et  ceci  durant  les différentes périodes de l’année y compris la période de soudure.</w:t>
                      </w:r>
                    </w:p>
                    <w:p w:rsidR="00146325" w:rsidRPr="009F7A99" w:rsidRDefault="00146325" w:rsidP="0059103A">
                      <w:pPr>
                        <w:pStyle w:val="Paragraphedeliste"/>
                        <w:numPr>
                          <w:ilvl w:val="0"/>
                          <w:numId w:val="18"/>
                        </w:numPr>
                        <w:spacing w:before="0" w:after="0"/>
                        <w:ind w:left="357" w:hanging="357"/>
                        <w:contextualSpacing w:val="0"/>
                        <w:jc w:val="both"/>
                        <w:rPr>
                          <w:rFonts w:cstheme="minorHAnsi"/>
                          <w:sz w:val="16"/>
                          <w:szCs w:val="16"/>
                        </w:rPr>
                      </w:pPr>
                      <w:r w:rsidRPr="009F7A99">
                        <w:rPr>
                          <w:rFonts w:cstheme="minorHAnsi"/>
                          <w:b/>
                          <w:i/>
                          <w:sz w:val="16"/>
                          <w:szCs w:val="16"/>
                        </w:rPr>
                        <w:t>Engagement  4:</w:t>
                      </w:r>
                      <w:r w:rsidRPr="009F7A99">
                        <w:rPr>
                          <w:rFonts w:cstheme="minorHAnsi"/>
                          <w:sz w:val="16"/>
                          <w:szCs w:val="16"/>
                        </w:rPr>
                        <w:t xml:space="preserve">  Le  Niger  s’engage  à  assurer  le  développement  et  la  mise  à  l’échelle  de stratégies  permettant  un  accès  à  l’eau  potable,  et  aux  infrastructures  d’hygiène  et d’assainissement pour les enfants, les femmes et les hommes.</w:t>
                      </w:r>
                    </w:p>
                    <w:p w:rsidR="00146325" w:rsidRPr="009F7A99" w:rsidRDefault="00146325" w:rsidP="0059103A">
                      <w:pPr>
                        <w:pStyle w:val="Paragraphedeliste"/>
                        <w:numPr>
                          <w:ilvl w:val="0"/>
                          <w:numId w:val="18"/>
                        </w:numPr>
                        <w:spacing w:before="0" w:after="0"/>
                        <w:ind w:left="357" w:hanging="357"/>
                        <w:contextualSpacing w:val="0"/>
                        <w:jc w:val="both"/>
                        <w:rPr>
                          <w:rFonts w:cstheme="minorHAnsi"/>
                          <w:sz w:val="16"/>
                          <w:szCs w:val="16"/>
                        </w:rPr>
                      </w:pPr>
                      <w:r w:rsidRPr="009F7A99">
                        <w:rPr>
                          <w:rFonts w:cstheme="minorHAnsi"/>
                          <w:b/>
                          <w:i/>
                          <w:sz w:val="16"/>
                          <w:szCs w:val="16"/>
                        </w:rPr>
                        <w:t>Engagement 5</w:t>
                      </w:r>
                      <w:r w:rsidRPr="009F7A99">
                        <w:rPr>
                          <w:rFonts w:cstheme="minorHAnsi"/>
                          <w:sz w:val="16"/>
                          <w:szCs w:val="16"/>
                        </w:rPr>
                        <w:t xml:space="preserve"> : Le Niger s’engage  à ce qu’un socle de protection  sociale  ou des programmes de  protection  sociale  contribuent  directement  ou  indirectement  à  la  promotion  de  la sécurité nutritionnelle en particulier pour les catégories les plus vulnérables</w:t>
                      </w:r>
                    </w:p>
                    <w:p w:rsidR="00146325" w:rsidRPr="009F7A99" w:rsidRDefault="00146325" w:rsidP="0059103A">
                      <w:pPr>
                        <w:pStyle w:val="Paragraphedeliste"/>
                        <w:numPr>
                          <w:ilvl w:val="0"/>
                          <w:numId w:val="18"/>
                        </w:numPr>
                        <w:spacing w:before="0" w:after="0"/>
                        <w:ind w:left="357" w:hanging="357"/>
                        <w:contextualSpacing w:val="0"/>
                        <w:jc w:val="both"/>
                        <w:rPr>
                          <w:rFonts w:cstheme="minorHAnsi"/>
                          <w:sz w:val="16"/>
                          <w:szCs w:val="16"/>
                        </w:rPr>
                      </w:pPr>
                      <w:r w:rsidRPr="009F7A99">
                        <w:rPr>
                          <w:rFonts w:cstheme="minorHAnsi"/>
                          <w:b/>
                          <w:i/>
                          <w:sz w:val="16"/>
                          <w:szCs w:val="16"/>
                        </w:rPr>
                        <w:t>Engagement 6</w:t>
                      </w:r>
                      <w:r w:rsidRPr="009F7A99">
                        <w:rPr>
                          <w:rFonts w:cstheme="minorHAnsi"/>
                          <w:sz w:val="16"/>
                          <w:szCs w:val="16"/>
                        </w:rPr>
                        <w:t>: Le Niger s’engage  pour une éducation formelle et non formelle qui promeut la sécurité nutritionnelle.</w:t>
                      </w:r>
                    </w:p>
                    <w:p w:rsidR="00146325" w:rsidRPr="009F7A99" w:rsidRDefault="00146325" w:rsidP="0059103A">
                      <w:pPr>
                        <w:pStyle w:val="Paragraphedeliste"/>
                        <w:numPr>
                          <w:ilvl w:val="0"/>
                          <w:numId w:val="18"/>
                        </w:numPr>
                        <w:spacing w:before="0" w:after="0"/>
                        <w:ind w:left="357" w:hanging="357"/>
                        <w:contextualSpacing w:val="0"/>
                        <w:jc w:val="both"/>
                        <w:rPr>
                          <w:rFonts w:cstheme="minorHAnsi"/>
                          <w:sz w:val="16"/>
                          <w:szCs w:val="16"/>
                        </w:rPr>
                      </w:pPr>
                      <w:r w:rsidRPr="009F7A99">
                        <w:rPr>
                          <w:rFonts w:cstheme="minorHAnsi"/>
                          <w:b/>
                          <w:i/>
                          <w:sz w:val="16"/>
                          <w:szCs w:val="16"/>
                        </w:rPr>
                        <w:t>Engagement  7</w:t>
                      </w:r>
                      <w:r w:rsidRPr="009F7A99">
                        <w:rPr>
                          <w:rFonts w:cstheme="minorHAnsi"/>
                          <w:sz w:val="16"/>
                          <w:szCs w:val="16"/>
                        </w:rPr>
                        <w:t>:  Le  Niger  s’engage  à  lutter  contre  le  surpoids  et  l’obésité,  y  compris la surnutrition des enfants,  et à réduire l’incidence  des maladies non transmissibles  (prévenir et contrôler les maladies liées à la mauvaise alimentation et ses conséquences).</w:t>
                      </w:r>
                    </w:p>
                    <w:p w:rsidR="00146325" w:rsidRPr="009F7A99" w:rsidRDefault="00146325" w:rsidP="0059103A">
                      <w:pPr>
                        <w:pStyle w:val="Paragraphedeliste"/>
                        <w:numPr>
                          <w:ilvl w:val="0"/>
                          <w:numId w:val="18"/>
                        </w:numPr>
                        <w:spacing w:before="0" w:after="0"/>
                        <w:ind w:left="357" w:hanging="357"/>
                        <w:contextualSpacing w:val="0"/>
                        <w:jc w:val="both"/>
                        <w:rPr>
                          <w:rFonts w:cstheme="minorHAnsi"/>
                          <w:sz w:val="16"/>
                          <w:szCs w:val="16"/>
                        </w:rPr>
                      </w:pPr>
                      <w:r w:rsidRPr="009F7A99">
                        <w:rPr>
                          <w:rFonts w:cstheme="minorHAnsi"/>
                          <w:b/>
                          <w:i/>
                          <w:sz w:val="16"/>
                          <w:szCs w:val="16"/>
                        </w:rPr>
                        <w:t>Engagement  8</w:t>
                      </w:r>
                      <w:r w:rsidRPr="009F7A99">
                        <w:rPr>
                          <w:rFonts w:cstheme="minorHAnsi"/>
                          <w:sz w:val="16"/>
                          <w:szCs w:val="16"/>
                        </w:rPr>
                        <w:t>:  Le  Niger  s’engage  à  développer  et  mettre  à  l’échelle  des  stratégies  de communication  cohérentes  et  multisectorielles  assurant  un  support  politique,  des changements sociaux et de comportements favorisant une meilleure nutrition.</w:t>
                      </w:r>
                    </w:p>
                    <w:p w:rsidR="00146325" w:rsidRPr="009F7A99" w:rsidRDefault="00146325" w:rsidP="009F7A99">
                      <w:pPr>
                        <w:pStyle w:val="Paragraphedeliste"/>
                        <w:spacing w:before="130" w:after="0" w:line="240" w:lineRule="auto"/>
                        <w:ind w:left="360"/>
                        <w:jc w:val="both"/>
                        <w:rPr>
                          <w:rFonts w:cstheme="minorHAnsi"/>
                          <w:sz w:val="16"/>
                          <w:szCs w:val="16"/>
                        </w:rPr>
                      </w:pPr>
                    </w:p>
                  </w:txbxContent>
                </v:textbox>
                <w10:wrap type="square" anchorx="margin"/>
              </v:shape>
            </w:pict>
          </mc:Fallback>
        </mc:AlternateContent>
      </w:r>
    </w:p>
    <w:p w:rsidR="00F84EE7" w:rsidRPr="00141D20" w:rsidRDefault="00F84EE7" w:rsidP="00F84EE7">
      <w:pPr>
        <w:jc w:val="both"/>
        <w:rPr>
          <w:rFonts w:ascii="Nyala" w:hAnsi="Nyala"/>
          <w:i/>
          <w:sz w:val="28"/>
          <w:szCs w:val="28"/>
        </w:rPr>
      </w:pPr>
      <w:r w:rsidRPr="006866D3">
        <w:rPr>
          <w:rFonts w:ascii="Nyala" w:hAnsi="Nyala"/>
          <w:sz w:val="28"/>
          <w:szCs w:val="28"/>
        </w:rPr>
        <w:t>La lutte contre la malnutrition est également un objectif constant dans la majorité des initiatives de  développement agricole, de renforcement  de la résilience des ménages face aux crises alimentaires et catastrophes naturelles et bien entendu dans diverses opérations de renforcement du capital humain et de protection sociale. Malheureusement, il s’agit d’actions souvent diffuses, atomisées dans des programmes à but multiple à court terme alors que les changements réels ne sont visibles et mesurables qu’en post-programme ou projet. En effet, l’élimination de la malnutrition, relève davantage des actions sensibles à la nutrition dont les effets induits sont nécessairement lents, difficilement quantifiables et pour lesquelles les mesures d’efficacité et d’efficience ne sont pas aisées. Autrement dit, comment convaincre les « Investisseurs » (l’Etat, les ONG et Institutions Humanitaires et les PTF) de la nécessité de poursuivre voire renforcer pendant les 15 prochaines années, aussi bien les actions spécifiques à la nutrition que celles dites sensibles, s</w:t>
      </w:r>
      <w:r w:rsidR="00D01DDB">
        <w:rPr>
          <w:rFonts w:ascii="Nyala" w:hAnsi="Nyala"/>
          <w:sz w:val="28"/>
          <w:szCs w:val="28"/>
        </w:rPr>
        <w:t>’i</w:t>
      </w:r>
      <w:r w:rsidRPr="006866D3">
        <w:rPr>
          <w:rFonts w:ascii="Nyala" w:hAnsi="Nyala"/>
          <w:sz w:val="28"/>
          <w:szCs w:val="28"/>
        </w:rPr>
        <w:t xml:space="preserve">l est difficile d’établir un lien direct entre des montants investis et des résultats visibles et quantifiables.  </w:t>
      </w:r>
      <w:r w:rsidR="0056758C" w:rsidRPr="00141D20">
        <w:rPr>
          <w:rFonts w:ascii="Nyala" w:hAnsi="Nyala"/>
          <w:i/>
          <w:sz w:val="28"/>
          <w:szCs w:val="28"/>
        </w:rPr>
        <w:t xml:space="preserve">A cet effet, il y a lieu de trouver des systèmes d’évaluation de l’efficacité et de l’efficience des politiques, projets et programmes d’élimination de la malnutrition. </w:t>
      </w:r>
    </w:p>
    <w:p w:rsidR="00F84EE7" w:rsidRPr="009B11E1" w:rsidRDefault="00046834" w:rsidP="00141D20">
      <w:pPr>
        <w:rPr>
          <w:rStyle w:val="Rfrenceintense"/>
          <w:sz w:val="28"/>
          <w:szCs w:val="28"/>
        </w:rPr>
      </w:pPr>
      <w:r w:rsidRPr="009B11E1">
        <w:rPr>
          <w:rStyle w:val="Rfrenceintense"/>
          <w:sz w:val="28"/>
          <w:szCs w:val="28"/>
        </w:rPr>
        <w:t xml:space="preserve">Politique de </w:t>
      </w:r>
      <w:r w:rsidR="00F84EE7" w:rsidRPr="009B11E1">
        <w:rPr>
          <w:rStyle w:val="Rfrenceintense"/>
          <w:sz w:val="28"/>
          <w:szCs w:val="28"/>
        </w:rPr>
        <w:t xml:space="preserve">Protection sociale </w:t>
      </w:r>
    </w:p>
    <w:p w:rsidR="00F84EE7" w:rsidRPr="006866D3" w:rsidRDefault="00F84EE7" w:rsidP="00F84EE7">
      <w:pPr>
        <w:contextualSpacing/>
        <w:jc w:val="both"/>
        <w:rPr>
          <w:rFonts w:ascii="Nyala" w:hAnsi="Nyala" w:cstheme="minorHAnsi"/>
          <w:sz w:val="28"/>
          <w:szCs w:val="28"/>
        </w:rPr>
      </w:pPr>
      <w:r w:rsidRPr="006866D3">
        <w:rPr>
          <w:rFonts w:ascii="Nyala" w:hAnsi="Nyala" w:cstheme="minorHAnsi"/>
          <w:sz w:val="28"/>
          <w:szCs w:val="28"/>
        </w:rPr>
        <w:t>La lutte contre la faim est également pris</w:t>
      </w:r>
      <w:r w:rsidR="00D01DDB">
        <w:rPr>
          <w:rFonts w:ascii="Nyala" w:hAnsi="Nyala" w:cstheme="minorHAnsi"/>
          <w:sz w:val="28"/>
          <w:szCs w:val="28"/>
        </w:rPr>
        <w:t>e</w:t>
      </w:r>
      <w:r w:rsidRPr="006866D3">
        <w:rPr>
          <w:rFonts w:ascii="Nyala" w:hAnsi="Nyala" w:cstheme="minorHAnsi"/>
          <w:sz w:val="28"/>
          <w:szCs w:val="28"/>
        </w:rPr>
        <w:t xml:space="preserve"> en compte dans la Politique Nationale de Protection Sociale (PNPS) adopté</w:t>
      </w:r>
      <w:r w:rsidR="00D01DDB">
        <w:rPr>
          <w:rFonts w:ascii="Nyala" w:hAnsi="Nyala" w:cstheme="minorHAnsi"/>
          <w:sz w:val="28"/>
          <w:szCs w:val="28"/>
        </w:rPr>
        <w:t>e</w:t>
      </w:r>
      <w:r w:rsidRPr="006866D3">
        <w:rPr>
          <w:rFonts w:ascii="Nyala" w:hAnsi="Nyala" w:cstheme="minorHAnsi"/>
          <w:sz w:val="28"/>
          <w:szCs w:val="28"/>
        </w:rPr>
        <w:t xml:space="preserve"> en août 2011 et dont la vision est de voir le Niger « ’Etre une Nation qui veille à  la satisfaction des besoins et services essentiels ainsi qu'au plein épanouissement de toutes les couches socioprofessionnelles à travers une politique de protection sociale qui crée les conditions équitables, dignes et permanentes de protection, de prévention, de promotion et de transformation sociale nécessaires à faire face aux risques climatiques, environnementaux, sociaux,  politiques et économiques  en vue de permettre aux populations d’être à l’abri de toute forme de vulnérabilité pouvant entraver leurs capacités de production et compromettre la dynamique du pays ».</w:t>
      </w:r>
    </w:p>
    <w:p w:rsidR="00F84EE7" w:rsidRPr="006866D3" w:rsidRDefault="00F84EE7" w:rsidP="00F84EE7">
      <w:pPr>
        <w:contextualSpacing/>
        <w:jc w:val="both"/>
        <w:rPr>
          <w:rFonts w:ascii="Nyala" w:hAnsi="Nyala" w:cstheme="minorHAnsi"/>
          <w:sz w:val="28"/>
          <w:szCs w:val="28"/>
        </w:rPr>
      </w:pPr>
    </w:p>
    <w:p w:rsidR="00F84EE7" w:rsidRPr="006866D3" w:rsidRDefault="00F84EE7" w:rsidP="00F84EE7">
      <w:pPr>
        <w:contextualSpacing/>
        <w:jc w:val="both"/>
        <w:rPr>
          <w:rFonts w:ascii="Nyala" w:hAnsi="Nyala" w:cstheme="minorHAnsi"/>
          <w:sz w:val="28"/>
          <w:szCs w:val="28"/>
        </w:rPr>
      </w:pPr>
      <w:r w:rsidRPr="006866D3">
        <w:rPr>
          <w:rFonts w:ascii="Nyala" w:hAnsi="Nyala" w:cstheme="minorHAnsi"/>
          <w:sz w:val="28"/>
          <w:szCs w:val="28"/>
        </w:rPr>
        <w:t>L’object</w:t>
      </w:r>
      <w:r w:rsidR="00D01DDB">
        <w:rPr>
          <w:rFonts w:ascii="Nyala" w:hAnsi="Nyala" w:cstheme="minorHAnsi"/>
          <w:sz w:val="28"/>
          <w:szCs w:val="28"/>
        </w:rPr>
        <w:t xml:space="preserve">if du PNPS est de « contribuer </w:t>
      </w:r>
      <w:r w:rsidRPr="006866D3">
        <w:rPr>
          <w:rFonts w:ascii="Nyala" w:hAnsi="Nyala" w:cstheme="minorHAnsi"/>
          <w:sz w:val="28"/>
          <w:szCs w:val="28"/>
        </w:rPr>
        <w:t>à l’atténuation de la vulnérabilité des groupes défavorisés et aider les populations à faire face aux risques les plus significatifs de la vie ». La lutte contre l’insécurité alimentaire et nutritionnelle en constitue le premier axe. Les autres concernent : Axe 2) la promotion du travail et de l’emploi ; Axe 3) la réduction des barrières liées à l’accès aux services sociaux et infrastructures sociales de base, Axe 4)</w:t>
      </w:r>
      <w:r w:rsidRPr="006866D3">
        <w:rPr>
          <w:rFonts w:ascii="Nyala" w:hAnsi="Nyala"/>
          <w:sz w:val="28"/>
          <w:szCs w:val="28"/>
        </w:rPr>
        <w:t>l’inte</w:t>
      </w:r>
      <w:r w:rsidRPr="006866D3">
        <w:rPr>
          <w:rFonts w:ascii="Nyala" w:hAnsi="Nyala" w:cstheme="minorHAnsi"/>
          <w:sz w:val="28"/>
          <w:szCs w:val="28"/>
        </w:rPr>
        <w:t xml:space="preserve">nsification des actions spécifiques en faveur des groupes vulnérables et </w:t>
      </w:r>
      <w:r w:rsidR="00122B8D">
        <w:rPr>
          <w:rFonts w:ascii="Nyala" w:hAnsi="Nyala" w:cstheme="minorHAnsi"/>
          <w:sz w:val="28"/>
          <w:szCs w:val="28"/>
        </w:rPr>
        <w:t>Axe 5 ?</w:t>
      </w:r>
      <w:r w:rsidRPr="006866D3">
        <w:rPr>
          <w:rFonts w:ascii="Nyala" w:hAnsi="Nyala" w:cstheme="minorHAnsi"/>
          <w:sz w:val="28"/>
          <w:szCs w:val="28"/>
        </w:rPr>
        <w:t xml:space="preserve">v) le renforcement de la consolidation du cadre législatif et réglementaire. </w:t>
      </w:r>
    </w:p>
    <w:p w:rsidR="00F84EE7" w:rsidRPr="006866D3" w:rsidRDefault="00F84EE7" w:rsidP="00F84EE7">
      <w:pPr>
        <w:contextualSpacing/>
        <w:jc w:val="both"/>
        <w:rPr>
          <w:rFonts w:ascii="Nyala" w:hAnsi="Nyala" w:cstheme="minorHAnsi"/>
          <w:sz w:val="28"/>
          <w:szCs w:val="28"/>
        </w:rPr>
      </w:pPr>
    </w:p>
    <w:p w:rsidR="00F84EE7" w:rsidRPr="006866D3" w:rsidRDefault="00F84EE7" w:rsidP="00F84EE7">
      <w:pPr>
        <w:contextualSpacing/>
        <w:jc w:val="both"/>
        <w:rPr>
          <w:rFonts w:ascii="Nyala" w:hAnsi="Nyala" w:cstheme="minorHAnsi"/>
          <w:sz w:val="28"/>
          <w:szCs w:val="28"/>
        </w:rPr>
      </w:pPr>
      <w:r w:rsidRPr="006866D3">
        <w:rPr>
          <w:rFonts w:ascii="Nyala" w:hAnsi="Nyala" w:cstheme="minorHAnsi"/>
          <w:sz w:val="28"/>
          <w:szCs w:val="28"/>
        </w:rPr>
        <w:t xml:space="preserve">La PNPS, à travers son Axe 1, se propose en priorité de : i) </w:t>
      </w:r>
      <w:r w:rsidR="00D01DDB" w:rsidRPr="006866D3">
        <w:rPr>
          <w:rFonts w:ascii="Nyala" w:hAnsi="Nyala" w:cstheme="minorHAnsi"/>
          <w:sz w:val="28"/>
          <w:szCs w:val="28"/>
        </w:rPr>
        <w:t>promouvoir des</w:t>
      </w:r>
      <w:r w:rsidRPr="006866D3">
        <w:rPr>
          <w:rFonts w:ascii="Nyala" w:hAnsi="Nyala" w:cstheme="minorHAnsi"/>
          <w:sz w:val="28"/>
          <w:szCs w:val="28"/>
        </w:rPr>
        <w:t xml:space="preserve">  mécanismes  de  prévoyance  qui  sécurisent les producteu</w:t>
      </w:r>
      <w:r w:rsidR="00D01DDB">
        <w:rPr>
          <w:rFonts w:ascii="Nyala" w:hAnsi="Nyala" w:cstheme="minorHAnsi"/>
          <w:sz w:val="28"/>
          <w:szCs w:val="28"/>
        </w:rPr>
        <w:t>rs et les consommateurs ; ii)  c</w:t>
      </w:r>
      <w:r w:rsidRPr="006866D3">
        <w:rPr>
          <w:rFonts w:ascii="Nyala" w:hAnsi="Nyala" w:cstheme="minorHAnsi"/>
          <w:sz w:val="28"/>
          <w:szCs w:val="28"/>
        </w:rPr>
        <w:t>ontribuer  à  la  réduction  de  la  pauvreté  et  de  la vulnérabilité des ménages par la gestion efficace des risques ; iii) la Prévention de la  malnutrition  en  soutenant  les  actions  visant  à protéger  et  à  promouvoir  la  nutrition  des  enfants  et  leurs mères, avec l’accent sur les plus vulnérables.</w:t>
      </w:r>
    </w:p>
    <w:p w:rsidR="00F84EE7" w:rsidRPr="006866D3" w:rsidRDefault="00F84EE7" w:rsidP="00F84EE7">
      <w:pPr>
        <w:contextualSpacing/>
        <w:jc w:val="both"/>
        <w:rPr>
          <w:rFonts w:ascii="Nyala" w:hAnsi="Nyala" w:cstheme="minorHAnsi"/>
          <w:sz w:val="28"/>
          <w:szCs w:val="28"/>
        </w:rPr>
      </w:pPr>
    </w:p>
    <w:p w:rsidR="00F84EE7" w:rsidRPr="006866D3" w:rsidRDefault="00F84EE7" w:rsidP="00F84EE7">
      <w:pPr>
        <w:contextualSpacing/>
        <w:jc w:val="both"/>
        <w:rPr>
          <w:rFonts w:ascii="Nyala" w:hAnsi="Nyala" w:cstheme="minorHAnsi"/>
          <w:sz w:val="28"/>
          <w:szCs w:val="28"/>
        </w:rPr>
      </w:pPr>
      <w:r w:rsidRPr="006866D3">
        <w:rPr>
          <w:rFonts w:ascii="Nyala" w:hAnsi="Nyala" w:cstheme="minorHAnsi"/>
          <w:sz w:val="28"/>
          <w:szCs w:val="28"/>
        </w:rPr>
        <w:t xml:space="preserve">Les groupes cibles de l’Axe 1 « lutte contre l’insécurité alimentaire » sont : (i) les  petits agriculteurs de subsistance, (ii)  les petits éleveurs dont le cheptel ne dépassent pas trois (3) Unités de Bétail Tropical (UBT) par personne ; (iii) les bergers ayant perdu leurs troupeaux </w:t>
      </w:r>
      <w:r w:rsidR="00122B8D">
        <w:rPr>
          <w:rFonts w:ascii="Nyala" w:hAnsi="Nyala" w:cstheme="minorHAnsi"/>
          <w:sz w:val="28"/>
          <w:szCs w:val="28"/>
        </w:rPr>
        <w:t> ;</w:t>
      </w:r>
      <w:r w:rsidRPr="006866D3">
        <w:rPr>
          <w:rFonts w:ascii="Nyala" w:hAnsi="Nyala" w:cstheme="minorHAnsi"/>
          <w:sz w:val="28"/>
          <w:szCs w:val="28"/>
        </w:rPr>
        <w:t>(iv) les pasteurs en voie de sédentarisation n’ayant ni suffisamment de produits de bétail à vendre, ni suffisamment de terres</w:t>
      </w:r>
      <w:r w:rsidR="00122B8D">
        <w:rPr>
          <w:rFonts w:ascii="Nyala" w:hAnsi="Nyala" w:cstheme="minorHAnsi"/>
          <w:sz w:val="28"/>
          <w:szCs w:val="28"/>
        </w:rPr>
        <w:t xml:space="preserve"> ; </w:t>
      </w:r>
      <w:r w:rsidRPr="006866D3">
        <w:rPr>
          <w:rFonts w:ascii="Nyala" w:hAnsi="Nyala" w:cstheme="minorHAnsi"/>
          <w:sz w:val="28"/>
          <w:szCs w:val="28"/>
        </w:rPr>
        <w:t>(v) les femmes chefs de ménage dont les tâches ménagères, maternelles et reproductives ne permettent pas  de  consacrer  suffisamment  de  temps  aux  activités  productives</w:t>
      </w:r>
      <w:r w:rsidR="00122B8D">
        <w:rPr>
          <w:rFonts w:ascii="Nyala" w:hAnsi="Nyala" w:cstheme="minorHAnsi"/>
          <w:sz w:val="28"/>
          <w:szCs w:val="28"/>
        </w:rPr>
        <w:t> ;</w:t>
      </w:r>
      <w:r w:rsidRPr="006866D3">
        <w:rPr>
          <w:rFonts w:ascii="Nyala" w:hAnsi="Nyala" w:cstheme="minorHAnsi"/>
          <w:sz w:val="28"/>
          <w:szCs w:val="28"/>
        </w:rPr>
        <w:t>(vi)  les  familles  nombreuses  (10  personnes  et plus) avec beaucoup d’enfants en  bas âge,  ainsi queles familles  pauvres qui  disposent de  revenus  tropfaibles et aléatoires ;  et (vii)  les femmes enceintes,  allaitantes et les  enfants  de moins de 5 ans,  physiologiquement fragiles,souvent atteints de malnutrition ou de carences en micronutriments (anémies, avitaminoses).</w:t>
      </w:r>
    </w:p>
    <w:p w:rsidR="00F84EE7" w:rsidRPr="006866D3" w:rsidRDefault="00F84EE7" w:rsidP="00F84EE7">
      <w:pPr>
        <w:contextualSpacing/>
        <w:jc w:val="both"/>
        <w:rPr>
          <w:rFonts w:ascii="Nyala" w:hAnsi="Nyala" w:cstheme="minorHAnsi"/>
          <w:sz w:val="28"/>
          <w:szCs w:val="28"/>
        </w:rPr>
      </w:pPr>
    </w:p>
    <w:p w:rsidR="00F84EE7" w:rsidRPr="006866D3" w:rsidRDefault="00F84EE7" w:rsidP="00F84EE7">
      <w:pPr>
        <w:contextualSpacing/>
        <w:jc w:val="both"/>
        <w:rPr>
          <w:rFonts w:ascii="Nyala" w:hAnsi="Nyala" w:cstheme="minorHAnsi"/>
          <w:sz w:val="28"/>
          <w:szCs w:val="28"/>
        </w:rPr>
      </w:pPr>
      <w:r w:rsidRPr="006866D3">
        <w:rPr>
          <w:rFonts w:ascii="Nyala" w:hAnsi="Nyala" w:cstheme="minorHAnsi"/>
          <w:sz w:val="28"/>
          <w:szCs w:val="28"/>
        </w:rPr>
        <w:t>Cinq domaines d’actions sont retenus : a) le renforcement du dispositif National de Prévention et de Gestion des Crises Alimentaires ; b) la poursuite et l’intensification de la lutte contre la pauvreté et la faim en focalisant les actions sur l’accentuation de l’approche genre et en accordant une attentionparticulière aux populations les plus vulnérables ; c) la mise en place de filets sociaux de sécurité (transferts accompagnés des actions de  prévention /de  promotion  et  transformation  avec  les  subventions  appropriées  des  prix  pour  lesintrants/matériels /équipements; facilitation de l’accès aux crédits) ; d) la promotion du changement de comportement dans le  domaine de la nutrition (pratiques familialesessentielles).</w:t>
      </w:r>
    </w:p>
    <w:p w:rsidR="00F84EE7" w:rsidRPr="006866D3" w:rsidRDefault="00F84EE7" w:rsidP="00F84EE7">
      <w:pPr>
        <w:contextualSpacing/>
        <w:jc w:val="both"/>
        <w:rPr>
          <w:rFonts w:ascii="Nyala" w:hAnsi="Nyala" w:cstheme="minorHAnsi"/>
          <w:sz w:val="28"/>
          <w:szCs w:val="28"/>
        </w:rPr>
      </w:pPr>
    </w:p>
    <w:p w:rsidR="00F84EE7" w:rsidRDefault="00F84EE7" w:rsidP="00F84EE7">
      <w:pPr>
        <w:contextualSpacing/>
        <w:jc w:val="both"/>
        <w:rPr>
          <w:rFonts w:ascii="Nyala" w:hAnsi="Nyala" w:cstheme="minorHAnsi"/>
          <w:sz w:val="28"/>
          <w:szCs w:val="28"/>
        </w:rPr>
      </w:pPr>
      <w:r w:rsidRPr="006866D3">
        <w:rPr>
          <w:rFonts w:ascii="Nyala" w:hAnsi="Nyala" w:cstheme="minorHAnsi"/>
          <w:sz w:val="28"/>
          <w:szCs w:val="28"/>
        </w:rPr>
        <w:t xml:space="preserve">Les actions et mécanismes prioritaires en matière de protection sociale sont intégrés dans les différents Axes de la SDDCI, en particulier ceux relatifs au développement du capital humain et à la transformation du monde rural. </w:t>
      </w:r>
    </w:p>
    <w:p w:rsidR="00B537E3" w:rsidRPr="006866D3" w:rsidRDefault="00B537E3" w:rsidP="00F84EE7">
      <w:pPr>
        <w:contextualSpacing/>
        <w:jc w:val="both"/>
        <w:rPr>
          <w:rFonts w:ascii="Nyala" w:hAnsi="Nyala" w:cstheme="minorHAnsi"/>
          <w:sz w:val="28"/>
          <w:szCs w:val="28"/>
        </w:rPr>
      </w:pPr>
    </w:p>
    <w:p w:rsidR="00F84EE7" w:rsidRPr="006866D3" w:rsidRDefault="00F84EE7" w:rsidP="00F84EE7">
      <w:pPr>
        <w:contextualSpacing/>
        <w:jc w:val="both"/>
        <w:rPr>
          <w:rFonts w:ascii="Nyala" w:hAnsi="Nyala" w:cstheme="minorHAnsi"/>
          <w:sz w:val="28"/>
          <w:szCs w:val="28"/>
        </w:rPr>
      </w:pPr>
    </w:p>
    <w:p w:rsidR="00F84EE7" w:rsidRPr="009B11E1" w:rsidRDefault="005A31E8" w:rsidP="00141D20">
      <w:pPr>
        <w:rPr>
          <w:rStyle w:val="Rfrenceintense"/>
          <w:sz w:val="28"/>
          <w:szCs w:val="28"/>
        </w:rPr>
      </w:pPr>
      <w:r w:rsidRPr="009B11E1">
        <w:rPr>
          <w:rStyle w:val="Rfrenceintense"/>
          <w:sz w:val="28"/>
          <w:szCs w:val="28"/>
        </w:rPr>
        <w:t xml:space="preserve">politiques </w:t>
      </w:r>
      <w:r w:rsidR="00F84EE7" w:rsidRPr="009B11E1">
        <w:rPr>
          <w:rStyle w:val="Rfrenceintense"/>
          <w:sz w:val="28"/>
          <w:szCs w:val="28"/>
        </w:rPr>
        <w:t>Enviro</w:t>
      </w:r>
      <w:r w:rsidRPr="009B11E1">
        <w:rPr>
          <w:rStyle w:val="Rfrenceintense"/>
          <w:sz w:val="28"/>
          <w:szCs w:val="28"/>
        </w:rPr>
        <w:t>nnement et</w:t>
      </w:r>
      <w:r w:rsidR="00F84EE7" w:rsidRPr="009B11E1">
        <w:rPr>
          <w:rStyle w:val="Rfrenceintense"/>
          <w:sz w:val="28"/>
          <w:szCs w:val="28"/>
        </w:rPr>
        <w:t xml:space="preserve"> changement c</w:t>
      </w:r>
      <w:r w:rsidRPr="009B11E1">
        <w:rPr>
          <w:rStyle w:val="Rfrenceintense"/>
          <w:sz w:val="28"/>
          <w:szCs w:val="28"/>
        </w:rPr>
        <w:t>limatique</w:t>
      </w:r>
    </w:p>
    <w:p w:rsidR="00F84EE7" w:rsidRPr="006866D3" w:rsidRDefault="00F84EE7" w:rsidP="00F84EE7">
      <w:pPr>
        <w:jc w:val="both"/>
        <w:rPr>
          <w:rFonts w:ascii="Nyala" w:hAnsi="Nyala"/>
          <w:sz w:val="28"/>
          <w:szCs w:val="28"/>
        </w:rPr>
      </w:pPr>
      <w:r w:rsidRPr="006866D3">
        <w:rPr>
          <w:rFonts w:ascii="Nyala" w:hAnsi="Nyala"/>
          <w:sz w:val="28"/>
          <w:szCs w:val="28"/>
        </w:rPr>
        <w:t xml:space="preserve">Dans le cadre de la mise en œuvre de la SDDCI, le Niger a adopté en septembre 2016 une nouvelle politique de l’Environnement pour un Développement Durable (PNEDD) qui se veut également alignée à la Stratégie de l’Initiative 3N. Le PNEDD tient compte des orientations et actions énoncées dans divers documents de politique, stratégie et de planification sur des thématiques particulières de la gestion de l’Environnement (voir Encadré). </w:t>
      </w:r>
    </w:p>
    <w:p w:rsidR="00F84EE7" w:rsidRPr="006866D3" w:rsidRDefault="00F84EE7" w:rsidP="00F84EE7">
      <w:pPr>
        <w:jc w:val="both"/>
        <w:rPr>
          <w:rFonts w:ascii="Nyala" w:hAnsi="Nyala"/>
          <w:sz w:val="28"/>
          <w:szCs w:val="28"/>
        </w:rPr>
      </w:pPr>
      <w:r w:rsidRPr="006866D3">
        <w:rPr>
          <w:rFonts w:ascii="Nyala" w:hAnsi="Nyala"/>
          <w:sz w:val="28"/>
          <w:szCs w:val="28"/>
        </w:rPr>
        <w:t>La PNEDD s’inscrit dans le cadre de du renforcement de la résilience et de la sécurité alimentaire et nutritionnelle des populations. Elle a pour objectif global d’offrir  des  conditions  générales  favorables  au  développement  économique, social et culturel à travers la préservation et la gestion durable  de l’environnement et  des ressources  naturelles  et  le  renforcement  des  mesures  d’adaptation  aux  effets  négatifs  du changement climatique afin d’assurer à long terme la sécurité alimentaire des nigériens et d’améliorer leur cadre de vie.</w:t>
      </w:r>
    </w:p>
    <w:p w:rsidR="00F84EE7" w:rsidRDefault="00F84EE7" w:rsidP="00F84EE7">
      <w:pPr>
        <w:jc w:val="both"/>
        <w:rPr>
          <w:rFonts w:ascii="Nyala" w:hAnsi="Nyala"/>
          <w:sz w:val="28"/>
          <w:szCs w:val="28"/>
        </w:rPr>
      </w:pPr>
      <w:r w:rsidRPr="006866D3">
        <w:rPr>
          <w:rFonts w:ascii="Nyala" w:hAnsi="Nyala"/>
          <w:sz w:val="28"/>
          <w:szCs w:val="28"/>
        </w:rPr>
        <w:t>La PNEDD prend en compte, en particulier les priorités d’actions définies dans les différents documents de politiques, stratégies et plans qui lui sont antérieur. Il s’agit, entre autres :</w:t>
      </w:r>
    </w:p>
    <w:p w:rsidR="001432A1" w:rsidRPr="006866D3" w:rsidRDefault="001432A1" w:rsidP="00F84EE7">
      <w:pPr>
        <w:jc w:val="both"/>
        <w:rPr>
          <w:rFonts w:ascii="Nyala" w:hAnsi="Nyala"/>
          <w:sz w:val="28"/>
          <w:szCs w:val="28"/>
        </w:rPr>
      </w:pPr>
    </w:p>
    <w:p w:rsidR="00F84EE7" w:rsidRPr="006866D3" w:rsidRDefault="00F84EE7" w:rsidP="0059103A">
      <w:pPr>
        <w:pStyle w:val="Paragraphedeliste"/>
        <w:numPr>
          <w:ilvl w:val="0"/>
          <w:numId w:val="8"/>
        </w:numPr>
        <w:jc w:val="both"/>
        <w:rPr>
          <w:rFonts w:ascii="Nyala" w:hAnsi="Nyala"/>
          <w:sz w:val="28"/>
          <w:szCs w:val="28"/>
        </w:rPr>
      </w:pPr>
      <w:r w:rsidRPr="006866D3">
        <w:rPr>
          <w:rFonts w:ascii="Nyala" w:hAnsi="Nyala"/>
          <w:b/>
          <w:i/>
          <w:sz w:val="28"/>
          <w:szCs w:val="28"/>
        </w:rPr>
        <w:t xml:space="preserve">Le </w:t>
      </w:r>
      <w:r w:rsidRPr="006866D3">
        <w:rPr>
          <w:rFonts w:ascii="Nyala" w:hAnsi="Nyala" w:cs="Arial"/>
          <w:b/>
          <w:i/>
          <w:sz w:val="28"/>
          <w:szCs w:val="28"/>
        </w:rPr>
        <w:t>Cadre Stratégique d’Investissements National pour la Gestion durable des Terres (CSIN-GDT)</w:t>
      </w:r>
      <w:r w:rsidRPr="006866D3">
        <w:rPr>
          <w:rFonts w:ascii="Nyala" w:hAnsi="Nyala" w:cs="Arial"/>
          <w:sz w:val="28"/>
          <w:szCs w:val="28"/>
        </w:rPr>
        <w:t xml:space="preserve"> et son </w:t>
      </w:r>
      <w:r w:rsidRPr="006866D3">
        <w:rPr>
          <w:rFonts w:ascii="Nyala" w:hAnsi="Nyala"/>
          <w:sz w:val="28"/>
          <w:szCs w:val="28"/>
        </w:rPr>
        <w:t xml:space="preserve">plan d’investissement pour la période 2015-2029 (adopté en 2014). Ce cadre est conçu pour améliorer la résilience des populations face à l’insécurité alimentaire, et surtout pour s’assurer de l’expansion géographique et la continuité temporelle des meilleures pratiques agricoles et de gestion des ressources naturelles. Les investissements qui y sont prévus visent à amplifier les initiatives et actions de restauration des terres  dégradées  et les meilleures pratiques de gestion  des écosystèmes et leurs ressources. A l’horizon 2029, il est prévu de réhabiliter 3,2 millions de terres dégradées réaliser 145.000  km  de  haie-vive,  brise  vents,  plantations  d'alignement  et  40.909  km  de  pare-feu. </w:t>
      </w:r>
    </w:p>
    <w:p w:rsidR="00F84EE7" w:rsidRPr="006866D3" w:rsidRDefault="00F84EE7" w:rsidP="00F84EE7">
      <w:pPr>
        <w:pStyle w:val="Paragraphedeliste"/>
        <w:jc w:val="both"/>
        <w:rPr>
          <w:rFonts w:ascii="Nyala" w:hAnsi="Nyala" w:cs="Arial"/>
          <w:sz w:val="28"/>
          <w:szCs w:val="28"/>
        </w:rPr>
      </w:pPr>
    </w:p>
    <w:p w:rsidR="00F84EE7" w:rsidRPr="006866D3" w:rsidRDefault="00F84EE7" w:rsidP="0059103A">
      <w:pPr>
        <w:pStyle w:val="Paragraphedeliste"/>
        <w:numPr>
          <w:ilvl w:val="0"/>
          <w:numId w:val="8"/>
        </w:numPr>
        <w:jc w:val="both"/>
        <w:rPr>
          <w:rFonts w:ascii="Nyala" w:hAnsi="Nyala" w:cs="Arial"/>
          <w:sz w:val="28"/>
          <w:szCs w:val="28"/>
        </w:rPr>
      </w:pPr>
      <w:r w:rsidRPr="006866D3">
        <w:rPr>
          <w:rFonts w:ascii="Nyala" w:hAnsi="Nyala" w:cs="Arial"/>
          <w:b/>
          <w:i/>
          <w:sz w:val="28"/>
          <w:szCs w:val="28"/>
        </w:rPr>
        <w:t>La stratégie nationale de promotion et de valorisation des produits forestiers Non ligneux (SN-PFNL)</w:t>
      </w:r>
      <w:r w:rsidRPr="006866D3">
        <w:rPr>
          <w:rFonts w:ascii="Nyala" w:hAnsi="Nyala" w:cs="Arial"/>
          <w:sz w:val="28"/>
          <w:szCs w:val="28"/>
        </w:rPr>
        <w:t xml:space="preserve"> Les PFNL jouent un rôle important dans la sécurité alimentaire, la lutte contre la malnutrition et la création de revenus au niveau des ménages ruraux et de divers autres acteurs impliqués dans leur commerce interne et externe. L’objectif est à l’horizon 2035, de contribuer à assurer le bien-être socioéconomique des populations à travers la rationalisation de l’exploitation des PFNL. Il s’agit en particulier de promouvoir : (1) Gestion et aménagement du potentiel de production, (2) : Accès des populations aux opportunités économiques et développement des filières de PFNL(3) Professionnalisation des populations aux biens et services fournis par les PFNL et (4) Renforcement des capacités des acteurs pour une meilleure gouvernance locale des filières.</w:t>
      </w:r>
    </w:p>
    <w:p w:rsidR="00F84EE7" w:rsidRPr="006866D3" w:rsidRDefault="00F84EE7" w:rsidP="00F84EE7">
      <w:pPr>
        <w:pStyle w:val="Paragraphedeliste"/>
        <w:jc w:val="both"/>
        <w:rPr>
          <w:rFonts w:ascii="Nyala" w:hAnsi="Nyala" w:cs="Arial"/>
          <w:sz w:val="28"/>
          <w:szCs w:val="28"/>
        </w:rPr>
      </w:pPr>
    </w:p>
    <w:p w:rsidR="00F84EE7" w:rsidRDefault="00F84EE7" w:rsidP="0059103A">
      <w:pPr>
        <w:pStyle w:val="Paragraphedeliste"/>
        <w:numPr>
          <w:ilvl w:val="0"/>
          <w:numId w:val="8"/>
        </w:numPr>
        <w:jc w:val="both"/>
        <w:rPr>
          <w:rFonts w:ascii="Nyala" w:hAnsi="Nyala" w:cs="Arial"/>
          <w:sz w:val="28"/>
          <w:szCs w:val="28"/>
        </w:rPr>
      </w:pPr>
      <w:r w:rsidRPr="006866D3">
        <w:rPr>
          <w:rFonts w:ascii="Nyala" w:hAnsi="Nyala" w:cs="Arial"/>
          <w:b/>
          <w:i/>
          <w:sz w:val="28"/>
          <w:szCs w:val="28"/>
        </w:rPr>
        <w:t>Stratégie de développement de l’agroforesterie</w:t>
      </w:r>
      <w:r w:rsidRPr="006866D3">
        <w:rPr>
          <w:rFonts w:ascii="Nyala" w:hAnsi="Nyala" w:cs="Arial"/>
          <w:sz w:val="28"/>
          <w:szCs w:val="28"/>
        </w:rPr>
        <w:t xml:space="preserve"> – L’Agroforesterie est perçue au Niger comme une pratique permettant d’apporter des solutions aux problèmes de fertilité des sols et d’accessibilité des producteurs aux engrais minéraux ; elle joue également un rôle dans le développement d’une économie verte contribuant à réduire la pauvreté monétaire, l’insécurité alimentaire et nutritionnelle et la satisfaction des ménages en énergie-bois. La vision est de voir « Un Niger vert et résilient aux impacts du changement climatique et de l’insécurité alimentaire ». L’objectif général de la stratégie est de contribuer à améliorer la sécurité alimentaire des producteurs et des productrices et réduire leur vulnérabilité face aux effets néfastes du changement climatique par le développement durable des systèmes agro-forestiers. Les objectifs </w:t>
      </w:r>
      <w:bookmarkStart w:id="536" w:name="_Toc357098141"/>
      <w:r w:rsidRPr="006866D3">
        <w:rPr>
          <w:rFonts w:ascii="Nyala" w:hAnsi="Nyala" w:cs="Arial"/>
          <w:sz w:val="28"/>
          <w:szCs w:val="28"/>
        </w:rPr>
        <w:t>spécifiques</w:t>
      </w:r>
      <w:bookmarkEnd w:id="536"/>
      <w:r w:rsidRPr="006866D3">
        <w:rPr>
          <w:rFonts w:ascii="Nyala" w:hAnsi="Nyala" w:cs="Arial"/>
          <w:sz w:val="28"/>
          <w:szCs w:val="28"/>
        </w:rPr>
        <w:t xml:space="preserve"> sont de : i) Promouvoir des bonnes pratiques agroforestières á grande échelle par l’amélioration et la création des parcs agroforestiers ; ii) Améliorer la résilience des systèmes de production et des ménages à la sécheresse et aux changements climatiques par la diversification des productions et la promotion d’activités génératrices des revenus et des banques céréalières ; iii) Promouvoir des bonnes pratiques agropastorales dans les parcs agroforestiers ;  iv) Promouvoir un cadre juridique et institutionnel favorable à une gestion durable des systèmes agroforestiers à travers une adaptation de la législation forestière et foncière.</w:t>
      </w:r>
    </w:p>
    <w:p w:rsidR="001432A1" w:rsidRDefault="001432A1" w:rsidP="001432A1">
      <w:pPr>
        <w:pStyle w:val="Paragraphedeliste"/>
        <w:jc w:val="both"/>
        <w:rPr>
          <w:rFonts w:ascii="Nyala" w:hAnsi="Nyala" w:cs="Arial"/>
          <w:sz w:val="28"/>
          <w:szCs w:val="28"/>
        </w:rPr>
      </w:pPr>
    </w:p>
    <w:p w:rsidR="0056758C" w:rsidRPr="006866D3" w:rsidRDefault="0056758C" w:rsidP="00141D20">
      <w:pPr>
        <w:jc w:val="both"/>
      </w:pPr>
      <w:r w:rsidRPr="00141D20">
        <w:rPr>
          <w:rFonts w:ascii="Nyala" w:hAnsi="Nyala" w:cs="Arial"/>
          <w:i/>
          <w:sz w:val="28"/>
          <w:szCs w:val="28"/>
        </w:rPr>
        <w:t xml:space="preserve">L’Environnement est le secteur caractéristique du foisonnement des politiques publiques </w:t>
      </w:r>
      <w:r w:rsidR="001432A1">
        <w:rPr>
          <w:rFonts w:ascii="Nyala" w:hAnsi="Nyala" w:cs="Arial"/>
          <w:i/>
          <w:sz w:val="28"/>
          <w:szCs w:val="28"/>
        </w:rPr>
        <w:t xml:space="preserve">(Encadré 3) </w:t>
      </w:r>
      <w:r w:rsidRPr="00141D20">
        <w:rPr>
          <w:rFonts w:ascii="Nyala" w:hAnsi="Nyala" w:cs="Arial"/>
          <w:i/>
          <w:sz w:val="28"/>
          <w:szCs w:val="28"/>
        </w:rPr>
        <w:t>et de la duplication du système de gouvernance et du cadre institutionnel. Le principal risque est une dilution des responsabilités et une multiplication des p</w:t>
      </w:r>
      <w:r w:rsidR="008A0109" w:rsidRPr="00141D20">
        <w:rPr>
          <w:rFonts w:ascii="Nyala" w:hAnsi="Nyala" w:cs="Arial"/>
          <w:i/>
          <w:sz w:val="28"/>
          <w:szCs w:val="28"/>
        </w:rPr>
        <w:t xml:space="preserve">ôles de décision entre des administrations de mission et des ministères. Tout comme pour la thématique sécurité alimentaire et nutritionnelle, des clarifications devraient être apportées afin que les conflits de compétence ne neutralisent les initiatives. </w:t>
      </w:r>
    </w:p>
    <w:p w:rsidR="00F84EE7" w:rsidRDefault="00146983" w:rsidP="00F84EE7">
      <w:pPr>
        <w:rPr>
          <w:rFonts w:ascii="Nyala" w:hAnsi="Nyala" w:cstheme="minorHAnsi"/>
          <w:sz w:val="28"/>
          <w:szCs w:val="28"/>
        </w:rPr>
      </w:pPr>
      <w:r>
        <w:rPr>
          <w:noProof/>
          <w:sz w:val="28"/>
          <w:szCs w:val="28"/>
          <w:lang w:eastAsia="fr-FR"/>
        </w:rPr>
        <mc:AlternateContent>
          <mc:Choice Requires="wps">
            <w:drawing>
              <wp:anchor distT="0" distB="0" distL="114300" distR="114300" simplePos="0" relativeHeight="252000256" behindDoc="0" locked="0" layoutInCell="1" allowOverlap="1" wp14:anchorId="02239BBA">
                <wp:simplePos x="0" y="0"/>
                <wp:positionH relativeFrom="margin">
                  <wp:posOffset>-635</wp:posOffset>
                </wp:positionH>
                <wp:positionV relativeFrom="paragraph">
                  <wp:posOffset>337820</wp:posOffset>
                </wp:positionV>
                <wp:extent cx="5742305" cy="3503930"/>
                <wp:effectExtent l="0" t="0" r="10795" b="20320"/>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305" cy="3503930"/>
                        </a:xfrm>
                        <a:prstGeom prst="rect">
                          <a:avLst/>
                        </a:prstGeom>
                        <a:noFill/>
                        <a:ln w="6350">
                          <a:solidFill>
                            <a:prstClr val="black"/>
                          </a:solidFill>
                        </a:ln>
                        <a:effectLst/>
                      </wps:spPr>
                      <wps:txbx>
                        <w:txbxContent>
                          <w:p w:rsidR="00146325" w:rsidRPr="001432A1" w:rsidRDefault="00146325" w:rsidP="001432A1">
                            <w:pPr>
                              <w:spacing w:before="0" w:after="0" w:line="240" w:lineRule="auto"/>
                              <w:rPr>
                                <w:rStyle w:val="Rfrenceintense"/>
                              </w:rPr>
                            </w:pPr>
                            <w:r w:rsidRPr="001432A1">
                              <w:rPr>
                                <w:rStyle w:val="Rfrenceintense"/>
                              </w:rPr>
                              <w:t>Encadré 3 – Documents de politiques, stratégies et plans Environnementaux</w:t>
                            </w:r>
                          </w:p>
                          <w:p w:rsidR="00146325" w:rsidRPr="001432A1" w:rsidRDefault="00146325" w:rsidP="001432A1">
                            <w:pPr>
                              <w:spacing w:before="0" w:after="0" w:line="240" w:lineRule="auto"/>
                              <w:rPr>
                                <w:rStyle w:val="Rfrenceintense"/>
                              </w:rPr>
                            </w:pP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Plan Forestier national (PNF) en cours</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 xml:space="preserve">Plan  National  de  l’Environnement  pour  un  Développement </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Durable (PNEDD, 2000) ;</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Cadre national de biosécurité national 2005</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Stratégie de développement de la pêche et de l‘aquaculture 2007</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Stratégie et Plan d’action de l’initiative  grande muraille verte 2011</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Stratégie sur l’agroforesterie 2013</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Cadre stratégique de la GDT (CS/GDT) et son plan d’investissement novembre 2014</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Politique Nationale en matière d’Environnement et de Développement Durable en septembre 2016</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Stratégie Nationale et Plan d'Action pour la Diversité Biologique (SNDB);</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Plan d’Action National de Lutte Contre la Désertification et de Gestion des Ressources Naturelles</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(PAN/LCD/GRN) ;</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Stratégie Nationale et Plan d'Action Environnement Urbain, et Cadre de Vie ;</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Plan d'Action pour les Energies Renouvelables ;</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Stratégie Nationale et Plan d'Action sur les Changements et Variabilités Climatiques ;</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Stratégie de Relance des Productions et Commercialisation de la Gomme Arabique ;</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Programme cadre de Relance du Secteur de l'Elevage ;</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Stratégie nationale de l’initiative grande muraille verte au Niger ;</w:t>
                            </w:r>
                          </w:p>
                          <w:p w:rsidR="00146325" w:rsidRPr="001432A1" w:rsidRDefault="00146325" w:rsidP="001432A1">
                            <w:pPr>
                              <w:pStyle w:val="Paragraphedeliste"/>
                              <w:numPr>
                                <w:ilvl w:val="0"/>
                                <w:numId w:val="26"/>
                              </w:numPr>
                              <w:spacing w:before="0" w:after="0" w:line="240" w:lineRule="auto"/>
                              <w:rPr>
                                <w:rFonts w:ascii="Nyala" w:hAnsi="Nyala" w:cs="Times"/>
                                <w:sz w:val="22"/>
                                <w:szCs w:val="22"/>
                              </w:rPr>
                            </w:pPr>
                            <w:r w:rsidRPr="001432A1">
                              <w:rPr>
                                <w:rFonts w:ascii="Nyala" w:hAnsi="Nyala"/>
                                <w:sz w:val="22"/>
                                <w:szCs w:val="22"/>
                              </w:rPr>
                              <w:t>Stratégie/cadre national pour l’atténuation des effets du changement</w:t>
                            </w:r>
                            <w:r w:rsidRPr="001432A1">
                              <w:rPr>
                                <w:rFonts w:ascii="Nyala" w:hAnsi="Nyala" w:cs="Times"/>
                                <w:sz w:val="22"/>
                                <w:szCs w:val="22"/>
                              </w:rPr>
                              <w:t xml:space="preserve"> climatique.</w:t>
                            </w:r>
                          </w:p>
                          <w:p w:rsidR="00146325" w:rsidRPr="0083074F" w:rsidRDefault="00146325" w:rsidP="001432A1">
                            <w:pPr>
                              <w:jc w:val="both"/>
                              <w:rPr>
                                <w:rFonts w:ascii="Times" w:hAnsi="Times" w:cs="Times"/>
                                <w:sz w:val="16"/>
                                <w:szCs w:val="16"/>
                              </w:rPr>
                            </w:pPr>
                          </w:p>
                          <w:p w:rsidR="00146325" w:rsidRPr="0083074F" w:rsidRDefault="00146325" w:rsidP="001432A1">
                            <w:pPr>
                              <w:jc w:val="bot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39BBA" id="Zone de texte 6" o:spid="_x0000_s1072" type="#_x0000_t202" style="position:absolute;margin-left:-.05pt;margin-top:26.6pt;width:452.15pt;height:275.9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" filled="f" strokeweight=".5pt">
                <v:path arrowok="t"/>
                <v:textbox>
                  <w:txbxContent>
                    <w:p w:rsidR="00146325" w:rsidRPr="001432A1" w:rsidRDefault="00146325" w:rsidP="001432A1">
                      <w:pPr>
                        <w:spacing w:before="0" w:after="0" w:line="240" w:lineRule="auto"/>
                        <w:rPr>
                          <w:rStyle w:val="Rfrenceintense"/>
                        </w:rPr>
                      </w:pPr>
                      <w:r w:rsidRPr="001432A1">
                        <w:rPr>
                          <w:rStyle w:val="Rfrenceintense"/>
                        </w:rPr>
                        <w:t>Encadré 3 – Documents de politiques, stratégies et plans Environnementaux</w:t>
                      </w:r>
                    </w:p>
                    <w:p w:rsidR="00146325" w:rsidRPr="001432A1" w:rsidRDefault="00146325" w:rsidP="001432A1">
                      <w:pPr>
                        <w:spacing w:before="0" w:after="0" w:line="240" w:lineRule="auto"/>
                        <w:rPr>
                          <w:rStyle w:val="Rfrenceintense"/>
                        </w:rPr>
                      </w:pP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Plan Forestier national (PNF) en cours</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 xml:space="preserve">Plan  National  de  l’Environnement  pour  un  Développement </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Durable (PNEDD, 2000) ;</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Cadre national de biosécurité national 2005</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Stratégie de développement de la pêche et de l‘aquaculture 2007</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Stratégie et Plan d’action de l’initiative  grande muraille verte 2011</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Stratégie sur l’agroforesterie 2013</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Cadre stratégique de la GDT (CS/GDT) et son plan d’investissement novembre 2014</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Politique Nationale en matière d’Environnement et de Développement Durable en septembre 2016</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Stratégie Nationale et Plan d'Action pour la Diversité Biologique (SNDB);</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Plan d’Action National de Lutte Contre la Désertification et de Gestion des Ressources Naturelles</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(PAN/LCD/GRN) ;</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Stratégie Nationale et Plan d'Action Environnement Urbain, et Cadre de Vie ;</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Plan d'Action pour les Energies Renouvelables ;</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Stratégie Nationale et Plan d'Action sur les Changements et Variabilités Climatiques ;</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Stratégie de Relance des Productions et Commercialisation de la Gomme Arabique ;</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Programme cadre de Relance du Secteur de l'Elevage ;</w:t>
                      </w:r>
                    </w:p>
                    <w:p w:rsidR="00146325" w:rsidRPr="001432A1" w:rsidRDefault="00146325" w:rsidP="001432A1">
                      <w:pPr>
                        <w:pStyle w:val="Paragraphedeliste"/>
                        <w:numPr>
                          <w:ilvl w:val="0"/>
                          <w:numId w:val="26"/>
                        </w:numPr>
                        <w:spacing w:before="0" w:after="0" w:line="240" w:lineRule="auto"/>
                        <w:rPr>
                          <w:rFonts w:ascii="Nyala" w:hAnsi="Nyala"/>
                          <w:sz w:val="22"/>
                          <w:szCs w:val="22"/>
                        </w:rPr>
                      </w:pPr>
                      <w:r w:rsidRPr="001432A1">
                        <w:rPr>
                          <w:rFonts w:ascii="Nyala" w:hAnsi="Nyala"/>
                          <w:sz w:val="22"/>
                          <w:szCs w:val="22"/>
                        </w:rPr>
                        <w:t>Stratégie nationale de l’initiative grande muraille verte au Niger ;</w:t>
                      </w:r>
                    </w:p>
                    <w:p w:rsidR="00146325" w:rsidRPr="001432A1" w:rsidRDefault="00146325" w:rsidP="001432A1">
                      <w:pPr>
                        <w:pStyle w:val="Paragraphedeliste"/>
                        <w:numPr>
                          <w:ilvl w:val="0"/>
                          <w:numId w:val="26"/>
                        </w:numPr>
                        <w:spacing w:before="0" w:after="0" w:line="240" w:lineRule="auto"/>
                        <w:rPr>
                          <w:rFonts w:ascii="Nyala" w:hAnsi="Nyala" w:cs="Times"/>
                          <w:sz w:val="22"/>
                          <w:szCs w:val="22"/>
                        </w:rPr>
                      </w:pPr>
                      <w:r w:rsidRPr="001432A1">
                        <w:rPr>
                          <w:rFonts w:ascii="Nyala" w:hAnsi="Nyala"/>
                          <w:sz w:val="22"/>
                          <w:szCs w:val="22"/>
                        </w:rPr>
                        <w:t>Stratégie/cadre national pour l’atténuation des effets du changement</w:t>
                      </w:r>
                      <w:r w:rsidRPr="001432A1">
                        <w:rPr>
                          <w:rFonts w:ascii="Nyala" w:hAnsi="Nyala" w:cs="Times"/>
                          <w:sz w:val="22"/>
                          <w:szCs w:val="22"/>
                        </w:rPr>
                        <w:t xml:space="preserve"> climatique.</w:t>
                      </w:r>
                    </w:p>
                    <w:p w:rsidR="00146325" w:rsidRPr="0083074F" w:rsidRDefault="00146325" w:rsidP="001432A1">
                      <w:pPr>
                        <w:jc w:val="both"/>
                        <w:rPr>
                          <w:rFonts w:ascii="Times" w:hAnsi="Times" w:cs="Times"/>
                          <w:sz w:val="16"/>
                          <w:szCs w:val="16"/>
                        </w:rPr>
                      </w:pPr>
                    </w:p>
                    <w:p w:rsidR="00146325" w:rsidRPr="0083074F" w:rsidRDefault="00146325" w:rsidP="001432A1">
                      <w:pPr>
                        <w:jc w:val="both"/>
                        <w:rPr>
                          <w:sz w:val="16"/>
                          <w:szCs w:val="16"/>
                        </w:rPr>
                      </w:pPr>
                    </w:p>
                  </w:txbxContent>
                </v:textbox>
                <w10:wrap type="square" anchorx="margin"/>
              </v:shape>
            </w:pict>
          </mc:Fallback>
        </mc:AlternateContent>
      </w:r>
    </w:p>
    <w:p w:rsidR="001432A1" w:rsidRDefault="001432A1" w:rsidP="00F84EE7">
      <w:pPr>
        <w:rPr>
          <w:rFonts w:ascii="Nyala" w:hAnsi="Nyala" w:cstheme="minorHAnsi"/>
          <w:sz w:val="28"/>
          <w:szCs w:val="28"/>
        </w:rPr>
      </w:pPr>
    </w:p>
    <w:p w:rsidR="001432A1" w:rsidRPr="006866D3" w:rsidRDefault="001432A1" w:rsidP="00F84EE7">
      <w:pPr>
        <w:rPr>
          <w:rFonts w:ascii="Nyala" w:hAnsi="Nyala" w:cstheme="minorHAnsi"/>
          <w:sz w:val="28"/>
          <w:szCs w:val="28"/>
        </w:rPr>
      </w:pPr>
    </w:p>
    <w:p w:rsidR="00F84EE7" w:rsidRDefault="00194ABC" w:rsidP="00141D20">
      <w:pPr>
        <w:pStyle w:val="Titre2"/>
        <w:numPr>
          <w:ilvl w:val="1"/>
          <w:numId w:val="2"/>
        </w:numPr>
      </w:pPr>
      <w:bookmarkStart w:id="537" w:name="_Toc526119989"/>
      <w:r w:rsidRPr="006866D3">
        <w:t>L</w:t>
      </w:r>
      <w:r w:rsidR="0083199D" w:rsidRPr="006866D3">
        <w:t xml:space="preserve">es </w:t>
      </w:r>
      <w:r w:rsidR="005A31E8" w:rsidRPr="006866D3">
        <w:t xml:space="preserve">plans  </w:t>
      </w:r>
      <w:r w:rsidR="0083199D" w:rsidRPr="006866D3">
        <w:t xml:space="preserve">d’action </w:t>
      </w:r>
      <w:r w:rsidR="00F84EE7" w:rsidRPr="006866D3">
        <w:t>a moyen terme</w:t>
      </w:r>
      <w:bookmarkEnd w:id="537"/>
    </w:p>
    <w:p w:rsidR="004525D6" w:rsidRPr="00F4745A" w:rsidRDefault="004525D6" w:rsidP="00141D20"/>
    <w:p w:rsidR="004E4A36" w:rsidRPr="006866D3" w:rsidRDefault="004E4A36" w:rsidP="004E4A36">
      <w:pPr>
        <w:jc w:val="both"/>
        <w:rPr>
          <w:rFonts w:ascii="Nyala" w:hAnsi="Nyala" w:cs="Calibri"/>
          <w:sz w:val="28"/>
          <w:szCs w:val="28"/>
        </w:rPr>
      </w:pPr>
      <w:r w:rsidRPr="006866D3">
        <w:rPr>
          <w:rFonts w:ascii="Nyala" w:hAnsi="Nyala" w:cs="Calibri"/>
          <w:sz w:val="28"/>
          <w:szCs w:val="28"/>
        </w:rPr>
        <w:t xml:space="preserve">Pour les cinq prochaines années et même davantage, le </w:t>
      </w:r>
      <w:r w:rsidR="00F84EE7" w:rsidRPr="006866D3">
        <w:rPr>
          <w:rFonts w:ascii="Nyala" w:hAnsi="Nyala" w:cs="Calibri"/>
          <w:sz w:val="28"/>
          <w:szCs w:val="28"/>
        </w:rPr>
        <w:t>Niger</w:t>
      </w:r>
      <w:r w:rsidRPr="006866D3">
        <w:rPr>
          <w:rFonts w:ascii="Nyala" w:hAnsi="Nyala" w:cs="Calibri"/>
          <w:sz w:val="28"/>
          <w:szCs w:val="28"/>
        </w:rPr>
        <w:t xml:space="preserve"> a défini ses domaines prioritaires d’actions et d’investissements en rapport avec le développement agricole durable, l’élimination de l’insécurité alimentaire et la malnutrition. Dans la plupart des cas, il s’agit de plans et programmes découlant des documents de stratégie mentionnés plus haut. Il peut être notamment cité le Plan de développement Economique et social 2017-2021 (PDES 2017-2021), le Plan d’Action 2016-2020 de l’Initiative 3n, le Plan d’action de Gestion des Risques Agricoles 2014-2023 (PAGRA), le Plan de développement de Santé, </w:t>
      </w:r>
    </w:p>
    <w:p w:rsidR="00F84EE7" w:rsidRPr="006866D3" w:rsidRDefault="00F84EE7" w:rsidP="0083199D">
      <w:pPr>
        <w:jc w:val="both"/>
        <w:rPr>
          <w:rFonts w:ascii="Nyala" w:hAnsi="Nyala" w:cs="Calibri"/>
          <w:sz w:val="28"/>
          <w:szCs w:val="28"/>
        </w:rPr>
      </w:pPr>
    </w:p>
    <w:p w:rsidR="00F84EE7" w:rsidRPr="006866D3" w:rsidRDefault="00F84EE7" w:rsidP="00F84EE7">
      <w:pPr>
        <w:rPr>
          <w:rStyle w:val="Rfrenceintense"/>
          <w:sz w:val="28"/>
          <w:szCs w:val="28"/>
        </w:rPr>
      </w:pPr>
      <w:r w:rsidRPr="006866D3">
        <w:rPr>
          <w:rStyle w:val="Rfrenceintense"/>
          <w:sz w:val="28"/>
          <w:szCs w:val="28"/>
        </w:rPr>
        <w:t>Plan de développement économique et social 2017-2021</w:t>
      </w:r>
    </w:p>
    <w:p w:rsidR="00F84EE7" w:rsidRPr="006866D3" w:rsidRDefault="00F84EE7" w:rsidP="00F84EE7">
      <w:pPr>
        <w:autoSpaceDE w:val="0"/>
        <w:autoSpaceDN w:val="0"/>
        <w:adjustRightInd w:val="0"/>
        <w:spacing w:before="240"/>
        <w:jc w:val="both"/>
        <w:rPr>
          <w:rFonts w:ascii="Nyala" w:hAnsi="Nyala"/>
          <w:sz w:val="28"/>
          <w:szCs w:val="28"/>
        </w:rPr>
      </w:pPr>
      <w:r w:rsidRPr="006866D3">
        <w:rPr>
          <w:rFonts w:ascii="Nyala" w:hAnsi="Nyala" w:cs="Calibri"/>
          <w:sz w:val="28"/>
          <w:szCs w:val="28"/>
        </w:rPr>
        <w:t>La mise en œuvre</w:t>
      </w:r>
      <w:r w:rsidR="009540E4">
        <w:rPr>
          <w:rFonts w:ascii="Nyala" w:hAnsi="Nyala" w:cs="Calibri"/>
          <w:sz w:val="28"/>
          <w:szCs w:val="28"/>
        </w:rPr>
        <w:t xml:space="preserve"> de la SDDCI Niger 2035 repose</w:t>
      </w:r>
      <w:r w:rsidRPr="006866D3">
        <w:rPr>
          <w:rFonts w:ascii="Nyala" w:hAnsi="Nyala" w:cs="Calibri"/>
          <w:sz w:val="28"/>
          <w:szCs w:val="28"/>
        </w:rPr>
        <w:t xml:space="preserve"> sur les Plans nationaux de développement, les documents stratégiques </w:t>
      </w:r>
      <w:r w:rsidRPr="006866D3">
        <w:rPr>
          <w:rFonts w:ascii="Nyala" w:hAnsi="Nyala"/>
          <w:sz w:val="28"/>
          <w:szCs w:val="28"/>
        </w:rPr>
        <w:t xml:space="preserve">sectoriels, régionaux et locaux. Le Niger est à sa deuxième génération de Plans quinquennaux  de Développement Economique et Social (PDES) et dispose d’un foisonnement de politiques sectorielles prenant en compte les cibles et indicateurs de l’ODD2. </w:t>
      </w:r>
    </w:p>
    <w:p w:rsidR="00F84EE7" w:rsidRPr="006866D3" w:rsidRDefault="00F84EE7" w:rsidP="00F84EE7">
      <w:pPr>
        <w:autoSpaceDE w:val="0"/>
        <w:autoSpaceDN w:val="0"/>
        <w:adjustRightInd w:val="0"/>
        <w:spacing w:before="240"/>
        <w:jc w:val="both"/>
        <w:rPr>
          <w:rFonts w:ascii="Nyala" w:hAnsi="Nyala" w:cstheme="minorHAnsi"/>
          <w:sz w:val="28"/>
          <w:szCs w:val="28"/>
        </w:rPr>
      </w:pPr>
      <w:r w:rsidRPr="006866D3">
        <w:rPr>
          <w:rFonts w:ascii="Nyala" w:hAnsi="Nyala"/>
          <w:sz w:val="28"/>
          <w:szCs w:val="28"/>
        </w:rPr>
        <w:t>Le PDES 2012-2015 a retenu la lutte contre l’insécurité alimentaire et nutritionnelle comme un des cinq axes stratégiques</w:t>
      </w:r>
    </w:p>
    <w:p w:rsidR="00F84EE7" w:rsidRPr="006866D3" w:rsidRDefault="00F84EE7" w:rsidP="00F84EE7">
      <w:pPr>
        <w:jc w:val="both"/>
        <w:rPr>
          <w:rFonts w:ascii="Nyala" w:hAnsi="Nyala" w:cs="Arial"/>
          <w:sz w:val="28"/>
          <w:szCs w:val="28"/>
        </w:rPr>
      </w:pPr>
      <w:r w:rsidRPr="006866D3">
        <w:rPr>
          <w:rFonts w:ascii="Nyala" w:hAnsi="Nyala" w:cs="Arial"/>
          <w:sz w:val="28"/>
          <w:szCs w:val="28"/>
        </w:rPr>
        <w:t xml:space="preserve">Le Plan de Développement Economique et Social (PDES 2017-2021) doit être la première étape de l’opérationnalisation de cette vision et des axes stratégiques de la SDDCI et des ODD. Son ambition est de contribuer à </w:t>
      </w:r>
      <w:r w:rsidRPr="006866D3">
        <w:rPr>
          <w:rFonts w:ascii="Nyala" w:hAnsi="Nyala" w:cs="Arial"/>
          <w:i/>
          <w:sz w:val="28"/>
          <w:szCs w:val="28"/>
        </w:rPr>
        <w:t>« la dignité pour tous d’ici 2030 par l’élimination de la pauvreté, la transformation de nos vies et la protection de la planète</w:t>
      </w:r>
      <w:r w:rsidRPr="006866D3">
        <w:rPr>
          <w:rFonts w:ascii="Nyala" w:hAnsi="Nyala" w:cs="Arial"/>
          <w:sz w:val="28"/>
          <w:szCs w:val="28"/>
        </w:rPr>
        <w:t xml:space="preserve"> ». Il vise à bâtir </w:t>
      </w:r>
      <w:r w:rsidRPr="006866D3">
        <w:rPr>
          <w:rFonts w:ascii="Nyala" w:hAnsi="Nyala" w:cs="Arial"/>
          <w:i/>
          <w:sz w:val="28"/>
          <w:szCs w:val="28"/>
        </w:rPr>
        <w:t>un pays pacifique, bien gouverné avec une économie émergente et durable, et une société fondée sur des valeurs d’équité et de partage des fruits du progrès</w:t>
      </w:r>
      <w:r w:rsidRPr="006866D3">
        <w:rPr>
          <w:rFonts w:ascii="Nyala" w:hAnsi="Nyala" w:cs="Arial"/>
          <w:sz w:val="28"/>
          <w:szCs w:val="28"/>
        </w:rPr>
        <w:t> ».</w:t>
      </w:r>
    </w:p>
    <w:p w:rsidR="00F84EE7" w:rsidRPr="006866D3" w:rsidRDefault="00F84EE7" w:rsidP="00F84EE7">
      <w:pPr>
        <w:jc w:val="both"/>
        <w:rPr>
          <w:rFonts w:ascii="Nyala" w:hAnsi="Nyala" w:cs="Arial"/>
          <w:sz w:val="28"/>
          <w:szCs w:val="28"/>
        </w:rPr>
      </w:pPr>
      <w:r w:rsidRPr="006866D3">
        <w:rPr>
          <w:rFonts w:ascii="Nyala" w:hAnsi="Nyala" w:cs="Arial"/>
          <w:sz w:val="28"/>
          <w:szCs w:val="28"/>
        </w:rPr>
        <w:t xml:space="preserve">Tout comme pour la SDDCI, le PDES 2017-2021 n’a pas retenu la lutte contre la faim et la malnutrition comme résultats stratégiques ; elle est prise en compte à travers les actions de l’Axe 2 « développement Social et Transition démographique », l’Axe 3 : accélération de la croissance économique  dans laquelle s’insère les actions de l’Initiative 3N et l’Axe 5 «gestion durable de l’Environnement » qui prend en compte le renforcement des mesures d’adaptation aux effets négatifs du changement climatique afin d’assurer à long terme la sécurité alimentaire des nigériens et d’améliorer leur cadre de vie. Certains indicateurs des objectifs-cibles de l’ODD2 ont été bien mis en exergue (2.1 et 2.2). </w:t>
      </w:r>
    </w:p>
    <w:p w:rsidR="008A0109" w:rsidRPr="009540E4" w:rsidRDefault="008A0109" w:rsidP="00141D20">
      <w:pPr>
        <w:jc w:val="both"/>
        <w:rPr>
          <w:rFonts w:ascii="Nyala" w:hAnsi="Nyala" w:cs="Arial"/>
          <w:i/>
          <w:sz w:val="28"/>
          <w:szCs w:val="28"/>
        </w:rPr>
      </w:pPr>
      <w:r w:rsidRPr="009540E4">
        <w:rPr>
          <w:rFonts w:ascii="Nyala" w:hAnsi="Nyala" w:cs="Arial"/>
          <w:i/>
          <w:sz w:val="28"/>
          <w:szCs w:val="28"/>
        </w:rPr>
        <w:t>A mi-parcours, des ajustements devraient être apportés au PDES 2017-2021 afin de mieux intégrer les cibles et indicateurs de l’ODD2.</w:t>
      </w:r>
    </w:p>
    <w:p w:rsidR="001432A1" w:rsidRPr="009540E4" w:rsidRDefault="001432A1" w:rsidP="009540E4">
      <w:pPr>
        <w:jc w:val="both"/>
        <w:rPr>
          <w:rFonts w:ascii="Nyala" w:hAnsi="Nyala" w:cs="Arial"/>
          <w:sz w:val="28"/>
          <w:szCs w:val="28"/>
        </w:rPr>
      </w:pPr>
    </w:p>
    <w:p w:rsidR="00F84EE7" w:rsidRPr="006866D3" w:rsidRDefault="00F84EE7" w:rsidP="00F84EE7">
      <w:pPr>
        <w:rPr>
          <w:rStyle w:val="Rfrenceintense"/>
          <w:sz w:val="28"/>
          <w:szCs w:val="28"/>
        </w:rPr>
      </w:pPr>
      <w:r w:rsidRPr="006866D3">
        <w:rPr>
          <w:rStyle w:val="Rfrenceintense"/>
          <w:sz w:val="28"/>
          <w:szCs w:val="28"/>
        </w:rPr>
        <w:t>Plan d’Action 2016-2020 de l’Initiative 3N</w:t>
      </w:r>
    </w:p>
    <w:p w:rsidR="00F84EE7" w:rsidRPr="006866D3" w:rsidRDefault="00F84EE7" w:rsidP="00F84EE7">
      <w:pPr>
        <w:jc w:val="both"/>
        <w:rPr>
          <w:rFonts w:ascii="Nyala" w:hAnsi="Nyala" w:cs="Arial"/>
          <w:sz w:val="28"/>
          <w:szCs w:val="28"/>
        </w:rPr>
      </w:pPr>
      <w:r w:rsidRPr="006866D3">
        <w:rPr>
          <w:rFonts w:ascii="Nyala" w:hAnsi="Nyala" w:cs="Arial"/>
          <w:sz w:val="28"/>
          <w:szCs w:val="28"/>
        </w:rPr>
        <w:t xml:space="preserve">Le Plan d’Action 2016-2020 de l’Initiative 3N (qui se veut une déclinaison du PDES 2017-2025) est un cadre fédérateur pour toutes les actions en faveur de la sécurité alimentaire et du développement agricole durable. </w:t>
      </w:r>
    </w:p>
    <w:p w:rsidR="00F84EE7" w:rsidRPr="006866D3" w:rsidRDefault="00F84EE7" w:rsidP="00F84EE7">
      <w:pPr>
        <w:jc w:val="both"/>
        <w:rPr>
          <w:rFonts w:ascii="Nyala" w:hAnsi="Nyala" w:cs="Arial"/>
          <w:sz w:val="28"/>
          <w:szCs w:val="28"/>
        </w:rPr>
      </w:pPr>
      <w:r w:rsidRPr="006866D3">
        <w:rPr>
          <w:rFonts w:ascii="Nyala" w:hAnsi="Nyala" w:cs="Arial"/>
          <w:sz w:val="28"/>
          <w:szCs w:val="28"/>
        </w:rPr>
        <w:t>Son objectif principal est « faim zéro au Niger » en 2020.  Le processus d’élaboration du Plan d’Action 2016-2020 a été conduit sous l’égide du HC3N selon une démarche participative et inclusive. Tous les acteurs institutionnels concernés par les questions de sécurité alimentaire et nutritionnelle ont été impliqués dans des travaux thématiques structurés autour des cinq (5) domaines d’intervention : i) la maîtrise de l’eau pour les productions agro</w:t>
      </w:r>
      <w:r w:rsidR="00194ABC" w:rsidRPr="006866D3">
        <w:rPr>
          <w:rFonts w:ascii="Nyala" w:hAnsi="Nyala" w:cs="Arial"/>
          <w:sz w:val="28"/>
          <w:szCs w:val="28"/>
        </w:rPr>
        <w:t>-</w:t>
      </w:r>
      <w:r w:rsidRPr="006866D3">
        <w:rPr>
          <w:rFonts w:ascii="Nyala" w:hAnsi="Nyala" w:cs="Arial"/>
          <w:sz w:val="28"/>
          <w:szCs w:val="28"/>
        </w:rPr>
        <w:t>sylvo</w:t>
      </w:r>
      <w:r w:rsidR="00194ABC" w:rsidRPr="006866D3">
        <w:rPr>
          <w:rFonts w:ascii="Nyala" w:hAnsi="Nyala" w:cs="Arial"/>
          <w:sz w:val="28"/>
          <w:szCs w:val="28"/>
        </w:rPr>
        <w:t>-</w:t>
      </w:r>
      <w:r w:rsidRPr="006866D3">
        <w:rPr>
          <w:rFonts w:ascii="Nyala" w:hAnsi="Nyala" w:cs="Arial"/>
          <w:sz w:val="28"/>
          <w:szCs w:val="28"/>
        </w:rPr>
        <w:t>pastorales et halieutiques ; ii) la promotion des filières agro-sylvo-pastorales et halieutiques et les chaînes de valeur ; iii) la gestion intégrée et durable des ressources naturelles et la protection de l’environnement ; iv) la réduction de la vulnérabilité à l’insécurité alimentaire et nutritionnelle et v) la création d’un environnement favorable à la mise en œuvre de l’Initiative 3N.</w:t>
      </w:r>
    </w:p>
    <w:p w:rsidR="008A0109" w:rsidRPr="00AA4A81" w:rsidRDefault="008A0109" w:rsidP="008A0109">
      <w:pPr>
        <w:jc w:val="both"/>
        <w:rPr>
          <w:rFonts w:ascii="Nyala" w:hAnsi="Nyala" w:cs="Arial"/>
          <w:i/>
          <w:sz w:val="28"/>
          <w:szCs w:val="28"/>
        </w:rPr>
      </w:pPr>
      <w:r w:rsidRPr="00AA4A81">
        <w:rPr>
          <w:rFonts w:ascii="Nyala" w:hAnsi="Nyala" w:cs="Arial"/>
          <w:i/>
          <w:sz w:val="28"/>
          <w:szCs w:val="28"/>
        </w:rPr>
        <w:t>A mi-parcours, des ajustements devraient être apportés au</w:t>
      </w:r>
      <w:r>
        <w:rPr>
          <w:rFonts w:ascii="Nyala" w:hAnsi="Nyala" w:cs="Arial"/>
          <w:i/>
          <w:sz w:val="28"/>
          <w:szCs w:val="28"/>
        </w:rPr>
        <w:t xml:space="preserve"> plan d’action de l’I3N </w:t>
      </w:r>
      <w:r w:rsidRPr="00AA4A81">
        <w:rPr>
          <w:rFonts w:ascii="Nyala" w:hAnsi="Nyala" w:cs="Arial"/>
          <w:i/>
          <w:sz w:val="28"/>
          <w:szCs w:val="28"/>
        </w:rPr>
        <w:t>afin de mieux intégrer les cibles et indicateurs de l’ODD2.</w:t>
      </w:r>
    </w:p>
    <w:p w:rsidR="00335460" w:rsidRPr="006866D3" w:rsidRDefault="00335460" w:rsidP="00F84EE7">
      <w:pPr>
        <w:tabs>
          <w:tab w:val="left" w:pos="1233"/>
        </w:tabs>
        <w:jc w:val="both"/>
        <w:rPr>
          <w:rFonts w:ascii="Calibri" w:hAnsi="Calibri" w:cs="Arial"/>
          <w:sz w:val="28"/>
          <w:szCs w:val="28"/>
        </w:rPr>
      </w:pPr>
    </w:p>
    <w:p w:rsidR="00F84EE7" w:rsidRPr="006866D3" w:rsidRDefault="00F84EE7" w:rsidP="00F84EE7">
      <w:pPr>
        <w:rPr>
          <w:rStyle w:val="Rfrenceintense"/>
          <w:sz w:val="28"/>
          <w:szCs w:val="28"/>
        </w:rPr>
      </w:pPr>
      <w:r w:rsidRPr="006866D3">
        <w:rPr>
          <w:rStyle w:val="Rfrenceintense"/>
          <w:sz w:val="28"/>
          <w:szCs w:val="28"/>
        </w:rPr>
        <w:t>Plan d’Action pour la Gestion des Risques Agricoles 2014-2023</w:t>
      </w:r>
    </w:p>
    <w:p w:rsidR="00F84EE7" w:rsidRPr="006866D3" w:rsidRDefault="00F84EE7" w:rsidP="00141D20">
      <w:pPr>
        <w:contextualSpacing/>
        <w:jc w:val="both"/>
        <w:rPr>
          <w:rFonts w:ascii="Nyala" w:hAnsi="Nyala"/>
          <w:sz w:val="28"/>
          <w:szCs w:val="28"/>
        </w:rPr>
      </w:pPr>
      <w:r w:rsidRPr="006866D3">
        <w:rPr>
          <w:rFonts w:ascii="Nyala" w:hAnsi="Nyala"/>
          <w:sz w:val="28"/>
          <w:szCs w:val="28"/>
        </w:rPr>
        <w:t>Suite aux conclusions d’une étude sur les risques agricoles réalisées par la Banque Mondiale en 2013, le HC3</w:t>
      </w:r>
      <w:r w:rsidR="00F95B3A">
        <w:rPr>
          <w:rFonts w:ascii="Nyala" w:hAnsi="Nyala"/>
          <w:sz w:val="28"/>
          <w:szCs w:val="28"/>
        </w:rPr>
        <w:t>N</w:t>
      </w:r>
      <w:r w:rsidRPr="006866D3">
        <w:rPr>
          <w:rFonts w:ascii="Nyala" w:hAnsi="Nyala"/>
          <w:sz w:val="28"/>
          <w:szCs w:val="28"/>
        </w:rPr>
        <w:t xml:space="preserve"> a élaboré un Plan d’action de Gestion des risques agricoles (PAGRA) pour la période 2014-2023. Le PAGRA est </w:t>
      </w:r>
      <w:r w:rsidRPr="006866D3">
        <w:rPr>
          <w:rFonts w:ascii="Nyala" w:hAnsi="Nyala"/>
          <w:bCs/>
          <w:color w:val="000000"/>
          <w:sz w:val="28"/>
          <w:szCs w:val="28"/>
          <w:lang w:eastAsia="fr-FR"/>
        </w:rPr>
        <w:t>conçu</w:t>
      </w:r>
      <w:r w:rsidRPr="006866D3">
        <w:rPr>
          <w:rFonts w:ascii="Nyala" w:hAnsi="Nyala"/>
          <w:sz w:val="28"/>
          <w:szCs w:val="28"/>
        </w:rPr>
        <w:t xml:space="preserve"> pour compléter et renforcer  la dimension « stabilité » en matière de sécurité alimentaire  avec :</w:t>
      </w:r>
    </w:p>
    <w:p w:rsidR="00F84EE7" w:rsidRPr="006866D3" w:rsidRDefault="00F84EE7" w:rsidP="00141D20">
      <w:pPr>
        <w:pStyle w:val="Paragraphedeliste"/>
        <w:numPr>
          <w:ilvl w:val="0"/>
          <w:numId w:val="3"/>
        </w:numPr>
        <w:spacing w:after="0"/>
        <w:jc w:val="both"/>
        <w:rPr>
          <w:rFonts w:ascii="Nyala" w:hAnsi="Nyala"/>
          <w:sz w:val="28"/>
          <w:szCs w:val="28"/>
        </w:rPr>
      </w:pPr>
      <w:r w:rsidRPr="006866D3">
        <w:rPr>
          <w:rFonts w:ascii="Nyala" w:hAnsi="Nyala"/>
          <w:sz w:val="28"/>
          <w:szCs w:val="28"/>
        </w:rPr>
        <w:t>Une augmentation de la productivité par l’utilisation de variétés à haut rendement résistantes à la sécheresse et l’extension des surfaces sous irrigation; la lutte préventive contre le criquet pèlerin et autres ennemis des cultures</w:t>
      </w:r>
    </w:p>
    <w:p w:rsidR="00F84EE7" w:rsidRPr="006866D3" w:rsidRDefault="00F84EE7" w:rsidP="00141D20">
      <w:pPr>
        <w:pStyle w:val="Paragraphedeliste"/>
        <w:numPr>
          <w:ilvl w:val="0"/>
          <w:numId w:val="3"/>
        </w:numPr>
        <w:spacing w:after="0"/>
        <w:jc w:val="both"/>
        <w:rPr>
          <w:rFonts w:ascii="Nyala" w:hAnsi="Nyala"/>
          <w:sz w:val="28"/>
          <w:szCs w:val="28"/>
        </w:rPr>
      </w:pPr>
      <w:r w:rsidRPr="006866D3">
        <w:rPr>
          <w:rFonts w:ascii="Nyala" w:hAnsi="Nyala"/>
          <w:sz w:val="28"/>
          <w:szCs w:val="28"/>
        </w:rPr>
        <w:t>La gestion durable des terres et des eaux par l’application de techniques de CES/DRS et de gestion des ressources naturelles ;</w:t>
      </w:r>
    </w:p>
    <w:p w:rsidR="00F84EE7" w:rsidRPr="006866D3" w:rsidRDefault="00F84EE7" w:rsidP="00141D20">
      <w:pPr>
        <w:pStyle w:val="Paragraphedeliste"/>
        <w:numPr>
          <w:ilvl w:val="0"/>
          <w:numId w:val="3"/>
        </w:numPr>
        <w:spacing w:after="0"/>
        <w:jc w:val="both"/>
        <w:rPr>
          <w:rFonts w:ascii="Nyala" w:hAnsi="Nyala"/>
          <w:sz w:val="28"/>
          <w:szCs w:val="28"/>
        </w:rPr>
      </w:pPr>
      <w:r w:rsidRPr="006866D3">
        <w:rPr>
          <w:rFonts w:ascii="Nyala" w:hAnsi="Nyala"/>
          <w:sz w:val="28"/>
          <w:szCs w:val="28"/>
        </w:rPr>
        <w:t xml:space="preserve">Le renforcement de la résilience face aux risques climatiques et agricoles à travers le renforcement des capacités des ménages et des pouvoirs publics en matière de prévention et de gestion des risques.   </w:t>
      </w:r>
    </w:p>
    <w:p w:rsidR="00F84EE7" w:rsidRPr="006866D3" w:rsidRDefault="00F84EE7">
      <w:pPr>
        <w:spacing w:after="120"/>
        <w:jc w:val="both"/>
        <w:rPr>
          <w:sz w:val="28"/>
          <w:szCs w:val="28"/>
        </w:rPr>
      </w:pPr>
    </w:p>
    <w:p w:rsidR="00F84EE7" w:rsidRPr="006866D3" w:rsidRDefault="00F84EE7" w:rsidP="00141D20">
      <w:pPr>
        <w:contextualSpacing/>
        <w:jc w:val="both"/>
        <w:rPr>
          <w:rFonts w:ascii="Nyala" w:hAnsi="Nyala"/>
          <w:sz w:val="28"/>
          <w:szCs w:val="28"/>
        </w:rPr>
      </w:pPr>
      <w:r w:rsidRPr="006866D3">
        <w:rPr>
          <w:rFonts w:ascii="Nyala" w:hAnsi="Nyala"/>
          <w:sz w:val="28"/>
          <w:szCs w:val="28"/>
        </w:rPr>
        <w:t xml:space="preserve">La mise en œuvre du PAGRA a été entamée avec le Projet d’Appui à l’Agriculture Sensible aux risques Climatiques (PASEC) financé par la Banque Mondiale, le MCC et le Gouvernement du Niger. Le PASEC prône la mise à l’échelle de pratiques d’agriculture intelligente face au climat (Climate Smart Agriculture. La </w:t>
      </w:r>
      <w:r w:rsidRPr="006866D3">
        <w:rPr>
          <w:rFonts w:ascii="Nyala" w:hAnsi="Nyala"/>
          <w:bCs/>
          <w:color w:val="000000"/>
          <w:sz w:val="28"/>
          <w:szCs w:val="28"/>
          <w:lang w:eastAsia="fr-FR"/>
        </w:rPr>
        <w:t>promotion</w:t>
      </w:r>
      <w:r w:rsidRPr="006866D3">
        <w:rPr>
          <w:rFonts w:ascii="Nyala" w:hAnsi="Nyala"/>
          <w:sz w:val="28"/>
          <w:szCs w:val="28"/>
        </w:rPr>
        <w:t xml:space="preserve"> de l’Agriculture intelligente face au climat (AIC) fait l’objet d’une alliance mondiale portée par plusieurs organismes internationaux dont la Banque Mondiale et la FAO et pour lequel le Niger a marqué son adhésion à travers le PAGRA et le PASEC. </w:t>
      </w:r>
    </w:p>
    <w:p w:rsidR="00F84EE7" w:rsidRPr="006866D3" w:rsidRDefault="00F84EE7" w:rsidP="00F84EE7">
      <w:pPr>
        <w:rPr>
          <w:rFonts w:ascii="Nyala" w:hAnsi="Nyala"/>
          <w:sz w:val="28"/>
          <w:szCs w:val="28"/>
        </w:rPr>
      </w:pPr>
    </w:p>
    <w:p w:rsidR="00F84EE7" w:rsidRPr="006866D3" w:rsidRDefault="00F84EE7" w:rsidP="00F84EE7">
      <w:pPr>
        <w:rPr>
          <w:rStyle w:val="Rfrenceintense"/>
          <w:sz w:val="28"/>
          <w:szCs w:val="28"/>
        </w:rPr>
      </w:pPr>
      <w:r w:rsidRPr="006866D3">
        <w:rPr>
          <w:rStyle w:val="Rfrenceintense"/>
          <w:sz w:val="28"/>
          <w:szCs w:val="28"/>
        </w:rPr>
        <w:t xml:space="preserve">Plan de développement de la santé </w:t>
      </w:r>
    </w:p>
    <w:p w:rsidR="00F84EE7" w:rsidRPr="006866D3" w:rsidRDefault="00F84EE7" w:rsidP="00141D20">
      <w:pPr>
        <w:contextualSpacing/>
        <w:jc w:val="both"/>
        <w:rPr>
          <w:rFonts w:ascii="Nyala" w:hAnsi="Nyala"/>
          <w:bCs/>
          <w:color w:val="000000"/>
          <w:sz w:val="28"/>
          <w:szCs w:val="28"/>
          <w:lang w:eastAsia="fr-FR"/>
        </w:rPr>
      </w:pPr>
      <w:r w:rsidRPr="006866D3">
        <w:rPr>
          <w:rFonts w:ascii="Nyala" w:hAnsi="Nyala" w:cstheme="minorHAnsi"/>
          <w:sz w:val="28"/>
          <w:szCs w:val="28"/>
        </w:rPr>
        <w:t xml:space="preserve">Le PDS pour la période 2017-2021 a fixé des cibles de nutrition en conformité les objectifs du PDES, le PA-3N et les </w:t>
      </w:r>
      <w:r w:rsidRPr="006866D3">
        <w:rPr>
          <w:rFonts w:ascii="Nyala" w:hAnsi="Nyala" w:cs="Helvetica"/>
          <w:color w:val="333333"/>
          <w:sz w:val="28"/>
          <w:szCs w:val="28"/>
        </w:rPr>
        <w:t xml:space="preserve">Cibles mondiales de nutrition à atteindre d’ici 2025. </w:t>
      </w:r>
      <w:r w:rsidRPr="006866D3">
        <w:rPr>
          <w:rFonts w:ascii="Nyala" w:hAnsi="Nyala" w:cstheme="minorHAnsi"/>
          <w:sz w:val="28"/>
          <w:szCs w:val="28"/>
        </w:rPr>
        <w:t>Ainsi dans le cadre de l’i</w:t>
      </w:r>
      <w:r w:rsidRPr="006866D3">
        <w:rPr>
          <w:rFonts w:ascii="Nyala" w:hAnsi="Nyala"/>
          <w:bCs/>
          <w:color w:val="000000"/>
          <w:sz w:val="28"/>
          <w:szCs w:val="28"/>
          <w:lang w:eastAsia="fr-FR"/>
        </w:rPr>
        <w:t>ntensification des actions de prévention de la malnutrition, le taux de prévalence de la malnutrition aiguë globale chez les enfants de 0 à 5 ans (base  14,80% en 2014) doit être inférieur à 10%  en 2021, avec une projection de  réduction  de 30% de  l’insuffisance pondérale à la naissance en 2025.</w:t>
      </w:r>
    </w:p>
    <w:p w:rsidR="00F84EE7" w:rsidRPr="006866D3" w:rsidRDefault="00F84EE7" w:rsidP="00141D20">
      <w:pPr>
        <w:contextualSpacing/>
        <w:jc w:val="both"/>
        <w:rPr>
          <w:rFonts w:ascii="Nyala" w:hAnsi="Nyala"/>
          <w:bCs/>
          <w:color w:val="000000"/>
          <w:sz w:val="28"/>
          <w:szCs w:val="28"/>
          <w:lang w:eastAsia="fr-FR"/>
        </w:rPr>
      </w:pPr>
    </w:p>
    <w:p w:rsidR="00F84EE7" w:rsidRDefault="00F84EE7" w:rsidP="00141D20">
      <w:pPr>
        <w:contextualSpacing/>
        <w:jc w:val="both"/>
        <w:rPr>
          <w:rFonts w:ascii="Nyala" w:hAnsi="Nyala"/>
          <w:bCs/>
          <w:color w:val="000000"/>
          <w:sz w:val="28"/>
          <w:szCs w:val="28"/>
          <w:lang w:eastAsia="fr-FR"/>
        </w:rPr>
      </w:pPr>
      <w:r w:rsidRPr="006866D3">
        <w:rPr>
          <w:rFonts w:ascii="Nyala" w:hAnsi="Nyala"/>
          <w:bCs/>
          <w:color w:val="000000"/>
          <w:sz w:val="28"/>
          <w:szCs w:val="28"/>
          <w:lang w:eastAsia="fr-FR"/>
        </w:rPr>
        <w:t>La Prévalence de la malnutrition chronique chez les enfants de 0 à 5 ans (base : 45,5% en 2015) devrait passer à 25% en 2021 ; et atteindre une réduction de 40% le nombre d’enfants de moins de 5 ans présentant un retard de croissance en 2025. La Prévalence de l’anémie chez les Femmes en âge de procréer -15 à 49 ans (base : 45,8% en 2012), devra passer</w:t>
      </w:r>
      <w:r w:rsidR="00796B4D" w:rsidRPr="006866D3">
        <w:rPr>
          <w:rFonts w:ascii="Nyala" w:hAnsi="Nyala"/>
          <w:bCs/>
          <w:color w:val="000000"/>
          <w:sz w:val="28"/>
          <w:szCs w:val="28"/>
          <w:lang w:eastAsia="fr-FR"/>
        </w:rPr>
        <w:t xml:space="preserve"> de</w:t>
      </w:r>
      <w:r w:rsidRPr="006866D3">
        <w:rPr>
          <w:rFonts w:ascii="Nyala" w:hAnsi="Nyala"/>
          <w:bCs/>
          <w:color w:val="000000"/>
          <w:sz w:val="28"/>
          <w:szCs w:val="28"/>
          <w:lang w:eastAsia="fr-FR"/>
        </w:rPr>
        <w:t xml:space="preserve"> 30% en 2021 et 23% en 2025.  Le taux d’allaitement exclusif au sein au cours des 6 premiers mois de la vie devrait passer à au moins 50% en 2025.</w:t>
      </w:r>
    </w:p>
    <w:p w:rsidR="002D203C" w:rsidRDefault="002D203C" w:rsidP="00F84EE7">
      <w:pPr>
        <w:spacing w:line="259" w:lineRule="auto"/>
        <w:contextualSpacing/>
        <w:jc w:val="both"/>
        <w:rPr>
          <w:rFonts w:ascii="Nyala" w:hAnsi="Nyala"/>
          <w:bCs/>
          <w:color w:val="000000"/>
          <w:sz w:val="28"/>
          <w:szCs w:val="28"/>
          <w:lang w:eastAsia="fr-FR"/>
        </w:rPr>
      </w:pPr>
    </w:p>
    <w:p w:rsidR="008A0109" w:rsidRPr="00AA4A81" w:rsidRDefault="008A0109" w:rsidP="008A0109">
      <w:pPr>
        <w:jc w:val="both"/>
        <w:rPr>
          <w:rFonts w:ascii="Nyala" w:hAnsi="Nyala" w:cs="Arial"/>
          <w:i/>
          <w:sz w:val="28"/>
          <w:szCs w:val="28"/>
        </w:rPr>
      </w:pPr>
      <w:r w:rsidRPr="00AA4A81">
        <w:rPr>
          <w:rFonts w:ascii="Nyala" w:hAnsi="Nyala" w:cs="Arial"/>
          <w:i/>
          <w:sz w:val="28"/>
          <w:szCs w:val="28"/>
        </w:rPr>
        <w:t>A mi-parcours, des ajustements devraient être apportés au P</w:t>
      </w:r>
      <w:r>
        <w:rPr>
          <w:rFonts w:ascii="Nyala" w:hAnsi="Nyala" w:cs="Arial"/>
          <w:i/>
          <w:sz w:val="28"/>
          <w:szCs w:val="28"/>
        </w:rPr>
        <w:t xml:space="preserve">DS pour l’inscrire dans l’horizon temporel 2035 et </w:t>
      </w:r>
      <w:r w:rsidRPr="00AA4A81">
        <w:rPr>
          <w:rFonts w:ascii="Nyala" w:hAnsi="Nyala" w:cs="Arial"/>
          <w:i/>
          <w:sz w:val="28"/>
          <w:szCs w:val="28"/>
        </w:rPr>
        <w:t>mieux intégrer les cibles et indicateurs de l’ODD2.</w:t>
      </w:r>
    </w:p>
    <w:p w:rsidR="008A0109" w:rsidRDefault="008A0109" w:rsidP="00F84EE7">
      <w:pPr>
        <w:spacing w:line="259" w:lineRule="auto"/>
        <w:contextualSpacing/>
        <w:jc w:val="both"/>
        <w:rPr>
          <w:rFonts w:ascii="Nyala" w:hAnsi="Nyala"/>
          <w:bCs/>
          <w:color w:val="000000"/>
          <w:sz w:val="28"/>
          <w:szCs w:val="28"/>
          <w:lang w:eastAsia="fr-FR"/>
        </w:rPr>
      </w:pPr>
    </w:p>
    <w:p w:rsidR="003F3188" w:rsidRDefault="003F3188" w:rsidP="00F84EE7">
      <w:pPr>
        <w:spacing w:line="259" w:lineRule="auto"/>
        <w:contextualSpacing/>
        <w:jc w:val="both"/>
        <w:rPr>
          <w:rFonts w:ascii="Nyala" w:hAnsi="Nyala"/>
          <w:bCs/>
          <w:color w:val="000000"/>
          <w:sz w:val="28"/>
          <w:szCs w:val="28"/>
          <w:lang w:eastAsia="fr-FR"/>
        </w:rPr>
      </w:pPr>
    </w:p>
    <w:p w:rsidR="003F3188" w:rsidRPr="00141D20" w:rsidRDefault="003F3188" w:rsidP="00141D20">
      <w:pPr>
        <w:rPr>
          <w:rStyle w:val="Rfrenceintense"/>
          <w:sz w:val="28"/>
          <w:szCs w:val="28"/>
        </w:rPr>
      </w:pPr>
      <w:r w:rsidRPr="00141D20">
        <w:rPr>
          <w:rStyle w:val="Rfrenceintense"/>
          <w:sz w:val="28"/>
          <w:szCs w:val="28"/>
        </w:rPr>
        <w:t>Plan stratégique National de Lutte Contre le VIH/Sida   2018-2022</w:t>
      </w:r>
    </w:p>
    <w:p w:rsidR="003F3188" w:rsidRPr="00141D20" w:rsidRDefault="003F3188" w:rsidP="00141D20">
      <w:pPr>
        <w:jc w:val="both"/>
        <w:rPr>
          <w:rFonts w:ascii="Nyala" w:hAnsi="Nyala"/>
          <w:sz w:val="28"/>
          <w:szCs w:val="28"/>
        </w:rPr>
      </w:pPr>
      <w:r w:rsidRPr="00141D20">
        <w:rPr>
          <w:rFonts w:ascii="Nyala" w:hAnsi="Nyala"/>
          <w:sz w:val="28"/>
          <w:szCs w:val="28"/>
        </w:rPr>
        <w:t xml:space="preserve">La prévalence du VIH au Niger est de 0,4% avec une épidémie de type concentré au niveau des populations clés (PS : 16.6% et HSH : 17.2%, SSG 2015). </w:t>
      </w:r>
      <w:r w:rsidRPr="00141D20">
        <w:rPr>
          <w:rFonts w:ascii="Nyala" w:hAnsi="Nyala"/>
          <w:sz w:val="28"/>
          <w:szCs w:val="28"/>
          <w:lang w:val="fr-CI"/>
        </w:rPr>
        <w:t xml:space="preserve">Le PSN 2018-2022 met au-devant des valeurs et principes tirés du Plan du Développement Sanitaire à savoir : la solidarité, l’équité, l’égalité, la justice sociale, l’intégrité, l’éthique, le respect des droits humains et la spécificité du genre. Il est structuré autour de trois impacts qui sont : </w:t>
      </w:r>
      <w:r w:rsidR="00E175CD">
        <w:rPr>
          <w:rFonts w:ascii="Nyala" w:hAnsi="Nyala"/>
          <w:sz w:val="28"/>
          <w:szCs w:val="28"/>
          <w:lang w:val="fr-CI"/>
        </w:rPr>
        <w:t xml:space="preserve">i) </w:t>
      </w:r>
      <w:r w:rsidRPr="00141D20">
        <w:rPr>
          <w:rFonts w:ascii="Nyala" w:hAnsi="Nyala"/>
          <w:sz w:val="28"/>
          <w:szCs w:val="28"/>
        </w:rPr>
        <w:t>Impact 1: Les nouvelles infections à VIH sont réduites de 75% d’ici 2022 ;</w:t>
      </w:r>
      <w:r w:rsidR="00E175CD">
        <w:rPr>
          <w:rFonts w:ascii="Nyala" w:hAnsi="Nyala"/>
          <w:sz w:val="28"/>
          <w:szCs w:val="28"/>
        </w:rPr>
        <w:t xml:space="preserve"> ii) </w:t>
      </w:r>
      <w:r w:rsidRPr="00141D20">
        <w:rPr>
          <w:rFonts w:ascii="Nyala" w:hAnsi="Nyala"/>
          <w:sz w:val="28"/>
          <w:szCs w:val="28"/>
        </w:rPr>
        <w:t>Impact 2: Les décès dus au sida sont réduits de 75% à travers la prise en charge globale des PVVIH d’ici 2022 ;</w:t>
      </w:r>
      <w:r w:rsidR="00E175CD">
        <w:rPr>
          <w:rFonts w:ascii="Nyala" w:hAnsi="Nyala"/>
          <w:sz w:val="28"/>
          <w:szCs w:val="28"/>
        </w:rPr>
        <w:t xml:space="preserve"> iii) </w:t>
      </w:r>
      <w:r w:rsidRPr="00141D20">
        <w:rPr>
          <w:rFonts w:ascii="Nyala" w:hAnsi="Nyala"/>
          <w:sz w:val="28"/>
          <w:szCs w:val="28"/>
        </w:rPr>
        <w:t>Impact 3: La gestion et la coordination du programme sont décentralisées et renforcées à tous les niveaux d’ici 2022.</w:t>
      </w:r>
    </w:p>
    <w:p w:rsidR="003F3188" w:rsidRPr="00141D20" w:rsidRDefault="003F3188" w:rsidP="003F3188">
      <w:pPr>
        <w:jc w:val="both"/>
        <w:rPr>
          <w:rFonts w:ascii="Nyala" w:hAnsi="Nyala"/>
          <w:sz w:val="28"/>
          <w:szCs w:val="28"/>
          <w:lang w:val="fr-CI"/>
        </w:rPr>
      </w:pPr>
      <w:r w:rsidRPr="00141D20">
        <w:rPr>
          <w:rFonts w:ascii="Nyala" w:hAnsi="Nyala"/>
          <w:sz w:val="28"/>
          <w:szCs w:val="28"/>
          <w:lang w:val="fr-CI"/>
        </w:rPr>
        <w:t>Sa mise en œuvre va se faire conformément aux orientations de l’ONUSIDA définies dans sa stratégie 2016-2021 et aux recommandations 2015 de l’OMS. Elle se basera surtout sur la stratégie « Tester, Traiter » pour atteindre l’objectif 90-90-90, tout en mettant l’accent sur : les interventions au profit des populations clés, la prévention de la transmission mère enfant, le renforcement des capacités des acteurs, l</w:t>
      </w:r>
      <w:r w:rsidR="00B83EA5">
        <w:rPr>
          <w:rFonts w:ascii="Nyala" w:hAnsi="Nyala"/>
          <w:sz w:val="28"/>
          <w:szCs w:val="28"/>
          <w:lang w:val="fr-CI"/>
        </w:rPr>
        <w:t>’approche multisectorielle</w:t>
      </w:r>
      <w:r w:rsidRPr="00141D20">
        <w:rPr>
          <w:rFonts w:ascii="Nyala" w:hAnsi="Nyala"/>
          <w:sz w:val="28"/>
          <w:szCs w:val="28"/>
          <w:lang w:val="fr-CI"/>
        </w:rPr>
        <w:t xml:space="preserve">, la mobilisation des ressources, la décentralisation, la promotion des droits humains et le développement de la participation communautaire. Il est prévu une évaluation et révision du plan à mi-parcours en 2021, qui prendra en comptes des futures orientations et directives nationales et internationale. </w:t>
      </w:r>
    </w:p>
    <w:p w:rsidR="004D2673" w:rsidRPr="006866D3" w:rsidRDefault="004D2673" w:rsidP="004D2673">
      <w:pPr>
        <w:tabs>
          <w:tab w:val="left" w:pos="1345"/>
        </w:tabs>
        <w:spacing w:line="259" w:lineRule="auto"/>
        <w:contextualSpacing/>
        <w:jc w:val="both"/>
        <w:rPr>
          <w:rFonts w:ascii="Nyala" w:hAnsi="Nyala"/>
          <w:bCs/>
          <w:color w:val="000000"/>
          <w:sz w:val="28"/>
          <w:szCs w:val="28"/>
          <w:lang w:eastAsia="fr-FR"/>
        </w:rPr>
      </w:pPr>
    </w:p>
    <w:p w:rsidR="00082D58" w:rsidRPr="006866D3" w:rsidRDefault="00082D58" w:rsidP="00CF1B38">
      <w:pPr>
        <w:rPr>
          <w:rStyle w:val="Rfrenceintense"/>
          <w:sz w:val="28"/>
          <w:szCs w:val="28"/>
        </w:rPr>
      </w:pPr>
      <w:r w:rsidRPr="006866D3">
        <w:rPr>
          <w:rStyle w:val="Rfrenceintense"/>
          <w:sz w:val="28"/>
          <w:szCs w:val="28"/>
        </w:rPr>
        <w:t>Plan d’actions prioritaires pour la période 2014-2018 pour la zone sahélienne du Niger</w:t>
      </w:r>
    </w:p>
    <w:p w:rsidR="00082D58" w:rsidRPr="006866D3" w:rsidRDefault="00CF1B38" w:rsidP="00141D20">
      <w:pPr>
        <w:contextualSpacing/>
        <w:jc w:val="both"/>
        <w:rPr>
          <w:rFonts w:ascii="Nyala" w:hAnsi="Nyala"/>
          <w:bCs/>
          <w:color w:val="000000"/>
          <w:sz w:val="28"/>
          <w:szCs w:val="28"/>
          <w:lang w:eastAsia="fr-FR"/>
        </w:rPr>
      </w:pPr>
      <w:r w:rsidRPr="006866D3">
        <w:rPr>
          <w:rFonts w:ascii="Nyala" w:hAnsi="Nyala"/>
          <w:bCs/>
          <w:color w:val="000000"/>
          <w:sz w:val="28"/>
          <w:szCs w:val="28"/>
          <w:lang w:eastAsia="fr-FR"/>
        </w:rPr>
        <w:t xml:space="preserve">Ce plan d’actions qui couvre la période 2014-2018 </w:t>
      </w:r>
      <w:r w:rsidR="00082D58" w:rsidRPr="006866D3">
        <w:rPr>
          <w:rFonts w:ascii="Nyala" w:hAnsi="Nyala"/>
          <w:bCs/>
          <w:color w:val="000000"/>
          <w:sz w:val="28"/>
          <w:szCs w:val="28"/>
          <w:lang w:eastAsia="fr-FR"/>
        </w:rPr>
        <w:t xml:space="preserve">dans le cadre de la Stratégie Intégrée des Nations- Unies pour le Sahel (SINUS)-NIGER, en vue de faire face </w:t>
      </w:r>
      <w:r w:rsidRPr="006866D3">
        <w:rPr>
          <w:rFonts w:ascii="Nyala" w:hAnsi="Nyala"/>
          <w:bCs/>
          <w:color w:val="000000"/>
          <w:sz w:val="28"/>
          <w:szCs w:val="28"/>
          <w:lang w:eastAsia="fr-FR"/>
        </w:rPr>
        <w:t xml:space="preserve">à la </w:t>
      </w:r>
      <w:r w:rsidR="00082D58" w:rsidRPr="006866D3">
        <w:rPr>
          <w:rFonts w:ascii="Nyala" w:hAnsi="Nyala"/>
          <w:bCs/>
          <w:color w:val="000000"/>
          <w:sz w:val="28"/>
          <w:szCs w:val="28"/>
          <w:lang w:eastAsia="fr-FR"/>
        </w:rPr>
        <w:t>crise complexe et multidimensionnelle que traverse toute la région du Sahel-Sahara, dans un contexte de grande vulnérabilité socio- économique et sécuritaire (conflits au nord du Mali, dans la bande du Sahel, en Lybie et au nord du Nigeria, etc.).</w:t>
      </w:r>
    </w:p>
    <w:p w:rsidR="00082D58" w:rsidRPr="006866D3" w:rsidRDefault="00082D58" w:rsidP="00CF1B38">
      <w:pPr>
        <w:spacing w:line="259" w:lineRule="auto"/>
        <w:contextualSpacing/>
        <w:jc w:val="both"/>
        <w:rPr>
          <w:rFonts w:ascii="Nyala" w:hAnsi="Nyala"/>
          <w:bCs/>
          <w:color w:val="000000"/>
          <w:sz w:val="28"/>
          <w:szCs w:val="28"/>
          <w:lang w:eastAsia="fr-FR"/>
        </w:rPr>
      </w:pPr>
    </w:p>
    <w:p w:rsidR="00082D58" w:rsidRDefault="00082D58" w:rsidP="00CF1B38">
      <w:pPr>
        <w:spacing w:line="259" w:lineRule="auto"/>
        <w:contextualSpacing/>
        <w:jc w:val="both"/>
        <w:rPr>
          <w:rFonts w:ascii="Nyala" w:hAnsi="Nyala"/>
          <w:bCs/>
          <w:color w:val="000000"/>
          <w:sz w:val="28"/>
          <w:szCs w:val="28"/>
          <w:lang w:eastAsia="fr-FR"/>
        </w:rPr>
      </w:pPr>
      <w:r w:rsidRPr="006866D3">
        <w:rPr>
          <w:rFonts w:ascii="Nyala" w:hAnsi="Nyala"/>
          <w:bCs/>
          <w:color w:val="000000"/>
          <w:sz w:val="28"/>
          <w:szCs w:val="28"/>
          <w:lang w:eastAsia="fr-FR"/>
        </w:rPr>
        <w:t xml:space="preserve">Cette SINUS-NIGER s’est  fixée trois objectifs stratégiques: 1) le renforcement de la gouvernance efficace et sans exclusive; 2) Le renforcement des mécanismes de sécurité nationaux et régionaux pour faire face aux menaces transfrontalières et 3)  l’intégration des plans et des interventions humanitaires et de développement afin d’assurer la résilience à long terme.  Ce dernier objectif vise </w:t>
      </w:r>
      <w:r w:rsidR="00CF1B38" w:rsidRPr="006866D3">
        <w:rPr>
          <w:rFonts w:ascii="Nyala" w:hAnsi="Nyala"/>
          <w:bCs/>
          <w:color w:val="000000"/>
          <w:sz w:val="28"/>
          <w:szCs w:val="28"/>
          <w:lang w:eastAsia="fr-FR"/>
        </w:rPr>
        <w:t>à</w:t>
      </w:r>
      <w:r w:rsidRPr="006866D3">
        <w:rPr>
          <w:rFonts w:ascii="Nyala" w:hAnsi="Nyala"/>
          <w:bCs/>
          <w:color w:val="000000"/>
          <w:sz w:val="28"/>
          <w:szCs w:val="28"/>
          <w:lang w:eastAsia="fr-FR"/>
        </w:rPr>
        <w:t xml:space="preserve"> améliorer l’accès des populations (principalement nomades et semi-nomades) aux services sociaux de base notamment : l’éducation, la santé et l’eau potable.</w:t>
      </w:r>
    </w:p>
    <w:p w:rsidR="008A0109" w:rsidRPr="006866D3" w:rsidRDefault="008A0109" w:rsidP="00CF1B38">
      <w:pPr>
        <w:spacing w:line="259" w:lineRule="auto"/>
        <w:contextualSpacing/>
        <w:jc w:val="both"/>
        <w:rPr>
          <w:rFonts w:ascii="Nyala" w:hAnsi="Nyala"/>
          <w:bCs/>
          <w:color w:val="000000"/>
          <w:sz w:val="28"/>
          <w:szCs w:val="28"/>
          <w:lang w:eastAsia="fr-FR"/>
        </w:rPr>
      </w:pPr>
    </w:p>
    <w:p w:rsidR="00082D58" w:rsidRDefault="00082D58" w:rsidP="00F84EE7">
      <w:pPr>
        <w:spacing w:line="259" w:lineRule="auto"/>
        <w:contextualSpacing/>
        <w:jc w:val="both"/>
        <w:rPr>
          <w:rFonts w:ascii="Nyala" w:hAnsi="Nyala"/>
          <w:bCs/>
          <w:color w:val="000000"/>
          <w:sz w:val="28"/>
          <w:szCs w:val="28"/>
          <w:lang w:eastAsia="fr-FR"/>
        </w:rPr>
      </w:pPr>
    </w:p>
    <w:p w:rsidR="00F84EE7" w:rsidRPr="00141D20" w:rsidRDefault="00194ABC" w:rsidP="00141D20">
      <w:pPr>
        <w:pStyle w:val="Titre2"/>
        <w:numPr>
          <w:ilvl w:val="1"/>
          <w:numId w:val="2"/>
        </w:numPr>
      </w:pPr>
      <w:bookmarkStart w:id="538" w:name="_Toc525392275"/>
      <w:bookmarkStart w:id="539" w:name="_Toc525392426"/>
      <w:bookmarkStart w:id="540" w:name="_Toc525392568"/>
      <w:bookmarkStart w:id="541" w:name="_Toc525392766"/>
      <w:bookmarkStart w:id="542" w:name="_Toc525392982"/>
      <w:bookmarkStart w:id="543" w:name="_Toc525393367"/>
      <w:bookmarkStart w:id="544" w:name="_Toc525396935"/>
      <w:bookmarkStart w:id="545" w:name="_Toc525397024"/>
      <w:bookmarkStart w:id="546" w:name="_Toc525397200"/>
      <w:bookmarkStart w:id="547" w:name="_Toc525410073"/>
      <w:bookmarkStart w:id="548" w:name="_Toc525561822"/>
      <w:bookmarkStart w:id="549" w:name="_Toc525562067"/>
      <w:bookmarkStart w:id="550" w:name="_Toc525562601"/>
      <w:bookmarkStart w:id="551" w:name="_Toc525563456"/>
      <w:bookmarkStart w:id="552" w:name="_Toc525563816"/>
      <w:bookmarkStart w:id="553" w:name="_Toc525564777"/>
      <w:bookmarkStart w:id="554" w:name="_Toc525566662"/>
      <w:bookmarkStart w:id="555" w:name="_Toc525688780"/>
      <w:bookmarkStart w:id="556" w:name="_Toc526119990"/>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Pr="00141D20">
        <w:t>L</w:t>
      </w:r>
      <w:r w:rsidR="0083199D" w:rsidRPr="00141D20">
        <w:t xml:space="preserve">es </w:t>
      </w:r>
      <w:r w:rsidR="005A31E8" w:rsidRPr="00141D20">
        <w:t>Pro</w:t>
      </w:r>
      <w:r w:rsidR="0083199D" w:rsidRPr="00141D20">
        <w:t xml:space="preserve">grammes et projets </w:t>
      </w:r>
      <w:r w:rsidR="00874239" w:rsidRPr="00141D20">
        <w:t>en cours</w:t>
      </w:r>
      <w:bookmarkEnd w:id="556"/>
    </w:p>
    <w:p w:rsidR="00AF1414" w:rsidRPr="006866D3" w:rsidRDefault="00AF1414" w:rsidP="004E4A36">
      <w:pPr>
        <w:spacing w:line="259" w:lineRule="auto"/>
        <w:contextualSpacing/>
        <w:jc w:val="both"/>
        <w:rPr>
          <w:rFonts w:ascii="Nyala" w:hAnsi="Nyala"/>
          <w:bCs/>
          <w:color w:val="000000"/>
          <w:sz w:val="28"/>
          <w:szCs w:val="28"/>
          <w:lang w:eastAsia="fr-FR"/>
        </w:rPr>
      </w:pPr>
    </w:p>
    <w:p w:rsidR="0096476C" w:rsidRPr="006866D3" w:rsidRDefault="00AC11A4" w:rsidP="004E4A36">
      <w:pPr>
        <w:spacing w:line="259" w:lineRule="auto"/>
        <w:contextualSpacing/>
        <w:jc w:val="both"/>
        <w:rPr>
          <w:rFonts w:ascii="Nyala" w:hAnsi="Nyala"/>
          <w:bCs/>
          <w:color w:val="000000"/>
          <w:sz w:val="28"/>
          <w:szCs w:val="28"/>
          <w:lang w:eastAsia="fr-FR"/>
        </w:rPr>
      </w:pPr>
      <w:r w:rsidRPr="006866D3">
        <w:rPr>
          <w:rFonts w:ascii="Nyala" w:hAnsi="Nyala"/>
          <w:bCs/>
          <w:color w:val="000000"/>
          <w:sz w:val="28"/>
          <w:szCs w:val="28"/>
          <w:lang w:eastAsia="fr-FR"/>
        </w:rPr>
        <w:t xml:space="preserve">Au plan opérationnel, la lutte contre l’insécurité alimentaire se fait à travers les interventions classiques des services de développement rural et de la Santé, des projets d’investissements dans les différents sous-secteurs agricoles, les actions des partenaires techniques et financiers, les </w:t>
      </w:r>
      <w:r w:rsidR="004E4A36" w:rsidRPr="006866D3">
        <w:rPr>
          <w:rFonts w:ascii="Nyala" w:hAnsi="Nyala"/>
          <w:bCs/>
          <w:color w:val="000000"/>
          <w:sz w:val="28"/>
          <w:szCs w:val="28"/>
          <w:lang w:eastAsia="fr-FR"/>
        </w:rPr>
        <w:t xml:space="preserve">interventions des </w:t>
      </w:r>
      <w:r w:rsidRPr="006866D3">
        <w:rPr>
          <w:rFonts w:ascii="Nyala" w:hAnsi="Nyala"/>
          <w:bCs/>
          <w:color w:val="000000"/>
          <w:sz w:val="28"/>
          <w:szCs w:val="28"/>
          <w:lang w:eastAsia="fr-FR"/>
        </w:rPr>
        <w:t>ONG internationales et nationales, (humanitaires ou de développement), les initiatives des Organisations Paysannes et du secteur privé.</w:t>
      </w:r>
    </w:p>
    <w:p w:rsidR="00D3660F" w:rsidRPr="006866D3" w:rsidRDefault="00D3660F" w:rsidP="004E4A36">
      <w:pPr>
        <w:spacing w:line="259" w:lineRule="auto"/>
        <w:contextualSpacing/>
        <w:jc w:val="both"/>
        <w:rPr>
          <w:rFonts w:ascii="Nyala" w:hAnsi="Nyala"/>
          <w:bCs/>
          <w:color w:val="000000"/>
          <w:sz w:val="28"/>
          <w:szCs w:val="28"/>
          <w:lang w:eastAsia="fr-FR"/>
        </w:rPr>
      </w:pPr>
    </w:p>
    <w:p w:rsidR="00D3660F" w:rsidRPr="006866D3" w:rsidRDefault="00D3660F" w:rsidP="00D3660F">
      <w:pPr>
        <w:spacing w:line="259" w:lineRule="auto"/>
        <w:contextualSpacing/>
        <w:jc w:val="both"/>
        <w:rPr>
          <w:rFonts w:ascii="Nyala" w:hAnsi="Nyala"/>
          <w:bCs/>
          <w:color w:val="000000"/>
          <w:sz w:val="28"/>
          <w:szCs w:val="28"/>
          <w:lang w:eastAsia="fr-FR"/>
        </w:rPr>
      </w:pPr>
    </w:p>
    <w:p w:rsidR="00D3660F" w:rsidRPr="006866D3" w:rsidRDefault="00D3660F" w:rsidP="00D3660F">
      <w:pPr>
        <w:spacing w:line="259" w:lineRule="auto"/>
        <w:contextualSpacing/>
        <w:jc w:val="both"/>
        <w:rPr>
          <w:rStyle w:val="Rfrenceintense"/>
          <w:bCs w:val="0"/>
          <w:sz w:val="28"/>
          <w:szCs w:val="28"/>
        </w:rPr>
      </w:pPr>
      <w:r w:rsidRPr="006866D3">
        <w:rPr>
          <w:rStyle w:val="Rfrenceintense"/>
          <w:bCs w:val="0"/>
          <w:sz w:val="28"/>
          <w:szCs w:val="28"/>
        </w:rPr>
        <w:t>Alignement des PTF</w:t>
      </w:r>
    </w:p>
    <w:p w:rsidR="00D3660F" w:rsidRDefault="00D3660F" w:rsidP="00D3660F">
      <w:pPr>
        <w:jc w:val="both"/>
        <w:rPr>
          <w:rFonts w:ascii="Nyala" w:hAnsi="Nyala" w:cs="Calibri"/>
          <w:bCs/>
          <w:sz w:val="28"/>
          <w:szCs w:val="28"/>
        </w:rPr>
      </w:pPr>
      <w:r w:rsidRPr="006866D3">
        <w:rPr>
          <w:rFonts w:ascii="Nyala" w:hAnsi="Nyala" w:cs="Calibri"/>
          <w:bCs/>
          <w:sz w:val="28"/>
          <w:szCs w:val="28"/>
        </w:rPr>
        <w:t xml:space="preserve">Les cadres </w:t>
      </w:r>
      <w:r w:rsidRPr="00141D20">
        <w:rPr>
          <w:rFonts w:ascii="Nyala" w:hAnsi="Nyala"/>
          <w:sz w:val="28"/>
          <w:szCs w:val="28"/>
        </w:rPr>
        <w:t>stratégiques</w:t>
      </w:r>
      <w:r w:rsidRPr="006866D3">
        <w:rPr>
          <w:rFonts w:ascii="Nyala" w:hAnsi="Nyala" w:cs="Calibri"/>
          <w:bCs/>
          <w:sz w:val="28"/>
          <w:szCs w:val="28"/>
        </w:rPr>
        <w:t xml:space="preserve"> des PTF couvrent une diversité de domaines économiques et sociaux et plus particulièrement le développement rural et la sécurité alimentaire &amp; nutritionnelle sont les secteurs de concentration de la </w:t>
      </w:r>
      <w:r w:rsidR="00B91872">
        <w:rPr>
          <w:rFonts w:ascii="Nyala" w:hAnsi="Nyala" w:cs="Calibri"/>
          <w:bCs/>
          <w:sz w:val="28"/>
          <w:szCs w:val="28"/>
        </w:rPr>
        <w:t>c</w:t>
      </w:r>
      <w:r w:rsidR="00B91872" w:rsidRPr="006866D3">
        <w:rPr>
          <w:rFonts w:ascii="Nyala" w:hAnsi="Nyala" w:cs="Calibri"/>
          <w:bCs/>
          <w:sz w:val="28"/>
          <w:szCs w:val="28"/>
        </w:rPr>
        <w:t xml:space="preserve">oopération </w:t>
      </w:r>
      <w:r w:rsidRPr="006866D3">
        <w:rPr>
          <w:rFonts w:ascii="Nyala" w:hAnsi="Nyala" w:cs="Calibri"/>
          <w:bCs/>
          <w:sz w:val="28"/>
          <w:szCs w:val="28"/>
        </w:rPr>
        <w:t>au développement. Au sein du domaine les secteurs « pêche &amp; pisciculture », « Entrepreneuriat Rural » et «nutrition » ne semblent pas suffisamment considérés. Cependant, il y a lieu de noter que les interventions en matière de santé intègrent souvent des opérations de prévention et de prise en charge de la malnutrition infantile</w:t>
      </w:r>
      <w:r w:rsidR="00B91872">
        <w:rPr>
          <w:rFonts w:ascii="Nyala" w:hAnsi="Nyala" w:cs="Calibri"/>
          <w:bCs/>
          <w:sz w:val="28"/>
          <w:szCs w:val="28"/>
        </w:rPr>
        <w:t xml:space="preserve"> et maternelle.</w:t>
      </w:r>
    </w:p>
    <w:p w:rsidR="00D3660F" w:rsidRPr="006866D3" w:rsidRDefault="00D3660F" w:rsidP="004E4A36">
      <w:pPr>
        <w:spacing w:line="259" w:lineRule="auto"/>
        <w:contextualSpacing/>
        <w:jc w:val="both"/>
        <w:rPr>
          <w:rFonts w:ascii="Nyala" w:hAnsi="Nyala"/>
          <w:bCs/>
          <w:color w:val="000000"/>
          <w:sz w:val="28"/>
          <w:szCs w:val="28"/>
          <w:lang w:eastAsia="fr-FR"/>
        </w:rPr>
      </w:pPr>
    </w:p>
    <w:p w:rsidR="00DF733A" w:rsidRPr="006866D3" w:rsidRDefault="00DF733A" w:rsidP="004E4A36">
      <w:pPr>
        <w:spacing w:line="259" w:lineRule="auto"/>
        <w:contextualSpacing/>
        <w:jc w:val="both"/>
        <w:rPr>
          <w:rStyle w:val="Rfrenceintense"/>
          <w:sz w:val="28"/>
          <w:szCs w:val="28"/>
        </w:rPr>
      </w:pPr>
      <w:r w:rsidRPr="006866D3">
        <w:rPr>
          <w:rStyle w:val="Rfrenceintense"/>
          <w:sz w:val="28"/>
          <w:szCs w:val="28"/>
        </w:rPr>
        <w:t>Maîtrise d’ouvrage des Ministères</w:t>
      </w:r>
    </w:p>
    <w:p w:rsidR="00C16CC4" w:rsidRDefault="00345B96" w:rsidP="004E4A36">
      <w:pPr>
        <w:spacing w:line="259" w:lineRule="auto"/>
        <w:contextualSpacing/>
        <w:jc w:val="both"/>
        <w:rPr>
          <w:rFonts w:ascii="Nyala" w:hAnsi="Nyala"/>
          <w:bCs/>
          <w:color w:val="000000"/>
          <w:sz w:val="28"/>
          <w:szCs w:val="28"/>
          <w:lang w:eastAsia="fr-FR"/>
        </w:rPr>
      </w:pPr>
      <w:r w:rsidRPr="006866D3">
        <w:rPr>
          <w:rFonts w:ascii="Nyala" w:hAnsi="Nyala"/>
          <w:bCs/>
          <w:color w:val="000000"/>
          <w:sz w:val="28"/>
          <w:szCs w:val="28"/>
          <w:lang w:eastAsia="fr-FR"/>
        </w:rPr>
        <w:t xml:space="preserve">Selon la base de données du </w:t>
      </w:r>
      <w:r w:rsidR="004E4A36" w:rsidRPr="006866D3">
        <w:rPr>
          <w:rFonts w:ascii="Nyala" w:hAnsi="Nyala"/>
          <w:bCs/>
          <w:color w:val="000000"/>
          <w:sz w:val="28"/>
          <w:szCs w:val="28"/>
          <w:lang w:eastAsia="fr-FR"/>
        </w:rPr>
        <w:t xml:space="preserve"> Haut-Commissariat à l’Initiative 3N (HC3N)</w:t>
      </w:r>
      <w:r w:rsidRPr="006866D3">
        <w:rPr>
          <w:rFonts w:ascii="Nyala" w:hAnsi="Nyala"/>
          <w:bCs/>
          <w:color w:val="000000"/>
          <w:sz w:val="28"/>
          <w:szCs w:val="28"/>
          <w:lang w:eastAsia="fr-FR"/>
        </w:rPr>
        <w:t xml:space="preserve">, </w:t>
      </w:r>
      <w:r w:rsidR="00820634" w:rsidRPr="006866D3">
        <w:rPr>
          <w:rFonts w:ascii="Nyala" w:hAnsi="Nyala"/>
          <w:bCs/>
          <w:color w:val="000000"/>
          <w:sz w:val="28"/>
          <w:szCs w:val="28"/>
          <w:lang w:eastAsia="fr-FR"/>
        </w:rPr>
        <w:t xml:space="preserve">une centaine de projets </w:t>
      </w:r>
      <w:r w:rsidRPr="006866D3">
        <w:rPr>
          <w:rFonts w:ascii="Nyala" w:hAnsi="Nyala"/>
          <w:bCs/>
          <w:color w:val="000000"/>
          <w:sz w:val="28"/>
          <w:szCs w:val="28"/>
          <w:lang w:eastAsia="fr-FR"/>
        </w:rPr>
        <w:t>de sécurité alimentaire et nutritionnelle et d’agriculture durable sont</w:t>
      </w:r>
      <w:r w:rsidR="00A07CD6" w:rsidRPr="006866D3">
        <w:rPr>
          <w:rFonts w:ascii="Nyala" w:hAnsi="Nyala"/>
          <w:bCs/>
          <w:color w:val="000000"/>
          <w:sz w:val="28"/>
          <w:szCs w:val="28"/>
          <w:lang w:eastAsia="fr-FR"/>
        </w:rPr>
        <w:t xml:space="preserve"> actuellement en exécution, sous la maitrise d’ouvrage de différentes administrations publiques.</w:t>
      </w:r>
    </w:p>
    <w:p w:rsidR="009540E4" w:rsidRPr="006866D3" w:rsidRDefault="009540E4" w:rsidP="004E4A36">
      <w:pPr>
        <w:spacing w:line="259" w:lineRule="auto"/>
        <w:contextualSpacing/>
        <w:jc w:val="both"/>
        <w:rPr>
          <w:rFonts w:ascii="Nyala" w:hAnsi="Nyala"/>
          <w:bCs/>
          <w:color w:val="000000"/>
          <w:sz w:val="28"/>
          <w:szCs w:val="28"/>
          <w:lang w:eastAsia="fr-FR"/>
        </w:rPr>
      </w:pPr>
    </w:p>
    <w:p w:rsidR="00EE6EB1" w:rsidRPr="006866D3" w:rsidRDefault="00146983" w:rsidP="009B11E1">
      <w:pPr>
        <w:contextualSpacing/>
        <w:jc w:val="both"/>
        <w:rPr>
          <w:rFonts w:ascii="Nyala" w:hAnsi="Nyala"/>
          <w:bCs/>
          <w:color w:val="000000"/>
          <w:sz w:val="28"/>
          <w:szCs w:val="28"/>
          <w:lang w:eastAsia="fr-FR"/>
        </w:rPr>
      </w:pPr>
      <w:r>
        <w:rPr>
          <w:noProof/>
          <w:sz w:val="28"/>
          <w:szCs w:val="28"/>
          <w:lang w:eastAsia="fr-FR"/>
        </w:rPr>
        <mc:AlternateContent>
          <mc:Choice Requires="wps">
            <w:drawing>
              <wp:anchor distT="0" distB="0" distL="114300" distR="114300" simplePos="0" relativeHeight="251827200" behindDoc="0" locked="0" layoutInCell="1" allowOverlap="1" wp14:anchorId="573A34DD">
                <wp:simplePos x="0" y="0"/>
                <wp:positionH relativeFrom="margin">
                  <wp:posOffset>2410460</wp:posOffset>
                </wp:positionH>
                <wp:positionV relativeFrom="paragraph">
                  <wp:posOffset>114935</wp:posOffset>
                </wp:positionV>
                <wp:extent cx="3442970" cy="1925955"/>
                <wp:effectExtent l="0" t="0" r="24130" b="17145"/>
                <wp:wrapSquare wrapText="bothSides"/>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2970" cy="1925955"/>
                        </a:xfrm>
                        <a:prstGeom prst="rect">
                          <a:avLst/>
                        </a:prstGeom>
                        <a:noFill/>
                        <a:ln w="6350">
                          <a:solidFill>
                            <a:prstClr val="black"/>
                          </a:solidFill>
                        </a:ln>
                        <a:effectLst/>
                      </wps:spPr>
                      <wps:txbx>
                        <w:txbxContent>
                          <w:p w:rsidR="00146325" w:rsidRDefault="00146325" w:rsidP="00474510">
                            <w:pPr>
                              <w:pStyle w:val="Lgende"/>
                              <w:keepNext/>
                              <w:jc w:val="both"/>
                            </w:pPr>
                            <w:bookmarkStart w:id="557" w:name="_Toc526120105"/>
                            <w:r>
                              <w:t xml:space="preserve">Figure </w:t>
                            </w:r>
                            <w:r w:rsidR="00C73EE5">
                              <w:fldChar w:fldCharType="begin"/>
                            </w:r>
                            <w:r w:rsidR="00C73EE5">
                              <w:instrText xml:space="preserve"> SEQ Figure \* ARABIC </w:instrText>
                            </w:r>
                            <w:r w:rsidR="00C73EE5">
                              <w:fldChar w:fldCharType="separate"/>
                            </w:r>
                            <w:r>
                              <w:rPr>
                                <w:noProof/>
                              </w:rPr>
                              <w:t>39</w:t>
                            </w:r>
                            <w:r w:rsidR="00C73EE5">
                              <w:rPr>
                                <w:noProof/>
                              </w:rPr>
                              <w:fldChar w:fldCharType="end"/>
                            </w:r>
                            <w:r>
                              <w:t xml:space="preserve"> - répartition des projets selon les Ministères</w:t>
                            </w:r>
                            <w:bookmarkEnd w:id="557"/>
                          </w:p>
                          <w:p w:rsidR="00146325" w:rsidRPr="00EF69B3" w:rsidRDefault="00146325" w:rsidP="0083199D">
                            <w:pPr>
                              <w:contextualSpacing/>
                              <w:jc w:val="both"/>
                            </w:pPr>
                            <w:r w:rsidRPr="00EE6EB1">
                              <w:rPr>
                                <w:noProof/>
                                <w:lang w:eastAsia="fr-FR"/>
                              </w:rPr>
                              <w:drawing>
                                <wp:inline distT="0" distB="0" distL="0" distR="0">
                                  <wp:extent cx="3132307" cy="1378072"/>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61147" cy="1390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3A34DD" id="Zone de texte 43" o:spid="_x0000_s1073" type="#_x0000_t202" style="position:absolute;left:0;text-align:left;margin-left:189.8pt;margin-top:9.05pt;width:271.1pt;height:151.6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" filled="f" strokeweight=".5pt">
                <v:path arrowok="t"/>
                <v:textbox>
                  <w:txbxContent>
                    <w:p w:rsidR="00146325" w:rsidRDefault="00146325" w:rsidP="00474510">
                      <w:pPr>
                        <w:pStyle w:val="Lgende"/>
                        <w:keepNext/>
                        <w:jc w:val="both"/>
                      </w:pPr>
                      <w:bookmarkStart w:id="558" w:name="_Toc526120105"/>
                      <w:r>
                        <w:t xml:space="preserve">Figure </w:t>
                      </w:r>
                      <w:r w:rsidR="00C73EE5">
                        <w:fldChar w:fldCharType="begin"/>
                      </w:r>
                      <w:r w:rsidR="00C73EE5">
                        <w:instrText xml:space="preserve"> SEQ Figure \* ARABIC </w:instrText>
                      </w:r>
                      <w:r w:rsidR="00C73EE5">
                        <w:fldChar w:fldCharType="separate"/>
                      </w:r>
                      <w:r>
                        <w:rPr>
                          <w:noProof/>
                        </w:rPr>
                        <w:t>39</w:t>
                      </w:r>
                      <w:r w:rsidR="00C73EE5">
                        <w:rPr>
                          <w:noProof/>
                        </w:rPr>
                        <w:fldChar w:fldCharType="end"/>
                      </w:r>
                      <w:r>
                        <w:t xml:space="preserve"> - répartition des projets selon les Ministères</w:t>
                      </w:r>
                      <w:bookmarkEnd w:id="558"/>
                    </w:p>
                    <w:p w:rsidR="00146325" w:rsidRPr="00EF69B3" w:rsidRDefault="00146325" w:rsidP="0083199D">
                      <w:pPr>
                        <w:contextualSpacing/>
                        <w:jc w:val="both"/>
                      </w:pPr>
                      <w:r w:rsidRPr="00EE6EB1">
                        <w:rPr>
                          <w:noProof/>
                          <w:lang w:eastAsia="fr-FR"/>
                        </w:rPr>
                        <w:drawing>
                          <wp:inline distT="0" distB="0" distL="0" distR="0">
                            <wp:extent cx="3132307" cy="1378072"/>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61147" cy="1390760"/>
                                    </a:xfrm>
                                    <a:prstGeom prst="rect">
                                      <a:avLst/>
                                    </a:prstGeom>
                                    <a:noFill/>
                                    <a:ln>
                                      <a:noFill/>
                                    </a:ln>
                                  </pic:spPr>
                                </pic:pic>
                              </a:graphicData>
                            </a:graphic>
                          </wp:inline>
                        </w:drawing>
                      </w:r>
                    </w:p>
                  </w:txbxContent>
                </v:textbox>
                <w10:wrap type="square" anchorx="margin"/>
              </v:shape>
            </w:pict>
          </mc:Fallback>
        </mc:AlternateContent>
      </w:r>
      <w:r w:rsidR="00EE6EB1" w:rsidRPr="006866D3">
        <w:rPr>
          <w:rFonts w:ascii="Nyala" w:hAnsi="Nyala"/>
          <w:bCs/>
          <w:color w:val="000000"/>
          <w:sz w:val="28"/>
          <w:szCs w:val="28"/>
          <w:lang w:eastAsia="fr-FR"/>
        </w:rPr>
        <w:t xml:space="preserve">Plus de la moitié des projets répertoriés </w:t>
      </w:r>
      <w:r w:rsidR="009540E4">
        <w:rPr>
          <w:rFonts w:ascii="Nyala" w:hAnsi="Nyala"/>
          <w:bCs/>
          <w:color w:val="000000"/>
          <w:sz w:val="28"/>
          <w:szCs w:val="28"/>
          <w:lang w:eastAsia="fr-FR"/>
        </w:rPr>
        <w:t>(</w:t>
      </w:r>
      <w:r w:rsidR="00D413AC">
        <w:rPr>
          <w:rFonts w:ascii="Nyala" w:hAnsi="Nyala"/>
          <w:b/>
          <w:bCs/>
          <w:color w:val="000000"/>
          <w:sz w:val="28"/>
          <w:szCs w:val="28"/>
          <w:lang w:eastAsia="fr-FR"/>
        </w:rPr>
        <w:t>Figure 39</w:t>
      </w:r>
      <w:r w:rsidR="009540E4">
        <w:rPr>
          <w:rFonts w:ascii="Nyala" w:hAnsi="Nyala"/>
          <w:bCs/>
          <w:color w:val="000000"/>
          <w:sz w:val="28"/>
          <w:szCs w:val="28"/>
          <w:lang w:eastAsia="fr-FR"/>
        </w:rPr>
        <w:t xml:space="preserve">) </w:t>
      </w:r>
      <w:r w:rsidR="00EE6EB1" w:rsidRPr="006866D3">
        <w:rPr>
          <w:rFonts w:ascii="Nyala" w:hAnsi="Nyala"/>
          <w:bCs/>
          <w:color w:val="000000"/>
          <w:sz w:val="28"/>
          <w:szCs w:val="28"/>
          <w:lang w:eastAsia="fr-FR"/>
        </w:rPr>
        <w:t xml:space="preserve">sont sous la tutelle du Ministère de l’Agriculture. </w:t>
      </w:r>
      <w:r w:rsidR="00ED4C6F" w:rsidRPr="006866D3">
        <w:rPr>
          <w:rFonts w:ascii="Nyala" w:hAnsi="Nyala"/>
          <w:bCs/>
          <w:color w:val="000000"/>
          <w:sz w:val="28"/>
          <w:szCs w:val="28"/>
          <w:lang w:eastAsia="fr-FR"/>
        </w:rPr>
        <w:t xml:space="preserve">Les Ministères de la Santé, de la Planification Familiale et de la Protection de l’Enfant, </w:t>
      </w:r>
      <w:r w:rsidR="00EE6EB1" w:rsidRPr="006866D3">
        <w:rPr>
          <w:rFonts w:ascii="Nyala" w:hAnsi="Nyala"/>
          <w:bCs/>
          <w:color w:val="000000"/>
          <w:sz w:val="28"/>
          <w:szCs w:val="28"/>
          <w:lang w:eastAsia="fr-FR"/>
        </w:rPr>
        <w:t>sont sous la maîtrise d’ouvrage du Ministère en charge de l’Agriculture et de l’élevage</w:t>
      </w:r>
      <w:r w:rsidR="00ED4C6F" w:rsidRPr="006866D3">
        <w:rPr>
          <w:rFonts w:ascii="Nyala" w:hAnsi="Nyala"/>
          <w:bCs/>
          <w:color w:val="000000"/>
          <w:sz w:val="28"/>
          <w:szCs w:val="28"/>
          <w:lang w:eastAsia="fr-FR"/>
        </w:rPr>
        <w:t xml:space="preserve"> gèrent à peine 1% des projets. Environ 9% des projets sont mis en œuvre à travers les services de la Présidence et de la Primature.</w:t>
      </w:r>
    </w:p>
    <w:p w:rsidR="00ED4C6F" w:rsidRPr="006866D3" w:rsidRDefault="00ED4C6F" w:rsidP="004E4A36">
      <w:pPr>
        <w:spacing w:line="259" w:lineRule="auto"/>
        <w:contextualSpacing/>
        <w:jc w:val="both"/>
        <w:rPr>
          <w:rFonts w:ascii="Nyala" w:hAnsi="Nyala"/>
          <w:bCs/>
          <w:color w:val="000000"/>
          <w:sz w:val="28"/>
          <w:szCs w:val="28"/>
          <w:lang w:eastAsia="fr-FR"/>
        </w:rPr>
      </w:pPr>
    </w:p>
    <w:p w:rsidR="00DF733A" w:rsidRPr="006866D3" w:rsidRDefault="00146983" w:rsidP="004E4A36">
      <w:pPr>
        <w:spacing w:line="259" w:lineRule="auto"/>
        <w:contextualSpacing/>
        <w:jc w:val="both"/>
        <w:rPr>
          <w:rFonts w:ascii="Nyala" w:hAnsi="Nyala"/>
          <w:bCs/>
          <w:color w:val="000000"/>
          <w:sz w:val="28"/>
          <w:szCs w:val="28"/>
          <w:lang w:eastAsia="fr-FR"/>
        </w:rPr>
      </w:pPr>
      <w:r>
        <w:rPr>
          <w:noProof/>
          <w:sz w:val="28"/>
          <w:szCs w:val="28"/>
          <w:lang w:eastAsia="fr-FR"/>
        </w:rPr>
        <mc:AlternateContent>
          <mc:Choice Requires="wps">
            <w:drawing>
              <wp:anchor distT="0" distB="0" distL="114300" distR="114300" simplePos="0" relativeHeight="251829248" behindDoc="0" locked="0" layoutInCell="1" allowOverlap="1" wp14:anchorId="3F67ECD6">
                <wp:simplePos x="0" y="0"/>
                <wp:positionH relativeFrom="margin">
                  <wp:align>right</wp:align>
                </wp:positionH>
                <wp:positionV relativeFrom="paragraph">
                  <wp:posOffset>277495</wp:posOffset>
                </wp:positionV>
                <wp:extent cx="3784600" cy="2548255"/>
                <wp:effectExtent l="0" t="0" r="25400" b="11430"/>
                <wp:wrapSquare wrapText="bothSides"/>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4600" cy="2548255"/>
                        </a:xfrm>
                        <a:prstGeom prst="rect">
                          <a:avLst/>
                        </a:prstGeom>
                        <a:noFill/>
                        <a:ln w="6350">
                          <a:solidFill>
                            <a:prstClr val="black"/>
                          </a:solidFill>
                        </a:ln>
                        <a:effectLst/>
                      </wps:spPr>
                      <wps:txbx>
                        <w:txbxContent>
                          <w:p w:rsidR="00146325" w:rsidRDefault="00146325" w:rsidP="00474510">
                            <w:pPr>
                              <w:pStyle w:val="Lgende"/>
                              <w:keepNext/>
                              <w:jc w:val="both"/>
                            </w:pPr>
                            <w:bookmarkStart w:id="559" w:name="_Toc526120106"/>
                            <w:r>
                              <w:t xml:space="preserve">Figure </w:t>
                            </w:r>
                            <w:r w:rsidR="00C73EE5">
                              <w:fldChar w:fldCharType="begin"/>
                            </w:r>
                            <w:r w:rsidR="00C73EE5">
                              <w:instrText xml:space="preserve"> SEQ Figure \* ARABIC </w:instrText>
                            </w:r>
                            <w:r w:rsidR="00C73EE5">
                              <w:fldChar w:fldCharType="separate"/>
                            </w:r>
                            <w:r>
                              <w:rPr>
                                <w:noProof/>
                              </w:rPr>
                              <w:t>40</w:t>
                            </w:r>
                            <w:r w:rsidR="00C73EE5">
                              <w:rPr>
                                <w:noProof/>
                              </w:rPr>
                              <w:fldChar w:fldCharType="end"/>
                            </w:r>
                            <w:r>
                              <w:t xml:space="preserve"> - Nombre de projets selon les programmes d'investissements de l'Initiative 3N</w:t>
                            </w:r>
                            <w:bookmarkEnd w:id="559"/>
                          </w:p>
                          <w:p w:rsidR="00146325" w:rsidRPr="0078511B" w:rsidRDefault="00146325" w:rsidP="0083199D">
                            <w:pPr>
                              <w:jc w:val="both"/>
                            </w:pPr>
                            <w:r w:rsidRPr="00EE6EB1">
                              <w:rPr>
                                <w:noProof/>
                                <w:lang w:eastAsia="fr-FR"/>
                              </w:rPr>
                              <w:drawing>
                                <wp:inline distT="0" distB="0" distL="0" distR="0">
                                  <wp:extent cx="3628642" cy="1741336"/>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43113" cy="17482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F67ECD6" id="Zone de texte 51" o:spid="_x0000_s1074" type="#_x0000_t202" style="position:absolute;left:0;text-align:left;margin-left:246.8pt;margin-top:21.85pt;width:298pt;height:200.65pt;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" filled="f" strokeweight=".5pt">
                <v:path arrowok="t"/>
                <v:textbox style="mso-fit-shape-to-text:t">
                  <w:txbxContent>
                    <w:p w:rsidR="00146325" w:rsidRDefault="00146325" w:rsidP="00474510">
                      <w:pPr>
                        <w:pStyle w:val="Lgende"/>
                        <w:keepNext/>
                        <w:jc w:val="both"/>
                      </w:pPr>
                      <w:bookmarkStart w:id="560" w:name="_Toc526120106"/>
                      <w:r>
                        <w:t xml:space="preserve">Figure </w:t>
                      </w:r>
                      <w:r w:rsidR="00C73EE5">
                        <w:fldChar w:fldCharType="begin"/>
                      </w:r>
                      <w:r w:rsidR="00C73EE5">
                        <w:instrText xml:space="preserve"> SEQ Figure \* ARABIC </w:instrText>
                      </w:r>
                      <w:r w:rsidR="00C73EE5">
                        <w:fldChar w:fldCharType="separate"/>
                      </w:r>
                      <w:r>
                        <w:rPr>
                          <w:noProof/>
                        </w:rPr>
                        <w:t>40</w:t>
                      </w:r>
                      <w:r w:rsidR="00C73EE5">
                        <w:rPr>
                          <w:noProof/>
                        </w:rPr>
                        <w:fldChar w:fldCharType="end"/>
                      </w:r>
                      <w:r>
                        <w:t xml:space="preserve"> - Nombre de projets selon les programmes d'investissements de l'Initiative 3N</w:t>
                      </w:r>
                      <w:bookmarkEnd w:id="560"/>
                    </w:p>
                    <w:p w:rsidR="00146325" w:rsidRPr="0078511B" w:rsidRDefault="00146325" w:rsidP="0083199D">
                      <w:pPr>
                        <w:jc w:val="both"/>
                      </w:pPr>
                      <w:r w:rsidRPr="00EE6EB1">
                        <w:rPr>
                          <w:noProof/>
                          <w:lang w:eastAsia="fr-FR"/>
                        </w:rPr>
                        <w:drawing>
                          <wp:inline distT="0" distB="0" distL="0" distR="0">
                            <wp:extent cx="3628642" cy="1741336"/>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43113" cy="1748281"/>
                                    </a:xfrm>
                                    <a:prstGeom prst="rect">
                                      <a:avLst/>
                                    </a:prstGeom>
                                    <a:noFill/>
                                    <a:ln>
                                      <a:noFill/>
                                    </a:ln>
                                  </pic:spPr>
                                </pic:pic>
                              </a:graphicData>
                            </a:graphic>
                          </wp:inline>
                        </w:drawing>
                      </w:r>
                    </w:p>
                  </w:txbxContent>
                </v:textbox>
                <w10:wrap type="square" anchorx="margin"/>
              </v:shape>
            </w:pict>
          </mc:Fallback>
        </mc:AlternateContent>
      </w:r>
      <w:r w:rsidR="00ED4C6F" w:rsidRPr="006866D3">
        <w:rPr>
          <w:rFonts w:ascii="Nyala" w:hAnsi="Nyala"/>
          <w:bCs/>
          <w:color w:val="000000"/>
          <w:sz w:val="28"/>
          <w:szCs w:val="28"/>
          <w:lang w:eastAsia="fr-FR"/>
        </w:rPr>
        <w:t>Tous les domaines d’investissements de l’Initiative 3N sont couverts mais à des degrés différents. Les programmes stratégiques les plus couverts en actions (pas forcément en ressources financières) sont ceux relatifs à la mobilisation des eaux pour la production agricole (PS1)</w:t>
      </w:r>
      <w:r w:rsidR="00EB6BA5" w:rsidRPr="006866D3">
        <w:rPr>
          <w:rFonts w:ascii="Nyala" w:hAnsi="Nyala"/>
          <w:bCs/>
          <w:color w:val="000000"/>
          <w:sz w:val="28"/>
          <w:szCs w:val="28"/>
          <w:lang w:eastAsia="fr-FR"/>
        </w:rPr>
        <w:t xml:space="preserve"> et à la lutte contre l’insécurité alimentaire chronique</w:t>
      </w:r>
      <w:r w:rsidR="00DF733A" w:rsidRPr="006866D3">
        <w:rPr>
          <w:rFonts w:ascii="Nyala" w:hAnsi="Nyala"/>
          <w:bCs/>
          <w:color w:val="000000"/>
          <w:sz w:val="28"/>
          <w:szCs w:val="28"/>
          <w:lang w:eastAsia="fr-FR"/>
        </w:rPr>
        <w:t xml:space="preserve"> (</w:t>
      </w:r>
      <w:r w:rsidR="00DF733A" w:rsidRPr="006866D3">
        <w:rPr>
          <w:rFonts w:ascii="Nyala" w:hAnsi="Nyala"/>
          <w:b/>
          <w:bCs/>
          <w:color w:val="000000"/>
          <w:sz w:val="28"/>
          <w:szCs w:val="28"/>
          <w:lang w:eastAsia="fr-FR"/>
        </w:rPr>
        <w:t xml:space="preserve">Figure </w:t>
      </w:r>
      <w:r w:rsidR="00D413AC">
        <w:rPr>
          <w:rFonts w:ascii="Nyala" w:hAnsi="Nyala"/>
          <w:b/>
          <w:bCs/>
          <w:color w:val="000000"/>
          <w:sz w:val="28"/>
          <w:szCs w:val="28"/>
          <w:lang w:eastAsia="fr-FR"/>
        </w:rPr>
        <w:t>40</w:t>
      </w:r>
      <w:r w:rsidR="00DF733A" w:rsidRPr="006866D3">
        <w:rPr>
          <w:rFonts w:ascii="Nyala" w:hAnsi="Nyala"/>
          <w:bCs/>
          <w:color w:val="000000"/>
          <w:sz w:val="28"/>
          <w:szCs w:val="28"/>
          <w:lang w:eastAsia="fr-FR"/>
        </w:rPr>
        <w:t>)</w:t>
      </w:r>
      <w:r w:rsidR="00EB6BA5" w:rsidRPr="006866D3">
        <w:rPr>
          <w:rFonts w:ascii="Nyala" w:hAnsi="Nyala"/>
          <w:bCs/>
          <w:color w:val="000000"/>
          <w:sz w:val="28"/>
          <w:szCs w:val="28"/>
          <w:lang w:eastAsia="fr-FR"/>
        </w:rPr>
        <w:t xml:space="preserve">. </w:t>
      </w:r>
    </w:p>
    <w:p w:rsidR="00DF733A" w:rsidRPr="006866D3" w:rsidRDefault="00DF733A" w:rsidP="004E4A36">
      <w:pPr>
        <w:spacing w:line="259" w:lineRule="auto"/>
        <w:contextualSpacing/>
        <w:jc w:val="both"/>
        <w:rPr>
          <w:rFonts w:ascii="Nyala" w:hAnsi="Nyala"/>
          <w:bCs/>
          <w:color w:val="000000"/>
          <w:sz w:val="28"/>
          <w:szCs w:val="28"/>
          <w:lang w:eastAsia="fr-FR"/>
        </w:rPr>
      </w:pPr>
    </w:p>
    <w:p w:rsidR="006642A5" w:rsidRPr="006866D3" w:rsidRDefault="00EB6BA5" w:rsidP="004E4A36">
      <w:pPr>
        <w:spacing w:line="259" w:lineRule="auto"/>
        <w:contextualSpacing/>
        <w:jc w:val="both"/>
        <w:rPr>
          <w:rFonts w:ascii="Nyala" w:hAnsi="Nyala"/>
          <w:bCs/>
          <w:color w:val="000000"/>
          <w:sz w:val="28"/>
          <w:szCs w:val="28"/>
          <w:lang w:eastAsia="fr-FR"/>
        </w:rPr>
      </w:pPr>
      <w:r w:rsidRPr="006866D3">
        <w:rPr>
          <w:rFonts w:ascii="Nyala" w:hAnsi="Nyala"/>
          <w:bCs/>
          <w:color w:val="000000"/>
          <w:sz w:val="28"/>
          <w:szCs w:val="28"/>
          <w:lang w:eastAsia="fr-FR"/>
        </w:rPr>
        <w:t xml:space="preserve">Les thématiques les moins annoncées sont l’hydraulique pastorale, le développement des produits forestiers non ligneux et halieutiques, l’insécurité conjoncturelle et l’appui à la mise en œuvre. </w:t>
      </w:r>
    </w:p>
    <w:p w:rsidR="00EE6EB1" w:rsidRPr="006866D3" w:rsidRDefault="00EE6EB1" w:rsidP="004E4A36">
      <w:pPr>
        <w:spacing w:line="259" w:lineRule="auto"/>
        <w:contextualSpacing/>
        <w:jc w:val="both"/>
        <w:rPr>
          <w:rFonts w:ascii="Nyala" w:hAnsi="Nyala"/>
          <w:bCs/>
          <w:color w:val="000000"/>
          <w:sz w:val="28"/>
          <w:szCs w:val="28"/>
          <w:lang w:eastAsia="fr-FR"/>
        </w:rPr>
      </w:pPr>
    </w:p>
    <w:p w:rsidR="00D3660F" w:rsidRPr="006866D3" w:rsidRDefault="00D3660F" w:rsidP="00160432">
      <w:pPr>
        <w:spacing w:line="259" w:lineRule="auto"/>
        <w:contextualSpacing/>
        <w:jc w:val="both"/>
        <w:rPr>
          <w:rFonts w:ascii="Nyala" w:hAnsi="Nyala"/>
          <w:bCs/>
          <w:color w:val="000000"/>
          <w:sz w:val="28"/>
          <w:szCs w:val="28"/>
          <w:lang w:eastAsia="fr-FR"/>
        </w:rPr>
      </w:pPr>
      <w:r w:rsidRPr="006866D3">
        <w:rPr>
          <w:rFonts w:ascii="Nyala" w:hAnsi="Nyala"/>
          <w:bCs/>
          <w:color w:val="000000"/>
          <w:sz w:val="28"/>
          <w:szCs w:val="28"/>
          <w:lang w:eastAsia="fr-FR"/>
        </w:rPr>
        <w:t xml:space="preserve">Toutefois, il y a lieu de retenir que de plus en plus les projets d’investissements se donnent une certaine flexibilité pour accompagner le pays dans la prise en charge des personnes vulnérables affectées par un choc (climatique, environnemental ou social) ; il y est prévu dans la majorité des cas, </w:t>
      </w:r>
      <w:r w:rsidR="006D32E8" w:rsidRPr="006866D3">
        <w:rPr>
          <w:rFonts w:ascii="Nyala" w:hAnsi="Nyala"/>
          <w:bCs/>
          <w:color w:val="000000"/>
          <w:sz w:val="28"/>
          <w:szCs w:val="28"/>
          <w:lang w:eastAsia="fr-FR"/>
        </w:rPr>
        <w:t xml:space="preserve">un </w:t>
      </w:r>
      <w:r w:rsidR="00B41605">
        <w:rPr>
          <w:rFonts w:ascii="Nyala" w:hAnsi="Nyala"/>
          <w:bCs/>
          <w:color w:val="000000"/>
          <w:sz w:val="28"/>
          <w:szCs w:val="28"/>
          <w:lang w:eastAsia="fr-FR"/>
        </w:rPr>
        <w:t>m</w:t>
      </w:r>
      <w:r w:rsidR="00B41605" w:rsidRPr="006866D3">
        <w:rPr>
          <w:rFonts w:ascii="Nyala" w:hAnsi="Nyala"/>
          <w:bCs/>
          <w:color w:val="000000"/>
          <w:sz w:val="28"/>
          <w:szCs w:val="28"/>
          <w:lang w:eastAsia="fr-FR"/>
        </w:rPr>
        <w:t xml:space="preserve">écanisme </w:t>
      </w:r>
      <w:r w:rsidR="00160432" w:rsidRPr="006866D3">
        <w:rPr>
          <w:rFonts w:ascii="Nyala" w:hAnsi="Nyala"/>
          <w:bCs/>
          <w:color w:val="000000"/>
          <w:sz w:val="28"/>
          <w:szCs w:val="28"/>
          <w:lang w:eastAsia="fr-FR"/>
        </w:rPr>
        <w:t>de réponse rapide (MRR)</w:t>
      </w:r>
      <w:r w:rsidR="006D32E8" w:rsidRPr="006866D3">
        <w:rPr>
          <w:rFonts w:ascii="Nyala" w:hAnsi="Nyala"/>
          <w:bCs/>
          <w:color w:val="000000"/>
          <w:sz w:val="28"/>
          <w:szCs w:val="28"/>
          <w:lang w:eastAsia="fr-FR"/>
        </w:rPr>
        <w:t xml:space="preserve"> aux situations </w:t>
      </w:r>
      <w:r w:rsidRPr="006866D3">
        <w:rPr>
          <w:rFonts w:ascii="Nyala" w:hAnsi="Nyala"/>
          <w:bCs/>
          <w:color w:val="000000"/>
          <w:sz w:val="28"/>
          <w:szCs w:val="28"/>
          <w:lang w:eastAsia="fr-FR"/>
        </w:rPr>
        <w:t xml:space="preserve">d’urgence qui n’est provisionnée que d’accord partie entre le gouvernement et le bailleur et sur la base d’une évaluation des sinistres et de leurs effets sur les ménages vulnérables. </w:t>
      </w:r>
    </w:p>
    <w:p w:rsidR="00EE6EB1" w:rsidRPr="006866D3" w:rsidRDefault="00EE6EB1" w:rsidP="004E4A36">
      <w:pPr>
        <w:spacing w:line="259" w:lineRule="auto"/>
        <w:contextualSpacing/>
        <w:jc w:val="both"/>
        <w:rPr>
          <w:rFonts w:ascii="Nyala" w:hAnsi="Nyala"/>
          <w:bCs/>
          <w:color w:val="000000"/>
          <w:sz w:val="28"/>
          <w:szCs w:val="28"/>
          <w:lang w:eastAsia="fr-FR"/>
        </w:rPr>
      </w:pPr>
    </w:p>
    <w:p w:rsidR="00CD0AF5" w:rsidRPr="006866D3" w:rsidRDefault="00CD0AF5" w:rsidP="004E4A36">
      <w:pPr>
        <w:spacing w:line="259" w:lineRule="auto"/>
        <w:contextualSpacing/>
        <w:jc w:val="both"/>
        <w:rPr>
          <w:rFonts w:ascii="Nyala" w:hAnsi="Nyala"/>
          <w:bCs/>
          <w:color w:val="000000"/>
          <w:sz w:val="28"/>
          <w:szCs w:val="28"/>
          <w:lang w:eastAsia="fr-FR"/>
        </w:rPr>
      </w:pPr>
    </w:p>
    <w:p w:rsidR="00D3660F" w:rsidRPr="006866D3" w:rsidRDefault="00D3660F" w:rsidP="004E4A36">
      <w:pPr>
        <w:spacing w:line="259" w:lineRule="auto"/>
        <w:contextualSpacing/>
        <w:jc w:val="both"/>
        <w:rPr>
          <w:rStyle w:val="Rfrenceintense"/>
          <w:sz w:val="28"/>
          <w:szCs w:val="28"/>
        </w:rPr>
      </w:pPr>
      <w:r w:rsidRPr="006866D3">
        <w:rPr>
          <w:rStyle w:val="Rfrenceintense"/>
          <w:sz w:val="28"/>
          <w:szCs w:val="28"/>
        </w:rPr>
        <w:t>Actions humanitaires</w:t>
      </w:r>
    </w:p>
    <w:p w:rsidR="00D3660F" w:rsidRPr="006866D3" w:rsidRDefault="00D3660F" w:rsidP="004E4A36">
      <w:pPr>
        <w:spacing w:line="259" w:lineRule="auto"/>
        <w:contextualSpacing/>
        <w:jc w:val="both"/>
        <w:rPr>
          <w:rFonts w:ascii="Nyala" w:hAnsi="Nyala"/>
          <w:bCs/>
          <w:color w:val="000000"/>
          <w:sz w:val="28"/>
          <w:szCs w:val="28"/>
          <w:lang w:eastAsia="fr-FR"/>
        </w:rPr>
      </w:pPr>
    </w:p>
    <w:p w:rsidR="007A417E" w:rsidRPr="006866D3" w:rsidRDefault="00160432" w:rsidP="00160432">
      <w:pPr>
        <w:spacing w:line="259" w:lineRule="auto"/>
        <w:contextualSpacing/>
        <w:jc w:val="both"/>
        <w:rPr>
          <w:rFonts w:ascii="Nyala" w:hAnsi="Nyala"/>
          <w:bCs/>
          <w:color w:val="000000"/>
          <w:sz w:val="28"/>
          <w:szCs w:val="28"/>
          <w:lang w:eastAsia="fr-FR"/>
        </w:rPr>
      </w:pPr>
      <w:r w:rsidRPr="006866D3">
        <w:rPr>
          <w:rFonts w:ascii="Nyala" w:hAnsi="Nyala"/>
          <w:bCs/>
          <w:color w:val="000000"/>
          <w:sz w:val="28"/>
          <w:szCs w:val="28"/>
          <w:lang w:eastAsia="fr-FR"/>
        </w:rPr>
        <w:t>Le Niger compte 175 organisations humanitaires</w:t>
      </w:r>
      <w:r w:rsidR="007A417E" w:rsidRPr="006866D3">
        <w:rPr>
          <w:rFonts w:ascii="Nyala" w:hAnsi="Nyala"/>
          <w:bCs/>
          <w:color w:val="000000"/>
          <w:sz w:val="28"/>
          <w:szCs w:val="28"/>
          <w:lang w:eastAsia="fr-FR"/>
        </w:rPr>
        <w:t xml:space="preserve"> (OH)</w:t>
      </w:r>
      <w:r w:rsidRPr="006866D3">
        <w:rPr>
          <w:rFonts w:ascii="Nyala" w:hAnsi="Nyala"/>
          <w:bCs/>
          <w:color w:val="000000"/>
          <w:sz w:val="28"/>
          <w:szCs w:val="28"/>
          <w:lang w:eastAsia="fr-FR"/>
        </w:rPr>
        <w:t xml:space="preserve">, dont 14 entités des Nations Unies, 98 ONG nationales et 63 ONG internationales et sociétés de la Croix-Rouge. </w:t>
      </w:r>
      <w:r w:rsidR="007A417E" w:rsidRPr="006866D3">
        <w:rPr>
          <w:rFonts w:ascii="Nyala" w:hAnsi="Nyala"/>
          <w:bCs/>
          <w:color w:val="000000"/>
          <w:sz w:val="28"/>
          <w:szCs w:val="28"/>
          <w:lang w:eastAsia="fr-FR"/>
        </w:rPr>
        <w:t xml:space="preserve">Ces organisations interviennent sur l’ensemble du territoire. Mais pour la seule région de Diffa en proie à des conflits et à l’insécurité alimentaire, il a été </w:t>
      </w:r>
      <w:r w:rsidR="009200AF" w:rsidRPr="006866D3">
        <w:rPr>
          <w:rFonts w:ascii="Nyala" w:hAnsi="Nyala"/>
          <w:bCs/>
          <w:color w:val="000000"/>
          <w:sz w:val="28"/>
          <w:szCs w:val="28"/>
          <w:lang w:eastAsia="fr-FR"/>
        </w:rPr>
        <w:t>enregistré</w:t>
      </w:r>
      <w:r w:rsidR="007A417E" w:rsidRPr="006866D3">
        <w:rPr>
          <w:rFonts w:ascii="Nyala" w:hAnsi="Nyala"/>
          <w:bCs/>
          <w:color w:val="000000"/>
          <w:sz w:val="28"/>
          <w:szCs w:val="28"/>
          <w:lang w:eastAsia="fr-FR"/>
        </w:rPr>
        <w:t xml:space="preserve"> la présence de </w:t>
      </w:r>
      <w:r w:rsidRPr="006866D3">
        <w:rPr>
          <w:rFonts w:ascii="Nyala" w:hAnsi="Nyala"/>
          <w:bCs/>
          <w:color w:val="000000"/>
          <w:sz w:val="28"/>
          <w:szCs w:val="28"/>
          <w:lang w:eastAsia="fr-FR"/>
        </w:rPr>
        <w:t xml:space="preserve">74 </w:t>
      </w:r>
      <w:r w:rsidR="007A417E" w:rsidRPr="006866D3">
        <w:rPr>
          <w:rFonts w:ascii="Nyala" w:hAnsi="Nyala"/>
          <w:bCs/>
          <w:color w:val="000000"/>
          <w:sz w:val="28"/>
          <w:szCs w:val="28"/>
          <w:lang w:eastAsia="fr-FR"/>
        </w:rPr>
        <w:t xml:space="preserve">OH dont 10 </w:t>
      </w:r>
      <w:r w:rsidRPr="006866D3">
        <w:rPr>
          <w:rFonts w:ascii="Nyala" w:hAnsi="Nyala"/>
          <w:bCs/>
          <w:color w:val="000000"/>
          <w:sz w:val="28"/>
          <w:szCs w:val="28"/>
          <w:lang w:eastAsia="fr-FR"/>
        </w:rPr>
        <w:t>agences des Nations Unies,33 ONG internationales, 27 ONG nationales et 4 membres du Mouvement de la Croix-Rouge</w:t>
      </w:r>
      <w:r w:rsidR="007A417E" w:rsidRPr="006866D3">
        <w:rPr>
          <w:rFonts w:ascii="Nyala" w:hAnsi="Nyala"/>
          <w:bCs/>
          <w:color w:val="000000"/>
          <w:sz w:val="28"/>
          <w:szCs w:val="28"/>
          <w:lang w:eastAsia="fr-FR"/>
        </w:rPr>
        <w:t xml:space="preserve">. </w:t>
      </w:r>
    </w:p>
    <w:p w:rsidR="006D32E8" w:rsidRPr="006866D3" w:rsidRDefault="006D32E8" w:rsidP="00160432">
      <w:pPr>
        <w:spacing w:line="259" w:lineRule="auto"/>
        <w:contextualSpacing/>
        <w:jc w:val="both"/>
        <w:rPr>
          <w:rFonts w:ascii="Nyala" w:hAnsi="Nyala"/>
          <w:bCs/>
          <w:color w:val="000000"/>
          <w:sz w:val="28"/>
          <w:szCs w:val="28"/>
          <w:lang w:eastAsia="fr-FR"/>
        </w:rPr>
      </w:pPr>
    </w:p>
    <w:p w:rsidR="006D32E8" w:rsidRPr="006866D3" w:rsidRDefault="006D32E8" w:rsidP="00160432">
      <w:pPr>
        <w:spacing w:line="259" w:lineRule="auto"/>
        <w:contextualSpacing/>
        <w:jc w:val="both"/>
        <w:rPr>
          <w:rFonts w:ascii="Nyala" w:hAnsi="Nyala"/>
          <w:bCs/>
          <w:color w:val="000000"/>
          <w:sz w:val="28"/>
          <w:szCs w:val="28"/>
          <w:lang w:eastAsia="fr-FR"/>
        </w:rPr>
      </w:pPr>
      <w:r w:rsidRPr="006866D3">
        <w:rPr>
          <w:rFonts w:ascii="Nyala" w:hAnsi="Nyala"/>
          <w:bCs/>
          <w:color w:val="000000"/>
          <w:sz w:val="28"/>
          <w:szCs w:val="28"/>
          <w:lang w:eastAsia="fr-FR"/>
        </w:rPr>
        <w:t>Les organisations humanitaires s’organisent en « clusters » thématiques dont l’objet est de constituer un cadre d’échange, d’harmonisation des approches, de recherche de complémentarité et de synergie dans les actions de terrain. Elles répondent aux sollicitations du Gouvernement pour le soutien aux ménages et groupes sociaux vulnérabilisés suite à un choc (sécheresse, inondation, conflit …</w:t>
      </w:r>
      <w:r w:rsidR="00872FF5" w:rsidRPr="006866D3">
        <w:rPr>
          <w:rFonts w:ascii="Nyala" w:hAnsi="Nyala"/>
          <w:bCs/>
          <w:color w:val="000000"/>
          <w:sz w:val="28"/>
          <w:szCs w:val="28"/>
          <w:lang w:eastAsia="fr-FR"/>
        </w:rPr>
        <w:t xml:space="preserve">.) à travers un Plan de réponse. </w:t>
      </w:r>
    </w:p>
    <w:p w:rsidR="00872FF5" w:rsidRPr="006866D3" w:rsidRDefault="00872FF5" w:rsidP="00160432">
      <w:pPr>
        <w:spacing w:line="259" w:lineRule="auto"/>
        <w:contextualSpacing/>
        <w:jc w:val="both"/>
        <w:rPr>
          <w:rFonts w:ascii="Nyala" w:hAnsi="Nyala"/>
          <w:bCs/>
          <w:color w:val="000000"/>
          <w:sz w:val="28"/>
          <w:szCs w:val="28"/>
          <w:lang w:eastAsia="fr-FR"/>
        </w:rPr>
      </w:pPr>
    </w:p>
    <w:p w:rsidR="00872FF5" w:rsidRPr="006866D3" w:rsidRDefault="00872FF5" w:rsidP="00872FF5">
      <w:pPr>
        <w:spacing w:line="259" w:lineRule="auto"/>
        <w:contextualSpacing/>
        <w:jc w:val="both"/>
        <w:rPr>
          <w:rFonts w:ascii="Nyala" w:hAnsi="Nyala"/>
          <w:bCs/>
          <w:color w:val="000000"/>
          <w:sz w:val="28"/>
          <w:szCs w:val="28"/>
          <w:lang w:eastAsia="fr-FR"/>
        </w:rPr>
      </w:pPr>
      <w:r w:rsidRPr="006866D3">
        <w:rPr>
          <w:rFonts w:ascii="Nyala" w:hAnsi="Nyala"/>
          <w:bCs/>
          <w:color w:val="000000"/>
          <w:sz w:val="28"/>
          <w:szCs w:val="28"/>
          <w:lang w:eastAsia="fr-FR"/>
        </w:rPr>
        <w:t>Leurs actions visent à sauver des vies, réduire les vulnérabilités et faciliter le renforcement des moyens d</w:t>
      </w:r>
      <w:r w:rsidR="008A7465">
        <w:rPr>
          <w:rFonts w:ascii="Nyala" w:hAnsi="Nyala"/>
          <w:bCs/>
          <w:color w:val="000000"/>
          <w:sz w:val="28"/>
          <w:szCs w:val="28"/>
          <w:lang w:eastAsia="fr-FR"/>
        </w:rPr>
        <w:t>’</w:t>
      </w:r>
      <w:r w:rsidR="008A7465">
        <w:rPr>
          <w:rFonts w:ascii="Nyala" w:hAnsi="Nyala" w:cstheme="minorHAnsi"/>
          <w:color w:val="58595B"/>
          <w:sz w:val="28"/>
          <w:szCs w:val="28"/>
        </w:rPr>
        <w:t>existenc</w:t>
      </w:r>
      <w:r w:rsidR="008A7465">
        <w:rPr>
          <w:rFonts w:ascii="Nyala" w:hAnsi="Nyala"/>
          <w:bCs/>
          <w:color w:val="000000"/>
          <w:sz w:val="28"/>
          <w:szCs w:val="28"/>
          <w:lang w:eastAsia="fr-FR"/>
        </w:rPr>
        <w:t>e</w:t>
      </w:r>
      <w:r w:rsidRPr="006866D3">
        <w:rPr>
          <w:rFonts w:ascii="Nyala" w:hAnsi="Nyala"/>
          <w:bCs/>
          <w:color w:val="000000"/>
          <w:sz w:val="28"/>
          <w:szCs w:val="28"/>
          <w:lang w:eastAsia="fr-FR"/>
        </w:rPr>
        <w:t>. Il s’agit pour d’offrir aux populations un environnement protecteur, base d’une meilleure construction humaine, de stabilité et de développement intégré des sociétés fragilisées.</w:t>
      </w:r>
    </w:p>
    <w:p w:rsidR="00872FF5" w:rsidRPr="006866D3" w:rsidRDefault="00872FF5" w:rsidP="00872FF5">
      <w:pPr>
        <w:spacing w:line="259" w:lineRule="auto"/>
        <w:contextualSpacing/>
        <w:jc w:val="both"/>
        <w:rPr>
          <w:rFonts w:ascii="Nyala" w:hAnsi="Nyala"/>
          <w:bCs/>
          <w:color w:val="000000"/>
          <w:sz w:val="28"/>
          <w:szCs w:val="28"/>
          <w:lang w:eastAsia="fr-FR"/>
        </w:rPr>
      </w:pPr>
    </w:p>
    <w:p w:rsidR="00872FF5" w:rsidRPr="006866D3" w:rsidRDefault="00872FF5" w:rsidP="00872FF5">
      <w:pPr>
        <w:spacing w:line="259" w:lineRule="auto"/>
        <w:contextualSpacing/>
        <w:jc w:val="both"/>
        <w:rPr>
          <w:rFonts w:ascii="Nyala" w:hAnsi="Nyala"/>
          <w:bCs/>
          <w:color w:val="000000"/>
          <w:sz w:val="28"/>
          <w:szCs w:val="28"/>
          <w:lang w:eastAsia="fr-FR"/>
        </w:rPr>
      </w:pPr>
      <w:r w:rsidRPr="006866D3">
        <w:rPr>
          <w:rFonts w:ascii="Nyala" w:hAnsi="Nyala"/>
          <w:bCs/>
          <w:color w:val="000000"/>
          <w:sz w:val="28"/>
          <w:szCs w:val="28"/>
          <w:lang w:eastAsia="fr-FR"/>
        </w:rPr>
        <w:t xml:space="preserve">En matière de sécurité alimentaire, il s’agit de i) apporter une assistance alimentaire et agricole coordonnée pour sauver des vies ; ii) renforcer la capacité des ménages à résister aux chocs dans les zones affectées par les crises et protéger leurs moyenset iii) renforcer la collecte, l’analyse et la gestion d’information sur la réponse dans les zones d’intervention humanitaire ainsi que les mécanismes de redevabilité. </w:t>
      </w:r>
    </w:p>
    <w:p w:rsidR="00872FF5" w:rsidRPr="006866D3" w:rsidRDefault="00872FF5" w:rsidP="00872FF5">
      <w:pPr>
        <w:spacing w:line="259" w:lineRule="auto"/>
        <w:contextualSpacing/>
        <w:jc w:val="both"/>
        <w:rPr>
          <w:rFonts w:ascii="Nyala" w:hAnsi="Nyala"/>
          <w:bCs/>
          <w:color w:val="000000"/>
          <w:sz w:val="28"/>
          <w:szCs w:val="28"/>
          <w:lang w:eastAsia="fr-FR"/>
        </w:rPr>
      </w:pPr>
    </w:p>
    <w:p w:rsidR="005E2C9F" w:rsidRPr="006866D3" w:rsidRDefault="00146983" w:rsidP="0010092E">
      <w:pPr>
        <w:spacing w:line="259" w:lineRule="auto"/>
        <w:contextualSpacing/>
        <w:jc w:val="both"/>
        <w:rPr>
          <w:rFonts w:ascii="Nyala" w:hAnsi="Nyala"/>
          <w:bCs/>
          <w:color w:val="000000"/>
          <w:sz w:val="28"/>
          <w:szCs w:val="28"/>
          <w:lang w:eastAsia="fr-FR"/>
        </w:rPr>
      </w:pPr>
      <w:r>
        <w:rPr>
          <w:noProof/>
          <w:sz w:val="28"/>
          <w:szCs w:val="28"/>
          <w:lang w:eastAsia="fr-FR"/>
        </w:rPr>
        <mc:AlternateContent>
          <mc:Choice Requires="wps">
            <w:drawing>
              <wp:anchor distT="0" distB="0" distL="114300" distR="114300" simplePos="0" relativeHeight="251833344" behindDoc="0" locked="0" layoutInCell="1" allowOverlap="1" wp14:anchorId="0E990E68">
                <wp:simplePos x="0" y="0"/>
                <wp:positionH relativeFrom="margin">
                  <wp:align>right</wp:align>
                </wp:positionH>
                <wp:positionV relativeFrom="paragraph">
                  <wp:posOffset>1845945</wp:posOffset>
                </wp:positionV>
                <wp:extent cx="3608070" cy="2361565"/>
                <wp:effectExtent l="0" t="0" r="13335" b="19685"/>
                <wp:wrapSquare wrapText="bothSides"/>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8070" cy="2361565"/>
                        </a:xfrm>
                        <a:prstGeom prst="rect">
                          <a:avLst/>
                        </a:prstGeom>
                        <a:noFill/>
                        <a:ln w="6350">
                          <a:solidFill>
                            <a:prstClr val="black"/>
                          </a:solidFill>
                        </a:ln>
                        <a:effectLst/>
                      </wps:spPr>
                      <wps:txbx>
                        <w:txbxContent>
                          <w:p w:rsidR="00146325" w:rsidRDefault="00146325" w:rsidP="00474510">
                            <w:pPr>
                              <w:pStyle w:val="Lgende"/>
                              <w:keepNext/>
                              <w:jc w:val="both"/>
                            </w:pPr>
                            <w:bookmarkStart w:id="561" w:name="_Toc526120107"/>
                            <w:r>
                              <w:t xml:space="preserve">Figure </w:t>
                            </w:r>
                            <w:r w:rsidR="00C73EE5">
                              <w:fldChar w:fldCharType="begin"/>
                            </w:r>
                            <w:r w:rsidR="00C73EE5">
                              <w:instrText xml:space="preserve"> SEQ Figure \* ARABIC </w:instrText>
                            </w:r>
                            <w:r w:rsidR="00C73EE5">
                              <w:fldChar w:fldCharType="separate"/>
                            </w:r>
                            <w:r>
                              <w:rPr>
                                <w:noProof/>
                              </w:rPr>
                              <w:t>41</w:t>
                            </w:r>
                            <w:r w:rsidR="00C73EE5">
                              <w:rPr>
                                <w:noProof/>
                              </w:rPr>
                              <w:fldChar w:fldCharType="end"/>
                            </w:r>
                            <w:r>
                              <w:t xml:space="preserve"> – Types d’actions humanitaires</w:t>
                            </w:r>
                            <w:bookmarkEnd w:id="561"/>
                          </w:p>
                          <w:p w:rsidR="00146325" w:rsidRPr="001B40F6" w:rsidRDefault="00146325" w:rsidP="005C6966">
                            <w:pPr>
                              <w:contextualSpacing/>
                              <w:jc w:val="both"/>
                            </w:pPr>
                            <w:r w:rsidRPr="00094054">
                              <w:rPr>
                                <w:noProof/>
                                <w:lang w:eastAsia="fr-FR"/>
                              </w:rPr>
                              <w:drawing>
                                <wp:inline distT="0" distB="0" distL="0" distR="0">
                                  <wp:extent cx="3417501" cy="1342417"/>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37625" cy="135032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E990E68" id="Zone de texte 42" o:spid="_x0000_s1075" type="#_x0000_t202" style="position:absolute;left:0;text-align:left;margin-left:232.9pt;margin-top:145.35pt;width:284.1pt;height:185.95pt;z-index:25183334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" filled="f" strokeweight=".5pt">
                <v:path arrowok="t"/>
                <v:textbox style="mso-fit-shape-to-text:t">
                  <w:txbxContent>
                    <w:p w:rsidR="00146325" w:rsidRDefault="00146325" w:rsidP="00474510">
                      <w:pPr>
                        <w:pStyle w:val="Lgende"/>
                        <w:keepNext/>
                        <w:jc w:val="both"/>
                      </w:pPr>
                      <w:bookmarkStart w:id="562" w:name="_Toc526120107"/>
                      <w:r>
                        <w:t xml:space="preserve">Figure </w:t>
                      </w:r>
                      <w:r w:rsidR="00C73EE5">
                        <w:fldChar w:fldCharType="begin"/>
                      </w:r>
                      <w:r w:rsidR="00C73EE5">
                        <w:instrText xml:space="preserve"> SEQ Figure \* ARABIC </w:instrText>
                      </w:r>
                      <w:r w:rsidR="00C73EE5">
                        <w:fldChar w:fldCharType="separate"/>
                      </w:r>
                      <w:r>
                        <w:rPr>
                          <w:noProof/>
                        </w:rPr>
                        <w:t>41</w:t>
                      </w:r>
                      <w:r w:rsidR="00C73EE5">
                        <w:rPr>
                          <w:noProof/>
                        </w:rPr>
                        <w:fldChar w:fldCharType="end"/>
                      </w:r>
                      <w:r>
                        <w:t xml:space="preserve"> – Types d’actions humanitaires</w:t>
                      </w:r>
                      <w:bookmarkEnd w:id="562"/>
                    </w:p>
                    <w:p w:rsidR="00146325" w:rsidRPr="001B40F6" w:rsidRDefault="00146325" w:rsidP="005C6966">
                      <w:pPr>
                        <w:contextualSpacing/>
                        <w:jc w:val="both"/>
                      </w:pPr>
                      <w:r w:rsidRPr="00094054">
                        <w:rPr>
                          <w:noProof/>
                          <w:lang w:eastAsia="fr-FR"/>
                        </w:rPr>
                        <w:drawing>
                          <wp:inline distT="0" distB="0" distL="0" distR="0">
                            <wp:extent cx="3417501" cy="1342417"/>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37625" cy="1350322"/>
                                    </a:xfrm>
                                    <a:prstGeom prst="rect">
                                      <a:avLst/>
                                    </a:prstGeom>
                                    <a:noFill/>
                                    <a:ln>
                                      <a:noFill/>
                                    </a:ln>
                                  </pic:spPr>
                                </pic:pic>
                              </a:graphicData>
                            </a:graphic>
                          </wp:inline>
                        </w:drawing>
                      </w:r>
                    </w:p>
                  </w:txbxContent>
                </v:textbox>
                <w10:wrap type="square" anchorx="margin"/>
              </v:shape>
            </w:pict>
          </mc:Fallback>
        </mc:AlternateContent>
      </w:r>
      <w:r w:rsidR="00872FF5" w:rsidRPr="006866D3">
        <w:rPr>
          <w:rFonts w:ascii="Nyala" w:hAnsi="Nyala"/>
          <w:bCs/>
          <w:color w:val="000000"/>
          <w:sz w:val="28"/>
          <w:szCs w:val="28"/>
          <w:lang w:eastAsia="fr-FR"/>
        </w:rPr>
        <w:t>Les actions de lutte contre la malnutrition portent sur le renforcement de la qualité des services nutritionnels, la consolidation de l’intégration de la prise en charge de la malnutrition aiguë dans le système de santé et la mise à l’échelle des interventions de prévention. Les activités sont diversifiées et consistent au traitement de la malnutrition aiguë sévère et modérée,</w:t>
      </w:r>
      <w:r w:rsidR="00094054" w:rsidRPr="006866D3">
        <w:rPr>
          <w:rFonts w:ascii="Nyala" w:hAnsi="Nyala"/>
          <w:bCs/>
          <w:color w:val="000000"/>
          <w:sz w:val="28"/>
          <w:szCs w:val="28"/>
          <w:lang w:eastAsia="fr-FR"/>
        </w:rPr>
        <w:t xml:space="preserve"> la promotion du dépistage communautaire, </w:t>
      </w:r>
      <w:r w:rsidR="00872FF5" w:rsidRPr="006866D3">
        <w:rPr>
          <w:rFonts w:ascii="Nyala" w:hAnsi="Nyala"/>
          <w:bCs/>
          <w:color w:val="000000"/>
          <w:sz w:val="28"/>
          <w:szCs w:val="28"/>
          <w:lang w:eastAsia="fr-FR"/>
        </w:rPr>
        <w:t>la supplémentation nutritionnelle préventive surtout dans les zones les plus vulnérables,la promotion de l’Alimentation du Nourr</w:t>
      </w:r>
      <w:r w:rsidR="00094054" w:rsidRPr="006866D3">
        <w:rPr>
          <w:rFonts w:ascii="Nyala" w:hAnsi="Nyala"/>
          <w:bCs/>
          <w:color w:val="000000"/>
          <w:sz w:val="28"/>
          <w:szCs w:val="28"/>
          <w:lang w:eastAsia="fr-FR"/>
        </w:rPr>
        <w:t xml:space="preserve">isson et du Jeune Enfant (ANJE), </w:t>
      </w:r>
      <w:r w:rsidR="00872FF5" w:rsidRPr="006866D3">
        <w:rPr>
          <w:rFonts w:ascii="Nyala" w:hAnsi="Nyala"/>
          <w:bCs/>
          <w:color w:val="000000"/>
          <w:sz w:val="28"/>
          <w:szCs w:val="28"/>
          <w:lang w:eastAsia="fr-FR"/>
        </w:rPr>
        <w:t xml:space="preserve">l’intensification de la surveillance </w:t>
      </w:r>
      <w:r w:rsidR="00094054" w:rsidRPr="006866D3">
        <w:rPr>
          <w:rFonts w:ascii="Nyala" w:hAnsi="Nyala"/>
          <w:bCs/>
          <w:color w:val="000000"/>
          <w:sz w:val="28"/>
          <w:szCs w:val="28"/>
          <w:lang w:eastAsia="fr-FR"/>
        </w:rPr>
        <w:t xml:space="preserve">nutritionnelle, </w:t>
      </w:r>
      <w:r w:rsidR="00872FF5" w:rsidRPr="006866D3">
        <w:rPr>
          <w:rFonts w:ascii="Nyala" w:hAnsi="Nyala"/>
          <w:bCs/>
          <w:color w:val="000000"/>
          <w:sz w:val="28"/>
          <w:szCs w:val="28"/>
          <w:lang w:eastAsia="fr-FR"/>
        </w:rPr>
        <w:t>l’appui à l’approvisionnement des centres de santé en intrants nutritionnels et médicaments essentiels pour le traitement systématique,</w:t>
      </w:r>
      <w:r w:rsidR="00094054" w:rsidRPr="006866D3">
        <w:rPr>
          <w:rFonts w:ascii="Nyala" w:hAnsi="Nyala"/>
          <w:bCs/>
          <w:color w:val="000000"/>
          <w:sz w:val="28"/>
          <w:szCs w:val="28"/>
          <w:lang w:eastAsia="fr-FR"/>
        </w:rPr>
        <w:t xml:space="preserve"> le suivi-évaluation et la communication. </w:t>
      </w:r>
    </w:p>
    <w:p w:rsidR="005E2C9F" w:rsidRPr="006866D3" w:rsidRDefault="005E2C9F" w:rsidP="0010092E">
      <w:pPr>
        <w:spacing w:line="259" w:lineRule="auto"/>
        <w:contextualSpacing/>
        <w:jc w:val="both"/>
        <w:rPr>
          <w:rFonts w:ascii="Nyala" w:hAnsi="Nyala"/>
          <w:bCs/>
          <w:color w:val="000000"/>
          <w:sz w:val="28"/>
          <w:szCs w:val="28"/>
          <w:lang w:eastAsia="fr-FR"/>
        </w:rPr>
      </w:pPr>
    </w:p>
    <w:p w:rsidR="00CF1B38" w:rsidRPr="006866D3" w:rsidRDefault="00CF1B38" w:rsidP="0010092E">
      <w:pPr>
        <w:spacing w:line="259" w:lineRule="auto"/>
        <w:contextualSpacing/>
        <w:jc w:val="both"/>
        <w:rPr>
          <w:rFonts w:ascii="Nyala" w:hAnsi="Nyala"/>
          <w:bCs/>
          <w:color w:val="000000"/>
          <w:sz w:val="28"/>
          <w:szCs w:val="28"/>
          <w:lang w:eastAsia="fr-FR"/>
        </w:rPr>
      </w:pPr>
      <w:r w:rsidRPr="006866D3">
        <w:rPr>
          <w:rFonts w:ascii="Nyala" w:hAnsi="Nyala"/>
          <w:bCs/>
          <w:color w:val="000000"/>
          <w:sz w:val="28"/>
          <w:szCs w:val="28"/>
          <w:lang w:eastAsia="fr-FR"/>
        </w:rPr>
        <w:t>Les principales interventions nutritionnelles sont classées en six (6) catégories (ANJE, Micronutriments, Nutrition,  Contrôle des parasites, Population, Sécurité alimentaire) regroupant 19 types d’interventions (</w:t>
      </w:r>
      <w:r w:rsidR="005E2C9F" w:rsidRPr="006866D3">
        <w:rPr>
          <w:rFonts w:ascii="Nyala" w:hAnsi="Nyala"/>
          <w:b/>
          <w:bCs/>
          <w:color w:val="000000"/>
          <w:sz w:val="28"/>
          <w:szCs w:val="28"/>
          <w:lang w:eastAsia="fr-FR"/>
        </w:rPr>
        <w:t xml:space="preserve">Figure </w:t>
      </w:r>
      <w:r w:rsidR="00C16CC4">
        <w:rPr>
          <w:rFonts w:ascii="Nyala" w:hAnsi="Nyala"/>
          <w:b/>
          <w:bCs/>
          <w:color w:val="000000"/>
          <w:sz w:val="28"/>
          <w:szCs w:val="28"/>
          <w:lang w:eastAsia="fr-FR"/>
        </w:rPr>
        <w:t>4</w:t>
      </w:r>
      <w:r w:rsidR="00881124">
        <w:rPr>
          <w:rFonts w:ascii="Nyala" w:hAnsi="Nyala"/>
          <w:b/>
          <w:bCs/>
          <w:color w:val="000000"/>
          <w:sz w:val="28"/>
          <w:szCs w:val="28"/>
          <w:lang w:eastAsia="fr-FR"/>
        </w:rPr>
        <w:t>1</w:t>
      </w:r>
      <w:r w:rsidRPr="006866D3">
        <w:rPr>
          <w:rFonts w:ascii="Nyala" w:hAnsi="Nyala"/>
          <w:bCs/>
          <w:color w:val="000000"/>
          <w:sz w:val="28"/>
          <w:szCs w:val="28"/>
          <w:lang w:eastAsia="fr-FR"/>
        </w:rPr>
        <w:t>).</w:t>
      </w:r>
    </w:p>
    <w:p w:rsidR="0010092E" w:rsidRPr="006866D3" w:rsidRDefault="0010092E" w:rsidP="0010092E">
      <w:pPr>
        <w:spacing w:line="259" w:lineRule="auto"/>
        <w:contextualSpacing/>
        <w:jc w:val="both"/>
        <w:rPr>
          <w:rFonts w:ascii="Nyala" w:hAnsi="Nyala"/>
          <w:bCs/>
          <w:color w:val="000000"/>
          <w:sz w:val="28"/>
          <w:szCs w:val="28"/>
          <w:lang w:eastAsia="fr-FR"/>
        </w:rPr>
      </w:pPr>
    </w:p>
    <w:p w:rsidR="00872FF5" w:rsidRDefault="00094054" w:rsidP="00872FF5">
      <w:pPr>
        <w:spacing w:line="259" w:lineRule="auto"/>
        <w:contextualSpacing/>
        <w:jc w:val="both"/>
        <w:rPr>
          <w:rFonts w:ascii="Nyala" w:hAnsi="Nyala"/>
          <w:bCs/>
          <w:color w:val="000000"/>
          <w:sz w:val="28"/>
          <w:szCs w:val="28"/>
          <w:lang w:eastAsia="fr-FR"/>
        </w:rPr>
      </w:pPr>
      <w:r w:rsidRPr="006866D3">
        <w:rPr>
          <w:rFonts w:ascii="Nyala" w:hAnsi="Nyala"/>
          <w:bCs/>
          <w:color w:val="000000"/>
          <w:sz w:val="28"/>
          <w:szCs w:val="28"/>
          <w:lang w:eastAsia="fr-FR"/>
        </w:rPr>
        <w:t>Chaque année, les O</w:t>
      </w:r>
      <w:r w:rsidR="0010092E" w:rsidRPr="006866D3">
        <w:rPr>
          <w:rFonts w:ascii="Nyala" w:hAnsi="Nyala"/>
          <w:bCs/>
          <w:color w:val="000000"/>
          <w:sz w:val="28"/>
          <w:szCs w:val="28"/>
          <w:lang w:eastAsia="fr-FR"/>
        </w:rPr>
        <w:t xml:space="preserve">rganismes </w:t>
      </w:r>
      <w:r w:rsidRPr="006866D3">
        <w:rPr>
          <w:rFonts w:ascii="Nyala" w:hAnsi="Nyala"/>
          <w:bCs/>
          <w:color w:val="000000"/>
          <w:sz w:val="28"/>
          <w:szCs w:val="28"/>
          <w:lang w:eastAsia="fr-FR"/>
        </w:rPr>
        <w:t>H</w:t>
      </w:r>
      <w:r w:rsidR="0010092E" w:rsidRPr="006866D3">
        <w:rPr>
          <w:rFonts w:ascii="Nyala" w:hAnsi="Nyala"/>
          <w:bCs/>
          <w:color w:val="000000"/>
          <w:sz w:val="28"/>
          <w:szCs w:val="28"/>
          <w:lang w:eastAsia="fr-FR"/>
        </w:rPr>
        <w:t xml:space="preserve">umanitaires </w:t>
      </w:r>
      <w:r w:rsidRPr="006866D3">
        <w:rPr>
          <w:rFonts w:ascii="Nyala" w:hAnsi="Nyala"/>
          <w:bCs/>
          <w:color w:val="000000"/>
          <w:sz w:val="28"/>
          <w:szCs w:val="28"/>
          <w:lang w:eastAsia="fr-FR"/>
        </w:rPr>
        <w:t xml:space="preserve"> regroupés au sein des clusters soutiennent 75% à plus de 80% des personnes vulnérables ciblées dans le Plan de Soutien</w:t>
      </w:r>
      <w:r w:rsidR="00B41605">
        <w:rPr>
          <w:rFonts w:ascii="Nyala" w:hAnsi="Nyala"/>
          <w:bCs/>
          <w:color w:val="000000"/>
          <w:sz w:val="28"/>
          <w:szCs w:val="28"/>
          <w:lang w:eastAsia="fr-FR"/>
        </w:rPr>
        <w:t xml:space="preserve"> du Dispositif ?</w:t>
      </w:r>
      <w:r w:rsidRPr="006866D3">
        <w:rPr>
          <w:rFonts w:ascii="Nyala" w:hAnsi="Nyala"/>
          <w:bCs/>
          <w:color w:val="000000"/>
          <w:sz w:val="28"/>
          <w:szCs w:val="28"/>
          <w:lang w:eastAsia="fr-FR"/>
        </w:rPr>
        <w:t xml:space="preserve">. Pour l’année 2018, les OH se proposent d’intervenir auprès de 78% des 2,3 millions de personnes vulnérables du pays, pour un montant de 338 millions USD répartis comme mentionnés dans la </w:t>
      </w:r>
      <w:r w:rsidRPr="006866D3">
        <w:rPr>
          <w:rFonts w:ascii="Nyala" w:hAnsi="Nyala"/>
          <w:b/>
          <w:bCs/>
          <w:color w:val="000000"/>
          <w:sz w:val="28"/>
          <w:szCs w:val="28"/>
          <w:lang w:eastAsia="fr-FR"/>
        </w:rPr>
        <w:t xml:space="preserve">figure </w:t>
      </w:r>
      <w:r w:rsidR="00C16CC4">
        <w:rPr>
          <w:rFonts w:ascii="Nyala" w:hAnsi="Nyala"/>
          <w:b/>
          <w:bCs/>
          <w:color w:val="000000"/>
          <w:sz w:val="28"/>
          <w:szCs w:val="28"/>
          <w:lang w:eastAsia="fr-FR"/>
        </w:rPr>
        <w:t>4</w:t>
      </w:r>
      <w:r w:rsidR="00881124">
        <w:rPr>
          <w:rFonts w:ascii="Nyala" w:hAnsi="Nyala"/>
          <w:b/>
          <w:bCs/>
          <w:color w:val="000000"/>
          <w:sz w:val="28"/>
          <w:szCs w:val="28"/>
          <w:lang w:eastAsia="fr-FR"/>
        </w:rPr>
        <w:t>2</w:t>
      </w:r>
      <w:r w:rsidRPr="006866D3">
        <w:rPr>
          <w:rFonts w:ascii="Nyala" w:hAnsi="Nyala"/>
          <w:bCs/>
          <w:color w:val="000000"/>
          <w:sz w:val="28"/>
          <w:szCs w:val="28"/>
          <w:lang w:eastAsia="fr-FR"/>
        </w:rPr>
        <w:t>.</w:t>
      </w:r>
      <w:r w:rsidR="00D95B83" w:rsidRPr="006866D3">
        <w:rPr>
          <w:rFonts w:ascii="Nyala" w:hAnsi="Nyala"/>
          <w:bCs/>
          <w:color w:val="000000"/>
          <w:sz w:val="28"/>
          <w:szCs w:val="28"/>
          <w:lang w:eastAsia="fr-FR"/>
        </w:rPr>
        <w:t>Les plus grands contributeurs aux actions humanitaires sont le P</w:t>
      </w:r>
      <w:r w:rsidR="005E2C9F" w:rsidRPr="006866D3">
        <w:rPr>
          <w:rFonts w:ascii="Nyala" w:hAnsi="Nyala"/>
          <w:bCs/>
          <w:color w:val="000000"/>
          <w:sz w:val="28"/>
          <w:szCs w:val="28"/>
          <w:lang w:eastAsia="fr-FR"/>
        </w:rPr>
        <w:t xml:space="preserve">AM, l’UNICEF et l’UNHCR. </w:t>
      </w:r>
    </w:p>
    <w:p w:rsidR="00F6102E" w:rsidRPr="006866D3" w:rsidRDefault="00146983" w:rsidP="00872FF5">
      <w:pPr>
        <w:spacing w:line="259" w:lineRule="auto"/>
        <w:contextualSpacing/>
        <w:jc w:val="both"/>
        <w:rPr>
          <w:rFonts w:ascii="Nyala" w:hAnsi="Nyala"/>
          <w:bCs/>
          <w:color w:val="000000"/>
          <w:sz w:val="28"/>
          <w:szCs w:val="28"/>
          <w:lang w:eastAsia="fr-FR"/>
        </w:rPr>
      </w:pPr>
      <w:r>
        <w:rPr>
          <w:noProof/>
          <w:sz w:val="28"/>
          <w:szCs w:val="28"/>
          <w:lang w:eastAsia="fr-FR"/>
        </w:rPr>
        <mc:AlternateContent>
          <mc:Choice Requires="wps">
            <w:drawing>
              <wp:anchor distT="0" distB="0" distL="114300" distR="114300" simplePos="0" relativeHeight="251831296" behindDoc="0" locked="0" layoutInCell="1" allowOverlap="1" wp14:anchorId="43F83185">
                <wp:simplePos x="0" y="0"/>
                <wp:positionH relativeFrom="margin">
                  <wp:align>right</wp:align>
                </wp:positionH>
                <wp:positionV relativeFrom="paragraph">
                  <wp:posOffset>524510</wp:posOffset>
                </wp:positionV>
                <wp:extent cx="5746115" cy="3462655"/>
                <wp:effectExtent l="0" t="0" r="26035" b="23495"/>
                <wp:wrapSquare wrapText="bothSides"/>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115" cy="3462655"/>
                        </a:xfrm>
                        <a:prstGeom prst="rect">
                          <a:avLst/>
                        </a:prstGeom>
                        <a:noFill/>
                        <a:ln w="6350">
                          <a:solidFill>
                            <a:prstClr val="black"/>
                          </a:solidFill>
                        </a:ln>
                        <a:effectLst/>
                      </wps:spPr>
                      <wps:txbx>
                        <w:txbxContent>
                          <w:p w:rsidR="00146325" w:rsidRDefault="00146325" w:rsidP="005E2C9F">
                            <w:pPr>
                              <w:pStyle w:val="Lgende"/>
                              <w:keepNext/>
                              <w:jc w:val="both"/>
                            </w:pPr>
                            <w:bookmarkStart w:id="563" w:name="_Toc526120108"/>
                            <w:r>
                              <w:t xml:space="preserve">Figure </w:t>
                            </w:r>
                            <w:r w:rsidR="00C73EE5">
                              <w:fldChar w:fldCharType="begin"/>
                            </w:r>
                            <w:r w:rsidR="00C73EE5">
                              <w:instrText xml:space="preserve"> SEQ Figure \* ARABIC </w:instrText>
                            </w:r>
                            <w:r w:rsidR="00C73EE5">
                              <w:fldChar w:fldCharType="separate"/>
                            </w:r>
                            <w:r>
                              <w:rPr>
                                <w:noProof/>
                              </w:rPr>
                              <w:t>42</w:t>
                            </w:r>
                            <w:r w:rsidR="00C73EE5">
                              <w:rPr>
                                <w:noProof/>
                              </w:rPr>
                              <w:fldChar w:fldCharType="end"/>
                            </w:r>
                            <w:r>
                              <w:t xml:space="preserve"> - Engagement des Organisations Humanitaires en réponse au plan de soutien 2018</w:t>
                            </w:r>
                            <w:bookmarkEnd w:id="563"/>
                          </w:p>
                          <w:p w:rsidR="00146325" w:rsidRDefault="00146325" w:rsidP="009713E0">
                            <w:pPr>
                              <w:contextualSpacing/>
                              <w:jc w:val="both"/>
                            </w:pPr>
                            <w:r w:rsidRPr="006D32E8">
                              <w:rPr>
                                <w:noProof/>
                                <w:lang w:eastAsia="fr-FR"/>
                              </w:rPr>
                              <w:drawing>
                                <wp:inline distT="0" distB="0" distL="0" distR="0">
                                  <wp:extent cx="5557661" cy="2626468"/>
                                  <wp:effectExtent l="0" t="0" r="5080" b="254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87737" cy="2640682"/>
                                          </a:xfrm>
                                          <a:prstGeom prst="rect">
                                            <a:avLst/>
                                          </a:prstGeom>
                                          <a:noFill/>
                                          <a:ln>
                                            <a:noFill/>
                                          </a:ln>
                                        </pic:spPr>
                                      </pic:pic>
                                    </a:graphicData>
                                  </a:graphic>
                                </wp:inline>
                              </w:drawing>
                            </w:r>
                          </w:p>
                          <w:p w:rsidR="00146325" w:rsidRPr="00E31D5D" w:rsidRDefault="00146325" w:rsidP="000500A5">
                            <w:pPr>
                              <w:spacing w:before="0" w:line="240" w:lineRule="auto"/>
                              <w:contextualSpacing/>
                              <w:jc w:val="both"/>
                            </w:pPr>
                            <w:r>
                              <w:t xml:space="preserve">Source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F83185" id="Zone de texte 9" o:spid="_x0000_s1076" type="#_x0000_t202" style="position:absolute;left:0;text-align:left;margin-left:401.25pt;margin-top:41.3pt;width:452.45pt;height:272.65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" filled="f" strokeweight=".5pt">
                <v:path arrowok="t"/>
                <v:textbox>
                  <w:txbxContent>
                    <w:p w:rsidR="00146325" w:rsidRDefault="00146325" w:rsidP="005E2C9F">
                      <w:pPr>
                        <w:pStyle w:val="Lgende"/>
                        <w:keepNext/>
                        <w:jc w:val="both"/>
                      </w:pPr>
                      <w:bookmarkStart w:id="564" w:name="_Toc526120108"/>
                      <w:r>
                        <w:t xml:space="preserve">Figure </w:t>
                      </w:r>
                      <w:r w:rsidR="00C73EE5">
                        <w:fldChar w:fldCharType="begin"/>
                      </w:r>
                      <w:r w:rsidR="00C73EE5">
                        <w:instrText xml:space="preserve"> SEQ Figure \* ARABIC </w:instrText>
                      </w:r>
                      <w:r w:rsidR="00C73EE5">
                        <w:fldChar w:fldCharType="separate"/>
                      </w:r>
                      <w:r>
                        <w:rPr>
                          <w:noProof/>
                        </w:rPr>
                        <w:t>42</w:t>
                      </w:r>
                      <w:r w:rsidR="00C73EE5">
                        <w:rPr>
                          <w:noProof/>
                        </w:rPr>
                        <w:fldChar w:fldCharType="end"/>
                      </w:r>
                      <w:r>
                        <w:t xml:space="preserve"> - Engagement des Organisations Humanitaires en réponse au plan de soutien 2018</w:t>
                      </w:r>
                      <w:bookmarkEnd w:id="564"/>
                    </w:p>
                    <w:p w:rsidR="00146325" w:rsidRDefault="00146325" w:rsidP="009713E0">
                      <w:pPr>
                        <w:contextualSpacing/>
                        <w:jc w:val="both"/>
                      </w:pPr>
                      <w:r w:rsidRPr="006D32E8">
                        <w:rPr>
                          <w:noProof/>
                          <w:lang w:eastAsia="fr-FR"/>
                        </w:rPr>
                        <w:drawing>
                          <wp:inline distT="0" distB="0" distL="0" distR="0">
                            <wp:extent cx="5557661" cy="2626468"/>
                            <wp:effectExtent l="0" t="0" r="5080" b="254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87737" cy="2640682"/>
                                    </a:xfrm>
                                    <a:prstGeom prst="rect">
                                      <a:avLst/>
                                    </a:prstGeom>
                                    <a:noFill/>
                                    <a:ln>
                                      <a:noFill/>
                                    </a:ln>
                                  </pic:spPr>
                                </pic:pic>
                              </a:graphicData>
                            </a:graphic>
                          </wp:inline>
                        </w:drawing>
                      </w:r>
                    </w:p>
                    <w:p w:rsidR="00146325" w:rsidRPr="00E31D5D" w:rsidRDefault="00146325" w:rsidP="000500A5">
                      <w:pPr>
                        <w:spacing w:before="0" w:line="240" w:lineRule="auto"/>
                        <w:contextualSpacing/>
                        <w:jc w:val="both"/>
                      </w:pPr>
                      <w:r>
                        <w:t xml:space="preserve">Source : </w:t>
                      </w:r>
                    </w:p>
                  </w:txbxContent>
                </v:textbox>
                <w10:wrap type="square" anchorx="margin"/>
              </v:shape>
            </w:pict>
          </mc:Fallback>
        </mc:AlternateContent>
      </w:r>
    </w:p>
    <w:p w:rsidR="00CD0AF5" w:rsidRPr="006866D3" w:rsidRDefault="00CD0AF5" w:rsidP="00872FF5">
      <w:pPr>
        <w:spacing w:line="259" w:lineRule="auto"/>
        <w:contextualSpacing/>
        <w:jc w:val="both"/>
        <w:rPr>
          <w:rFonts w:ascii="Nyala" w:hAnsi="Nyala"/>
          <w:bCs/>
          <w:color w:val="000000"/>
          <w:sz w:val="28"/>
          <w:szCs w:val="28"/>
          <w:lang w:eastAsia="fr-FR"/>
        </w:rPr>
      </w:pPr>
    </w:p>
    <w:p w:rsidR="00A86628" w:rsidRDefault="00A86628" w:rsidP="00160432">
      <w:pPr>
        <w:spacing w:line="259" w:lineRule="auto"/>
        <w:contextualSpacing/>
        <w:jc w:val="both"/>
        <w:rPr>
          <w:rFonts w:ascii="Nyala" w:hAnsi="Nyala"/>
          <w:bCs/>
          <w:color w:val="000000"/>
          <w:sz w:val="28"/>
          <w:szCs w:val="28"/>
          <w:lang w:eastAsia="fr-FR"/>
        </w:rPr>
      </w:pPr>
    </w:p>
    <w:p w:rsidR="00A86628" w:rsidRDefault="00A86628" w:rsidP="00160432">
      <w:pPr>
        <w:spacing w:line="259" w:lineRule="auto"/>
        <w:contextualSpacing/>
        <w:jc w:val="both"/>
        <w:rPr>
          <w:rFonts w:ascii="Nyala" w:hAnsi="Nyala"/>
          <w:bCs/>
          <w:color w:val="000000"/>
          <w:sz w:val="28"/>
          <w:szCs w:val="28"/>
          <w:lang w:eastAsia="fr-FR"/>
        </w:rPr>
      </w:pPr>
    </w:p>
    <w:p w:rsidR="00A86628" w:rsidRDefault="00A86628" w:rsidP="00160432">
      <w:pPr>
        <w:spacing w:line="259" w:lineRule="auto"/>
        <w:contextualSpacing/>
        <w:jc w:val="both"/>
        <w:rPr>
          <w:rFonts w:ascii="Nyala" w:hAnsi="Nyala"/>
          <w:bCs/>
          <w:color w:val="000000"/>
          <w:sz w:val="28"/>
          <w:szCs w:val="28"/>
          <w:lang w:eastAsia="fr-FR"/>
        </w:rPr>
      </w:pPr>
    </w:p>
    <w:p w:rsidR="00A86628" w:rsidRPr="0024623F" w:rsidRDefault="00A86628" w:rsidP="00141D20">
      <w:pPr>
        <w:pStyle w:val="Titre2"/>
        <w:numPr>
          <w:ilvl w:val="1"/>
          <w:numId w:val="2"/>
        </w:numPr>
      </w:pPr>
      <w:bookmarkStart w:id="565" w:name="_Toc525566664"/>
      <w:bookmarkStart w:id="566" w:name="_Toc525688782"/>
      <w:bookmarkStart w:id="567" w:name="_Toc526119991"/>
      <w:bookmarkEnd w:id="565"/>
      <w:bookmarkEnd w:id="566"/>
      <w:r w:rsidRPr="00A86628">
        <w:t>Enjeux et défis relatifs aux politiques publiques</w:t>
      </w:r>
      <w:bookmarkEnd w:id="567"/>
    </w:p>
    <w:p w:rsidR="009713E0" w:rsidRPr="00141D20" w:rsidRDefault="009713E0" w:rsidP="00141D20">
      <w:pPr>
        <w:jc w:val="both"/>
        <w:rPr>
          <w:rFonts w:ascii="Nyala" w:hAnsi="Nyala"/>
          <w:sz w:val="28"/>
          <w:szCs w:val="28"/>
        </w:rPr>
      </w:pPr>
    </w:p>
    <w:p w:rsidR="00540B5B" w:rsidRPr="009B11E1" w:rsidRDefault="00540B5B" w:rsidP="00160432">
      <w:pPr>
        <w:spacing w:line="259" w:lineRule="auto"/>
        <w:contextualSpacing/>
        <w:jc w:val="both"/>
        <w:rPr>
          <w:rStyle w:val="Rfrenceintense"/>
          <w:sz w:val="28"/>
          <w:szCs w:val="28"/>
        </w:rPr>
      </w:pPr>
      <w:r w:rsidRPr="009B11E1">
        <w:rPr>
          <w:rStyle w:val="Rfrenceintense"/>
          <w:sz w:val="28"/>
          <w:szCs w:val="28"/>
        </w:rPr>
        <w:t xml:space="preserve">rationalisation et mise en œuvre des politiques publiques </w:t>
      </w:r>
    </w:p>
    <w:p w:rsidR="00540B5B" w:rsidRPr="009B11E1" w:rsidRDefault="00540B5B" w:rsidP="00160432">
      <w:pPr>
        <w:spacing w:line="259" w:lineRule="auto"/>
        <w:contextualSpacing/>
        <w:jc w:val="both"/>
        <w:rPr>
          <w:rFonts w:ascii="Nyala" w:hAnsi="Nyala"/>
          <w:b/>
          <w:bCs/>
          <w:color w:val="000000"/>
          <w:sz w:val="28"/>
          <w:szCs w:val="28"/>
          <w:lang w:eastAsia="fr-FR"/>
        </w:rPr>
      </w:pPr>
    </w:p>
    <w:p w:rsidR="00665A43" w:rsidRDefault="00F6102E" w:rsidP="00665A43">
      <w:pPr>
        <w:tabs>
          <w:tab w:val="left" w:pos="2895"/>
        </w:tabs>
        <w:jc w:val="both"/>
        <w:rPr>
          <w:rFonts w:ascii="Nyala" w:hAnsi="Nyala"/>
          <w:sz w:val="28"/>
          <w:szCs w:val="28"/>
        </w:rPr>
      </w:pPr>
      <w:r>
        <w:rPr>
          <w:rFonts w:ascii="Nyala" w:hAnsi="Nyala"/>
          <w:sz w:val="28"/>
          <w:szCs w:val="28"/>
        </w:rPr>
        <w:t xml:space="preserve">Le Niger a élaboré une multitude de document de politiques publiques qui adressent parfaitement la problématique de sécurité alimentaire et nutritionnelle et de développement agricole durable. Ces documents définissent des paquets d’actions à mener avec des cibles et indicateurs plus ou moins bien identifiés. Certains de ces documents sont antérieurs à l’Agenda 2030 et de ce fait n’ont pas suffisamment intégré les ambitions affichées dans l’ODD2 en matière de réduction ou d’élimination de la sous-alimentation, de la malnutrition et d’accroissement des revenus des producteurs et de la durabilité de l’agriculture. </w:t>
      </w:r>
    </w:p>
    <w:p w:rsidR="00F6102E" w:rsidRDefault="00F6102E" w:rsidP="00665A43">
      <w:pPr>
        <w:tabs>
          <w:tab w:val="left" w:pos="2895"/>
        </w:tabs>
        <w:jc w:val="both"/>
        <w:rPr>
          <w:rFonts w:ascii="Nyala" w:hAnsi="Nyala"/>
          <w:sz w:val="28"/>
          <w:szCs w:val="28"/>
        </w:rPr>
      </w:pPr>
      <w:r>
        <w:rPr>
          <w:rFonts w:ascii="Nyala" w:hAnsi="Nyala"/>
          <w:sz w:val="28"/>
          <w:szCs w:val="28"/>
        </w:rPr>
        <w:t xml:space="preserve">De plus, le foisonnement des documents de politiques publiques avec leur système de gouvernance et leur cadre institutionnels n’est pas de nature à clarifier la démarche du pays pour Faim Zéro. </w:t>
      </w:r>
      <w:r w:rsidR="00076A45">
        <w:rPr>
          <w:rFonts w:ascii="Nyala" w:hAnsi="Nyala"/>
          <w:sz w:val="28"/>
          <w:szCs w:val="28"/>
        </w:rPr>
        <w:t xml:space="preserve">Enfin, dans la plus part des cas, les politiques sont énoncées mais leur mise en œuvre et le suivi de la mise en œuvre ne suivent pas toujours. </w:t>
      </w:r>
    </w:p>
    <w:p w:rsidR="00076A45" w:rsidRPr="00141D20" w:rsidRDefault="00076A45" w:rsidP="00665A43">
      <w:pPr>
        <w:tabs>
          <w:tab w:val="left" w:pos="2895"/>
        </w:tabs>
        <w:jc w:val="both"/>
        <w:rPr>
          <w:rFonts w:ascii="Nyala" w:hAnsi="Nyala"/>
          <w:i/>
          <w:sz w:val="28"/>
          <w:szCs w:val="28"/>
        </w:rPr>
      </w:pPr>
      <w:r w:rsidRPr="00141D20">
        <w:rPr>
          <w:rFonts w:ascii="Nyala" w:hAnsi="Nyala"/>
          <w:i/>
          <w:sz w:val="28"/>
          <w:szCs w:val="28"/>
        </w:rPr>
        <w:t xml:space="preserve">En perspective d’un alignement des politiques publiques nationales sur l’Agenda 2030, il y a peut-être un intérêt de rationaliser les documents de politiques publiques ou de les hiérarchiser tout au moins d’une part et d’actualiser celles retenues comme pertinentes et suffisantes. </w:t>
      </w:r>
    </w:p>
    <w:p w:rsidR="00665A43" w:rsidRDefault="00665A43" w:rsidP="00160432">
      <w:pPr>
        <w:spacing w:line="259" w:lineRule="auto"/>
        <w:contextualSpacing/>
        <w:jc w:val="both"/>
        <w:rPr>
          <w:rFonts w:ascii="Nyala" w:hAnsi="Nyala"/>
          <w:bCs/>
          <w:color w:val="000000"/>
          <w:sz w:val="28"/>
          <w:szCs w:val="28"/>
          <w:lang w:eastAsia="fr-FR"/>
        </w:rPr>
      </w:pPr>
    </w:p>
    <w:p w:rsidR="00665A43" w:rsidRPr="006866D3" w:rsidRDefault="00665A43" w:rsidP="00160432">
      <w:pPr>
        <w:spacing w:line="259" w:lineRule="auto"/>
        <w:contextualSpacing/>
        <w:jc w:val="both"/>
        <w:rPr>
          <w:rFonts w:ascii="Nyala" w:hAnsi="Nyala"/>
          <w:bCs/>
          <w:color w:val="000000"/>
          <w:sz w:val="28"/>
          <w:szCs w:val="28"/>
          <w:lang w:eastAsia="fr-FR"/>
        </w:rPr>
      </w:pPr>
    </w:p>
    <w:p w:rsidR="009A4FA9" w:rsidRPr="00141D20" w:rsidRDefault="00540B5B" w:rsidP="00141D20">
      <w:pPr>
        <w:spacing w:line="259" w:lineRule="auto"/>
        <w:contextualSpacing/>
        <w:jc w:val="both"/>
        <w:rPr>
          <w:rStyle w:val="Rfrenceintense"/>
        </w:rPr>
      </w:pPr>
      <w:r>
        <w:rPr>
          <w:rStyle w:val="Rfrenceintense"/>
          <w:sz w:val="28"/>
          <w:szCs w:val="28"/>
        </w:rPr>
        <w:t>suivi de la mise en œuvre et évaluation des politiques publiques</w:t>
      </w:r>
    </w:p>
    <w:p w:rsidR="009A4FA9" w:rsidRPr="006866D3" w:rsidRDefault="009A4FA9" w:rsidP="009A4FA9">
      <w:pPr>
        <w:jc w:val="both"/>
        <w:rPr>
          <w:rFonts w:ascii="Nyala" w:hAnsi="Nyala"/>
          <w:sz w:val="28"/>
          <w:szCs w:val="28"/>
        </w:rPr>
      </w:pPr>
    </w:p>
    <w:p w:rsidR="00076A45" w:rsidRDefault="00506124" w:rsidP="00506124">
      <w:pPr>
        <w:jc w:val="both"/>
        <w:rPr>
          <w:rFonts w:ascii="Nyala" w:hAnsi="Nyala"/>
          <w:sz w:val="28"/>
          <w:szCs w:val="28"/>
        </w:rPr>
      </w:pPr>
      <w:r w:rsidRPr="006866D3">
        <w:rPr>
          <w:rFonts w:ascii="Nyala" w:hAnsi="Nyala"/>
          <w:sz w:val="28"/>
          <w:szCs w:val="28"/>
        </w:rPr>
        <w:t xml:space="preserve">La mise en œuvre et le suivi de l’ODD2 devront être facilités s’il existe un cadre institutionnel responsabilisé. A ce niveau, le Cadre institutionnel défini pour la Stratégie de l’Initiative 3N parait pertinent. Il dispose d’un système de Gouvernance de haut niveau impliquant le Président de la République et son Gouvernement. </w:t>
      </w:r>
    </w:p>
    <w:p w:rsidR="00506124" w:rsidRPr="006866D3" w:rsidRDefault="00506124" w:rsidP="00506124">
      <w:pPr>
        <w:jc w:val="both"/>
        <w:rPr>
          <w:rFonts w:ascii="Nyala" w:hAnsi="Nyala"/>
          <w:sz w:val="28"/>
          <w:szCs w:val="28"/>
        </w:rPr>
      </w:pPr>
      <w:r w:rsidRPr="006866D3">
        <w:rPr>
          <w:rFonts w:ascii="Nyala" w:hAnsi="Nyala"/>
          <w:sz w:val="28"/>
          <w:szCs w:val="28"/>
        </w:rPr>
        <w:t xml:space="preserve">Son leadership de coordination et d’animation est malgré tout accepté par tous les départements ministériels, les dispositifs sectoriels (tel que le DNPGCA),  les ONG, les organisations paysannes et les partenaires financiers. Son rôle d’interface entre divers groupes d’acteurs et les Agences des Nations Unies responsabilisées au niveau global pour le suivi des ODD est également reconnu.  </w:t>
      </w:r>
    </w:p>
    <w:p w:rsidR="00506124" w:rsidRDefault="00506124" w:rsidP="00506124">
      <w:pPr>
        <w:jc w:val="both"/>
        <w:rPr>
          <w:rFonts w:ascii="Nyala" w:hAnsi="Nyala"/>
          <w:sz w:val="28"/>
          <w:szCs w:val="28"/>
        </w:rPr>
      </w:pPr>
      <w:r w:rsidRPr="006866D3">
        <w:rPr>
          <w:rFonts w:ascii="Nyala" w:hAnsi="Nyala"/>
          <w:sz w:val="28"/>
          <w:szCs w:val="28"/>
        </w:rPr>
        <w:t>Toutefois, le cadre institutionnel de l’Initiative 3N devrait être revisité, rendu inclusif et étoffé en compétences et expertises diverses pour une prise en charger réelle et efficace de la mise en œuvre et du suivi de l’O</w:t>
      </w:r>
      <w:r w:rsidR="001C2518">
        <w:rPr>
          <w:rFonts w:ascii="Nyala" w:hAnsi="Nyala"/>
          <w:sz w:val="28"/>
          <w:szCs w:val="28"/>
        </w:rPr>
        <w:t>D</w:t>
      </w:r>
      <w:r w:rsidRPr="006866D3">
        <w:rPr>
          <w:rFonts w:ascii="Nyala" w:hAnsi="Nyala"/>
          <w:sz w:val="28"/>
          <w:szCs w:val="28"/>
        </w:rPr>
        <w:t>D2. Des structures responsables de mise en œuvre et de collectes de données et informations sur les indicateurs doivent être clairement identifiés et responsabilisés. Des rencontres périodiques d’échange et de concertation sur l’ODD2 et ses cibles doivent être prévues.</w:t>
      </w:r>
    </w:p>
    <w:p w:rsidR="00076A45" w:rsidRDefault="00076A45" w:rsidP="00506124">
      <w:pPr>
        <w:jc w:val="both"/>
        <w:rPr>
          <w:rFonts w:ascii="Nyala" w:hAnsi="Nyala"/>
          <w:sz w:val="28"/>
          <w:szCs w:val="28"/>
        </w:rPr>
      </w:pPr>
      <w:r>
        <w:rPr>
          <w:rFonts w:ascii="Nyala" w:hAnsi="Nyala"/>
          <w:sz w:val="28"/>
          <w:szCs w:val="28"/>
        </w:rPr>
        <w:t>A titre de base de discussions, il peut être retenu ce qui suit :</w:t>
      </w:r>
    </w:p>
    <w:p w:rsidR="00506124" w:rsidRPr="006866D3" w:rsidRDefault="00076A45" w:rsidP="0059103A">
      <w:pPr>
        <w:pStyle w:val="Paragraphedeliste"/>
        <w:numPr>
          <w:ilvl w:val="0"/>
          <w:numId w:val="15"/>
        </w:numPr>
        <w:spacing w:before="0" w:after="0"/>
        <w:jc w:val="both"/>
        <w:rPr>
          <w:rFonts w:ascii="Nyala" w:hAnsi="Nyala"/>
          <w:sz w:val="28"/>
          <w:szCs w:val="28"/>
        </w:rPr>
      </w:pPr>
      <w:r>
        <w:rPr>
          <w:rFonts w:ascii="Nyala" w:hAnsi="Nyala"/>
          <w:sz w:val="28"/>
          <w:szCs w:val="28"/>
        </w:rPr>
        <w:t xml:space="preserve">Gouvernance - </w:t>
      </w:r>
      <w:r w:rsidR="00506124" w:rsidRPr="006866D3">
        <w:rPr>
          <w:rFonts w:ascii="Nyala" w:hAnsi="Nyala"/>
          <w:sz w:val="28"/>
          <w:szCs w:val="28"/>
        </w:rPr>
        <w:t xml:space="preserve">Le Comité Interministériel d’Orientation  de l’i3N, présidé par le Président de la République ou le Premier Ministre pourrait assurer la gouvernance de l’ODD2 et le Comité </w:t>
      </w:r>
      <w:r w:rsidR="00506124" w:rsidRPr="009B11E1">
        <w:rPr>
          <w:rFonts w:ascii="Nyala" w:hAnsi="Nyala"/>
          <w:sz w:val="28"/>
          <w:szCs w:val="28"/>
        </w:rPr>
        <w:t xml:space="preserve">de pilotage multisectoriel du Programme Stratégique N° 5  (CMPS 5) </w:t>
      </w:r>
      <w:r w:rsidR="00506124" w:rsidRPr="006866D3">
        <w:rPr>
          <w:rFonts w:ascii="Nyala" w:hAnsi="Nyala"/>
          <w:sz w:val="28"/>
          <w:szCs w:val="28"/>
        </w:rPr>
        <w:t>Animation, c</w:t>
      </w:r>
      <w:r w:rsidR="00506124" w:rsidRPr="006866D3">
        <w:rPr>
          <w:rFonts w:ascii="Nyala" w:hAnsi="Nyala"/>
          <w:sz w:val="28"/>
          <w:szCs w:val="28"/>
          <w:lang w:eastAsia="fr-FR"/>
        </w:rPr>
        <w:t>oordination de la SANDAD et impulsion des réformes</w:t>
      </w:r>
      <w:r w:rsidR="00506124" w:rsidRPr="006866D3">
        <w:rPr>
          <w:rFonts w:ascii="Nyala" w:hAnsi="Nyala"/>
          <w:sz w:val="28"/>
          <w:szCs w:val="28"/>
        </w:rPr>
        <w:t xml:space="preserve"> pourrait servir d’espace de concertation avec les PTF et autres acteurs. </w:t>
      </w:r>
    </w:p>
    <w:p w:rsidR="00506124" w:rsidRPr="006866D3" w:rsidRDefault="00506124" w:rsidP="00506124">
      <w:pPr>
        <w:spacing w:before="0" w:after="0" w:line="240" w:lineRule="auto"/>
        <w:ind w:left="17"/>
        <w:jc w:val="both"/>
        <w:rPr>
          <w:rFonts w:ascii="Nyala" w:hAnsi="Nyala"/>
          <w:sz w:val="28"/>
          <w:szCs w:val="28"/>
        </w:rPr>
      </w:pPr>
    </w:p>
    <w:p w:rsidR="00076A45" w:rsidRDefault="00146983" w:rsidP="0059103A">
      <w:pPr>
        <w:pStyle w:val="Paragraphedeliste"/>
        <w:numPr>
          <w:ilvl w:val="0"/>
          <w:numId w:val="15"/>
        </w:numPr>
        <w:spacing w:before="0" w:after="0"/>
        <w:jc w:val="both"/>
        <w:rPr>
          <w:rFonts w:ascii="Nyala" w:hAnsi="Nyala"/>
          <w:sz w:val="28"/>
          <w:szCs w:val="28"/>
        </w:rPr>
      </w:pPr>
      <w:r>
        <w:rPr>
          <w:noProof/>
          <w:lang w:eastAsia="fr-FR"/>
        </w:rPr>
        <mc:AlternateContent>
          <mc:Choice Requires="wps">
            <w:drawing>
              <wp:anchor distT="0" distB="0" distL="114300" distR="114300" simplePos="0" relativeHeight="251925504" behindDoc="0" locked="0" layoutInCell="1" allowOverlap="1" wp14:anchorId="2AC4F1FD">
                <wp:simplePos x="0" y="0"/>
                <wp:positionH relativeFrom="page">
                  <wp:posOffset>3103245</wp:posOffset>
                </wp:positionH>
                <wp:positionV relativeFrom="paragraph">
                  <wp:posOffset>588645</wp:posOffset>
                </wp:positionV>
                <wp:extent cx="4625975" cy="2633980"/>
                <wp:effectExtent l="0" t="0" r="18415" b="13970"/>
                <wp:wrapSquare wrapText="bothSides"/>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5975" cy="2633980"/>
                        </a:xfrm>
                        <a:prstGeom prst="rect">
                          <a:avLst/>
                        </a:prstGeom>
                        <a:noFill/>
                        <a:ln w="6350">
                          <a:solidFill>
                            <a:prstClr val="black"/>
                          </a:solidFill>
                        </a:ln>
                        <a:effectLst/>
                      </wps:spPr>
                      <wps:txbx>
                        <w:txbxContent>
                          <w:p w:rsidR="00146325" w:rsidRDefault="00146325" w:rsidP="00506124">
                            <w:pPr>
                              <w:pStyle w:val="Lgende"/>
                              <w:keepNext/>
                              <w:jc w:val="both"/>
                            </w:pPr>
                            <w:bookmarkStart w:id="568" w:name="_Toc526120109"/>
                            <w:r>
                              <w:t xml:space="preserve">Figure </w:t>
                            </w:r>
                            <w:r w:rsidR="00C73EE5">
                              <w:fldChar w:fldCharType="begin"/>
                            </w:r>
                            <w:r w:rsidR="00C73EE5">
                              <w:instrText xml:space="preserve"> SEQ Figure \* ARABIC </w:instrText>
                            </w:r>
                            <w:r w:rsidR="00C73EE5">
                              <w:fldChar w:fldCharType="separate"/>
                            </w:r>
                            <w:r>
                              <w:rPr>
                                <w:noProof/>
                              </w:rPr>
                              <w:t>43</w:t>
                            </w:r>
                            <w:r w:rsidR="00C73EE5">
                              <w:rPr>
                                <w:noProof/>
                              </w:rPr>
                              <w:fldChar w:fldCharType="end"/>
                            </w:r>
                            <w:r>
                              <w:t xml:space="preserve"> - Rôles potentiels des acteurs pour  la mise en œuvre des cibles de l'ODD2</w:t>
                            </w:r>
                            <w:bookmarkEnd w:id="568"/>
                          </w:p>
                          <w:p w:rsidR="00146325" w:rsidRPr="00831D7C" w:rsidRDefault="00146325" w:rsidP="0002053E">
                            <w:pPr>
                              <w:spacing w:before="0" w:after="0" w:line="240" w:lineRule="auto"/>
                              <w:ind w:left="17"/>
                              <w:jc w:val="both"/>
                              <w:rPr>
                                <w:rFonts w:ascii="Nyala" w:hAnsi="Nyala"/>
                                <w:noProof/>
                                <w:sz w:val="24"/>
                                <w:szCs w:val="24"/>
                              </w:rPr>
                            </w:pPr>
                            <w:r w:rsidRPr="00D002AC">
                              <w:rPr>
                                <w:rFonts w:ascii="Nyala" w:hAnsi="Nyala"/>
                                <w:noProof/>
                                <w:sz w:val="24"/>
                                <w:szCs w:val="24"/>
                                <w:lang w:eastAsia="fr-FR"/>
                              </w:rPr>
                              <w:drawing>
                                <wp:inline distT="0" distB="0" distL="0" distR="0">
                                  <wp:extent cx="3705367" cy="2183642"/>
                                  <wp:effectExtent l="0" t="0" r="0" b="26670"/>
                                  <wp:docPr id="206" name="Diagramme 2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C4F1FD" id="Zone de texte 68" o:spid="_x0000_s1077" type="#_x0000_t202" style="position:absolute;left:0;text-align:left;margin-left:244.35pt;margin-top:46.35pt;width:364.25pt;height:207.4pt;z-index:25192550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" filled="f" strokeweight=".5pt">
                <v:path arrowok="t"/>
                <v:textbox>
                  <w:txbxContent>
                    <w:p w:rsidR="00146325" w:rsidRDefault="00146325" w:rsidP="00506124">
                      <w:pPr>
                        <w:pStyle w:val="Lgende"/>
                        <w:keepNext/>
                        <w:jc w:val="both"/>
                      </w:pPr>
                      <w:bookmarkStart w:id="569" w:name="_Toc526120109"/>
                      <w:r>
                        <w:t xml:space="preserve">Figure </w:t>
                      </w:r>
                      <w:r w:rsidR="00C73EE5">
                        <w:fldChar w:fldCharType="begin"/>
                      </w:r>
                      <w:r w:rsidR="00C73EE5">
                        <w:instrText xml:space="preserve"> SEQ Figure \* ARABIC </w:instrText>
                      </w:r>
                      <w:r w:rsidR="00C73EE5">
                        <w:fldChar w:fldCharType="separate"/>
                      </w:r>
                      <w:r>
                        <w:rPr>
                          <w:noProof/>
                        </w:rPr>
                        <w:t>43</w:t>
                      </w:r>
                      <w:r w:rsidR="00C73EE5">
                        <w:rPr>
                          <w:noProof/>
                        </w:rPr>
                        <w:fldChar w:fldCharType="end"/>
                      </w:r>
                      <w:r>
                        <w:t xml:space="preserve"> - Rôles potentiels des acteurs pour  la mise en œuvre des cibles de l'ODD2</w:t>
                      </w:r>
                      <w:bookmarkEnd w:id="569"/>
                    </w:p>
                    <w:p w:rsidR="00146325" w:rsidRPr="00831D7C" w:rsidRDefault="00146325" w:rsidP="0002053E">
                      <w:pPr>
                        <w:spacing w:before="0" w:after="0" w:line="240" w:lineRule="auto"/>
                        <w:ind w:left="17"/>
                        <w:jc w:val="both"/>
                        <w:rPr>
                          <w:rFonts w:ascii="Nyala" w:hAnsi="Nyala"/>
                          <w:noProof/>
                          <w:sz w:val="24"/>
                          <w:szCs w:val="24"/>
                        </w:rPr>
                      </w:pPr>
                      <w:r w:rsidRPr="00D002AC">
                        <w:rPr>
                          <w:rFonts w:ascii="Nyala" w:hAnsi="Nyala"/>
                          <w:noProof/>
                          <w:sz w:val="24"/>
                          <w:szCs w:val="24"/>
                          <w:lang w:eastAsia="fr-FR"/>
                        </w:rPr>
                        <w:drawing>
                          <wp:inline distT="0" distB="0" distL="0" distR="0">
                            <wp:extent cx="3705367" cy="2183642"/>
                            <wp:effectExtent l="0" t="0" r="0" b="26670"/>
                            <wp:docPr id="206" name="Diagramme 2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4" r:qs="rId105" r:cs="rId106"/>
                              </a:graphicData>
                            </a:graphic>
                          </wp:inline>
                        </w:drawing>
                      </w:r>
                    </w:p>
                  </w:txbxContent>
                </v:textbox>
                <w10:wrap type="square" anchorx="page"/>
              </v:shape>
            </w:pict>
          </mc:Fallback>
        </mc:AlternateContent>
      </w:r>
      <w:r w:rsidR="00506124" w:rsidRPr="006866D3">
        <w:rPr>
          <w:rFonts w:ascii="Nyala" w:hAnsi="Nyala"/>
          <w:sz w:val="28"/>
          <w:szCs w:val="28"/>
        </w:rPr>
        <w:t>La Coordination et le suivi de la mise en œuvre de l’ensemble des cibles de l’ODD2 devrait être assurée par le HC3N qui s’appuiera sur des institutions chef de file pour les cible : le SP/DNPGCA pour la cible 2.1, le Ministère de la Santé Publique pour la cible 2.2, le MAGEL et le MEDD pour les cibles 2.3 et 2.4, le Système National de Recherche Agronomique dont le lead est assuré par l’INRAN pour la cible 2.5 et le HC3N pour les cibles 2.a, 2.b et 2.C (</w:t>
      </w:r>
      <w:r w:rsidR="00CD0AF5" w:rsidRPr="006866D3">
        <w:rPr>
          <w:rFonts w:ascii="Nyala" w:hAnsi="Nyala"/>
          <w:b/>
          <w:sz w:val="28"/>
          <w:szCs w:val="28"/>
        </w:rPr>
        <w:t xml:space="preserve">figure </w:t>
      </w:r>
      <w:r w:rsidR="00881124">
        <w:rPr>
          <w:rFonts w:ascii="Nyala" w:hAnsi="Nyala"/>
          <w:b/>
          <w:sz w:val="28"/>
          <w:szCs w:val="28"/>
        </w:rPr>
        <w:t>43</w:t>
      </w:r>
      <w:r w:rsidR="00506124" w:rsidRPr="006866D3">
        <w:rPr>
          <w:rFonts w:ascii="Nyala" w:hAnsi="Nyala"/>
          <w:sz w:val="28"/>
          <w:szCs w:val="28"/>
        </w:rPr>
        <w:t xml:space="preserve">). </w:t>
      </w:r>
    </w:p>
    <w:p w:rsidR="00076A45" w:rsidRPr="00141D20" w:rsidRDefault="00076A45" w:rsidP="00141D20">
      <w:pPr>
        <w:pStyle w:val="Paragraphedeliste"/>
        <w:rPr>
          <w:rFonts w:ascii="Nyala" w:hAnsi="Nyala"/>
          <w:sz w:val="28"/>
          <w:szCs w:val="28"/>
        </w:rPr>
      </w:pPr>
    </w:p>
    <w:p w:rsidR="00506124" w:rsidRPr="00141D20" w:rsidRDefault="00506124" w:rsidP="00141D20">
      <w:pPr>
        <w:spacing w:before="0" w:after="0"/>
        <w:ind w:left="708"/>
        <w:jc w:val="both"/>
        <w:rPr>
          <w:rFonts w:ascii="Nyala" w:hAnsi="Nyala"/>
          <w:sz w:val="28"/>
          <w:szCs w:val="28"/>
        </w:rPr>
      </w:pPr>
      <w:r w:rsidRPr="00141D20">
        <w:rPr>
          <w:rFonts w:ascii="Nyala" w:hAnsi="Nyala"/>
          <w:sz w:val="28"/>
          <w:szCs w:val="28"/>
        </w:rPr>
        <w:t xml:space="preserve">Bien entendu, les actions à mener pour chaque cible impliqueront une diversité d’acteurs à identifier.  </w:t>
      </w:r>
    </w:p>
    <w:p w:rsidR="00506124" w:rsidRPr="006866D3" w:rsidRDefault="00506124" w:rsidP="00506124">
      <w:pPr>
        <w:spacing w:before="0" w:after="0" w:line="240" w:lineRule="auto"/>
        <w:ind w:left="17"/>
        <w:jc w:val="both"/>
        <w:rPr>
          <w:rFonts w:ascii="Nyala" w:hAnsi="Nyala"/>
          <w:sz w:val="28"/>
          <w:szCs w:val="28"/>
        </w:rPr>
      </w:pPr>
    </w:p>
    <w:p w:rsidR="00506124" w:rsidRPr="006866D3" w:rsidRDefault="00506124" w:rsidP="0059103A">
      <w:pPr>
        <w:pStyle w:val="Paragraphedeliste"/>
        <w:numPr>
          <w:ilvl w:val="0"/>
          <w:numId w:val="15"/>
        </w:numPr>
        <w:spacing w:before="0" w:after="0"/>
        <w:jc w:val="both"/>
        <w:rPr>
          <w:rFonts w:ascii="Nyala" w:hAnsi="Nyala"/>
          <w:sz w:val="28"/>
          <w:szCs w:val="28"/>
        </w:rPr>
      </w:pPr>
      <w:r w:rsidRPr="006866D3">
        <w:rPr>
          <w:rFonts w:ascii="Nyala" w:hAnsi="Nyala"/>
          <w:sz w:val="28"/>
          <w:szCs w:val="28"/>
        </w:rPr>
        <w:t xml:space="preserve">Le dispositif de suivi des indicateurs de l’ODD2 est une composante du système de suivi-évaluation qui sera mis en place pour l’ensemble des ODD. Les données et informations qui en découleront sont une base pour les prises de décision tant au plan de la gouvernance que de la mise en œuvre ; elles serviront pour l’élaboration des rapports volontaires et autres revues périodiques et alimenteront le Cadre de mesures des résultats des différents plans nationaux ou sectoriels de développement. </w:t>
      </w:r>
    </w:p>
    <w:p w:rsidR="00C16CC4" w:rsidRDefault="00C16CC4" w:rsidP="00506124">
      <w:pPr>
        <w:ind w:left="377"/>
        <w:jc w:val="both"/>
        <w:rPr>
          <w:rFonts w:ascii="Nyala" w:hAnsi="Nyala"/>
          <w:sz w:val="28"/>
          <w:szCs w:val="28"/>
        </w:rPr>
      </w:pPr>
    </w:p>
    <w:p w:rsidR="00506124" w:rsidRDefault="00506124" w:rsidP="00506124">
      <w:pPr>
        <w:ind w:left="377"/>
        <w:jc w:val="both"/>
        <w:rPr>
          <w:rFonts w:ascii="Nyala" w:hAnsi="Nyala"/>
          <w:sz w:val="28"/>
          <w:szCs w:val="28"/>
        </w:rPr>
      </w:pPr>
      <w:r w:rsidRPr="006866D3">
        <w:rPr>
          <w:rFonts w:ascii="Nyala" w:hAnsi="Nyala"/>
          <w:sz w:val="28"/>
          <w:szCs w:val="28"/>
        </w:rPr>
        <w:t>Les données et informations proviendront des enquêtes de l’INS, des services statistiques, des directions des études et programmes des ministères sectoriels et des dispositifs de suivi-évaluation mis en place par diverses administrations. Le HC3N assurera la coordination du dispositif de suivi-évaluation de l’ODD2 et à ce titre aura la responsabilité de la consolidation et de l’édition des rapports périodiques de suivi de la mise en œuvre. Il s’appuiera sur l’INS et les autres administrations concernées par la fourniture des données et informations (</w:t>
      </w:r>
      <w:r w:rsidRPr="006866D3">
        <w:rPr>
          <w:rFonts w:ascii="Nyala" w:hAnsi="Nyala"/>
          <w:b/>
          <w:sz w:val="28"/>
          <w:szCs w:val="28"/>
        </w:rPr>
        <w:t>voir fig</w:t>
      </w:r>
      <w:r w:rsidR="00CD0AF5" w:rsidRPr="006866D3">
        <w:rPr>
          <w:rFonts w:ascii="Nyala" w:hAnsi="Nyala"/>
          <w:b/>
          <w:sz w:val="28"/>
          <w:szCs w:val="28"/>
        </w:rPr>
        <w:t xml:space="preserve">ure </w:t>
      </w:r>
      <w:r w:rsidR="00C16CC4">
        <w:rPr>
          <w:rFonts w:ascii="Nyala" w:hAnsi="Nyala"/>
          <w:b/>
          <w:sz w:val="28"/>
          <w:szCs w:val="28"/>
        </w:rPr>
        <w:t>4</w:t>
      </w:r>
      <w:r w:rsidR="00881124">
        <w:rPr>
          <w:rFonts w:ascii="Nyala" w:hAnsi="Nyala"/>
          <w:b/>
          <w:sz w:val="28"/>
          <w:szCs w:val="28"/>
        </w:rPr>
        <w:t>4</w:t>
      </w:r>
      <w:r w:rsidRPr="006866D3">
        <w:rPr>
          <w:rFonts w:ascii="Nyala" w:hAnsi="Nyala"/>
          <w:sz w:val="28"/>
          <w:szCs w:val="28"/>
        </w:rPr>
        <w:t>).</w:t>
      </w:r>
    </w:p>
    <w:p w:rsidR="00E3393E" w:rsidRDefault="00E3393E" w:rsidP="00506124">
      <w:pPr>
        <w:ind w:left="377"/>
        <w:jc w:val="both"/>
        <w:rPr>
          <w:rFonts w:ascii="Nyala" w:hAnsi="Nyala"/>
          <w:sz w:val="28"/>
          <w:szCs w:val="28"/>
        </w:rPr>
      </w:pPr>
    </w:p>
    <w:p w:rsidR="00CB33E9" w:rsidRDefault="00146983" w:rsidP="00506124">
      <w:pPr>
        <w:ind w:left="377"/>
        <w:jc w:val="both"/>
        <w:rPr>
          <w:rFonts w:ascii="Nyala" w:hAnsi="Nyala"/>
          <w:sz w:val="28"/>
          <w:szCs w:val="28"/>
        </w:rPr>
      </w:pPr>
      <w:r>
        <w:rPr>
          <w:noProof/>
          <w:sz w:val="28"/>
          <w:szCs w:val="28"/>
          <w:lang w:eastAsia="fr-FR"/>
        </w:rPr>
        <mc:AlternateContent>
          <mc:Choice Requires="wps">
            <w:drawing>
              <wp:anchor distT="0" distB="0" distL="114300" distR="114300" simplePos="0" relativeHeight="251924480" behindDoc="0" locked="0" layoutInCell="1" allowOverlap="1" wp14:anchorId="422113A5">
                <wp:simplePos x="0" y="0"/>
                <wp:positionH relativeFrom="margin">
                  <wp:align>left</wp:align>
                </wp:positionH>
                <wp:positionV relativeFrom="paragraph">
                  <wp:posOffset>14605</wp:posOffset>
                </wp:positionV>
                <wp:extent cx="5763895" cy="2838450"/>
                <wp:effectExtent l="0" t="0" r="27305" b="19050"/>
                <wp:wrapSquare wrapText="bothSides"/>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3895" cy="2838450"/>
                        </a:xfrm>
                        <a:prstGeom prst="rect">
                          <a:avLst/>
                        </a:prstGeom>
                        <a:noFill/>
                        <a:ln w="6350">
                          <a:solidFill>
                            <a:prstClr val="black"/>
                          </a:solidFill>
                        </a:ln>
                        <a:effectLst/>
                      </wps:spPr>
                      <wps:txbx>
                        <w:txbxContent>
                          <w:p w:rsidR="00146325" w:rsidRDefault="00146325" w:rsidP="00506124">
                            <w:pPr>
                              <w:pStyle w:val="Lgende"/>
                              <w:keepNext/>
                              <w:jc w:val="both"/>
                            </w:pPr>
                            <w:bookmarkStart w:id="570" w:name="_Toc526120110"/>
                            <w:r>
                              <w:t xml:space="preserve">Figure </w:t>
                            </w:r>
                            <w:r w:rsidR="00C73EE5">
                              <w:fldChar w:fldCharType="begin"/>
                            </w:r>
                            <w:r w:rsidR="00C73EE5">
                              <w:instrText xml:space="preserve"> SEQ Figure \* ARABIC </w:instrText>
                            </w:r>
                            <w:r w:rsidR="00C73EE5">
                              <w:fldChar w:fldCharType="separate"/>
                            </w:r>
                            <w:r>
                              <w:rPr>
                                <w:noProof/>
                              </w:rPr>
                              <w:t>44</w:t>
                            </w:r>
                            <w:r w:rsidR="00C73EE5">
                              <w:rPr>
                                <w:noProof/>
                              </w:rPr>
                              <w:fldChar w:fldCharType="end"/>
                            </w:r>
                            <w:r>
                              <w:t xml:space="preserve"> - Dispositif de suivi-évaluation de l'ODD2.</w:t>
                            </w:r>
                            <w:bookmarkEnd w:id="570"/>
                          </w:p>
                          <w:p w:rsidR="00146325" w:rsidRPr="0031617C" w:rsidRDefault="00146325" w:rsidP="00506124">
                            <w:pPr>
                              <w:jc w:val="both"/>
                              <w:rPr>
                                <w:rFonts w:ascii="Nyala" w:hAnsi="Nyala"/>
                                <w:noProof/>
                                <w:sz w:val="24"/>
                                <w:szCs w:val="24"/>
                              </w:rPr>
                            </w:pPr>
                            <w:r w:rsidRPr="00D002AC">
                              <w:rPr>
                                <w:rFonts w:ascii="Nyala" w:hAnsi="Nyala"/>
                                <w:noProof/>
                                <w:sz w:val="24"/>
                                <w:szCs w:val="24"/>
                                <w:lang w:eastAsia="fr-FR"/>
                              </w:rPr>
                              <w:drawing>
                                <wp:inline distT="0" distB="0" distL="0" distR="0">
                                  <wp:extent cx="5574030" cy="2306472"/>
                                  <wp:effectExtent l="0" t="38100" r="0" b="36830"/>
                                  <wp:docPr id="207" name="Diagramme 2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2113A5" id="Zone de texte 71" o:spid="_x0000_s1078" type="#_x0000_t202" style="position:absolute;left:0;text-align:left;margin-left:0;margin-top:1.15pt;width:453.85pt;height:223.5pt;z-index:25192448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" filled="f" strokeweight=".5pt">
                <v:path arrowok="t"/>
                <v:textbox>
                  <w:txbxContent>
                    <w:p w:rsidR="00146325" w:rsidRDefault="00146325" w:rsidP="00506124">
                      <w:pPr>
                        <w:pStyle w:val="Lgende"/>
                        <w:keepNext/>
                        <w:jc w:val="both"/>
                      </w:pPr>
                      <w:bookmarkStart w:id="571" w:name="_Toc526120110"/>
                      <w:r>
                        <w:t xml:space="preserve">Figure </w:t>
                      </w:r>
                      <w:r w:rsidR="00C73EE5">
                        <w:fldChar w:fldCharType="begin"/>
                      </w:r>
                      <w:r w:rsidR="00C73EE5">
                        <w:instrText xml:space="preserve"> SEQ Figure \* ARABIC </w:instrText>
                      </w:r>
                      <w:r w:rsidR="00C73EE5">
                        <w:fldChar w:fldCharType="separate"/>
                      </w:r>
                      <w:r>
                        <w:rPr>
                          <w:noProof/>
                        </w:rPr>
                        <w:t>44</w:t>
                      </w:r>
                      <w:r w:rsidR="00C73EE5">
                        <w:rPr>
                          <w:noProof/>
                        </w:rPr>
                        <w:fldChar w:fldCharType="end"/>
                      </w:r>
                      <w:r>
                        <w:t xml:space="preserve"> - Dispositif de suivi-évaluation de l'ODD2.</w:t>
                      </w:r>
                      <w:bookmarkEnd w:id="571"/>
                    </w:p>
                    <w:p w:rsidR="00146325" w:rsidRPr="0031617C" w:rsidRDefault="00146325" w:rsidP="00506124">
                      <w:pPr>
                        <w:jc w:val="both"/>
                        <w:rPr>
                          <w:rFonts w:ascii="Nyala" w:hAnsi="Nyala"/>
                          <w:noProof/>
                          <w:sz w:val="24"/>
                          <w:szCs w:val="24"/>
                        </w:rPr>
                      </w:pPr>
                      <w:r w:rsidRPr="00D002AC">
                        <w:rPr>
                          <w:rFonts w:ascii="Nyala" w:hAnsi="Nyala"/>
                          <w:noProof/>
                          <w:sz w:val="24"/>
                          <w:szCs w:val="24"/>
                          <w:lang w:eastAsia="fr-FR"/>
                        </w:rPr>
                        <w:drawing>
                          <wp:inline distT="0" distB="0" distL="0" distR="0">
                            <wp:extent cx="5574030" cy="2306472"/>
                            <wp:effectExtent l="0" t="38100" r="0" b="36830"/>
                            <wp:docPr id="207" name="Diagramme 2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0" r:qs="rId111" r:cs="rId112"/>
                              </a:graphicData>
                            </a:graphic>
                          </wp:inline>
                        </w:drawing>
                      </w:r>
                    </w:p>
                  </w:txbxContent>
                </v:textbox>
                <w10:wrap type="square" anchorx="margin"/>
              </v:shape>
            </w:pict>
          </mc:Fallback>
        </mc:AlternateContent>
      </w:r>
    </w:p>
    <w:p w:rsidR="009540E4" w:rsidRDefault="009540E4">
      <w:pPr>
        <w:rPr>
          <w:rFonts w:ascii="Nyala" w:hAnsi="Nyala"/>
          <w:sz w:val="28"/>
          <w:szCs w:val="28"/>
        </w:rPr>
      </w:pPr>
      <w:r>
        <w:rPr>
          <w:rFonts w:ascii="Nyala" w:hAnsi="Nyala"/>
          <w:sz w:val="28"/>
          <w:szCs w:val="28"/>
        </w:rPr>
        <w:br w:type="page"/>
      </w:r>
    </w:p>
    <w:p w:rsidR="00AA0378" w:rsidRPr="006866D3" w:rsidRDefault="00AA0378" w:rsidP="00141D20">
      <w:pPr>
        <w:pStyle w:val="Titre1"/>
        <w:numPr>
          <w:ilvl w:val="0"/>
          <w:numId w:val="2"/>
        </w:numPr>
        <w:rPr>
          <w:sz w:val="28"/>
          <w:szCs w:val="28"/>
        </w:rPr>
      </w:pPr>
      <w:bookmarkStart w:id="572" w:name="_Toc518671258"/>
      <w:bookmarkStart w:id="573" w:name="_Toc526119992"/>
      <w:bookmarkEnd w:id="572"/>
      <w:r w:rsidRPr="006866D3">
        <w:rPr>
          <w:sz w:val="28"/>
          <w:szCs w:val="28"/>
        </w:rPr>
        <w:t>Autres déterminants pour l’atteinte de l’ODD2  (liens avec autres ODD)</w:t>
      </w:r>
      <w:bookmarkEnd w:id="573"/>
    </w:p>
    <w:p w:rsidR="00AA0378" w:rsidRPr="006866D3" w:rsidRDefault="00AA0378" w:rsidP="00AA0378">
      <w:pPr>
        <w:rPr>
          <w:sz w:val="28"/>
          <w:szCs w:val="28"/>
        </w:rPr>
      </w:pPr>
    </w:p>
    <w:p w:rsidR="00073BD0" w:rsidRPr="006866D3" w:rsidRDefault="00C76D4E" w:rsidP="00AA0378">
      <w:pPr>
        <w:jc w:val="both"/>
        <w:rPr>
          <w:rFonts w:ascii="Nyala" w:hAnsi="Nyala"/>
          <w:sz w:val="28"/>
          <w:szCs w:val="28"/>
        </w:rPr>
      </w:pPr>
      <w:r w:rsidRPr="006866D3">
        <w:rPr>
          <w:rFonts w:ascii="Nyala" w:hAnsi="Nyala"/>
          <w:sz w:val="28"/>
          <w:szCs w:val="28"/>
        </w:rPr>
        <w:t xml:space="preserve">Pour éradiquer la faim et la malnutrition et pour assurer un développement agricole durable, </w:t>
      </w:r>
      <w:r w:rsidR="00073BD0" w:rsidRPr="006866D3">
        <w:rPr>
          <w:rFonts w:ascii="Nyala" w:hAnsi="Nyala"/>
          <w:sz w:val="28"/>
          <w:szCs w:val="28"/>
        </w:rPr>
        <w:t>agir simplement sur les facteurs inductifs directs n’est pas suffisant. Il existe en effet, une multitude  de facteurs sociaux, économiques, environnementaux et même de gouvernance qui ont peuvent influer positivement ou négativement sur les effets des investissements et autres mesures des Gouvernements, des Partenaires Techniques Financiers, des ONG et des ménages eux-mêmes. C’est pour cela que dans le cadre de la présente revue, une attention a été prêtée aux</w:t>
      </w:r>
      <w:r w:rsidR="00AA0378" w:rsidRPr="006866D3">
        <w:rPr>
          <w:rFonts w:ascii="Nyala" w:hAnsi="Nyala"/>
          <w:sz w:val="28"/>
          <w:szCs w:val="28"/>
        </w:rPr>
        <w:t xml:space="preserve"> tendances évolutives de certains indicateurs des ODD</w:t>
      </w:r>
      <w:r w:rsidR="00073BD0" w:rsidRPr="006866D3">
        <w:rPr>
          <w:rFonts w:ascii="Nyala" w:hAnsi="Nyala"/>
          <w:sz w:val="28"/>
          <w:szCs w:val="28"/>
        </w:rPr>
        <w:t xml:space="preserve"> (autres que l’ODD2), considérés comme faisant partie des déterminants sociaux, économiques ou environnementaux pour l’atteinte de l’ODD2.</w:t>
      </w:r>
    </w:p>
    <w:p w:rsidR="00AA0378" w:rsidRPr="006866D3" w:rsidRDefault="00AA0378" w:rsidP="00AA0378">
      <w:pPr>
        <w:jc w:val="both"/>
        <w:rPr>
          <w:rFonts w:ascii="Nyala" w:hAnsi="Nyala"/>
          <w:sz w:val="28"/>
          <w:szCs w:val="28"/>
        </w:rPr>
      </w:pPr>
    </w:p>
    <w:p w:rsidR="00AA0378" w:rsidRPr="006866D3" w:rsidRDefault="00AA0378" w:rsidP="00141D20">
      <w:pPr>
        <w:pStyle w:val="Titre2"/>
        <w:numPr>
          <w:ilvl w:val="1"/>
          <w:numId w:val="2"/>
        </w:numPr>
      </w:pPr>
      <w:bookmarkStart w:id="574" w:name="_Toc526119993"/>
      <w:r w:rsidRPr="006866D3">
        <w:t>Déterminants sociaux</w:t>
      </w:r>
      <w:bookmarkEnd w:id="574"/>
    </w:p>
    <w:p w:rsidR="00AA0378" w:rsidRPr="006866D3" w:rsidRDefault="00AA0378" w:rsidP="00AA0378">
      <w:pPr>
        <w:jc w:val="both"/>
        <w:rPr>
          <w:rStyle w:val="Rfrenceintense"/>
          <w:sz w:val="28"/>
          <w:szCs w:val="28"/>
        </w:rPr>
      </w:pPr>
    </w:p>
    <w:p w:rsidR="00AA0378" w:rsidRPr="006866D3" w:rsidRDefault="00AA0378" w:rsidP="00AA0378">
      <w:pPr>
        <w:jc w:val="both"/>
        <w:rPr>
          <w:rStyle w:val="Rfrenceintense"/>
          <w:sz w:val="28"/>
          <w:szCs w:val="28"/>
        </w:rPr>
      </w:pPr>
      <w:r w:rsidRPr="006866D3">
        <w:rPr>
          <w:rStyle w:val="Rfrenceintense"/>
          <w:sz w:val="28"/>
          <w:szCs w:val="28"/>
        </w:rPr>
        <w:t>élimination de la pauvreté (ODD1) et réduction des inégalités (ODD 10).</w:t>
      </w:r>
    </w:p>
    <w:p w:rsidR="00AA0378" w:rsidRPr="006866D3" w:rsidRDefault="00AA0378" w:rsidP="00AA0378">
      <w:pPr>
        <w:jc w:val="both"/>
        <w:rPr>
          <w:rFonts w:ascii="Nyala" w:hAnsi="Nyala"/>
          <w:sz w:val="28"/>
          <w:szCs w:val="28"/>
        </w:rPr>
      </w:pPr>
      <w:r w:rsidRPr="006866D3">
        <w:rPr>
          <w:rFonts w:ascii="Nyala" w:hAnsi="Nyala"/>
          <w:sz w:val="28"/>
          <w:szCs w:val="28"/>
        </w:rPr>
        <w:t xml:space="preserve">La pauvreté est à la fois cause et conséquence de l’insécurité alimentaire, de la malnutrition et de la non durabilité des systèmes agricoles. En effet, l’accessibilité aux aliments et nutriments est fortement dépendant du revenu des ménages et de l’efficacité des circuits d’approvisionnement et de distribution.  </w:t>
      </w:r>
    </w:p>
    <w:p w:rsidR="00AA0378" w:rsidRPr="006866D3" w:rsidRDefault="00146983" w:rsidP="00AA0378">
      <w:pPr>
        <w:jc w:val="both"/>
        <w:rPr>
          <w:rFonts w:ascii="Nyala" w:hAnsi="Nyala"/>
          <w:sz w:val="28"/>
          <w:szCs w:val="28"/>
        </w:rPr>
      </w:pPr>
      <w:r>
        <w:rPr>
          <w:rFonts w:ascii="Nyala" w:hAnsi="Nyala"/>
          <w:noProof/>
          <w:sz w:val="28"/>
          <w:szCs w:val="28"/>
          <w:lang w:eastAsia="fr-FR"/>
        </w:rPr>
        <mc:AlternateContent>
          <mc:Choice Requires="wps">
            <w:drawing>
              <wp:anchor distT="0" distB="0" distL="114300" distR="114300" simplePos="0" relativeHeight="251913216" behindDoc="0" locked="0" layoutInCell="1" allowOverlap="1" wp14:anchorId="296C44E4">
                <wp:simplePos x="0" y="0"/>
                <wp:positionH relativeFrom="margin">
                  <wp:posOffset>1903095</wp:posOffset>
                </wp:positionH>
                <wp:positionV relativeFrom="paragraph">
                  <wp:posOffset>50800</wp:posOffset>
                </wp:positionV>
                <wp:extent cx="3709035" cy="2491740"/>
                <wp:effectExtent l="0" t="0" r="24765" b="22860"/>
                <wp:wrapSquare wrapText="bothSides"/>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9035" cy="2491740"/>
                        </a:xfrm>
                        <a:prstGeom prst="rect">
                          <a:avLst/>
                        </a:prstGeom>
                        <a:noFill/>
                        <a:ln w="6350">
                          <a:solidFill>
                            <a:prstClr val="black"/>
                          </a:solidFill>
                        </a:ln>
                        <a:effectLst/>
                      </wps:spPr>
                      <wps:txbx>
                        <w:txbxContent>
                          <w:p w:rsidR="00146325" w:rsidRDefault="00146325" w:rsidP="00AA0378">
                            <w:pPr>
                              <w:pStyle w:val="Lgende"/>
                              <w:keepNext/>
                            </w:pPr>
                            <w:bookmarkStart w:id="575" w:name="_Toc526120111"/>
                            <w:r>
                              <w:t xml:space="preserve">Figure </w:t>
                            </w:r>
                            <w:r w:rsidR="00C73EE5">
                              <w:fldChar w:fldCharType="begin"/>
                            </w:r>
                            <w:r w:rsidR="00C73EE5">
                              <w:instrText xml:space="preserve"> SEQ Figure \* ARABIC </w:instrText>
                            </w:r>
                            <w:r w:rsidR="00C73EE5">
                              <w:fldChar w:fldCharType="separate"/>
                            </w:r>
                            <w:r>
                              <w:rPr>
                                <w:noProof/>
                              </w:rPr>
                              <w:t>45</w:t>
                            </w:r>
                            <w:r w:rsidR="00C73EE5">
                              <w:rPr>
                                <w:noProof/>
                              </w:rPr>
                              <w:fldChar w:fldCharType="end"/>
                            </w:r>
                            <w:r>
                              <w:t xml:space="preserve"> -revenu mensuel des ménages selon la classe d'insécurité alimentaire</w:t>
                            </w:r>
                            <w:bookmarkEnd w:id="575"/>
                          </w:p>
                          <w:p w:rsidR="00146325" w:rsidRDefault="00146325" w:rsidP="00AA0378">
                            <w:r w:rsidRPr="00302E74">
                              <w:rPr>
                                <w:noProof/>
                                <w:lang w:eastAsia="fr-FR"/>
                              </w:rPr>
                              <w:drawing>
                                <wp:inline distT="0" distB="0" distL="0" distR="0">
                                  <wp:extent cx="3390181" cy="1793875"/>
                                  <wp:effectExtent l="0" t="0" r="127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08855" cy="1803756"/>
                                          </a:xfrm>
                                          <a:prstGeom prst="rect">
                                            <a:avLst/>
                                          </a:prstGeom>
                                          <a:noFill/>
                                          <a:ln>
                                            <a:noFill/>
                                          </a:ln>
                                        </pic:spPr>
                                      </pic:pic>
                                    </a:graphicData>
                                  </a:graphic>
                                </wp:inline>
                              </w:drawing>
                            </w:r>
                          </w:p>
                          <w:p w:rsidR="00146325" w:rsidRPr="00A544CF" w:rsidRDefault="00146325" w:rsidP="00AA0378">
                            <w:pPr>
                              <w:pStyle w:val="NormalWeb"/>
                              <w:spacing w:before="0" w:beforeAutospacing="0" w:after="0" w:afterAutospacing="0"/>
                              <w:textAlignment w:val="baseline"/>
                              <w:rPr>
                                <w:rFonts w:ascii="Nyala" w:hAnsi="Nyala"/>
                                <w:sz w:val="16"/>
                                <w:szCs w:val="16"/>
                              </w:rPr>
                            </w:pPr>
                            <w:r w:rsidRPr="00A544CF">
                              <w:rPr>
                                <w:rFonts w:ascii="Nyala" w:eastAsiaTheme="minorEastAsia" w:hAnsi="Nyala" w:cs="Arial"/>
                                <w:b/>
                                <w:bCs/>
                                <w:color w:val="000000" w:themeColor="text1"/>
                                <w:kern w:val="24"/>
                                <w:sz w:val="16"/>
                                <w:szCs w:val="16"/>
                              </w:rPr>
                              <w:t xml:space="preserve"> (</w:t>
                            </w:r>
                            <w:r w:rsidRPr="00A544CF">
                              <w:rPr>
                                <w:rFonts w:ascii="Nyala" w:eastAsiaTheme="minorEastAsia" w:hAnsi="Nyala" w:cs="Arial"/>
                                <w:color w:val="000000" w:themeColor="text1"/>
                                <w:kern w:val="24"/>
                                <w:sz w:val="16"/>
                                <w:szCs w:val="16"/>
                              </w:rPr>
                              <w:t>Source: REACH-Niger,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96C44E4" id="Zone de texte 31" o:spid="_x0000_s1079" type="#_x0000_t202" style="position:absolute;left:0;text-align:left;margin-left:149.85pt;margin-top:4pt;width:292.05pt;height:196.2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" filled="f" strokeweight=".5pt">
                <v:path arrowok="t"/>
                <v:textbox style="mso-fit-shape-to-text:t">
                  <w:txbxContent>
                    <w:p w:rsidR="00146325" w:rsidRDefault="00146325" w:rsidP="00AA0378">
                      <w:pPr>
                        <w:pStyle w:val="Lgende"/>
                        <w:keepNext/>
                      </w:pPr>
                      <w:bookmarkStart w:id="576" w:name="_Toc526120111"/>
                      <w:r>
                        <w:t xml:space="preserve">Figure </w:t>
                      </w:r>
                      <w:r w:rsidR="00C73EE5">
                        <w:fldChar w:fldCharType="begin"/>
                      </w:r>
                      <w:r w:rsidR="00C73EE5">
                        <w:instrText xml:space="preserve"> SEQ Figure \* ARABIC </w:instrText>
                      </w:r>
                      <w:r w:rsidR="00C73EE5">
                        <w:fldChar w:fldCharType="separate"/>
                      </w:r>
                      <w:r>
                        <w:rPr>
                          <w:noProof/>
                        </w:rPr>
                        <w:t>45</w:t>
                      </w:r>
                      <w:r w:rsidR="00C73EE5">
                        <w:rPr>
                          <w:noProof/>
                        </w:rPr>
                        <w:fldChar w:fldCharType="end"/>
                      </w:r>
                      <w:r>
                        <w:t xml:space="preserve"> -revenu mensuel des ménages selon la classe d'insécurité alimentaire</w:t>
                      </w:r>
                      <w:bookmarkEnd w:id="576"/>
                    </w:p>
                    <w:p w:rsidR="00146325" w:rsidRDefault="00146325" w:rsidP="00AA0378">
                      <w:r w:rsidRPr="00302E74">
                        <w:rPr>
                          <w:noProof/>
                          <w:lang w:eastAsia="fr-FR"/>
                        </w:rPr>
                        <w:drawing>
                          <wp:inline distT="0" distB="0" distL="0" distR="0">
                            <wp:extent cx="3390181" cy="1793875"/>
                            <wp:effectExtent l="0" t="0" r="127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08855" cy="1803756"/>
                                    </a:xfrm>
                                    <a:prstGeom prst="rect">
                                      <a:avLst/>
                                    </a:prstGeom>
                                    <a:noFill/>
                                    <a:ln>
                                      <a:noFill/>
                                    </a:ln>
                                  </pic:spPr>
                                </pic:pic>
                              </a:graphicData>
                            </a:graphic>
                          </wp:inline>
                        </w:drawing>
                      </w:r>
                    </w:p>
                    <w:p w:rsidR="00146325" w:rsidRPr="00A544CF" w:rsidRDefault="00146325" w:rsidP="00AA0378">
                      <w:pPr>
                        <w:pStyle w:val="NormalWeb"/>
                        <w:spacing w:before="0" w:beforeAutospacing="0" w:after="0" w:afterAutospacing="0"/>
                        <w:textAlignment w:val="baseline"/>
                        <w:rPr>
                          <w:rFonts w:ascii="Nyala" w:hAnsi="Nyala"/>
                          <w:sz w:val="16"/>
                          <w:szCs w:val="16"/>
                        </w:rPr>
                      </w:pPr>
                      <w:r w:rsidRPr="00A544CF">
                        <w:rPr>
                          <w:rFonts w:ascii="Nyala" w:eastAsiaTheme="minorEastAsia" w:hAnsi="Nyala" w:cs="Arial"/>
                          <w:b/>
                          <w:bCs/>
                          <w:color w:val="000000" w:themeColor="text1"/>
                          <w:kern w:val="24"/>
                          <w:sz w:val="16"/>
                          <w:szCs w:val="16"/>
                        </w:rPr>
                        <w:t xml:space="preserve"> (</w:t>
                      </w:r>
                      <w:r w:rsidRPr="00A544CF">
                        <w:rPr>
                          <w:rFonts w:ascii="Nyala" w:eastAsiaTheme="minorEastAsia" w:hAnsi="Nyala" w:cs="Arial"/>
                          <w:color w:val="000000" w:themeColor="text1"/>
                          <w:kern w:val="24"/>
                          <w:sz w:val="16"/>
                          <w:szCs w:val="16"/>
                        </w:rPr>
                        <w:t>Source: REACH-Niger, 2014)</w:t>
                      </w:r>
                    </w:p>
                  </w:txbxContent>
                </v:textbox>
                <w10:wrap type="square" anchorx="margin"/>
              </v:shape>
            </w:pict>
          </mc:Fallback>
        </mc:AlternateContent>
      </w:r>
      <w:r w:rsidR="00AA0378" w:rsidRPr="006866D3">
        <w:rPr>
          <w:rFonts w:ascii="Nyala" w:hAnsi="Nyala"/>
          <w:sz w:val="28"/>
          <w:szCs w:val="28"/>
        </w:rPr>
        <w:t>Les enquêtes annuelles SAP-INS sur la vulnérabilité à l’insécurité alimentaire font ressortir le lien entre le revenu des ménages et la classe d’insécurité alimentaire. Les revenus des ménages varient selon les années. Le revenu d’un ménage en insécurité alimentaire sévère représente selon les années de 47% à 62% celui des ménages en sécurité alimentaire ; ceux des ménages en insécurité alimentaire modérée, de 51% à 74% (</w:t>
      </w:r>
      <w:r w:rsidR="00AA0378" w:rsidRPr="006866D3">
        <w:rPr>
          <w:rFonts w:ascii="Nyala" w:hAnsi="Nyala"/>
          <w:b/>
          <w:sz w:val="28"/>
          <w:szCs w:val="28"/>
        </w:rPr>
        <w:t xml:space="preserve">figure </w:t>
      </w:r>
      <w:r w:rsidR="00C16CC4">
        <w:rPr>
          <w:rFonts w:ascii="Nyala" w:hAnsi="Nyala"/>
          <w:b/>
          <w:sz w:val="28"/>
          <w:szCs w:val="28"/>
        </w:rPr>
        <w:t>4</w:t>
      </w:r>
      <w:r w:rsidR="00881124">
        <w:rPr>
          <w:rFonts w:ascii="Nyala" w:hAnsi="Nyala"/>
          <w:b/>
          <w:sz w:val="28"/>
          <w:szCs w:val="28"/>
        </w:rPr>
        <w:t>5</w:t>
      </w:r>
      <w:r w:rsidR="00AA0378" w:rsidRPr="006866D3">
        <w:rPr>
          <w:rFonts w:ascii="Nyala" w:hAnsi="Nyala"/>
          <w:sz w:val="28"/>
          <w:szCs w:val="28"/>
        </w:rPr>
        <w:t xml:space="preserve">).  </w:t>
      </w:r>
    </w:p>
    <w:p w:rsidR="00AA0378" w:rsidRPr="006866D3" w:rsidRDefault="00AA0378" w:rsidP="00AA0378">
      <w:pPr>
        <w:jc w:val="both"/>
        <w:rPr>
          <w:rFonts w:ascii="Nyala" w:hAnsi="Nyala"/>
          <w:sz w:val="28"/>
          <w:szCs w:val="28"/>
        </w:rPr>
      </w:pPr>
      <w:r w:rsidRPr="006866D3">
        <w:rPr>
          <w:rFonts w:ascii="Nyala" w:hAnsi="Nyala"/>
          <w:sz w:val="28"/>
          <w:szCs w:val="28"/>
        </w:rPr>
        <w:t xml:space="preserve">L’INS utilise également un indicateur proxy pour apprécier la richesse des ménages afin de comprendre le lien entre bien-être général et sécurité alimentaire. Il s’agit de l’Indice de richesse ou Wealth Index (WI) calculé sur la base de la possession de biens productifs et non productifs, de la qualité du cadre de vie et autre dont la promiscuité (nombre de personnes par pièce dans un logement). La population est répartie en 5 classes de richesse ou quintile. </w:t>
      </w:r>
    </w:p>
    <w:p w:rsidR="00AA0378" w:rsidRPr="006866D3" w:rsidRDefault="00AA0378" w:rsidP="00AA0378">
      <w:pPr>
        <w:jc w:val="both"/>
        <w:rPr>
          <w:rFonts w:ascii="Nyala" w:hAnsi="Nyala"/>
          <w:sz w:val="28"/>
          <w:szCs w:val="28"/>
        </w:rPr>
      </w:pPr>
      <w:r w:rsidRPr="006866D3">
        <w:rPr>
          <w:rFonts w:ascii="Nyala" w:hAnsi="Nyala"/>
          <w:sz w:val="28"/>
          <w:szCs w:val="28"/>
        </w:rPr>
        <w:t xml:space="preserve">En 2016, le constat a été qu’on a presque la même proportion de ménages dans chaque quintile pour l’ensemble de la population. Par contre, si l’on tient compte des ménages en insécurité alimentaire sévère, il peut être constaté que 42,5% ont un Indice de richesse faible et que pour 4% des ménages, leur « richesse » ne les a pas mis à l’abri d’une insécurité alimentaire. </w:t>
      </w:r>
    </w:p>
    <w:p w:rsidR="00AA0378" w:rsidRPr="006866D3" w:rsidRDefault="00146983" w:rsidP="00AA0378">
      <w:pPr>
        <w:jc w:val="both"/>
        <w:rPr>
          <w:rFonts w:ascii="Nyala" w:hAnsi="Nyala"/>
          <w:sz w:val="28"/>
          <w:szCs w:val="28"/>
        </w:rPr>
      </w:pPr>
      <w:r>
        <w:rPr>
          <w:noProof/>
          <w:sz w:val="28"/>
          <w:szCs w:val="28"/>
          <w:lang w:eastAsia="fr-FR"/>
        </w:rPr>
        <mc:AlternateContent>
          <mc:Choice Requires="wps">
            <w:drawing>
              <wp:anchor distT="0" distB="0" distL="114300" distR="114300" simplePos="0" relativeHeight="251914240" behindDoc="0" locked="0" layoutInCell="1" allowOverlap="1" wp14:anchorId="2D76B590">
                <wp:simplePos x="0" y="0"/>
                <wp:positionH relativeFrom="margin">
                  <wp:align>right</wp:align>
                </wp:positionH>
                <wp:positionV relativeFrom="paragraph">
                  <wp:posOffset>127000</wp:posOffset>
                </wp:positionV>
                <wp:extent cx="3561715" cy="1862455"/>
                <wp:effectExtent l="0" t="0" r="19685" b="23495"/>
                <wp:wrapSquare wrapText="bothSides"/>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1715" cy="1862455"/>
                        </a:xfrm>
                        <a:prstGeom prst="rect">
                          <a:avLst/>
                        </a:prstGeom>
                        <a:noFill/>
                        <a:ln w="6350">
                          <a:solidFill>
                            <a:prstClr val="black"/>
                          </a:solidFill>
                        </a:ln>
                        <a:effectLst/>
                      </wps:spPr>
                      <wps:txbx>
                        <w:txbxContent>
                          <w:p w:rsidR="00146325" w:rsidRDefault="00146325" w:rsidP="00AA0378">
                            <w:pPr>
                              <w:pStyle w:val="Lgende"/>
                              <w:keepNext/>
                              <w:spacing w:before="0" w:after="0"/>
                              <w:jc w:val="both"/>
                            </w:pPr>
                            <w:bookmarkStart w:id="577" w:name="_Toc526120112"/>
                            <w:r>
                              <w:t xml:space="preserve">Figure </w:t>
                            </w:r>
                            <w:r w:rsidR="00C73EE5">
                              <w:fldChar w:fldCharType="begin"/>
                            </w:r>
                            <w:r w:rsidR="00C73EE5">
                              <w:instrText xml:space="preserve"> SEQ Figure \* ARABIC </w:instrText>
                            </w:r>
                            <w:r w:rsidR="00C73EE5">
                              <w:fldChar w:fldCharType="separate"/>
                            </w:r>
                            <w:r>
                              <w:rPr>
                                <w:noProof/>
                              </w:rPr>
                              <w:t>46</w:t>
                            </w:r>
                            <w:r w:rsidR="00C73EE5">
                              <w:rPr>
                                <w:noProof/>
                              </w:rPr>
                              <w:fldChar w:fldCharType="end"/>
                            </w:r>
                            <w:r>
                              <w:t xml:space="preserve"> - Tendance évolutive des inégalités selon l'Indice Gini</w:t>
                            </w:r>
                            <w:bookmarkEnd w:id="577"/>
                          </w:p>
                          <w:p w:rsidR="00146325" w:rsidRDefault="00146325" w:rsidP="00AA0378">
                            <w:pPr>
                              <w:spacing w:before="0" w:after="0"/>
                              <w:jc w:val="both"/>
                              <w:rPr>
                                <w:sz w:val="16"/>
                                <w:szCs w:val="16"/>
                              </w:rPr>
                            </w:pPr>
                            <w:r w:rsidRPr="005E383B">
                              <w:rPr>
                                <w:noProof/>
                                <w:lang w:eastAsia="fr-FR"/>
                              </w:rPr>
                              <w:drawing>
                                <wp:inline distT="0" distB="0" distL="0" distR="0">
                                  <wp:extent cx="3125337" cy="1490423"/>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39300" cy="1497082"/>
                                          </a:xfrm>
                                          <a:prstGeom prst="rect">
                                            <a:avLst/>
                                          </a:prstGeom>
                                          <a:noFill/>
                                          <a:ln>
                                            <a:noFill/>
                                          </a:ln>
                                        </pic:spPr>
                                      </pic:pic>
                                    </a:graphicData>
                                  </a:graphic>
                                </wp:inline>
                              </w:drawing>
                            </w:r>
                          </w:p>
                          <w:p w:rsidR="00146325" w:rsidRPr="00474510" w:rsidRDefault="00146325" w:rsidP="00AA0378">
                            <w:pPr>
                              <w:spacing w:before="0" w:after="0" w:line="240" w:lineRule="auto"/>
                              <w:jc w:val="both"/>
                              <w:rPr>
                                <w:sz w:val="16"/>
                                <w:szCs w:val="16"/>
                              </w:rPr>
                            </w:pPr>
                            <w:r w:rsidRPr="00474510">
                              <w:rPr>
                                <w:sz w:val="16"/>
                                <w:szCs w:val="16"/>
                              </w:rPr>
                              <w:t>Source : 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76B590" id="Zone de texte 38" o:spid="_x0000_s1080" type="#_x0000_t202" style="position:absolute;left:0;text-align:left;margin-left:229.25pt;margin-top:10pt;width:280.45pt;height:146.65pt;z-index:2519142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" filled="f" strokeweight=".5pt">
                <v:path arrowok="t"/>
                <v:textbox>
                  <w:txbxContent>
                    <w:p w:rsidR="00146325" w:rsidRDefault="00146325" w:rsidP="00AA0378">
                      <w:pPr>
                        <w:pStyle w:val="Lgende"/>
                        <w:keepNext/>
                        <w:spacing w:before="0" w:after="0"/>
                        <w:jc w:val="both"/>
                      </w:pPr>
                      <w:bookmarkStart w:id="578" w:name="_Toc526120112"/>
                      <w:r>
                        <w:t xml:space="preserve">Figure </w:t>
                      </w:r>
                      <w:r w:rsidR="00C73EE5">
                        <w:fldChar w:fldCharType="begin"/>
                      </w:r>
                      <w:r w:rsidR="00C73EE5">
                        <w:instrText xml:space="preserve"> SEQ Figure \* ARABIC </w:instrText>
                      </w:r>
                      <w:r w:rsidR="00C73EE5">
                        <w:fldChar w:fldCharType="separate"/>
                      </w:r>
                      <w:r>
                        <w:rPr>
                          <w:noProof/>
                        </w:rPr>
                        <w:t>46</w:t>
                      </w:r>
                      <w:r w:rsidR="00C73EE5">
                        <w:rPr>
                          <w:noProof/>
                        </w:rPr>
                        <w:fldChar w:fldCharType="end"/>
                      </w:r>
                      <w:r>
                        <w:t xml:space="preserve"> - Tendance évolutive des inégalités selon l'Indice Gini</w:t>
                      </w:r>
                      <w:bookmarkEnd w:id="578"/>
                    </w:p>
                    <w:p w:rsidR="00146325" w:rsidRDefault="00146325" w:rsidP="00AA0378">
                      <w:pPr>
                        <w:spacing w:before="0" w:after="0"/>
                        <w:jc w:val="both"/>
                        <w:rPr>
                          <w:sz w:val="16"/>
                          <w:szCs w:val="16"/>
                        </w:rPr>
                      </w:pPr>
                      <w:r w:rsidRPr="005E383B">
                        <w:rPr>
                          <w:noProof/>
                          <w:lang w:eastAsia="fr-FR"/>
                        </w:rPr>
                        <w:drawing>
                          <wp:inline distT="0" distB="0" distL="0" distR="0">
                            <wp:extent cx="3125337" cy="1490423"/>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39300" cy="1497082"/>
                                    </a:xfrm>
                                    <a:prstGeom prst="rect">
                                      <a:avLst/>
                                    </a:prstGeom>
                                    <a:noFill/>
                                    <a:ln>
                                      <a:noFill/>
                                    </a:ln>
                                  </pic:spPr>
                                </pic:pic>
                              </a:graphicData>
                            </a:graphic>
                          </wp:inline>
                        </w:drawing>
                      </w:r>
                    </w:p>
                    <w:p w:rsidR="00146325" w:rsidRPr="00474510" w:rsidRDefault="00146325" w:rsidP="00AA0378">
                      <w:pPr>
                        <w:spacing w:before="0" w:after="0" w:line="240" w:lineRule="auto"/>
                        <w:jc w:val="both"/>
                        <w:rPr>
                          <w:sz w:val="16"/>
                          <w:szCs w:val="16"/>
                        </w:rPr>
                      </w:pPr>
                      <w:r w:rsidRPr="00474510">
                        <w:rPr>
                          <w:sz w:val="16"/>
                          <w:szCs w:val="16"/>
                        </w:rPr>
                        <w:t>Source : INS</w:t>
                      </w:r>
                    </w:p>
                  </w:txbxContent>
                </v:textbox>
                <w10:wrap type="square" anchorx="margin"/>
              </v:shape>
            </w:pict>
          </mc:Fallback>
        </mc:AlternateContent>
      </w:r>
      <w:r w:rsidR="00AA0378" w:rsidRPr="006866D3">
        <w:rPr>
          <w:rFonts w:ascii="Nyala" w:hAnsi="Nyala"/>
          <w:sz w:val="28"/>
          <w:szCs w:val="28"/>
        </w:rPr>
        <w:t>La pauvreté calculée selon le modèle de consommation des ménages est passé de 45,1% en 2014 à 42,2% en 2017 (MP, 2018). Il est attendu un taux de pauvreté de 37,9 % à l’horizon 2021 (PDES) et 20% en 2035 (SDDCI).  Cela devrait s’accompagner d’une réduction drastique des inégalités mesurées selon l’Indice de Gini</w:t>
      </w:r>
      <w:r w:rsidR="00C16CC4">
        <w:rPr>
          <w:rFonts w:ascii="Nyala" w:hAnsi="Nyala"/>
          <w:sz w:val="28"/>
          <w:szCs w:val="28"/>
        </w:rPr>
        <w:t xml:space="preserve"> (</w:t>
      </w:r>
      <w:r w:rsidR="00C16CC4" w:rsidRPr="009B11E1">
        <w:rPr>
          <w:rFonts w:ascii="Nyala" w:hAnsi="Nyala"/>
          <w:b/>
          <w:sz w:val="28"/>
          <w:szCs w:val="28"/>
        </w:rPr>
        <w:t>figure 4</w:t>
      </w:r>
      <w:r w:rsidR="00881124">
        <w:rPr>
          <w:rFonts w:ascii="Nyala" w:hAnsi="Nyala"/>
          <w:b/>
          <w:sz w:val="28"/>
          <w:szCs w:val="28"/>
        </w:rPr>
        <w:t>6</w:t>
      </w:r>
      <w:r w:rsidR="00C16CC4">
        <w:rPr>
          <w:rFonts w:ascii="Nyala" w:hAnsi="Nyala"/>
          <w:sz w:val="28"/>
          <w:szCs w:val="28"/>
        </w:rPr>
        <w:t>)</w:t>
      </w:r>
    </w:p>
    <w:p w:rsidR="00AA0378" w:rsidRPr="00141D20" w:rsidRDefault="00AA0378" w:rsidP="00AA0378">
      <w:pPr>
        <w:jc w:val="both"/>
        <w:rPr>
          <w:rFonts w:ascii="Nyala" w:hAnsi="Nyala"/>
          <w:i/>
          <w:sz w:val="28"/>
          <w:szCs w:val="28"/>
        </w:rPr>
      </w:pPr>
      <w:r w:rsidRPr="006866D3">
        <w:rPr>
          <w:rFonts w:ascii="Nyala" w:hAnsi="Nyala"/>
          <w:sz w:val="28"/>
          <w:szCs w:val="28"/>
        </w:rPr>
        <w:t xml:space="preserve">Celui-ci devrait passer de 0,325 en 2014 à 0,271 en 2021 (PDES)  à 0,163 (SDDCI). Toutefois, si l’on tient compte de la tendance évolutive amorcée à partir de 2011, année à partir de laquelle les inégalités sont accentuées, </w:t>
      </w:r>
      <w:r w:rsidRPr="00141D20">
        <w:rPr>
          <w:rFonts w:ascii="Nyala" w:hAnsi="Nyala"/>
          <w:i/>
          <w:sz w:val="28"/>
          <w:szCs w:val="28"/>
        </w:rPr>
        <w:t xml:space="preserve">il faudrait davantage orienter les politiques publiques, les programmes et projets vers la réduction des inégalités et une amélioration du bien-être général de toutes les couches sociales, notamment en milieu rural dont la richesse dépend de l’agriculture, de la pêche, de l’élevage et de l’exploitation des ressources forestières. </w:t>
      </w:r>
    </w:p>
    <w:p w:rsidR="00AA0378" w:rsidRPr="006866D3" w:rsidRDefault="00AA0378" w:rsidP="00AA0378">
      <w:pPr>
        <w:tabs>
          <w:tab w:val="left" w:pos="2325"/>
        </w:tabs>
        <w:jc w:val="both"/>
        <w:rPr>
          <w:rFonts w:ascii="Nyala" w:hAnsi="Nyala"/>
          <w:sz w:val="28"/>
          <w:szCs w:val="28"/>
        </w:rPr>
      </w:pPr>
    </w:p>
    <w:p w:rsidR="00AA0378" w:rsidRPr="006866D3" w:rsidRDefault="00AA0378" w:rsidP="00AA0378">
      <w:pPr>
        <w:jc w:val="both"/>
        <w:rPr>
          <w:rStyle w:val="Rfrenceintense"/>
          <w:sz w:val="28"/>
          <w:szCs w:val="28"/>
        </w:rPr>
      </w:pPr>
      <w:r w:rsidRPr="006866D3">
        <w:rPr>
          <w:rStyle w:val="Rfrenceintense"/>
          <w:sz w:val="28"/>
          <w:szCs w:val="28"/>
        </w:rPr>
        <w:t>Egalité des sexes et émancipation de la femme (ODD5)</w:t>
      </w:r>
    </w:p>
    <w:p w:rsidR="00AA0378" w:rsidRPr="006866D3" w:rsidRDefault="00AA0378" w:rsidP="00AA0378">
      <w:pPr>
        <w:shd w:val="clear" w:color="auto" w:fill="FFFFFF" w:themeFill="background1"/>
        <w:jc w:val="both"/>
        <w:rPr>
          <w:rFonts w:ascii="Nyala" w:eastAsia="Calibri" w:hAnsi="Nyala" w:cs="Arial"/>
          <w:color w:val="000000"/>
          <w:sz w:val="28"/>
          <w:szCs w:val="28"/>
          <w:lang w:eastAsia="fr-FR"/>
        </w:rPr>
      </w:pPr>
      <w:r w:rsidRPr="006866D3">
        <w:rPr>
          <w:rFonts w:ascii="Nyala" w:eastAsia="Calibri" w:hAnsi="Nyala" w:cs="Arial"/>
          <w:color w:val="000000"/>
          <w:sz w:val="28"/>
          <w:szCs w:val="28"/>
          <w:lang w:eastAsia="fr-FR"/>
        </w:rPr>
        <w:t xml:space="preserve">Comme reporté supra, l’insécurité alimentaire et la malnutrition ont une dimension féminine qui risque de perdurer avec la  persistance des inégalités liées au sexe. Il est reconnu qu’il existe une corrélation forte entre inégalité femmes-hommes et insécurité alimentaire et nutritionnelle. Les besoins alimentaires et nutritionnels des femmes elles-mêmes – et souvent, ceux de leurs filles – sont négligés au niveau des ménages, où règnent des normes sociales et culturelles discriminatoires. L’Annexe *** fait un focus spécial sur les questions d’insécurité alimentaire et nutritionnelle liées au Genre au Niger. </w:t>
      </w:r>
    </w:p>
    <w:p w:rsidR="00AA0378" w:rsidRPr="006866D3" w:rsidRDefault="00AA0378" w:rsidP="00AA0378">
      <w:pPr>
        <w:shd w:val="clear" w:color="auto" w:fill="FFFFFF" w:themeFill="background1"/>
        <w:jc w:val="both"/>
        <w:rPr>
          <w:rFonts w:ascii="Nyala" w:eastAsia="Calibri" w:hAnsi="Nyala" w:cs="Arial"/>
          <w:color w:val="000000"/>
          <w:sz w:val="28"/>
          <w:szCs w:val="28"/>
          <w:lang w:eastAsia="fr-FR"/>
        </w:rPr>
      </w:pPr>
      <w:r w:rsidRPr="006866D3">
        <w:rPr>
          <w:rFonts w:ascii="Nyala" w:eastAsia="Calibri" w:hAnsi="Nyala" w:cs="Arial"/>
          <w:color w:val="000000"/>
          <w:sz w:val="28"/>
          <w:szCs w:val="28"/>
          <w:lang w:eastAsia="fr-FR"/>
        </w:rPr>
        <w:t>En matière d’égalité des sexes et de l’émancipation de la femme, les progrès du Niger sont insuffisants. En 2016, le Niger occupait le 149ème rang de pauvreté sur 152 pays classés. L’indice d’inégalité de genre du Niger est de 0,713 contre 0,635 pour les pays du Sahel et 0,575 pour l’Afrique sub-Saharienne)</w:t>
      </w:r>
      <w:r w:rsidRPr="006866D3">
        <w:rPr>
          <w:rFonts w:ascii="Nyala" w:eastAsia="Calibri" w:hAnsi="Nyala" w:cs="Arial"/>
          <w:color w:val="000000"/>
          <w:sz w:val="28"/>
          <w:szCs w:val="28"/>
          <w:vertAlign w:val="superscript"/>
          <w:lang w:eastAsia="fr-FR"/>
        </w:rPr>
        <w:footnoteReference w:id="18"/>
      </w:r>
      <w:r w:rsidRPr="006866D3">
        <w:rPr>
          <w:rFonts w:ascii="Nyala" w:eastAsia="Calibri" w:hAnsi="Nyala" w:cs="Arial"/>
          <w:color w:val="000000"/>
          <w:sz w:val="28"/>
          <w:szCs w:val="28"/>
          <w:lang w:eastAsia="fr-FR"/>
        </w:rPr>
        <w:t>.</w:t>
      </w:r>
    </w:p>
    <w:p w:rsidR="00AA0378" w:rsidRPr="006866D3" w:rsidRDefault="00AA0378" w:rsidP="00AA0378">
      <w:pPr>
        <w:tabs>
          <w:tab w:val="left" w:pos="1805"/>
        </w:tabs>
        <w:jc w:val="both"/>
        <w:rPr>
          <w:rFonts w:ascii="Nyala" w:hAnsi="Nyala" w:cs="Arial"/>
          <w:sz w:val="28"/>
          <w:szCs w:val="28"/>
        </w:rPr>
      </w:pPr>
      <w:r w:rsidRPr="006866D3">
        <w:rPr>
          <w:rFonts w:ascii="Nyala" w:eastAsia="Calibri" w:hAnsi="Nyala" w:cs="Arial"/>
          <w:color w:val="000000"/>
          <w:sz w:val="28"/>
          <w:szCs w:val="28"/>
          <w:lang w:eastAsia="fr-FR"/>
        </w:rPr>
        <w:t xml:space="preserve">Aussi, réduire les inégalités liées au sexe dans tous les domaines d’action de l’agenda 2030 est un impératif constitutionnel. La </w:t>
      </w:r>
      <w:r w:rsidRPr="006866D3">
        <w:rPr>
          <w:rFonts w:ascii="Nyala" w:hAnsi="Nyala" w:cs="Arial"/>
          <w:sz w:val="28"/>
          <w:szCs w:val="28"/>
        </w:rPr>
        <w:t xml:space="preserve">constitution nigérienne reconnaît les droits de la femme et fustige toutes formes de discrimination liées au genre, à l’âge, à la religion ou à une appartenance ethnolinguistique. </w:t>
      </w:r>
    </w:p>
    <w:p w:rsidR="00AA0378" w:rsidRPr="006866D3" w:rsidRDefault="00AA0378" w:rsidP="00AA0378">
      <w:pPr>
        <w:tabs>
          <w:tab w:val="left" w:pos="1805"/>
        </w:tabs>
        <w:jc w:val="both"/>
        <w:rPr>
          <w:rFonts w:ascii="Nyala" w:hAnsi="Nyala" w:cs="Arial"/>
          <w:sz w:val="28"/>
          <w:szCs w:val="28"/>
        </w:rPr>
      </w:pPr>
      <w:r w:rsidRPr="006866D3">
        <w:rPr>
          <w:rFonts w:ascii="Nyala" w:hAnsi="Nyala" w:cs="Arial"/>
          <w:sz w:val="28"/>
          <w:szCs w:val="28"/>
        </w:rPr>
        <w:t>L’égalité des sexes et l’émancipation de la femme sont perçus au Niger comme une résultante d’un ensemble de droits de la femme : droits à la survie et à la santé; droits au développement; droits à la protection; droits à la participation.</w:t>
      </w:r>
    </w:p>
    <w:p w:rsidR="00AA0378" w:rsidRPr="006866D3" w:rsidRDefault="00AA0378" w:rsidP="00AA0378">
      <w:pPr>
        <w:jc w:val="both"/>
        <w:rPr>
          <w:rFonts w:ascii="Nyala" w:hAnsi="Nyala" w:cs="Arial"/>
          <w:sz w:val="28"/>
          <w:szCs w:val="28"/>
        </w:rPr>
      </w:pPr>
      <w:r w:rsidRPr="006866D3">
        <w:rPr>
          <w:rFonts w:ascii="Nyala" w:hAnsi="Nyala" w:cs="Arial"/>
          <w:sz w:val="28"/>
          <w:szCs w:val="28"/>
        </w:rPr>
        <w:t xml:space="preserve">La promotion, l’application et le respect de ces droits sont à même d’accélérer l’atteinte des objectifs-cibles de réduire la prévalence de la malnutrition, d’accroître la disponibilité et  l’accessibilité de la famille aux denrées alimentaires et en général de développer une économie familiale plus durable et plus résiliente face aux chocs divers. </w:t>
      </w:r>
    </w:p>
    <w:p w:rsidR="00AA0378" w:rsidRPr="006866D3" w:rsidRDefault="00AA0378" w:rsidP="00AA0378">
      <w:pPr>
        <w:jc w:val="both"/>
        <w:rPr>
          <w:rFonts w:ascii="Nyala" w:hAnsi="Nyala" w:cs="Arial"/>
          <w:sz w:val="28"/>
          <w:szCs w:val="28"/>
        </w:rPr>
      </w:pPr>
      <w:r w:rsidRPr="006866D3">
        <w:rPr>
          <w:rFonts w:ascii="Nyala" w:hAnsi="Nyala" w:cs="Arial"/>
          <w:sz w:val="28"/>
          <w:szCs w:val="28"/>
        </w:rPr>
        <w:t>Ainsi, dans la dernière enquête de l’EDSN, le constat a été fait d’une baisse de la fécondité des adolescentes de 15 à 19 ans du fait d’une entrée en mariage plus tardive (40,4% en 2012 et 30,3% en 2017), une légère augmentation de l’utilisation des moyens contraceptifs modernes (est passée de 3,7% en 2012 à 5 % en 2017 ) et une plus grande fréquentation scolaire (la proportion de filles de 19 ans fréquentant l’école est passée de 12% en 2012 à 19% en 2017. Ceci aura sans doute à terme, un impact important sur la malnutrition de l’enfant et de la mère allaitante ou en grossesse.</w:t>
      </w:r>
    </w:p>
    <w:p w:rsidR="00AA0378" w:rsidRDefault="00AA0378" w:rsidP="00AA0378">
      <w:pPr>
        <w:jc w:val="both"/>
        <w:rPr>
          <w:rFonts w:ascii="Nyala" w:hAnsi="Nyala" w:cs="Arial"/>
          <w:sz w:val="28"/>
          <w:szCs w:val="28"/>
        </w:rPr>
      </w:pPr>
    </w:p>
    <w:p w:rsidR="00836DF3" w:rsidRPr="006866D3" w:rsidRDefault="00836DF3" w:rsidP="00836DF3">
      <w:pPr>
        <w:jc w:val="both"/>
        <w:rPr>
          <w:rStyle w:val="Rfrenceintense"/>
          <w:sz w:val="28"/>
          <w:szCs w:val="28"/>
        </w:rPr>
      </w:pPr>
      <w:r w:rsidRPr="006866D3">
        <w:rPr>
          <w:rStyle w:val="Rfrenceintense"/>
          <w:sz w:val="28"/>
          <w:szCs w:val="28"/>
        </w:rPr>
        <w:t>Equité et gouvernance foncière</w:t>
      </w:r>
    </w:p>
    <w:p w:rsidR="00836DF3" w:rsidRPr="006866D3" w:rsidRDefault="00836DF3" w:rsidP="00836DF3">
      <w:pPr>
        <w:tabs>
          <w:tab w:val="left" w:pos="1777"/>
        </w:tabs>
        <w:jc w:val="both"/>
        <w:rPr>
          <w:rFonts w:ascii="Nyala" w:hAnsi="Nyala"/>
          <w:sz w:val="28"/>
          <w:szCs w:val="28"/>
        </w:rPr>
      </w:pPr>
      <w:r w:rsidRPr="006866D3">
        <w:rPr>
          <w:rFonts w:ascii="Nyala" w:hAnsi="Nyala"/>
          <w:sz w:val="28"/>
          <w:szCs w:val="28"/>
        </w:rPr>
        <w:t>L’accès aux ressources naturelles (terre, eau et ressources biologiques) est garanti pour tous les nigériens par les engagements internationaux</w:t>
      </w:r>
      <w:r>
        <w:rPr>
          <w:rFonts w:ascii="Nyala" w:hAnsi="Nyala"/>
          <w:sz w:val="28"/>
          <w:szCs w:val="28"/>
        </w:rPr>
        <w:t xml:space="preserve">, </w:t>
      </w:r>
      <w:r w:rsidRPr="006866D3">
        <w:rPr>
          <w:rFonts w:ascii="Nyala" w:hAnsi="Nyala"/>
          <w:sz w:val="28"/>
          <w:szCs w:val="28"/>
        </w:rPr>
        <w:t xml:space="preserve">la constitution, les lois relatives au Code Rural, au Code de l’Eau, Code Pastoral, Code Forestier et une diversité de textes réglementaires. La conséquence de cette pluralité de textes est un pluralisme juridique dont l’application n’est pas sans poser problème en matière de droit foncier. Du fait que le Code Rural admet une reconnaissance égale entre droit moderne et droit coutumier (dont le droit islamique est une variante), il devient une source de sécurisation ou de discrimination foncière selon le régime mis en avant par les communautés. </w:t>
      </w:r>
    </w:p>
    <w:p w:rsidR="00836DF3" w:rsidRPr="006866D3" w:rsidRDefault="00836DF3" w:rsidP="00836DF3">
      <w:pPr>
        <w:autoSpaceDE w:val="0"/>
        <w:autoSpaceDN w:val="0"/>
        <w:adjustRightInd w:val="0"/>
        <w:spacing w:after="0"/>
        <w:jc w:val="both"/>
        <w:rPr>
          <w:rFonts w:ascii="Nyala" w:eastAsia="Times New Roman" w:hAnsi="Nyala" w:cstheme="minorHAnsi"/>
          <w:sz w:val="28"/>
          <w:szCs w:val="28"/>
        </w:rPr>
      </w:pPr>
      <w:r w:rsidRPr="006866D3">
        <w:rPr>
          <w:rFonts w:ascii="Nyala" w:eastAsia="Times New Roman" w:hAnsi="Nyala" w:cstheme="minorHAnsi"/>
          <w:sz w:val="28"/>
          <w:szCs w:val="28"/>
        </w:rPr>
        <w:t xml:space="preserve">L’acquisition de la propriété foncière par succession est très variable selon les coutumes et conséquemment selon les localités. Certaines coutumes admettent le droit de propriété à la femme et d’autres le dénient. Le droit moderne et le Code Rural reconnaissent le principe d’égalité entre hommes et femmes dans l’accès aux ressources foncières. Le droit islamique admet que la fille peut hériter d’une portion de terre équivalente à la moitié de celle d’un garçon. Actuellement, dans de nombreuses localités, </w:t>
      </w:r>
      <w:r w:rsidRPr="006866D3">
        <w:rPr>
          <w:rFonts w:ascii="Nyala" w:hAnsi="Nyala" w:cstheme="minorHAnsi"/>
          <w:sz w:val="28"/>
          <w:szCs w:val="28"/>
        </w:rPr>
        <w:t xml:space="preserve">il est de plus en plus référence au droit islamique pour les questions successorales ; la femme peut ainsi acquérir un quart de la propriété de son père, de son mari (le reste revient aux enfants), de ses </w:t>
      </w:r>
      <w:r w:rsidRPr="006866D3">
        <w:rPr>
          <w:rFonts w:ascii="Nyala" w:eastAsia="Times New Roman" w:hAnsi="Nyala" w:cstheme="minorHAnsi"/>
          <w:sz w:val="28"/>
          <w:szCs w:val="28"/>
        </w:rPr>
        <w:t xml:space="preserve">enfants et autres proches parents. </w:t>
      </w:r>
    </w:p>
    <w:p w:rsidR="00836DF3" w:rsidRPr="006866D3" w:rsidRDefault="00836DF3" w:rsidP="00836DF3">
      <w:pPr>
        <w:autoSpaceDE w:val="0"/>
        <w:autoSpaceDN w:val="0"/>
        <w:adjustRightInd w:val="0"/>
        <w:spacing w:after="0"/>
        <w:jc w:val="both"/>
        <w:rPr>
          <w:rFonts w:ascii="Nyala" w:eastAsia="Times New Roman" w:hAnsi="Nyala" w:cstheme="minorHAnsi"/>
          <w:sz w:val="28"/>
          <w:szCs w:val="28"/>
        </w:rPr>
      </w:pPr>
      <w:r w:rsidRPr="006866D3">
        <w:rPr>
          <w:rFonts w:ascii="Nyala" w:eastAsia="Times New Roman" w:hAnsi="Nyala" w:cstheme="minorHAnsi"/>
          <w:sz w:val="28"/>
          <w:szCs w:val="28"/>
        </w:rPr>
        <w:t>Pour assurer une plus grande sécurisation foncière l’application du Droit Islamique apparaît comme une voie pertinente dans le contexte socioculturel actuel du pays. Néanmoins, une certaine prudence est à observer du fait que dans certaines localités, la religion devient le prétexte pour une « expropriation » des terres utilisées par les femmes et une déféminisation de l’</w:t>
      </w:r>
      <w:r>
        <w:rPr>
          <w:rFonts w:ascii="Nyala" w:eastAsia="Times New Roman" w:hAnsi="Nyala" w:cstheme="minorHAnsi"/>
          <w:sz w:val="28"/>
          <w:szCs w:val="28"/>
        </w:rPr>
        <w:t>a</w:t>
      </w:r>
      <w:r w:rsidRPr="006866D3">
        <w:rPr>
          <w:rFonts w:ascii="Nyala" w:eastAsia="Times New Roman" w:hAnsi="Nyala" w:cstheme="minorHAnsi"/>
          <w:sz w:val="28"/>
          <w:szCs w:val="28"/>
        </w:rPr>
        <w:t>griculture (femmes cloîtrées). Des sessions d’éducation, d’information, de formation et de sensibilisation sont à organiser au profit de la Communauté,  des Ecoles, des Marabouts, des différents groupes sociaux  et des  femmes elles-mêmes.</w:t>
      </w:r>
    </w:p>
    <w:p w:rsidR="00836DF3" w:rsidRDefault="00836DF3" w:rsidP="00836DF3">
      <w:pPr>
        <w:jc w:val="both"/>
        <w:rPr>
          <w:rFonts w:ascii="Nyala" w:hAnsi="Nyala"/>
          <w:sz w:val="28"/>
          <w:szCs w:val="28"/>
        </w:rPr>
      </w:pPr>
      <w:r w:rsidRPr="006866D3">
        <w:rPr>
          <w:rFonts w:ascii="Nyala" w:hAnsi="Nyala"/>
          <w:sz w:val="28"/>
          <w:szCs w:val="28"/>
        </w:rPr>
        <w:t xml:space="preserve">L’accès au foncier est entravé par l’inadéquation entre: (i) le rythme de croissance de la population, (ii) la disponibilité des ressources naturelles et (iii) une méconnaissance et/ou l’inapplication des textes fondamentaux (Code Rural, droit coutumier et droit islamique). Ceci est souvent aggravé par une mauvaise gestion des conflits entre agriculteurs et éleveurs ainsi que des difficultés d’accès au foncier, </w:t>
      </w:r>
    </w:p>
    <w:p w:rsidR="00836DF3" w:rsidRPr="006866D3" w:rsidRDefault="00836DF3" w:rsidP="00AA0378">
      <w:pPr>
        <w:jc w:val="both"/>
        <w:rPr>
          <w:rFonts w:ascii="Nyala" w:hAnsi="Nyala" w:cs="Arial"/>
          <w:sz w:val="28"/>
          <w:szCs w:val="28"/>
        </w:rPr>
      </w:pPr>
    </w:p>
    <w:p w:rsidR="00AA0378" w:rsidRPr="006866D3" w:rsidRDefault="00AA0378" w:rsidP="00AA0378">
      <w:pPr>
        <w:jc w:val="both"/>
        <w:rPr>
          <w:rStyle w:val="Rfrenceintense"/>
          <w:sz w:val="28"/>
          <w:szCs w:val="28"/>
        </w:rPr>
      </w:pPr>
      <w:r w:rsidRPr="006866D3">
        <w:rPr>
          <w:rStyle w:val="Rfrenceintense"/>
          <w:sz w:val="28"/>
          <w:szCs w:val="28"/>
        </w:rPr>
        <w:t xml:space="preserve">Une vie saine et un bien être pour tous (ODD3) </w:t>
      </w:r>
    </w:p>
    <w:p w:rsidR="00AA0378" w:rsidRPr="006866D3" w:rsidRDefault="00AA0378" w:rsidP="00AA0378">
      <w:pPr>
        <w:jc w:val="both"/>
        <w:rPr>
          <w:rFonts w:ascii="Nyala" w:hAnsi="Nyala" w:cs="Arial"/>
          <w:sz w:val="28"/>
          <w:szCs w:val="28"/>
        </w:rPr>
      </w:pPr>
      <w:r w:rsidRPr="006866D3">
        <w:rPr>
          <w:rFonts w:ascii="Nyala" w:hAnsi="Nyala" w:cs="Arial"/>
          <w:sz w:val="28"/>
          <w:szCs w:val="28"/>
        </w:rPr>
        <w:t xml:space="preserve">Toutefois, il y a lieu de relativiser cet impact pour la malnutrition infantile induite par la maladie et certaines carences nutritionnelles.  Il est en effet constaté que les cas de paludisme chez les enfants et l’anémie chez la femme ont enregistré une augmentation. En 2017, il a été enregistré une augmentation de l’incidence du paludisme entre 2015 et 2017 de 141 à 153,3 cas pour 100 000 habitants. Le test réalisé dans le cadre de l’EDSN 2017 fait état d’une prévalence de 19,4% en milieu rural et 9,5% en milieu urbain. Or, la </w:t>
      </w:r>
      <w:r w:rsidR="00A43430">
        <w:rPr>
          <w:rFonts w:ascii="Nyala" w:hAnsi="Nyala" w:cs="Arial"/>
          <w:sz w:val="28"/>
          <w:szCs w:val="28"/>
        </w:rPr>
        <w:t>m</w:t>
      </w:r>
      <w:r w:rsidR="00A43430" w:rsidRPr="006866D3">
        <w:rPr>
          <w:rFonts w:ascii="Nyala" w:hAnsi="Nyala" w:cs="Arial"/>
          <w:sz w:val="28"/>
          <w:szCs w:val="28"/>
        </w:rPr>
        <w:t xml:space="preserve">alaria </w:t>
      </w:r>
      <w:r w:rsidRPr="006866D3">
        <w:rPr>
          <w:rFonts w:ascii="Nyala" w:hAnsi="Nyala" w:cs="Arial"/>
          <w:sz w:val="28"/>
          <w:szCs w:val="28"/>
        </w:rPr>
        <w:t>est considérée avec la diarrhée et les infections respiratoires comme des causes directes de la malnutrition infantile ; ces maladies peuvent être contrôlées par les efforts de création des conditions pour une vie saine et un bien-être et un accès à l’eau potable et l’assainissement pour tous.</w:t>
      </w:r>
    </w:p>
    <w:p w:rsidR="00AA0378" w:rsidRPr="006866D3" w:rsidRDefault="00AA0378" w:rsidP="00AA0378">
      <w:pPr>
        <w:jc w:val="both"/>
        <w:rPr>
          <w:rFonts w:ascii="Nyala" w:hAnsi="Nyala"/>
          <w:sz w:val="28"/>
          <w:szCs w:val="28"/>
        </w:rPr>
      </w:pPr>
      <w:r w:rsidRPr="006866D3">
        <w:rPr>
          <w:rFonts w:ascii="Nyala" w:hAnsi="Nyala"/>
          <w:sz w:val="28"/>
          <w:szCs w:val="28"/>
        </w:rPr>
        <w:t xml:space="preserve">Une vie saine et un bien-être pour tous sont les fondements des interventions publiques qu’il s’agisse de la SDDCI, des politiques sectorielles, des plans et des projets de développement. Une nourriture saine, de qualité et de quantité suffisante en est un facteur contributif. A l’inverse, un état de santé fragile et un bien-être mal assuré peuvent affecter significativement la sécurité alimentaire et nutritionnelle des individus et des communautés. </w:t>
      </w:r>
    </w:p>
    <w:p w:rsidR="00AA0378" w:rsidRPr="006866D3" w:rsidRDefault="00AA0378" w:rsidP="00AA0378">
      <w:pPr>
        <w:jc w:val="both"/>
        <w:rPr>
          <w:rFonts w:ascii="Nyala" w:hAnsi="Nyala"/>
          <w:sz w:val="28"/>
          <w:szCs w:val="28"/>
        </w:rPr>
      </w:pPr>
      <w:r w:rsidRPr="006866D3">
        <w:rPr>
          <w:rFonts w:ascii="Nyala" w:hAnsi="Nyala"/>
          <w:sz w:val="28"/>
          <w:szCs w:val="28"/>
        </w:rPr>
        <w:t xml:space="preserve">C’est pour cela que le Niger fait de l’amélioration de la santé et de l’état nutritionnel, des piliers du développement du </w:t>
      </w:r>
      <w:r w:rsidR="00A43430">
        <w:rPr>
          <w:rFonts w:ascii="Nyala" w:hAnsi="Nyala"/>
          <w:sz w:val="28"/>
          <w:szCs w:val="28"/>
        </w:rPr>
        <w:t>c</w:t>
      </w:r>
      <w:r w:rsidR="00A43430" w:rsidRPr="006866D3">
        <w:rPr>
          <w:rFonts w:ascii="Nyala" w:hAnsi="Nyala"/>
          <w:sz w:val="28"/>
          <w:szCs w:val="28"/>
        </w:rPr>
        <w:t xml:space="preserve">apital </w:t>
      </w:r>
      <w:r w:rsidRPr="006866D3">
        <w:rPr>
          <w:rFonts w:ascii="Nyala" w:hAnsi="Nyala"/>
          <w:sz w:val="28"/>
          <w:szCs w:val="28"/>
        </w:rPr>
        <w:t xml:space="preserve">humain avec un focus spécifique sur les femmes et les enfants d’une part et la réduction de la prévalence de certaines maladies qui traduisent ou induisent un état de malnutrition ou qui impactent sur les capacités productives des ruraux. </w:t>
      </w:r>
    </w:p>
    <w:p w:rsidR="00AA0378" w:rsidRPr="006866D3" w:rsidRDefault="00AA0378" w:rsidP="00AA0378">
      <w:pPr>
        <w:jc w:val="both"/>
        <w:rPr>
          <w:rFonts w:ascii="Nyala" w:hAnsi="Nyala"/>
          <w:sz w:val="28"/>
          <w:szCs w:val="28"/>
        </w:rPr>
      </w:pPr>
      <w:r w:rsidRPr="006866D3">
        <w:rPr>
          <w:rFonts w:ascii="Nyala" w:hAnsi="Nyala"/>
          <w:sz w:val="28"/>
          <w:szCs w:val="28"/>
        </w:rPr>
        <w:t xml:space="preserve">Les efforts qui seront menés pour  mettre fin à l’épidémie de </w:t>
      </w:r>
      <w:r w:rsidR="007741F0">
        <w:rPr>
          <w:rFonts w:ascii="Nyala" w:hAnsi="Nyala"/>
          <w:sz w:val="28"/>
          <w:szCs w:val="28"/>
        </w:rPr>
        <w:t>VIH/SIDA</w:t>
      </w:r>
      <w:r w:rsidRPr="006866D3">
        <w:rPr>
          <w:rFonts w:ascii="Nyala" w:hAnsi="Nyala"/>
          <w:sz w:val="28"/>
          <w:szCs w:val="28"/>
        </w:rPr>
        <w:t xml:space="preserve">, à la tuberculose, au paludisme et aux maladies tropicales négligées et combattre l’hépatite, les maladies transmises par l’eau et autres maladies transmissibles (cible 3 .3) aura sans doute un impact positif sur la prévalence de la malnutrition induite par la maladie. Il en est de même, une meilleure planification des naissances avec un accès de tous à des services de soins de santé sexuelle et procréative, y compris à des fins de planification familiale, d’information et d’éducation, et la prise en compte de la santé procréative dans les stratégies et programmes nationaux (cible 3.7). </w:t>
      </w:r>
    </w:p>
    <w:p w:rsidR="00AA0378" w:rsidRPr="006866D3" w:rsidRDefault="00AA0378" w:rsidP="00AA0378">
      <w:pPr>
        <w:jc w:val="both"/>
        <w:rPr>
          <w:rFonts w:ascii="Nyala" w:hAnsi="Nyala" w:cs="Arial"/>
          <w:sz w:val="28"/>
          <w:szCs w:val="28"/>
        </w:rPr>
      </w:pPr>
    </w:p>
    <w:p w:rsidR="00AA0378" w:rsidRPr="006866D3" w:rsidRDefault="00AA0378" w:rsidP="00AA0378">
      <w:pPr>
        <w:jc w:val="both"/>
        <w:rPr>
          <w:rStyle w:val="Rfrenceintense"/>
          <w:sz w:val="28"/>
          <w:szCs w:val="28"/>
        </w:rPr>
      </w:pPr>
      <w:r w:rsidRPr="006866D3">
        <w:rPr>
          <w:rStyle w:val="Rfrenceintense"/>
          <w:sz w:val="28"/>
          <w:szCs w:val="28"/>
        </w:rPr>
        <w:t>Approvisionnement et assainissement durable (ODD 6)</w:t>
      </w:r>
    </w:p>
    <w:p w:rsidR="00AA0378" w:rsidRPr="006866D3" w:rsidRDefault="00AA0378" w:rsidP="00AA0378">
      <w:pPr>
        <w:autoSpaceDE w:val="0"/>
        <w:autoSpaceDN w:val="0"/>
        <w:adjustRightInd w:val="0"/>
        <w:spacing w:after="0"/>
        <w:jc w:val="both"/>
        <w:rPr>
          <w:rFonts w:ascii="Nyala" w:hAnsi="Nyala"/>
          <w:sz w:val="28"/>
          <w:szCs w:val="28"/>
        </w:rPr>
      </w:pPr>
      <w:r w:rsidRPr="006866D3">
        <w:rPr>
          <w:rFonts w:ascii="Nyala" w:hAnsi="Nyala"/>
          <w:sz w:val="28"/>
          <w:szCs w:val="28"/>
          <w:lang w:eastAsia="fr-FR"/>
        </w:rPr>
        <w:t xml:space="preserve">Le gouvernement du Niger poursuit ses efforts pour réduire les risques de maladies (notamment diarrhéiques qui peuvent induire la malnutrition) en facilitant l’accès à l’eau potable et en promouvant l’hygiène et l’assainissement au niveau des ménages. Entre 2015 et 2017, de nombreux ouvrages hydrauliques ont été implantés aussi bien en milieu urbain que rural. Mais, cela n’est pas encore suffisant, seuls 50% de la population (53% pour les femmes) ont accès à de l’eau potable, </w:t>
      </w:r>
      <w:r w:rsidRPr="006866D3">
        <w:rPr>
          <w:rFonts w:ascii="Nyala" w:hAnsi="Nyala"/>
          <w:sz w:val="28"/>
          <w:szCs w:val="28"/>
        </w:rPr>
        <w:t xml:space="preserve">utilise des services d’alimentation en eau potable gérés en toute sécurité à l’échelle nationale. Les disparités ville-campagne sont encore ténues (90% en milieu urbain contre 42,4% en milieu rural. </w:t>
      </w:r>
    </w:p>
    <w:p w:rsidR="00AA0378" w:rsidRPr="006866D3" w:rsidRDefault="00AA0378" w:rsidP="00AA0378">
      <w:pPr>
        <w:autoSpaceDE w:val="0"/>
        <w:autoSpaceDN w:val="0"/>
        <w:adjustRightInd w:val="0"/>
        <w:spacing w:after="0"/>
        <w:jc w:val="both"/>
        <w:rPr>
          <w:rFonts w:ascii="Nyala" w:hAnsi="Nyala"/>
          <w:bCs/>
          <w:sz w:val="28"/>
          <w:szCs w:val="28"/>
          <w:lang w:eastAsia="fr-FR"/>
        </w:rPr>
      </w:pPr>
      <w:r w:rsidRPr="006866D3">
        <w:rPr>
          <w:rFonts w:ascii="Nyala" w:hAnsi="Nyala"/>
          <w:bCs/>
          <w:sz w:val="28"/>
          <w:szCs w:val="28"/>
          <w:lang w:eastAsia="fr-FR"/>
        </w:rPr>
        <w:t xml:space="preserve">Plusieurs initiatives sont en cours pour améliorer les conditions d’hygiène et d’assainissement au niveau des ménages. Des latrines familiales et publiques sont construites un peu partout, les réseaux d’évacuation des eaux usées dans certaines villes sont en extension et les règles d’hygiènes sont promues dans plusieurs centaines de villages de villages. Ainsi, par exemple dans le cadre de l’approche « Assainissement Total Piloté par la Communauté » (ATPC), grâce aux actions des services de santé, de l’UNICEF, des ONG et autres PTF, plusieurs centaines de villages sont certifiés  FDAL (fin de défécation à l’air libre) ; cela est de nature à réduire l’insanité des aliments consommés. Toutefois, seule une proportion infime de la population accède aux infrastructures appropriées d’hygiène et d’assainissement. En 2016, le </w:t>
      </w:r>
      <w:r w:rsidR="007741F0">
        <w:rPr>
          <w:rFonts w:ascii="Nyala" w:hAnsi="Nyala"/>
          <w:bCs/>
          <w:sz w:val="28"/>
          <w:szCs w:val="28"/>
          <w:lang w:eastAsia="fr-FR"/>
        </w:rPr>
        <w:t>t</w:t>
      </w:r>
      <w:r w:rsidR="007741F0" w:rsidRPr="006866D3">
        <w:rPr>
          <w:rFonts w:ascii="Nyala" w:hAnsi="Nyala"/>
          <w:bCs/>
          <w:sz w:val="28"/>
          <w:szCs w:val="28"/>
          <w:lang w:eastAsia="fr-FR"/>
        </w:rPr>
        <w:t xml:space="preserve">aux </w:t>
      </w:r>
      <w:r w:rsidRPr="006866D3">
        <w:rPr>
          <w:rFonts w:ascii="Nyala" w:hAnsi="Nyala"/>
          <w:bCs/>
          <w:sz w:val="28"/>
          <w:szCs w:val="28"/>
          <w:lang w:eastAsia="fr-FR"/>
        </w:rPr>
        <w:t xml:space="preserve">d’accès des ménages est de 6,% pour le service basique d’assainissement et 2,6% pour le service optimal ; 3,5% utilisent des toilettes modernes et seuls 2% des eaux usées sont traitées. </w:t>
      </w:r>
    </w:p>
    <w:p w:rsidR="00AA0378" w:rsidRPr="006866D3" w:rsidRDefault="00AA0378" w:rsidP="00AA0378">
      <w:pPr>
        <w:autoSpaceDE w:val="0"/>
        <w:autoSpaceDN w:val="0"/>
        <w:adjustRightInd w:val="0"/>
        <w:spacing w:after="0"/>
        <w:jc w:val="both"/>
        <w:rPr>
          <w:rFonts w:ascii="Nyala" w:hAnsi="Nyala"/>
          <w:bCs/>
          <w:sz w:val="28"/>
          <w:szCs w:val="28"/>
          <w:lang w:eastAsia="fr-FR"/>
        </w:rPr>
      </w:pPr>
      <w:r w:rsidRPr="006866D3">
        <w:rPr>
          <w:rFonts w:ascii="Nyala" w:hAnsi="Nyala"/>
          <w:bCs/>
          <w:sz w:val="28"/>
          <w:szCs w:val="28"/>
          <w:lang w:eastAsia="fr-FR"/>
        </w:rPr>
        <w:t>Ainsi, le Niger court le risque de voir tous ses efforts d’éliminer la malnutrition infantile annihiler par les conditions d’hygiènes et d’assainissement déplorables, et ce d’autant que même les initiatives prises pour améliorer l’hygiène corporel (lavage des mains au Savon à l’école et dans les ménages) ne sont pas suffisamment répandues et soutenues.</w:t>
      </w:r>
    </w:p>
    <w:p w:rsidR="00AA0378" w:rsidRPr="006866D3" w:rsidRDefault="00AA0378" w:rsidP="00AA0378">
      <w:pPr>
        <w:rPr>
          <w:rFonts w:ascii="Nyala" w:hAnsi="Nyala"/>
          <w:sz w:val="28"/>
          <w:szCs w:val="28"/>
        </w:rPr>
      </w:pPr>
    </w:p>
    <w:p w:rsidR="00AA0378" w:rsidRPr="006866D3" w:rsidRDefault="00AA0378" w:rsidP="00AA0378">
      <w:pPr>
        <w:jc w:val="both"/>
        <w:rPr>
          <w:rStyle w:val="Rfrenceintense"/>
          <w:sz w:val="28"/>
          <w:szCs w:val="28"/>
        </w:rPr>
      </w:pPr>
      <w:r w:rsidRPr="006866D3">
        <w:rPr>
          <w:rStyle w:val="Rfrenceintense"/>
          <w:sz w:val="28"/>
          <w:szCs w:val="28"/>
        </w:rPr>
        <w:t>Une éducation et un apprentissage de qualité (ODD4)</w:t>
      </w:r>
    </w:p>
    <w:p w:rsidR="00AA0378" w:rsidRPr="006866D3" w:rsidRDefault="00146983" w:rsidP="00AA0378">
      <w:pPr>
        <w:jc w:val="both"/>
        <w:rPr>
          <w:rFonts w:ascii="Nyala" w:hAnsi="Nyala"/>
          <w:sz w:val="28"/>
          <w:szCs w:val="28"/>
        </w:rPr>
      </w:pPr>
      <w:r>
        <w:rPr>
          <w:rFonts w:ascii="Nyala" w:hAnsi="Nyala"/>
          <w:noProof/>
          <w:sz w:val="28"/>
          <w:szCs w:val="28"/>
          <w:lang w:eastAsia="fr-FR"/>
        </w:rPr>
        <mc:AlternateContent>
          <mc:Choice Requires="wps">
            <w:drawing>
              <wp:anchor distT="0" distB="0" distL="114300" distR="114300" simplePos="0" relativeHeight="251912192" behindDoc="0" locked="0" layoutInCell="1" allowOverlap="1" wp14:anchorId="7FAD1D59">
                <wp:simplePos x="0" y="0"/>
                <wp:positionH relativeFrom="column">
                  <wp:posOffset>2166620</wp:posOffset>
                </wp:positionH>
                <wp:positionV relativeFrom="paragraph">
                  <wp:posOffset>645160</wp:posOffset>
                </wp:positionV>
                <wp:extent cx="4152265" cy="2615565"/>
                <wp:effectExtent l="0" t="0" r="19685" b="18415"/>
                <wp:wrapSquare wrapText="bothSides"/>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265" cy="2615565"/>
                        </a:xfrm>
                        <a:prstGeom prst="rect">
                          <a:avLst/>
                        </a:prstGeom>
                        <a:noFill/>
                        <a:ln w="6350">
                          <a:solidFill>
                            <a:prstClr val="black"/>
                          </a:solidFill>
                        </a:ln>
                        <a:effectLst/>
                      </wps:spPr>
                      <wps:txbx>
                        <w:txbxContent>
                          <w:p w:rsidR="00146325" w:rsidRDefault="00146325" w:rsidP="00AA0378">
                            <w:pPr>
                              <w:pStyle w:val="Lgende"/>
                              <w:keepNext/>
                              <w:jc w:val="both"/>
                            </w:pPr>
                            <w:bookmarkStart w:id="579" w:name="_Toc526120113"/>
                            <w:r>
                              <w:t xml:space="preserve">Figure </w:t>
                            </w:r>
                            <w:r w:rsidR="00C73EE5">
                              <w:fldChar w:fldCharType="begin"/>
                            </w:r>
                            <w:r w:rsidR="00C73EE5">
                              <w:instrText xml:space="preserve"> SEQ Figure \* ARABIC </w:instrText>
                            </w:r>
                            <w:r w:rsidR="00C73EE5">
                              <w:fldChar w:fldCharType="separate"/>
                            </w:r>
                            <w:r>
                              <w:rPr>
                                <w:noProof/>
                              </w:rPr>
                              <w:t>47</w:t>
                            </w:r>
                            <w:r w:rsidR="00C73EE5">
                              <w:rPr>
                                <w:noProof/>
                              </w:rPr>
                              <w:fldChar w:fldCharType="end"/>
                            </w:r>
                            <w:r>
                              <w:t xml:space="preserve"> - prévalence de l'insécurité alimentaire selon le niveau d'éducation</w:t>
                            </w:r>
                            <w:bookmarkEnd w:id="579"/>
                          </w:p>
                          <w:p w:rsidR="00146325" w:rsidRDefault="00146325" w:rsidP="00AA0378">
                            <w:pPr>
                              <w:jc w:val="both"/>
                              <w:rPr>
                                <w:noProof/>
                              </w:rPr>
                            </w:pPr>
                            <w:r w:rsidRPr="00F62447">
                              <w:rPr>
                                <w:noProof/>
                                <w:lang w:eastAsia="fr-FR"/>
                              </w:rPr>
                              <w:drawing>
                                <wp:inline distT="0" distB="0" distL="0" distR="0">
                                  <wp:extent cx="3348842" cy="1617071"/>
                                  <wp:effectExtent l="0" t="0" r="4445" b="254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361544" cy="1623204"/>
                                          </a:xfrm>
                                          <a:prstGeom prst="rect">
                                            <a:avLst/>
                                          </a:prstGeom>
                                          <a:noFill/>
                                          <a:ln>
                                            <a:noFill/>
                                          </a:ln>
                                        </pic:spPr>
                                      </pic:pic>
                                    </a:graphicData>
                                  </a:graphic>
                                </wp:inline>
                              </w:drawing>
                            </w:r>
                          </w:p>
                          <w:p w:rsidR="00146325" w:rsidRPr="00474510" w:rsidRDefault="00146325" w:rsidP="00AA0378">
                            <w:pPr>
                              <w:spacing w:before="0" w:after="0" w:line="240" w:lineRule="auto"/>
                              <w:jc w:val="both"/>
                              <w:rPr>
                                <w:noProof/>
                                <w:sz w:val="16"/>
                                <w:szCs w:val="16"/>
                              </w:rPr>
                            </w:pPr>
                            <w:r w:rsidRPr="00474510">
                              <w:rPr>
                                <w:noProof/>
                                <w:sz w:val="16"/>
                                <w:szCs w:val="16"/>
                              </w:rPr>
                              <w:t>Source : Profil de pauvreté, 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FAD1D59" id="Zone de texte 44" o:spid="_x0000_s1081" type="#_x0000_t202" style="position:absolute;left:0;text-align:left;margin-left:170.6pt;margin-top:50.8pt;width:326.95pt;height:205.9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" filled="f" strokeweight=".5pt">
                <v:path arrowok="t"/>
                <v:textbox style="mso-fit-shape-to-text:t">
                  <w:txbxContent>
                    <w:p w:rsidR="00146325" w:rsidRDefault="00146325" w:rsidP="00AA0378">
                      <w:pPr>
                        <w:pStyle w:val="Lgende"/>
                        <w:keepNext/>
                        <w:jc w:val="both"/>
                      </w:pPr>
                      <w:bookmarkStart w:id="580" w:name="_Toc526120113"/>
                      <w:r>
                        <w:t xml:space="preserve">Figure </w:t>
                      </w:r>
                      <w:r w:rsidR="00C73EE5">
                        <w:fldChar w:fldCharType="begin"/>
                      </w:r>
                      <w:r w:rsidR="00C73EE5">
                        <w:instrText xml:space="preserve"> SEQ Figure \* ARABIC </w:instrText>
                      </w:r>
                      <w:r w:rsidR="00C73EE5">
                        <w:fldChar w:fldCharType="separate"/>
                      </w:r>
                      <w:r>
                        <w:rPr>
                          <w:noProof/>
                        </w:rPr>
                        <w:t>47</w:t>
                      </w:r>
                      <w:r w:rsidR="00C73EE5">
                        <w:rPr>
                          <w:noProof/>
                        </w:rPr>
                        <w:fldChar w:fldCharType="end"/>
                      </w:r>
                      <w:r>
                        <w:t xml:space="preserve"> - prévalence de l'insécurité alimentaire selon le niveau d'éducation</w:t>
                      </w:r>
                      <w:bookmarkEnd w:id="580"/>
                    </w:p>
                    <w:p w:rsidR="00146325" w:rsidRDefault="00146325" w:rsidP="00AA0378">
                      <w:pPr>
                        <w:jc w:val="both"/>
                        <w:rPr>
                          <w:noProof/>
                        </w:rPr>
                      </w:pPr>
                      <w:r w:rsidRPr="00F62447">
                        <w:rPr>
                          <w:noProof/>
                          <w:lang w:eastAsia="fr-FR"/>
                        </w:rPr>
                        <w:drawing>
                          <wp:inline distT="0" distB="0" distL="0" distR="0">
                            <wp:extent cx="3348842" cy="1617071"/>
                            <wp:effectExtent l="0" t="0" r="4445" b="254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361544" cy="1623204"/>
                                    </a:xfrm>
                                    <a:prstGeom prst="rect">
                                      <a:avLst/>
                                    </a:prstGeom>
                                    <a:noFill/>
                                    <a:ln>
                                      <a:noFill/>
                                    </a:ln>
                                  </pic:spPr>
                                </pic:pic>
                              </a:graphicData>
                            </a:graphic>
                          </wp:inline>
                        </w:drawing>
                      </w:r>
                    </w:p>
                    <w:p w:rsidR="00146325" w:rsidRPr="00474510" w:rsidRDefault="00146325" w:rsidP="00AA0378">
                      <w:pPr>
                        <w:spacing w:before="0" w:after="0" w:line="240" w:lineRule="auto"/>
                        <w:jc w:val="both"/>
                        <w:rPr>
                          <w:noProof/>
                          <w:sz w:val="16"/>
                          <w:szCs w:val="16"/>
                        </w:rPr>
                      </w:pPr>
                      <w:r w:rsidRPr="00474510">
                        <w:rPr>
                          <w:noProof/>
                          <w:sz w:val="16"/>
                          <w:szCs w:val="16"/>
                        </w:rPr>
                        <w:t>Source : Profil de pauvreté, INS</w:t>
                      </w:r>
                    </w:p>
                  </w:txbxContent>
                </v:textbox>
                <w10:wrap type="square"/>
              </v:shape>
            </w:pict>
          </mc:Fallback>
        </mc:AlternateContent>
      </w:r>
      <w:r w:rsidR="00AA0378" w:rsidRPr="006866D3">
        <w:rPr>
          <w:rFonts w:ascii="Nyala" w:hAnsi="Nyala"/>
          <w:sz w:val="28"/>
          <w:szCs w:val="28"/>
        </w:rPr>
        <w:t>Une éducation utile et de qualité est à même de favoriser l’amélioration du bien-être individuel et conséquemment de la situation alimentaire et nutritionnelle. Les enquêtes de l’INS sur le Profil de Pauvreté a mis en évidence que les  ménages  dont  le  chef  est  sans  instruction  ou d’ un  niveau  d’instruction  faible sont les plus exposés au phénomène de la pauvreté, avec  48,4% contre seulement 21,9% pour les ménages ayant un niveau d’instruction secondaire 1.  L’influence de l’éducation est également perceptible sur le niveau de  sécurité alimentaire (</w:t>
      </w:r>
      <w:r w:rsidR="00AA0378" w:rsidRPr="006866D3">
        <w:rPr>
          <w:rFonts w:ascii="Nyala" w:hAnsi="Nyala"/>
          <w:b/>
          <w:sz w:val="28"/>
          <w:szCs w:val="28"/>
        </w:rPr>
        <w:t xml:space="preserve">figure </w:t>
      </w:r>
      <w:r w:rsidR="00881124">
        <w:rPr>
          <w:rFonts w:ascii="Nyala" w:hAnsi="Nyala"/>
          <w:b/>
          <w:sz w:val="28"/>
          <w:szCs w:val="28"/>
        </w:rPr>
        <w:t>47</w:t>
      </w:r>
      <w:r w:rsidR="00AA0378" w:rsidRPr="006866D3">
        <w:rPr>
          <w:rFonts w:ascii="Nyala" w:hAnsi="Nyala"/>
          <w:sz w:val="28"/>
          <w:szCs w:val="28"/>
        </w:rPr>
        <w:t xml:space="preserve">). </w:t>
      </w:r>
    </w:p>
    <w:p w:rsidR="003561E4" w:rsidRPr="006866D3" w:rsidRDefault="003561E4" w:rsidP="00141D20">
      <w:pPr>
        <w:pStyle w:val="Paragraphedeliste"/>
        <w:shd w:val="clear" w:color="auto" w:fill="FFFFFF" w:themeFill="background1"/>
        <w:autoSpaceDE w:val="0"/>
        <w:autoSpaceDN w:val="0"/>
        <w:adjustRightInd w:val="0"/>
        <w:spacing w:after="0"/>
        <w:ind w:left="0"/>
        <w:jc w:val="both"/>
        <w:rPr>
          <w:rFonts w:ascii="Nyala" w:hAnsi="Nyala"/>
          <w:bCs/>
          <w:sz w:val="28"/>
          <w:szCs w:val="28"/>
        </w:rPr>
      </w:pPr>
      <w:r w:rsidRPr="006866D3">
        <w:rPr>
          <w:rFonts w:ascii="Nyala" w:hAnsi="Nyala"/>
          <w:bCs/>
          <w:sz w:val="28"/>
          <w:szCs w:val="28"/>
        </w:rPr>
        <w:t xml:space="preserve">Un des principaux défis </w:t>
      </w:r>
      <w:r w:rsidR="00CA7E68">
        <w:rPr>
          <w:rFonts w:ascii="Nyala" w:hAnsi="Nyala"/>
          <w:bCs/>
          <w:sz w:val="28"/>
          <w:szCs w:val="28"/>
        </w:rPr>
        <w:t xml:space="preserve">à relever est aussi </w:t>
      </w:r>
      <w:r w:rsidRPr="006866D3">
        <w:rPr>
          <w:rFonts w:ascii="Nyala" w:hAnsi="Nyala"/>
          <w:bCs/>
          <w:sz w:val="28"/>
          <w:szCs w:val="28"/>
        </w:rPr>
        <w:t>est le faible accès  des femmes à l’éducation (taux de scolarisation de base des filles est 67,3% contre 84,9% pour les garçons</w:t>
      </w:r>
      <w:r w:rsidRPr="00141D20">
        <w:rPr>
          <w:rFonts w:ascii="Nyala" w:hAnsi="Nyala"/>
          <w:bCs/>
          <w:sz w:val="28"/>
          <w:szCs w:val="28"/>
          <w:vertAlign w:val="superscript"/>
        </w:rPr>
        <w:footnoteReference w:id="19"/>
      </w:r>
      <w:r w:rsidRPr="006866D3">
        <w:rPr>
          <w:rFonts w:ascii="Nyala" w:hAnsi="Nyala"/>
          <w:bCs/>
          <w:sz w:val="28"/>
          <w:szCs w:val="28"/>
        </w:rPr>
        <w:t>)  et un taux élevé de déperdition  scolaire et ou d’abandon des filles  à partir du secondaire; plus le niveau d’études augmente et plus les écarts de fréquentation scolaire se creusent entre les genres, au détriment des filles ;l’indice de parité entre les genres qui est le rapport entre le taux de fréquentation scolaire des filles et celui des garçons est estimé á 0,83 % pour le niveau primaire et varie de 0,79 en milieu rural à 0,96 en milieu urbain Par contre, au niveau secondaire, l’indice de parité entre les genres pour le taux net de scolarisation est égal à 0,69 %.. Faible taux d’alphabétisation (taux d’alphabétisation de 14% pour les femmes, 42% pour les hommes (EDSN 2012).</w:t>
      </w:r>
    </w:p>
    <w:p w:rsidR="00AA0378" w:rsidRPr="006866D3" w:rsidRDefault="00AA0378" w:rsidP="00AA0378">
      <w:pPr>
        <w:jc w:val="both"/>
        <w:rPr>
          <w:rFonts w:ascii="Nyala" w:hAnsi="Nyala" w:cs="Arial"/>
          <w:sz w:val="28"/>
          <w:szCs w:val="28"/>
        </w:rPr>
      </w:pPr>
      <w:r w:rsidRPr="006866D3">
        <w:rPr>
          <w:rFonts w:ascii="Nyala" w:hAnsi="Nyala"/>
          <w:sz w:val="28"/>
          <w:szCs w:val="28"/>
        </w:rPr>
        <w:t xml:space="preserve">Pour les 15 prochaines années, le Niger renforcera son système éducatif afin d’assurer un </w:t>
      </w:r>
      <w:r w:rsidRPr="006866D3">
        <w:rPr>
          <w:rFonts w:ascii="Nyala" w:hAnsi="Nyala" w:cs="Arial"/>
          <w:sz w:val="28"/>
          <w:szCs w:val="28"/>
        </w:rPr>
        <w:t xml:space="preserve">cycle complet d’enseignement primaire et secondaire à tous les enfants, éliminer les inégalités entre les sexes dans le domaine de l’éducation et favoriser l’égalité d’accès des personnes vulnérables.  L’objectif est de faire passer la durée moyenne de scolarisation de 1,5 an en 2015 à 4,5 ans  en 2015 d’augmenter l’espérance de vie scolaire de 5,4 ans en 2015 à 7,8 ans en 2030 et 9 ans en 2035. </w:t>
      </w:r>
    </w:p>
    <w:p w:rsidR="00AA0378" w:rsidRPr="006866D3" w:rsidRDefault="00AA0378" w:rsidP="00AA0378">
      <w:pPr>
        <w:jc w:val="both"/>
        <w:rPr>
          <w:sz w:val="28"/>
          <w:szCs w:val="28"/>
        </w:rPr>
      </w:pPr>
    </w:p>
    <w:p w:rsidR="00AA0378" w:rsidRPr="006866D3" w:rsidRDefault="00AA0378" w:rsidP="00AA0378">
      <w:pPr>
        <w:jc w:val="both"/>
        <w:rPr>
          <w:rStyle w:val="Rfrenceintense"/>
          <w:sz w:val="28"/>
          <w:szCs w:val="28"/>
        </w:rPr>
      </w:pPr>
      <w:r w:rsidRPr="006866D3">
        <w:rPr>
          <w:rStyle w:val="Rfrenceintense"/>
          <w:sz w:val="28"/>
          <w:szCs w:val="28"/>
        </w:rPr>
        <w:t xml:space="preserve">Une croissance démographique a maîtriser </w:t>
      </w:r>
    </w:p>
    <w:p w:rsidR="00AA0378" w:rsidRPr="006866D3" w:rsidRDefault="00AA0378" w:rsidP="00AA0378">
      <w:pPr>
        <w:jc w:val="both"/>
        <w:rPr>
          <w:rFonts w:ascii="Nyala" w:hAnsi="Nyala"/>
          <w:sz w:val="28"/>
          <w:szCs w:val="28"/>
        </w:rPr>
      </w:pPr>
      <w:r w:rsidRPr="006866D3">
        <w:rPr>
          <w:rFonts w:ascii="Nyala" w:hAnsi="Nyala"/>
          <w:sz w:val="28"/>
          <w:szCs w:val="28"/>
        </w:rPr>
        <w:t xml:space="preserve">Le Niger est un pays faiblement peuplé avec une densité de population estimé à 16,3 habitants/km² en 2017 mais, il enregistre un taux de croissance parmi les plus élevés du monde (3,9%). L’essentiel de la population vit dans les zones à pluviométrie favorable aux activités agropastorales, avec une forte concentration dans certains bassins hydrologiques tels que le fleuve Niger (affluents et dallols), les Koramas, les Goulbis, la Maggia. Dans certaines régions de cette portion du territoire, la densité peut dépasser aisément les 100 habitants/km² (le département de Madarounfa compte jusqu’à 162,4 habitants au km² contre 0,1 habitants/km² à Bilma et 13,4 habitants/km² à Tanout). </w:t>
      </w:r>
    </w:p>
    <w:p w:rsidR="00AA0378" w:rsidRPr="006866D3" w:rsidRDefault="00AA0378" w:rsidP="00AA0378">
      <w:pPr>
        <w:jc w:val="both"/>
        <w:rPr>
          <w:rFonts w:ascii="Nyala" w:hAnsi="Nyala"/>
          <w:sz w:val="28"/>
          <w:szCs w:val="28"/>
        </w:rPr>
      </w:pPr>
      <w:r w:rsidRPr="006866D3">
        <w:rPr>
          <w:rFonts w:ascii="Nyala" w:hAnsi="Nyala"/>
          <w:sz w:val="28"/>
          <w:szCs w:val="28"/>
        </w:rPr>
        <w:t>En 2030, il est attendu que la population soit le double de celle de 2012, du fait essentiellement d’une croissance démographique très forte (de 3,9%), largement favorisée par la précocité des mariages (28% des filles de 15 ans sont mariées et 76,3% des jeunes filles de 20-24 ans sont mariées), un contrôle insuffisant de l’espacement des naissances, une faible utilisation des contraceptifs et un faible taux de scolarisation et d’éducation des filles.</w:t>
      </w:r>
    </w:p>
    <w:p w:rsidR="00AA0378" w:rsidRPr="006866D3" w:rsidRDefault="00AA0378" w:rsidP="00AA0378">
      <w:pPr>
        <w:jc w:val="both"/>
        <w:rPr>
          <w:rFonts w:ascii="Nyala" w:hAnsi="Nyala"/>
          <w:sz w:val="28"/>
          <w:szCs w:val="28"/>
        </w:rPr>
      </w:pPr>
      <w:r w:rsidRPr="006866D3">
        <w:rPr>
          <w:rFonts w:ascii="Nyala" w:hAnsi="Nyala"/>
          <w:sz w:val="28"/>
          <w:szCs w:val="28"/>
        </w:rPr>
        <w:t xml:space="preserve">Une des conséquences de la forte croissance démographique se trouve être le fort taux de personnes inactives, soit 55,1 % de la population totale, dont 52% de moins de 15 ans et 3,1% de plus de 65 ans. Ceci constitue un des freins du développement du pays. Au cours des 5 dernières années, le Niger a fait partie des trois pays au plus faible Indice de développement humain (IDH). Le nombre de pauvres n’a cessé d’augmenter dans l’absolu et l’incidence de la pauvreté reste particulièrement élevée, notamment en milieu rural (45,1% au niveau national et 52,4% en milieu rural).  La demande sociale grandissante dans les secteurs sociaux de base est loin d’être couverte. Le taux de couverture sanitaire au niveau national est de 48,47% en 2015 et plus de la moitié de la population (51,53%) se trouve à plus de 5 kilomètres d’un service de santé.  Le niveau moyen d’éducation est de 1,4 année même si le taux brut de scolarisation avoisine les 74%. L’accès à l’eau potable n’est assuré que pour 43,1% des ruraux. </w:t>
      </w:r>
    </w:p>
    <w:p w:rsidR="00AA0378" w:rsidRPr="006866D3" w:rsidRDefault="00AA0378" w:rsidP="00AA0378">
      <w:pPr>
        <w:rPr>
          <w:sz w:val="28"/>
          <w:szCs w:val="28"/>
        </w:rPr>
      </w:pPr>
    </w:p>
    <w:p w:rsidR="00AA0378" w:rsidRPr="00141D20" w:rsidRDefault="00AA0378" w:rsidP="00141D20">
      <w:pPr>
        <w:pStyle w:val="Titre2"/>
        <w:numPr>
          <w:ilvl w:val="1"/>
          <w:numId w:val="2"/>
        </w:numPr>
      </w:pPr>
      <w:bookmarkStart w:id="581" w:name="_Toc526119994"/>
      <w:r w:rsidRPr="00141D20">
        <w:t>Déterminants économiques</w:t>
      </w:r>
      <w:bookmarkEnd w:id="581"/>
    </w:p>
    <w:p w:rsidR="00AA0378" w:rsidRPr="006866D3" w:rsidRDefault="00AA0378" w:rsidP="00AA0378">
      <w:pPr>
        <w:jc w:val="both"/>
        <w:rPr>
          <w:rFonts w:ascii="Nyala" w:hAnsi="Nyala" w:cs="MyriadPro-Regular"/>
          <w:b/>
          <w:bCs/>
          <w:i/>
          <w:iCs/>
          <w:caps/>
          <w:color w:val="000000"/>
          <w:sz w:val="28"/>
          <w:szCs w:val="28"/>
          <w:lang w:eastAsia="fr-FR"/>
        </w:rPr>
      </w:pPr>
    </w:p>
    <w:p w:rsidR="00AA0378" w:rsidRPr="006866D3" w:rsidRDefault="00AA0378" w:rsidP="00AA0378">
      <w:pPr>
        <w:jc w:val="both"/>
        <w:rPr>
          <w:rStyle w:val="Rfrenceintense"/>
          <w:sz w:val="28"/>
          <w:szCs w:val="28"/>
        </w:rPr>
      </w:pPr>
      <w:r w:rsidRPr="006866D3">
        <w:rPr>
          <w:rStyle w:val="Rfrenceintense"/>
          <w:sz w:val="28"/>
          <w:szCs w:val="28"/>
        </w:rPr>
        <w:t>Croissance soutenue, inclusive et durable, (ODD8)</w:t>
      </w:r>
    </w:p>
    <w:p w:rsidR="00AA0378" w:rsidRPr="006866D3" w:rsidRDefault="00AA0378" w:rsidP="00AA0378">
      <w:pPr>
        <w:spacing w:before="240"/>
        <w:jc w:val="both"/>
        <w:rPr>
          <w:rFonts w:ascii="Nyala" w:hAnsi="Nyala"/>
          <w:sz w:val="28"/>
          <w:szCs w:val="28"/>
        </w:rPr>
      </w:pPr>
      <w:r w:rsidRPr="006866D3">
        <w:rPr>
          <w:rFonts w:ascii="Nyala" w:hAnsi="Nyala"/>
          <w:sz w:val="28"/>
          <w:szCs w:val="28"/>
        </w:rPr>
        <w:t xml:space="preserve">Entre 2016 et 2017, l’économie nigérienne a enregistré un taux de croissance de l’ordre de 5%. L’économie est dominée par le secteur primaire (38,8% du PIB) un secteur secondaire qui  reste faible (17% du PIB) à cause principalement de son caractère informel (60% du PIB).  ; pour un PIB par habitant de 463 USD. </w:t>
      </w:r>
    </w:p>
    <w:p w:rsidR="00AA0378" w:rsidRPr="006866D3" w:rsidRDefault="00AA0378" w:rsidP="00AA0378">
      <w:pPr>
        <w:jc w:val="both"/>
        <w:rPr>
          <w:rFonts w:ascii="Nyala" w:hAnsi="Nyala"/>
          <w:sz w:val="28"/>
          <w:szCs w:val="28"/>
        </w:rPr>
      </w:pPr>
      <w:r w:rsidRPr="006866D3">
        <w:rPr>
          <w:rFonts w:ascii="Nyala" w:hAnsi="Nyala"/>
          <w:sz w:val="28"/>
          <w:szCs w:val="28"/>
        </w:rPr>
        <w:t xml:space="preserve">Au plan des finances publiques, le déficit budgétaire reste encore important ; il a atteint 6,1% en 2016 du fait de la hausse des dépenses (effort sécuritaire, investissements en infrastructures et accroissement de la masse salariale) et de l’insuffisance des recettes. </w:t>
      </w:r>
    </w:p>
    <w:p w:rsidR="00AA0378" w:rsidRPr="006866D3" w:rsidRDefault="00AA0378" w:rsidP="00AA0378">
      <w:pPr>
        <w:jc w:val="both"/>
        <w:rPr>
          <w:rFonts w:ascii="Nyala" w:hAnsi="Nyala"/>
          <w:sz w:val="28"/>
          <w:szCs w:val="28"/>
        </w:rPr>
      </w:pPr>
      <w:r w:rsidRPr="006866D3">
        <w:rPr>
          <w:rFonts w:ascii="Nyala" w:hAnsi="Nyala"/>
          <w:sz w:val="28"/>
          <w:szCs w:val="28"/>
        </w:rPr>
        <w:t xml:space="preserve">La balance commerciale est déficitaire de 17,8%. Les exportations sont constituées essentiellement des produits d’extraction (pétrole, uranium, or) et des produits agro-sylvo-pastoraux (oignon, niébé, poivron, bétail sur pied, cuirs et peaux, viandes, …. Malgré la hausse périodique des prix des produits de première consommation (sucre, riz, mil, huile…), l’inflation reste globalement maîtrisée avec un taux de 0,6% en moyenne annuelle. </w:t>
      </w:r>
    </w:p>
    <w:p w:rsidR="00AA0378" w:rsidRPr="006866D3" w:rsidRDefault="00AA0378" w:rsidP="00AA0378">
      <w:pPr>
        <w:tabs>
          <w:tab w:val="left" w:pos="1048"/>
        </w:tabs>
        <w:jc w:val="both"/>
        <w:rPr>
          <w:rFonts w:ascii="Nyala" w:hAnsi="Nyala"/>
          <w:sz w:val="28"/>
          <w:szCs w:val="28"/>
        </w:rPr>
      </w:pPr>
      <w:r w:rsidRPr="006866D3">
        <w:rPr>
          <w:rFonts w:ascii="Nyala" w:hAnsi="Nyala"/>
          <w:sz w:val="28"/>
          <w:szCs w:val="28"/>
        </w:rPr>
        <w:t>Le développement agricole et la sécurité alimentaire et nutritionnelle sont étroitement liés à la croissance économique, à la réduction des inégalités et à l’emploi. Au Niger, la fluctuation du PIB est en grande partie due à l’absence de stabilité de la production agricole qui elle-même dépend de la pluviométrie, de la capacité d’investissements des producteurs et de la disponibilité de technologies permettant de s’affranchir des fortes variations climatiques.</w:t>
      </w:r>
    </w:p>
    <w:p w:rsidR="00AA0378" w:rsidRPr="006866D3" w:rsidRDefault="00AA0378" w:rsidP="00AA0378">
      <w:pPr>
        <w:tabs>
          <w:tab w:val="left" w:pos="1048"/>
        </w:tabs>
        <w:jc w:val="both"/>
        <w:rPr>
          <w:rFonts w:ascii="Nyala" w:hAnsi="Nyala"/>
          <w:sz w:val="28"/>
          <w:szCs w:val="28"/>
        </w:rPr>
      </w:pPr>
      <w:r w:rsidRPr="006866D3">
        <w:rPr>
          <w:rFonts w:ascii="Nyala" w:hAnsi="Nyala"/>
          <w:sz w:val="28"/>
          <w:szCs w:val="28"/>
        </w:rPr>
        <w:t xml:space="preserve">Les progrès du Niger pour la réalisation de la cible 2 de l’OMD1 relative au plein-emploi sont restés mitigés. Le  taux  de  croissance du  PIB  par  personne occupée  est  passé  de  -3,5% en 2005,  à  -4,4% en 2014. Le ratio emploi-population est passé de 62,7% en 2001 à 73,1% en 2014. La proportion de la population occupée vivant en dessous du seuil de pauvreté est passée de 62,8% en 2005, à 47,2% en 2014. Les contraintes majeures sont liées au fait que la croissance économique est plombée par le croît démographique et que le secteur formel est très peu développé, notamment en milieu rural. </w:t>
      </w:r>
    </w:p>
    <w:p w:rsidR="00AA0378" w:rsidRPr="006866D3" w:rsidRDefault="00AA0378" w:rsidP="00AA0378">
      <w:pPr>
        <w:tabs>
          <w:tab w:val="left" w:pos="1048"/>
        </w:tabs>
        <w:jc w:val="both"/>
        <w:rPr>
          <w:rFonts w:ascii="Nyala" w:hAnsi="Nyala"/>
          <w:sz w:val="28"/>
          <w:szCs w:val="28"/>
        </w:rPr>
      </w:pPr>
      <w:r w:rsidRPr="006866D3">
        <w:rPr>
          <w:rFonts w:ascii="Nyala" w:hAnsi="Nyala"/>
          <w:sz w:val="28"/>
          <w:szCs w:val="28"/>
        </w:rPr>
        <w:t xml:space="preserve">Aussi, dans le cadre du PDES 2017-2021, le Niger a opté pour une transformation du monde rural qui devrait accroître davantage le PIB agricole de 4,5%/an et permettre à 40% de jeunes ruraux d’avoir un emploi permanent. Parallèlement, il est prévu une réduction de l’emploi informel et du chômage aussi bien dans les villes qu’en campagne. </w:t>
      </w:r>
    </w:p>
    <w:p w:rsidR="00AA0378" w:rsidRPr="006866D3" w:rsidRDefault="00AA0378" w:rsidP="00AA0378">
      <w:pPr>
        <w:tabs>
          <w:tab w:val="left" w:pos="1048"/>
        </w:tabs>
        <w:jc w:val="both"/>
        <w:rPr>
          <w:rFonts w:ascii="Nyala" w:hAnsi="Nyala"/>
          <w:sz w:val="28"/>
          <w:szCs w:val="28"/>
        </w:rPr>
      </w:pPr>
      <w:r w:rsidRPr="006866D3">
        <w:rPr>
          <w:rFonts w:ascii="Nyala" w:hAnsi="Nyala"/>
          <w:sz w:val="28"/>
          <w:szCs w:val="28"/>
        </w:rPr>
        <w:t xml:space="preserve">Cela impactera sur la prévalence de l’insécurité alimentaire. En effet, les personnes les moins affectées sont surtout les travailleurs du secteur public et privé et les éleveurs ; les plus affectées sont celles vivant dans des ménages dirigés par des personnes inactives ou ayant des emplois précaires (bûcherons, artisans) comme l’illustre la </w:t>
      </w:r>
      <w:r w:rsidRPr="006866D3">
        <w:rPr>
          <w:rFonts w:ascii="Nyala" w:hAnsi="Nyala"/>
          <w:b/>
          <w:sz w:val="28"/>
          <w:szCs w:val="28"/>
        </w:rPr>
        <w:t xml:space="preserve">figure </w:t>
      </w:r>
      <w:r w:rsidR="00456B45">
        <w:rPr>
          <w:rFonts w:ascii="Nyala" w:hAnsi="Nyala"/>
          <w:b/>
          <w:sz w:val="28"/>
          <w:szCs w:val="28"/>
        </w:rPr>
        <w:t>4</w:t>
      </w:r>
      <w:r w:rsidR="00881124">
        <w:rPr>
          <w:rFonts w:ascii="Nyala" w:hAnsi="Nyala"/>
          <w:b/>
          <w:sz w:val="28"/>
          <w:szCs w:val="28"/>
        </w:rPr>
        <w:t>8</w:t>
      </w:r>
      <w:r w:rsidR="00D6453E" w:rsidRPr="006866D3">
        <w:rPr>
          <w:rFonts w:ascii="Nyala" w:hAnsi="Nyala"/>
          <w:b/>
          <w:sz w:val="28"/>
          <w:szCs w:val="28"/>
        </w:rPr>
        <w:t>.</w:t>
      </w:r>
    </w:p>
    <w:p w:rsidR="00AA0378" w:rsidRPr="006866D3" w:rsidRDefault="00146983" w:rsidP="00AA0378">
      <w:pPr>
        <w:tabs>
          <w:tab w:val="left" w:pos="1048"/>
        </w:tabs>
        <w:jc w:val="both"/>
        <w:rPr>
          <w:rFonts w:ascii="Nyala" w:hAnsi="Nyala"/>
          <w:sz w:val="28"/>
          <w:szCs w:val="28"/>
        </w:rPr>
      </w:pPr>
      <w:r>
        <w:rPr>
          <w:noProof/>
          <w:sz w:val="28"/>
          <w:szCs w:val="28"/>
          <w:lang w:eastAsia="fr-FR"/>
        </w:rPr>
        <mc:AlternateContent>
          <mc:Choice Requires="wps">
            <w:drawing>
              <wp:anchor distT="0" distB="0" distL="114300" distR="114300" simplePos="0" relativeHeight="251911168" behindDoc="0" locked="0" layoutInCell="1" allowOverlap="1" wp14:anchorId="3971A3F3">
                <wp:simplePos x="0" y="0"/>
                <wp:positionH relativeFrom="margin">
                  <wp:align>left</wp:align>
                </wp:positionH>
                <wp:positionV relativeFrom="paragraph">
                  <wp:posOffset>359410</wp:posOffset>
                </wp:positionV>
                <wp:extent cx="5549265" cy="3018790"/>
                <wp:effectExtent l="0" t="0" r="13335" b="10160"/>
                <wp:wrapSquare wrapText="bothSides"/>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265" cy="3018790"/>
                        </a:xfrm>
                        <a:prstGeom prst="rect">
                          <a:avLst/>
                        </a:prstGeom>
                        <a:noFill/>
                        <a:ln w="6350">
                          <a:solidFill>
                            <a:prstClr val="black"/>
                          </a:solidFill>
                        </a:ln>
                        <a:effectLst/>
                      </wps:spPr>
                      <wps:txbx>
                        <w:txbxContent>
                          <w:p w:rsidR="00146325" w:rsidRDefault="00146325" w:rsidP="00AA0378">
                            <w:pPr>
                              <w:pStyle w:val="Lgende"/>
                              <w:keepNext/>
                            </w:pPr>
                            <w:bookmarkStart w:id="582" w:name="_Toc526120114"/>
                            <w:r>
                              <w:t xml:space="preserve">Figure </w:t>
                            </w:r>
                            <w:r w:rsidR="00C73EE5">
                              <w:fldChar w:fldCharType="begin"/>
                            </w:r>
                            <w:r w:rsidR="00C73EE5">
                              <w:instrText xml:space="preserve"> SEQ Figure \* ARABIC </w:instrText>
                            </w:r>
                            <w:r w:rsidR="00C73EE5">
                              <w:fldChar w:fldCharType="separate"/>
                            </w:r>
                            <w:r>
                              <w:rPr>
                                <w:noProof/>
                              </w:rPr>
                              <w:t>48</w:t>
                            </w:r>
                            <w:r w:rsidR="00C73EE5">
                              <w:rPr>
                                <w:noProof/>
                              </w:rPr>
                              <w:fldChar w:fldCharType="end"/>
                            </w:r>
                            <w:r>
                              <w:t xml:space="preserve"> - Prévalence de l'insécurité alimentaire selon l'activité du chef de ménage</w:t>
                            </w:r>
                            <w:bookmarkEnd w:id="582"/>
                          </w:p>
                          <w:p w:rsidR="00146325" w:rsidRDefault="00146325" w:rsidP="00AA0378">
                            <w:pPr>
                              <w:tabs>
                                <w:tab w:val="left" w:pos="1048"/>
                              </w:tabs>
                            </w:pPr>
                            <w:r w:rsidRPr="00E265E0">
                              <w:rPr>
                                <w:noProof/>
                                <w:lang w:eastAsia="fr-FR"/>
                              </w:rPr>
                              <w:drawing>
                                <wp:inline distT="0" distB="0" distL="0" distR="0">
                                  <wp:extent cx="5360546" cy="2562045"/>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77545" cy="2570169"/>
                                          </a:xfrm>
                                          <a:prstGeom prst="rect">
                                            <a:avLst/>
                                          </a:prstGeom>
                                          <a:noFill/>
                                          <a:ln>
                                            <a:noFill/>
                                          </a:ln>
                                        </pic:spPr>
                                      </pic:pic>
                                    </a:graphicData>
                                  </a:graphic>
                                </wp:inline>
                              </w:drawing>
                            </w:r>
                          </w:p>
                          <w:p w:rsidR="00146325" w:rsidRPr="008A6B8B" w:rsidRDefault="00146325" w:rsidP="00AA0378">
                            <w:pPr>
                              <w:tabs>
                                <w:tab w:val="left" w:pos="1048"/>
                              </w:tabs>
                              <w:spacing w:before="0" w:after="0"/>
                            </w:pPr>
                            <w:r>
                              <w:t>INS-SAP/GC mars 2016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71A3F3" id="Zone de texte 46" o:spid="_x0000_s1082" type="#_x0000_t202" style="position:absolute;left:0;text-align:left;margin-left:0;margin-top:28.3pt;width:436.95pt;height:237.7pt;z-index:25191116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" filled="f" strokeweight=".5pt">
                <v:path arrowok="t"/>
                <v:textbox>
                  <w:txbxContent>
                    <w:p w:rsidR="00146325" w:rsidRDefault="00146325" w:rsidP="00AA0378">
                      <w:pPr>
                        <w:pStyle w:val="Lgende"/>
                        <w:keepNext/>
                      </w:pPr>
                      <w:bookmarkStart w:id="583" w:name="_Toc526120114"/>
                      <w:r>
                        <w:t xml:space="preserve">Figure </w:t>
                      </w:r>
                      <w:r w:rsidR="00C73EE5">
                        <w:fldChar w:fldCharType="begin"/>
                      </w:r>
                      <w:r w:rsidR="00C73EE5">
                        <w:instrText xml:space="preserve"> SEQ Figure \* ARABIC </w:instrText>
                      </w:r>
                      <w:r w:rsidR="00C73EE5">
                        <w:fldChar w:fldCharType="separate"/>
                      </w:r>
                      <w:r>
                        <w:rPr>
                          <w:noProof/>
                        </w:rPr>
                        <w:t>48</w:t>
                      </w:r>
                      <w:r w:rsidR="00C73EE5">
                        <w:rPr>
                          <w:noProof/>
                        </w:rPr>
                        <w:fldChar w:fldCharType="end"/>
                      </w:r>
                      <w:r>
                        <w:t xml:space="preserve"> - Prévalence de l'insécurité alimentaire selon l'activité du chef de ménage</w:t>
                      </w:r>
                      <w:bookmarkEnd w:id="583"/>
                    </w:p>
                    <w:p w:rsidR="00146325" w:rsidRDefault="00146325" w:rsidP="00AA0378">
                      <w:pPr>
                        <w:tabs>
                          <w:tab w:val="left" w:pos="1048"/>
                        </w:tabs>
                      </w:pPr>
                      <w:r w:rsidRPr="00E265E0">
                        <w:rPr>
                          <w:noProof/>
                          <w:lang w:eastAsia="fr-FR"/>
                        </w:rPr>
                        <w:drawing>
                          <wp:inline distT="0" distB="0" distL="0" distR="0">
                            <wp:extent cx="5360546" cy="2562045"/>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77545" cy="2570169"/>
                                    </a:xfrm>
                                    <a:prstGeom prst="rect">
                                      <a:avLst/>
                                    </a:prstGeom>
                                    <a:noFill/>
                                    <a:ln>
                                      <a:noFill/>
                                    </a:ln>
                                  </pic:spPr>
                                </pic:pic>
                              </a:graphicData>
                            </a:graphic>
                          </wp:inline>
                        </w:drawing>
                      </w:r>
                    </w:p>
                    <w:p w:rsidR="00146325" w:rsidRPr="008A6B8B" w:rsidRDefault="00146325" w:rsidP="00AA0378">
                      <w:pPr>
                        <w:tabs>
                          <w:tab w:val="left" w:pos="1048"/>
                        </w:tabs>
                        <w:spacing w:before="0" w:after="0"/>
                      </w:pPr>
                      <w:r>
                        <w:t>INS-SAP/GC mars 2016</w:t>
                      </w:r>
                    </w:p>
                  </w:txbxContent>
                </v:textbox>
                <w10:wrap type="square" anchorx="margin"/>
              </v:shape>
            </w:pict>
          </mc:Fallback>
        </mc:AlternateContent>
      </w:r>
    </w:p>
    <w:p w:rsidR="00AA0378" w:rsidRPr="006866D3" w:rsidRDefault="00AA0378" w:rsidP="00AA0378">
      <w:pPr>
        <w:tabs>
          <w:tab w:val="left" w:pos="1048"/>
        </w:tabs>
        <w:jc w:val="both"/>
        <w:rPr>
          <w:rFonts w:ascii="Nyala" w:hAnsi="Nyala"/>
          <w:sz w:val="28"/>
          <w:szCs w:val="28"/>
        </w:rPr>
      </w:pPr>
    </w:p>
    <w:p w:rsidR="00AA0378" w:rsidRPr="006866D3" w:rsidRDefault="00AA0378" w:rsidP="00AA0378">
      <w:pPr>
        <w:jc w:val="both"/>
        <w:rPr>
          <w:rStyle w:val="Rfrenceintense"/>
          <w:sz w:val="28"/>
          <w:szCs w:val="28"/>
        </w:rPr>
      </w:pPr>
      <w:r w:rsidRPr="006866D3">
        <w:rPr>
          <w:rStyle w:val="Rfrenceintense"/>
          <w:sz w:val="28"/>
          <w:szCs w:val="28"/>
        </w:rPr>
        <w:t>Infrastructure résiliente et industrialisation inclusive (ODD9)</w:t>
      </w:r>
    </w:p>
    <w:p w:rsidR="00AA0378" w:rsidRPr="006866D3" w:rsidRDefault="00AA0378" w:rsidP="00AA0378">
      <w:pPr>
        <w:jc w:val="both"/>
        <w:rPr>
          <w:rFonts w:ascii="Nyala" w:hAnsi="Nyala"/>
          <w:sz w:val="28"/>
          <w:szCs w:val="28"/>
        </w:rPr>
      </w:pPr>
      <w:r w:rsidRPr="006866D3">
        <w:rPr>
          <w:rFonts w:ascii="Nyala" w:hAnsi="Nyala"/>
          <w:sz w:val="28"/>
          <w:szCs w:val="28"/>
        </w:rPr>
        <w:t>L’existence de routes accessibles aux ménages ruraux et l’existence d’une industrie agricole et agroalimentaire dynamique sont des facteurs pouvant améliorer la disponibilité des produits alimentaires sur les marchés de collecte et de consommation et accroître les revenus des agriculteurs et des éleveurs.</w:t>
      </w:r>
    </w:p>
    <w:p w:rsidR="00AA0378" w:rsidRPr="006866D3" w:rsidRDefault="00AA0378" w:rsidP="00AA0378">
      <w:pPr>
        <w:jc w:val="both"/>
        <w:rPr>
          <w:rFonts w:ascii="Nyala" w:hAnsi="Nyala"/>
          <w:color w:val="000000"/>
          <w:sz w:val="28"/>
          <w:szCs w:val="28"/>
        </w:rPr>
      </w:pPr>
      <w:r w:rsidRPr="006866D3">
        <w:rPr>
          <w:rFonts w:ascii="Nyala" w:hAnsi="Nyala"/>
          <w:sz w:val="28"/>
          <w:szCs w:val="28"/>
        </w:rPr>
        <w:t xml:space="preserve">Au cours de ces dernières années, avec l’appui de ses partenaires, le Gouvernement du Niger a élargi son réseau d’infrastructures routières, ce qui a permis de faire évoluer </w:t>
      </w:r>
      <w:r w:rsidRPr="006866D3">
        <w:rPr>
          <w:rFonts w:ascii="Nyala" w:hAnsi="Nyala"/>
          <w:color w:val="000000"/>
          <w:sz w:val="28"/>
          <w:szCs w:val="28"/>
        </w:rPr>
        <w:t xml:space="preserve">l’Indice d’Accessibilité Routière (IAR) de 32,5% en 2012 à 36,5% en 2017 et la densité routière de 15,9 km /1000 km² à 16,75 km/1000 km². </w:t>
      </w:r>
    </w:p>
    <w:p w:rsidR="00AA0378" w:rsidRPr="006866D3" w:rsidRDefault="00AA0378" w:rsidP="00AA0378">
      <w:pPr>
        <w:jc w:val="both"/>
        <w:rPr>
          <w:rFonts w:ascii="Nyala" w:hAnsi="Nyala"/>
          <w:sz w:val="28"/>
          <w:szCs w:val="28"/>
        </w:rPr>
      </w:pPr>
      <w:r w:rsidRPr="006866D3">
        <w:rPr>
          <w:rFonts w:ascii="Nyala" w:hAnsi="Nyala"/>
          <w:sz w:val="28"/>
          <w:szCs w:val="28"/>
        </w:rPr>
        <w:t xml:space="preserve">En milieu rural, la plupart des infrastructures routières sont en fait, des pistes rurales sommaires, insuffisamment entretenues, voire très dégradées. Même les routes bitumées interurbaines ou transfrontalières restent parfois difficilement praticables ; en 2016, près de 40% des routes bitumées sont en mauvais état (Ministère du Plan, RMO 2016). Par ailleurs, il y a lieu de faire remarquer que la résilience des infrastructures routières est mise à rude épreuve avec les intempéries. Elles peuvent être envahies par des dunes de sable, dégradée par l’érosion hydrique ou coupée par des mares et des Koris ; traduisant ainsi une prise en compte insuffisante des mesures de prévention des risques climatiques. </w:t>
      </w:r>
    </w:p>
    <w:p w:rsidR="00AA0378" w:rsidRPr="006866D3" w:rsidRDefault="00AA0378" w:rsidP="00AA0378">
      <w:pPr>
        <w:jc w:val="both"/>
        <w:rPr>
          <w:rFonts w:ascii="Nyala" w:hAnsi="Nyala"/>
          <w:sz w:val="28"/>
          <w:szCs w:val="28"/>
        </w:rPr>
      </w:pPr>
      <w:r w:rsidRPr="006866D3">
        <w:rPr>
          <w:rFonts w:ascii="Nyala" w:hAnsi="Nyala"/>
          <w:sz w:val="28"/>
          <w:szCs w:val="28"/>
        </w:rPr>
        <w:t xml:space="preserve">L’étendue et la qualité du réseau routier ne sont pas sans conséquence sur les prix à la consommation des produits vivriers et sur la compétitivité (et partant sur les revenus des acteurs de la chaîne des valeurs) des filières agricoles et pastorales. </w:t>
      </w:r>
    </w:p>
    <w:p w:rsidR="00AA0378" w:rsidRPr="006866D3" w:rsidRDefault="00AA0378" w:rsidP="00AA0378">
      <w:pPr>
        <w:jc w:val="both"/>
        <w:rPr>
          <w:rFonts w:ascii="Nyala" w:hAnsi="Nyala"/>
          <w:sz w:val="28"/>
          <w:szCs w:val="28"/>
        </w:rPr>
      </w:pPr>
      <w:r w:rsidRPr="006866D3">
        <w:rPr>
          <w:rFonts w:ascii="Nyala" w:hAnsi="Nyala"/>
          <w:sz w:val="28"/>
          <w:szCs w:val="28"/>
        </w:rPr>
        <w:t xml:space="preserve">L’état du réseau routier auquel s’ajoutent des coûts élevés de l’énergie et une maîtrise insuffisante des technologies sont également à prendre en compte dans les facteurs explicatifs du faible niveau d’industrialisation en particulier dans le domaine de l’agroalimentaire. </w:t>
      </w:r>
    </w:p>
    <w:p w:rsidR="00AA0378" w:rsidRPr="006866D3" w:rsidRDefault="00AA0378" w:rsidP="00AA0378">
      <w:pPr>
        <w:jc w:val="both"/>
        <w:rPr>
          <w:rFonts w:ascii="Nyala" w:hAnsi="Nyala"/>
          <w:sz w:val="28"/>
          <w:szCs w:val="28"/>
        </w:rPr>
      </w:pPr>
      <w:r w:rsidRPr="006866D3">
        <w:rPr>
          <w:rFonts w:ascii="Nyala" w:hAnsi="Nyala"/>
          <w:sz w:val="28"/>
          <w:szCs w:val="28"/>
        </w:rPr>
        <w:t xml:space="preserve">Les industries agroalimentaires sont peu développées et concentrées dans les grandes villes. Certaines comme les laiteries et autres minoteries ont du mal à disposer de la matière première (lait, grain …), en quantité suffisante et à un prix abordable ; les coûts élevés de collecte et de transport de cette matière première est élevée. De plus, elles sont concurrencées par les importations agroindustrielles et les  micro-unités familiales de transformation artisanale qui à court terme ne peuvent induire qu’un croît limité de revenus pour les producteurs. </w:t>
      </w:r>
    </w:p>
    <w:p w:rsidR="00AA0378" w:rsidRPr="006866D3" w:rsidRDefault="00AA0378" w:rsidP="00AA0378">
      <w:pPr>
        <w:jc w:val="both"/>
        <w:rPr>
          <w:rFonts w:ascii="Nyala" w:hAnsi="Nyala" w:cs="Arial"/>
          <w:bCs/>
          <w:kern w:val="24"/>
          <w:sz w:val="28"/>
          <w:szCs w:val="28"/>
        </w:rPr>
      </w:pPr>
      <w:r w:rsidRPr="006866D3">
        <w:rPr>
          <w:rFonts w:ascii="Nyala" w:hAnsi="Nyala"/>
          <w:sz w:val="28"/>
          <w:szCs w:val="28"/>
        </w:rPr>
        <w:t xml:space="preserve">Dans le domaine de l’Agro-industrie, le PDES 2017-2021 prévoir des mesures ( ?) de </w:t>
      </w:r>
      <w:r w:rsidRPr="006866D3">
        <w:rPr>
          <w:rFonts w:ascii="Nyala" w:hAnsi="Nyala" w:cs="Arial"/>
          <w:bCs/>
          <w:kern w:val="24"/>
          <w:sz w:val="28"/>
          <w:szCs w:val="28"/>
        </w:rPr>
        <w:t>facilitation la création d’unités industrielles, d’identifier des zones de production, de construire des infrastructures de production et d’acheminement des produits agropastoraux et de prendre des mesures pour soutenir les producteurs et les industriels et réduire le coût de transport et d’énergie. A ces actions vont s’ajouter des actions pour la promotion des unités de transformation modernes des produits agricoles et la promotion des chaînes de valeur.</w:t>
      </w:r>
    </w:p>
    <w:p w:rsidR="00AA0378" w:rsidRPr="00141D20" w:rsidRDefault="00AA0378" w:rsidP="00AA0378">
      <w:pPr>
        <w:jc w:val="both"/>
        <w:rPr>
          <w:rFonts w:ascii="Nyala" w:hAnsi="Nyala" w:cs="Arial"/>
          <w:bCs/>
          <w:i/>
          <w:kern w:val="24"/>
          <w:sz w:val="28"/>
          <w:szCs w:val="28"/>
        </w:rPr>
      </w:pPr>
      <w:r w:rsidRPr="00141D20">
        <w:rPr>
          <w:rFonts w:ascii="Nyala" w:hAnsi="Nyala" w:cs="Arial"/>
          <w:bCs/>
          <w:i/>
          <w:kern w:val="24"/>
          <w:sz w:val="28"/>
          <w:szCs w:val="28"/>
        </w:rPr>
        <w:t>L’un dans l’autre, le secteur secondaire dans le domaine de l’agriculture et de l’agroalimentaire reste trop faible pour encourager les agriculteurs et éleveurs à investir plus pour produire plus et gagner plus. Sans une approche de développement agricole radicalement changée, le Niger risque de perdurer dans le cercle vicieux d’une offre en matière première trop faible pour encourager l’agro-industrie et d’une demande industrielle trop faible pour stimuler la productivité et la production. En cela, des réflexions et des concertations doivent être menées et des leçons doivent être tirées des initiatives de productions agroindustrielles de la république naissante du Niger.</w:t>
      </w:r>
    </w:p>
    <w:p w:rsidR="00AA0378" w:rsidRPr="006866D3" w:rsidRDefault="00AA0378" w:rsidP="00AA0378">
      <w:pPr>
        <w:jc w:val="both"/>
        <w:rPr>
          <w:rFonts w:ascii="Nyala" w:hAnsi="Nyala" w:cs="Arial"/>
          <w:bCs/>
          <w:kern w:val="24"/>
          <w:sz w:val="28"/>
          <w:szCs w:val="28"/>
        </w:rPr>
      </w:pPr>
    </w:p>
    <w:p w:rsidR="00AA0378" w:rsidRPr="00141D20" w:rsidRDefault="00AA0378" w:rsidP="00141D20">
      <w:pPr>
        <w:pStyle w:val="Titre2"/>
        <w:numPr>
          <w:ilvl w:val="1"/>
          <w:numId w:val="2"/>
        </w:numPr>
      </w:pPr>
      <w:bookmarkStart w:id="584" w:name="_Toc526119995"/>
      <w:r w:rsidRPr="00141D20">
        <w:t>Déterminants liés à l’Environnement</w:t>
      </w:r>
      <w:bookmarkEnd w:id="584"/>
    </w:p>
    <w:p w:rsidR="00AA0378" w:rsidRPr="006866D3" w:rsidRDefault="00AA0378" w:rsidP="00AA0378">
      <w:pPr>
        <w:rPr>
          <w:sz w:val="28"/>
          <w:szCs w:val="28"/>
        </w:rPr>
      </w:pPr>
    </w:p>
    <w:p w:rsidR="00AA0378" w:rsidRPr="006866D3" w:rsidRDefault="00AA0378" w:rsidP="00AA0378">
      <w:pPr>
        <w:jc w:val="both"/>
        <w:rPr>
          <w:rStyle w:val="Rfrenceintense"/>
          <w:sz w:val="28"/>
          <w:szCs w:val="28"/>
        </w:rPr>
      </w:pPr>
      <w:r w:rsidRPr="006866D3">
        <w:rPr>
          <w:rStyle w:val="Rfrenceintense"/>
          <w:sz w:val="28"/>
          <w:szCs w:val="28"/>
        </w:rPr>
        <w:t xml:space="preserve">Accès à l’énergie fiable, durable et moderne (ODD7) </w:t>
      </w:r>
    </w:p>
    <w:p w:rsidR="00AA0378" w:rsidRPr="006866D3" w:rsidRDefault="00AA0378" w:rsidP="00AA0378">
      <w:pPr>
        <w:jc w:val="both"/>
        <w:rPr>
          <w:rFonts w:ascii="Nyala" w:hAnsi="Nyala"/>
          <w:sz w:val="28"/>
          <w:szCs w:val="28"/>
        </w:rPr>
      </w:pPr>
      <w:r w:rsidRPr="006866D3">
        <w:rPr>
          <w:rFonts w:ascii="Nyala" w:hAnsi="Nyala"/>
          <w:sz w:val="28"/>
          <w:szCs w:val="28"/>
        </w:rPr>
        <w:t>L’approvisionnement en énergie à un coût abordable est à la fois un facteur de bien-être et un levier pour la croissance agricole et l’émergence d’un secteur secondaire de l’agroalimentaire.</w:t>
      </w:r>
    </w:p>
    <w:p w:rsidR="00AA0378" w:rsidRPr="006866D3" w:rsidRDefault="00AA0378" w:rsidP="00AA0378">
      <w:pPr>
        <w:jc w:val="both"/>
        <w:rPr>
          <w:rFonts w:ascii="Nyala" w:hAnsi="Nyala"/>
          <w:sz w:val="28"/>
          <w:szCs w:val="28"/>
        </w:rPr>
      </w:pPr>
      <w:r w:rsidRPr="006866D3">
        <w:rPr>
          <w:rFonts w:ascii="Nyala" w:hAnsi="Nyala"/>
          <w:sz w:val="28"/>
          <w:szCs w:val="28"/>
        </w:rPr>
        <w:t xml:space="preserve">Mais pour le Niger, l’utilisation de l’énergie moderne et durable procède aussi de la volonté d’accroître la productivité agricole et de la préservation des ressources forestières et partant, d’assurer une sécurité alimentaire et nutritionnelle durable pour ses populations. </w:t>
      </w:r>
    </w:p>
    <w:p w:rsidR="00AA0378" w:rsidRPr="006866D3" w:rsidRDefault="00AA0378" w:rsidP="00AA0378">
      <w:pPr>
        <w:jc w:val="both"/>
        <w:rPr>
          <w:rFonts w:ascii="Nyala" w:hAnsi="Nyala"/>
          <w:sz w:val="28"/>
          <w:szCs w:val="28"/>
        </w:rPr>
      </w:pPr>
      <w:r w:rsidRPr="006866D3">
        <w:rPr>
          <w:rFonts w:ascii="Nyala" w:hAnsi="Nyala"/>
          <w:sz w:val="28"/>
          <w:szCs w:val="28"/>
        </w:rPr>
        <w:t>Malheureusement, force est de constater que la quantité d’énergie moderne consommée reste très faible. Entre 2015 et 2017, la proportion de la population utilisant l’énergie moderne est simplement passée de 15,4 à 18,5% ; en 2021, elle devrait atteindre 19,2% (PDES 2017-2021).</w:t>
      </w:r>
    </w:p>
    <w:p w:rsidR="00AA0378" w:rsidRPr="00141D20" w:rsidRDefault="00AA0378" w:rsidP="00AA0378">
      <w:pPr>
        <w:jc w:val="both"/>
        <w:rPr>
          <w:rFonts w:ascii="Nyala" w:hAnsi="Nyala"/>
          <w:sz w:val="28"/>
          <w:szCs w:val="28"/>
        </w:rPr>
      </w:pPr>
      <w:r w:rsidRPr="00141D20">
        <w:rPr>
          <w:rFonts w:ascii="Nyala" w:hAnsi="Nyala"/>
          <w:sz w:val="28"/>
          <w:szCs w:val="28"/>
        </w:rPr>
        <w:t xml:space="preserve">La part des énergies renouvelables devrait également enregistrer une progression significative ; En 2030 elle serait de 62% de la capacité totale installé. La production d’énergie raccordée au réseau de distribution passerait de 0% en 2015 à 54% en 2030. La consommation de combustible moderne dans les ménages passerait de 1% à 24% de 2015 à 2030. </w:t>
      </w:r>
    </w:p>
    <w:p w:rsidR="00AA0378" w:rsidRPr="00141D20" w:rsidRDefault="00AA0378" w:rsidP="00AA0378">
      <w:pPr>
        <w:jc w:val="both"/>
        <w:rPr>
          <w:rFonts w:ascii="Nyala" w:hAnsi="Nyala" w:cs="MyriadPro-Regular"/>
          <w:i/>
          <w:color w:val="000000"/>
          <w:sz w:val="28"/>
          <w:szCs w:val="28"/>
          <w:lang w:eastAsia="fr-FR"/>
        </w:rPr>
      </w:pPr>
      <w:r w:rsidRPr="00141D20">
        <w:rPr>
          <w:rFonts w:ascii="Nyala" w:hAnsi="Nyala" w:cs="MyriadPro-Regular"/>
          <w:i/>
          <w:color w:val="000000"/>
          <w:sz w:val="28"/>
          <w:szCs w:val="28"/>
          <w:lang w:eastAsia="fr-FR"/>
        </w:rPr>
        <w:t xml:space="preserve">L’utilisation des énergies renouvelables pourrait réduire les coûts de production et améliorer la compétitivité des filières des cultures irriguées d’une part et freiner l’exploitation abusive des ressources ligneuses, d’autre part. Le Niger a le potentiel énergétique nécessaire pour faciliter l’accès des populations rurales y compris les producteurs agricoles à une énergie fiable, moderne et écologique. Le défi pour lui est de trouver les mécanismes appropriés pour encourager les investissements privés au niveau des producteurs et des ménages ruraux. </w:t>
      </w:r>
    </w:p>
    <w:p w:rsidR="00665A43" w:rsidRPr="006866D3" w:rsidRDefault="00665A43" w:rsidP="000500A5">
      <w:pPr>
        <w:jc w:val="both"/>
        <w:rPr>
          <w:sz w:val="28"/>
          <w:szCs w:val="28"/>
        </w:rPr>
      </w:pPr>
    </w:p>
    <w:p w:rsidR="00665A43" w:rsidRDefault="00665A43" w:rsidP="00C446A5">
      <w:pPr>
        <w:spacing w:line="259" w:lineRule="auto"/>
        <w:contextualSpacing/>
        <w:jc w:val="both"/>
        <w:rPr>
          <w:rFonts w:ascii="Nyala" w:hAnsi="Nyala"/>
          <w:bCs/>
          <w:color w:val="000000"/>
          <w:sz w:val="28"/>
          <w:szCs w:val="28"/>
          <w:lang w:eastAsia="fr-FR"/>
        </w:rPr>
      </w:pPr>
    </w:p>
    <w:p w:rsidR="00C446A5" w:rsidRPr="006866D3" w:rsidRDefault="00C446A5" w:rsidP="00C446A5">
      <w:pPr>
        <w:rPr>
          <w:sz w:val="28"/>
          <w:szCs w:val="28"/>
        </w:rPr>
      </w:pPr>
    </w:p>
    <w:p w:rsidR="00FF3672" w:rsidRPr="006866D3" w:rsidRDefault="00FF3672">
      <w:pPr>
        <w:rPr>
          <w:rFonts w:ascii="Nyala" w:hAnsi="Nyala"/>
          <w:sz w:val="28"/>
          <w:szCs w:val="28"/>
        </w:rPr>
      </w:pPr>
      <w:r w:rsidRPr="006866D3">
        <w:rPr>
          <w:rFonts w:ascii="Nyala" w:hAnsi="Nyala"/>
          <w:sz w:val="28"/>
          <w:szCs w:val="28"/>
        </w:rPr>
        <w:br w:type="page"/>
      </w:r>
    </w:p>
    <w:p w:rsidR="004F3180" w:rsidRDefault="00FC4AB5" w:rsidP="00141D20">
      <w:pPr>
        <w:pStyle w:val="Titre1"/>
        <w:numPr>
          <w:ilvl w:val="0"/>
          <w:numId w:val="2"/>
        </w:numPr>
        <w:rPr>
          <w:sz w:val="28"/>
          <w:szCs w:val="28"/>
        </w:rPr>
      </w:pPr>
      <w:bookmarkStart w:id="585" w:name="_Toc526119996"/>
      <w:r>
        <w:rPr>
          <w:sz w:val="28"/>
          <w:szCs w:val="28"/>
        </w:rPr>
        <w:t>recommandations pour l</w:t>
      </w:r>
      <w:r w:rsidR="006F2AC9" w:rsidRPr="006866D3">
        <w:rPr>
          <w:sz w:val="28"/>
          <w:szCs w:val="28"/>
        </w:rPr>
        <w:t>a réalisation de l’o</w:t>
      </w:r>
      <w:r>
        <w:rPr>
          <w:sz w:val="28"/>
          <w:szCs w:val="28"/>
        </w:rPr>
        <w:t>DD2</w:t>
      </w:r>
      <w:bookmarkEnd w:id="585"/>
    </w:p>
    <w:p w:rsidR="00D452FF" w:rsidRPr="00141D20" w:rsidRDefault="00D452FF" w:rsidP="00141D20"/>
    <w:p w:rsidR="00FF3672" w:rsidRDefault="004F3180" w:rsidP="00141D20">
      <w:pPr>
        <w:pStyle w:val="Titre2"/>
        <w:numPr>
          <w:ilvl w:val="1"/>
          <w:numId w:val="2"/>
        </w:numPr>
      </w:pPr>
      <w:bookmarkStart w:id="586" w:name="_Toc526119997"/>
      <w:r>
        <w:t>Eléments de synthèse de la revue</w:t>
      </w:r>
      <w:bookmarkEnd w:id="586"/>
    </w:p>
    <w:p w:rsidR="006E6E28" w:rsidRDefault="00F06228" w:rsidP="00141D20">
      <w:pPr>
        <w:jc w:val="both"/>
        <w:rPr>
          <w:rFonts w:ascii="Nyala" w:hAnsi="Nyala"/>
          <w:sz w:val="28"/>
          <w:szCs w:val="28"/>
        </w:rPr>
      </w:pPr>
      <w:r>
        <w:rPr>
          <w:rFonts w:ascii="Nyala" w:hAnsi="Nyala"/>
          <w:sz w:val="28"/>
          <w:szCs w:val="28"/>
        </w:rPr>
        <w:t xml:space="preserve">Le Niger est l’un des pays du monde où l’occurrence et la prévalence de l’insécurité alimentaire et nutritionnelle sont les plus élevés. </w:t>
      </w:r>
      <w:r w:rsidR="00A971C8">
        <w:rPr>
          <w:rFonts w:ascii="Nyala" w:hAnsi="Nyala"/>
          <w:sz w:val="28"/>
          <w:szCs w:val="28"/>
        </w:rPr>
        <w:t xml:space="preserve">La proportion de la population qui a du mal à satisfaire ses besoins de consommation </w:t>
      </w:r>
      <w:r w:rsidR="006E6E28">
        <w:rPr>
          <w:rFonts w:ascii="Nyala" w:hAnsi="Nyala"/>
          <w:sz w:val="28"/>
          <w:szCs w:val="28"/>
        </w:rPr>
        <w:t xml:space="preserve">calorique </w:t>
      </w:r>
      <w:r w:rsidR="00A971C8">
        <w:rPr>
          <w:rFonts w:ascii="Nyala" w:hAnsi="Nyala"/>
          <w:sz w:val="28"/>
          <w:szCs w:val="28"/>
        </w:rPr>
        <w:t>ou à avoir un régime alimentaire équilibré peut atteindre 50</w:t>
      </w:r>
      <w:r w:rsidR="00CD3B3E">
        <w:rPr>
          <w:rFonts w:ascii="Nyala" w:hAnsi="Nyala"/>
          <w:sz w:val="28"/>
          <w:szCs w:val="28"/>
        </w:rPr>
        <w:t xml:space="preserve"> %, certaines années</w:t>
      </w:r>
      <w:r w:rsidR="00B56928">
        <w:rPr>
          <w:rFonts w:ascii="Nyala" w:hAnsi="Nyala"/>
          <w:sz w:val="28"/>
          <w:szCs w:val="28"/>
        </w:rPr>
        <w:t xml:space="preserve">, selon le niveau de déficit. </w:t>
      </w:r>
      <w:r w:rsidR="00B56928" w:rsidRPr="006866D3">
        <w:rPr>
          <w:rFonts w:ascii="Nyala" w:hAnsi="Nyala"/>
          <w:sz w:val="28"/>
          <w:szCs w:val="28"/>
        </w:rPr>
        <w:t>L</w:t>
      </w:r>
      <w:r w:rsidR="006E6E28">
        <w:rPr>
          <w:rFonts w:ascii="Nyala" w:hAnsi="Nyala"/>
          <w:sz w:val="28"/>
          <w:szCs w:val="28"/>
        </w:rPr>
        <w:t xml:space="preserve">a sous-alimentation varie selon le sexe, le lieu de résidence, le niveau d’instruction et l’activité du chef de ménage. Les enfants sont les premières victimes de la sous-alimentation du ménage. Plus de 3 enfants sur 4 </w:t>
      </w:r>
      <w:r w:rsidR="00BF0F90">
        <w:rPr>
          <w:rFonts w:ascii="Nyala" w:hAnsi="Nyala"/>
          <w:sz w:val="28"/>
          <w:szCs w:val="28"/>
        </w:rPr>
        <w:t xml:space="preserve">de 6 à 23 mois </w:t>
      </w:r>
      <w:r w:rsidR="006E6E28">
        <w:rPr>
          <w:rFonts w:ascii="Nyala" w:hAnsi="Nyala"/>
          <w:sz w:val="28"/>
          <w:szCs w:val="28"/>
        </w:rPr>
        <w:t xml:space="preserve">ont un régime alimentaire déséquilibré. </w:t>
      </w:r>
      <w:r w:rsidR="00BF0F90">
        <w:rPr>
          <w:rFonts w:ascii="Nyala" w:hAnsi="Nyala"/>
          <w:sz w:val="28"/>
          <w:szCs w:val="28"/>
        </w:rPr>
        <w:t xml:space="preserve">Près de 1 enfant sur 2 de moins de 5 ans souffre de retard de croissance et 1 sur 3 d’insuffisance pondérale. </w:t>
      </w:r>
    </w:p>
    <w:p w:rsidR="00BF0F90" w:rsidRDefault="00BF0F90" w:rsidP="00141D20">
      <w:pPr>
        <w:jc w:val="both"/>
        <w:rPr>
          <w:rFonts w:ascii="Nyala" w:hAnsi="Nyala"/>
          <w:sz w:val="28"/>
          <w:szCs w:val="28"/>
        </w:rPr>
      </w:pPr>
      <w:r>
        <w:rPr>
          <w:rFonts w:ascii="Nyala" w:hAnsi="Nyala"/>
          <w:sz w:val="28"/>
          <w:szCs w:val="28"/>
        </w:rPr>
        <w:t>Qu’il s’agisse de l’insécurité alimentaire ou de la malnutrition, les perspectives de leur élimination sont lentes, à moins d’efforts supplémentaires pour mettre à l’échelle et généraliser les mesures et actions prévues dans les politiques publiques et les projets et programmes de développement ou d’assistance humanitaire.</w:t>
      </w:r>
    </w:p>
    <w:p w:rsidR="00BF0F90" w:rsidRDefault="00BF0F90" w:rsidP="00817E9E">
      <w:pPr>
        <w:rPr>
          <w:rFonts w:ascii="Nyala" w:hAnsi="Nyala"/>
          <w:sz w:val="28"/>
          <w:szCs w:val="28"/>
        </w:rPr>
      </w:pPr>
      <w:r>
        <w:rPr>
          <w:rFonts w:ascii="Nyala" w:hAnsi="Nyala"/>
          <w:sz w:val="28"/>
          <w:szCs w:val="28"/>
        </w:rPr>
        <w:t xml:space="preserve">L’insécurité alimentaire et la malnutrition sont la conséquence de facteurs multiples : </w:t>
      </w:r>
    </w:p>
    <w:p w:rsidR="00BE5B28" w:rsidRDefault="00BE5B28" w:rsidP="00BE5B28">
      <w:pPr>
        <w:pStyle w:val="Paragraphedeliste"/>
        <w:ind w:left="1429"/>
        <w:rPr>
          <w:rFonts w:ascii="Nyala" w:hAnsi="Nyala"/>
          <w:sz w:val="28"/>
          <w:szCs w:val="28"/>
        </w:rPr>
      </w:pPr>
    </w:p>
    <w:p w:rsidR="00BE5B28" w:rsidRDefault="00BE5B28" w:rsidP="00141D20">
      <w:pPr>
        <w:pStyle w:val="Paragraphedeliste"/>
        <w:numPr>
          <w:ilvl w:val="0"/>
          <w:numId w:val="63"/>
        </w:numPr>
        <w:ind w:left="1429" w:hanging="709"/>
        <w:jc w:val="both"/>
        <w:rPr>
          <w:rFonts w:ascii="Nyala" w:hAnsi="Nyala"/>
          <w:sz w:val="28"/>
          <w:szCs w:val="28"/>
        </w:rPr>
      </w:pPr>
      <w:r>
        <w:rPr>
          <w:rFonts w:ascii="Nyala" w:hAnsi="Nyala"/>
          <w:sz w:val="28"/>
          <w:szCs w:val="28"/>
        </w:rPr>
        <w:t>Une accessibilité difficile et tout aussi fluctuante pour une bonne proportion de ménages (en particulier ruraux) aux revenus faibles et incertains, ne pouvant couvrir leurs besoins caloriques par leurs propres productions et</w:t>
      </w:r>
      <w:r w:rsidR="00DE64B5">
        <w:rPr>
          <w:rFonts w:ascii="Nyala" w:hAnsi="Nyala"/>
          <w:sz w:val="28"/>
          <w:szCs w:val="28"/>
        </w:rPr>
        <w:t>/ou</w:t>
      </w:r>
      <w:r>
        <w:rPr>
          <w:rFonts w:ascii="Nyala" w:hAnsi="Nyala"/>
          <w:sz w:val="28"/>
          <w:szCs w:val="28"/>
        </w:rPr>
        <w:t xml:space="preserve"> presque exclus du marché </w:t>
      </w:r>
      <w:r w:rsidR="00DE64B5">
        <w:rPr>
          <w:rFonts w:ascii="Nyala" w:hAnsi="Nyala"/>
          <w:sz w:val="28"/>
          <w:szCs w:val="28"/>
        </w:rPr>
        <w:t>du fait de leurs revenus monétaires insuffisants</w:t>
      </w:r>
      <w:r>
        <w:rPr>
          <w:rFonts w:ascii="Nyala" w:hAnsi="Nyala"/>
          <w:sz w:val="28"/>
          <w:szCs w:val="28"/>
        </w:rPr>
        <w:t xml:space="preserve">; cette accessibilité évaluée sur la base de la consommation calorique, du score de consommation alimentaire ou du score de diversité alimentaire est fortement variable selon le niveau d’instruction, le type d’emploi, les régions de résidence,  l’indice de richesse et bien d’autres paramètres. </w:t>
      </w:r>
    </w:p>
    <w:p w:rsidR="00BE5B28" w:rsidRDefault="00BE5B28" w:rsidP="00141D20">
      <w:pPr>
        <w:pStyle w:val="Paragraphedeliste"/>
        <w:ind w:left="1429"/>
        <w:rPr>
          <w:rFonts w:ascii="Nyala" w:hAnsi="Nyala"/>
          <w:sz w:val="28"/>
          <w:szCs w:val="28"/>
        </w:rPr>
      </w:pPr>
    </w:p>
    <w:p w:rsidR="00BE5B28" w:rsidRDefault="00BF0F90" w:rsidP="00141D20">
      <w:pPr>
        <w:pStyle w:val="Paragraphedeliste"/>
        <w:numPr>
          <w:ilvl w:val="0"/>
          <w:numId w:val="63"/>
        </w:numPr>
        <w:ind w:left="1429" w:hanging="709"/>
        <w:jc w:val="both"/>
        <w:rPr>
          <w:rFonts w:ascii="Nyala" w:hAnsi="Nyala"/>
          <w:sz w:val="28"/>
          <w:szCs w:val="28"/>
        </w:rPr>
      </w:pPr>
      <w:r w:rsidRPr="00141D20">
        <w:rPr>
          <w:rFonts w:ascii="Nyala" w:hAnsi="Nyala"/>
          <w:sz w:val="28"/>
          <w:szCs w:val="28"/>
        </w:rPr>
        <w:t xml:space="preserve">une disponibilité alimentaire insuffisante et fluctuante dans le temps résultant d’une productivité </w:t>
      </w:r>
      <w:r w:rsidR="0068025F">
        <w:rPr>
          <w:rFonts w:ascii="Nyala" w:hAnsi="Nyala"/>
          <w:sz w:val="28"/>
          <w:szCs w:val="28"/>
        </w:rPr>
        <w:t xml:space="preserve">agropastorale </w:t>
      </w:r>
      <w:r w:rsidRPr="00141D20">
        <w:rPr>
          <w:rFonts w:ascii="Nyala" w:hAnsi="Nyala"/>
          <w:sz w:val="28"/>
          <w:szCs w:val="28"/>
        </w:rPr>
        <w:t>faible, d’un accès limité des producteurs aux facteurs de production et d’une résilience des systèmes de production mise à mal par la dégradation accélérée des terres, la récurrence des perturbations climatiq</w:t>
      </w:r>
      <w:r w:rsidR="00DE64B5">
        <w:rPr>
          <w:rFonts w:ascii="Nyala" w:hAnsi="Nyala"/>
          <w:sz w:val="28"/>
          <w:szCs w:val="28"/>
        </w:rPr>
        <w:t xml:space="preserve">ues et autres risques agricoles ; </w:t>
      </w:r>
    </w:p>
    <w:p w:rsidR="00DE64B5" w:rsidRPr="00141D20" w:rsidRDefault="00DE64B5" w:rsidP="00141D20">
      <w:pPr>
        <w:pStyle w:val="Paragraphedeliste"/>
        <w:rPr>
          <w:rFonts w:ascii="Nyala" w:hAnsi="Nyala"/>
          <w:sz w:val="28"/>
          <w:szCs w:val="28"/>
        </w:rPr>
      </w:pPr>
    </w:p>
    <w:p w:rsidR="00DE64B5" w:rsidRDefault="00DE64B5" w:rsidP="00141D20">
      <w:pPr>
        <w:pStyle w:val="Paragraphedeliste"/>
        <w:numPr>
          <w:ilvl w:val="0"/>
          <w:numId w:val="63"/>
        </w:numPr>
        <w:ind w:left="1429" w:hanging="709"/>
        <w:jc w:val="both"/>
        <w:rPr>
          <w:rFonts w:ascii="Nyala" w:hAnsi="Nyala"/>
          <w:sz w:val="28"/>
          <w:szCs w:val="28"/>
        </w:rPr>
      </w:pPr>
      <w:r>
        <w:rPr>
          <w:rFonts w:ascii="Nyala" w:hAnsi="Nyala"/>
          <w:sz w:val="28"/>
          <w:szCs w:val="28"/>
        </w:rPr>
        <w:t xml:space="preserve">des conditions </w:t>
      </w:r>
      <w:r w:rsidR="00AF01B6">
        <w:rPr>
          <w:rFonts w:ascii="Nyala" w:hAnsi="Nyala"/>
          <w:sz w:val="28"/>
          <w:szCs w:val="28"/>
        </w:rPr>
        <w:t>sociales et économiques</w:t>
      </w:r>
      <w:r>
        <w:rPr>
          <w:rFonts w:ascii="Nyala" w:hAnsi="Nyala"/>
          <w:sz w:val="28"/>
          <w:szCs w:val="28"/>
        </w:rPr>
        <w:t xml:space="preserve"> qui ne sont pas toujours favorables à un accroissement durable de la disponibilité, de l’accessibilité ou de l’utilisation adéquate des denrées alimentaires et nutriments. </w:t>
      </w:r>
      <w:r w:rsidR="00AF01B6">
        <w:rPr>
          <w:rFonts w:ascii="Nyala" w:hAnsi="Nyala"/>
          <w:sz w:val="28"/>
          <w:szCs w:val="28"/>
        </w:rPr>
        <w:t>La forte croissance démographique, les inégalités entre les différentes couches sociales, certaines pesanteurs socioculturelles et les progressions lentes en matière d’éducation</w:t>
      </w:r>
      <w:r w:rsidR="0039504C">
        <w:rPr>
          <w:rFonts w:ascii="Nyala" w:hAnsi="Nyala"/>
          <w:sz w:val="28"/>
          <w:szCs w:val="28"/>
        </w:rPr>
        <w:t xml:space="preserve">, les difficultés d’accès aux services sociaux de base et </w:t>
      </w:r>
      <w:r w:rsidR="00AF01B6">
        <w:rPr>
          <w:rFonts w:ascii="Nyala" w:hAnsi="Nyala"/>
          <w:sz w:val="28"/>
          <w:szCs w:val="28"/>
        </w:rPr>
        <w:t>le sous-emploi de la population</w:t>
      </w:r>
      <w:r w:rsidR="0039504C">
        <w:rPr>
          <w:rFonts w:ascii="Nyala" w:hAnsi="Nyala"/>
          <w:sz w:val="28"/>
          <w:szCs w:val="28"/>
        </w:rPr>
        <w:t xml:space="preserve"> rurale, le faible niveau de développement du secteur secondaire</w:t>
      </w:r>
      <w:r w:rsidR="00AF01B6">
        <w:rPr>
          <w:rFonts w:ascii="Nyala" w:hAnsi="Nyala"/>
          <w:sz w:val="28"/>
          <w:szCs w:val="28"/>
        </w:rPr>
        <w:t xml:space="preserve"> sont autant de facteurs qui freinent l’élimination de la sous-alimentation et de la malnutrition. </w:t>
      </w:r>
    </w:p>
    <w:p w:rsidR="00AF01B6" w:rsidRPr="00141D20" w:rsidRDefault="00AF01B6" w:rsidP="00141D20">
      <w:pPr>
        <w:pStyle w:val="Paragraphedeliste"/>
        <w:rPr>
          <w:rFonts w:ascii="Nyala" w:hAnsi="Nyala"/>
          <w:sz w:val="28"/>
          <w:szCs w:val="28"/>
        </w:rPr>
      </w:pPr>
    </w:p>
    <w:p w:rsidR="007203E7" w:rsidRDefault="00DE64B5" w:rsidP="00DE64B5">
      <w:pPr>
        <w:tabs>
          <w:tab w:val="left" w:pos="2459"/>
        </w:tabs>
        <w:jc w:val="both"/>
        <w:rPr>
          <w:rFonts w:ascii="Nyala" w:hAnsi="Nyala"/>
          <w:sz w:val="28"/>
          <w:szCs w:val="28"/>
        </w:rPr>
      </w:pPr>
      <w:r w:rsidRPr="006866D3">
        <w:rPr>
          <w:rFonts w:ascii="Nyala" w:hAnsi="Nyala"/>
          <w:sz w:val="28"/>
          <w:szCs w:val="28"/>
        </w:rPr>
        <w:t>Au moment de la signature de l’Agenda 2030 en septembre 2015, le Niger était déjà engagé sinon avancé dans la lutte contre l’insécurité alimentaire et nutritionnelle et le développement durable. Il faudrait rappeler que le Niger depuis le début du millénaire s’était doté de politique publique (Stratégie de réduction de la pauvreté 2000-2012 et stratégie de développement rural 2003-2011) qui établissait un lien très fort entre réduction de la pauvreté, éradication de l’insécurité alimentaire et développement agricole durable dans un contexte de sécheresse récurrente et de dégradation des terres. La S</w:t>
      </w:r>
      <w:r w:rsidR="00AF01B6">
        <w:rPr>
          <w:rFonts w:ascii="Nyala" w:hAnsi="Nyala"/>
          <w:sz w:val="28"/>
          <w:szCs w:val="28"/>
        </w:rPr>
        <w:t xml:space="preserve">tratégie de développement durable et de croissance inclusive (adopté en 2013) et la stratégie de sécurité alimentaire et nutritionnelle et de développement agricole durable </w:t>
      </w:r>
      <w:r w:rsidR="007203E7">
        <w:rPr>
          <w:rFonts w:ascii="Nyala" w:hAnsi="Nyala"/>
          <w:sz w:val="28"/>
          <w:szCs w:val="28"/>
        </w:rPr>
        <w:t xml:space="preserve">ou Initiative 3n </w:t>
      </w:r>
      <w:r w:rsidR="00AF01B6">
        <w:rPr>
          <w:rFonts w:ascii="Nyala" w:hAnsi="Nyala"/>
          <w:sz w:val="28"/>
          <w:szCs w:val="28"/>
        </w:rPr>
        <w:t xml:space="preserve">(adoptée en 2012) </w:t>
      </w:r>
      <w:r w:rsidRPr="006866D3">
        <w:rPr>
          <w:rFonts w:ascii="Nyala" w:hAnsi="Nyala"/>
          <w:sz w:val="28"/>
          <w:szCs w:val="28"/>
        </w:rPr>
        <w:t xml:space="preserve">sont venus consolider les acquis antérieurs et </w:t>
      </w:r>
      <w:r w:rsidR="007203E7">
        <w:rPr>
          <w:rFonts w:ascii="Nyala" w:hAnsi="Nyala"/>
          <w:sz w:val="28"/>
          <w:szCs w:val="28"/>
        </w:rPr>
        <w:t xml:space="preserve">préciser les ambitions en la matière à l’horizon 2035. </w:t>
      </w:r>
    </w:p>
    <w:p w:rsidR="007203E7" w:rsidRDefault="007203E7" w:rsidP="00DE64B5">
      <w:pPr>
        <w:tabs>
          <w:tab w:val="left" w:pos="2459"/>
        </w:tabs>
        <w:jc w:val="both"/>
        <w:rPr>
          <w:rFonts w:ascii="Nyala" w:hAnsi="Nyala"/>
          <w:sz w:val="28"/>
          <w:szCs w:val="28"/>
        </w:rPr>
      </w:pPr>
      <w:r>
        <w:rPr>
          <w:rFonts w:ascii="Nyala" w:hAnsi="Nyala"/>
          <w:sz w:val="28"/>
          <w:szCs w:val="28"/>
        </w:rPr>
        <w:t xml:space="preserve">Les plans d’actions de ces documents de politiques adoptées élaborés après 2015 ont été ajustés pour tenir compte de l’ODD2. C’est le cas particulièrement pour le PDES 2017-2021 qui intègre les actions de l’initiative 3n et qui a pris en compte des cibles et indicateurs des ODD, notamment l’ODD2. </w:t>
      </w:r>
    </w:p>
    <w:p w:rsidR="0086034C" w:rsidRDefault="007203E7" w:rsidP="00141D20">
      <w:pPr>
        <w:tabs>
          <w:tab w:val="left" w:pos="2459"/>
        </w:tabs>
        <w:jc w:val="both"/>
        <w:rPr>
          <w:rFonts w:ascii="Nyala" w:hAnsi="Nyala"/>
          <w:sz w:val="28"/>
          <w:szCs w:val="28"/>
          <w:lang w:eastAsia="fr-FR"/>
        </w:rPr>
      </w:pPr>
      <w:r>
        <w:rPr>
          <w:rFonts w:ascii="Nyala" w:hAnsi="Nyala"/>
          <w:sz w:val="28"/>
          <w:szCs w:val="28"/>
        </w:rPr>
        <w:t>Cette prise en compte s’est effectuée à la suite d’</w:t>
      </w:r>
      <w:r w:rsidR="00DE64B5" w:rsidRPr="006866D3">
        <w:rPr>
          <w:rFonts w:ascii="Nyala" w:hAnsi="Nyala"/>
          <w:sz w:val="28"/>
          <w:szCs w:val="28"/>
        </w:rPr>
        <w:t>n exercice de priorisation animée par le Ministère du Plan avec l’appui du PNUD.</w:t>
      </w:r>
      <w:r w:rsidR="0086034C">
        <w:rPr>
          <w:rFonts w:ascii="Nyala" w:hAnsi="Nyala"/>
          <w:sz w:val="28"/>
          <w:szCs w:val="28"/>
        </w:rPr>
        <w:t xml:space="preserve"> Le constat est que pour l’ODD2, certains indicateurs et cibles n’ont pas fait l’objet d’une attention méritoire. N’ont été considérés que </w:t>
      </w:r>
      <w:r w:rsidR="00DE64B5" w:rsidRPr="006866D3">
        <w:rPr>
          <w:rFonts w:ascii="Nyala" w:hAnsi="Nyala"/>
          <w:sz w:val="28"/>
          <w:szCs w:val="28"/>
          <w:lang w:eastAsia="fr-FR"/>
        </w:rPr>
        <w:t>79% de</w:t>
      </w:r>
      <w:r w:rsidR="0086034C">
        <w:rPr>
          <w:rFonts w:ascii="Nyala" w:hAnsi="Nyala"/>
          <w:sz w:val="28"/>
          <w:szCs w:val="28"/>
          <w:lang w:eastAsia="fr-FR"/>
        </w:rPr>
        <w:t>s cibles ; il s’agit davantage des cibles relatives à l’accessibilité ; pour 75% des indicateurs, il n’y a pas de situation de référence et/ou d’objectifs cibles ce qui pourrait se traduire par une navigation à vue dans le processus de planification et de programmation des actions devant mener à Faim Zéro en 2030.</w:t>
      </w:r>
    </w:p>
    <w:p w:rsidR="0086034C" w:rsidRDefault="00DE64B5" w:rsidP="00DE64B5">
      <w:pPr>
        <w:jc w:val="both"/>
        <w:rPr>
          <w:rFonts w:ascii="Nyala" w:hAnsi="Nyala"/>
          <w:sz w:val="28"/>
          <w:szCs w:val="28"/>
        </w:rPr>
      </w:pPr>
      <w:r w:rsidRPr="006866D3">
        <w:rPr>
          <w:rFonts w:ascii="Nyala" w:hAnsi="Nyala"/>
          <w:sz w:val="28"/>
          <w:szCs w:val="28"/>
        </w:rPr>
        <w:t xml:space="preserve">L’absence de données de référence pour certains indicateurs, l’imprécision sur les modalités d’évaluation pour d’autres et la détermination des actions spécifiques pour réaliser le programme de l’Agenda 2030 ont été des facteurs limitant pour la complétude et la pertinence de la présente revue stratégique. </w:t>
      </w:r>
    </w:p>
    <w:p w:rsidR="007C1A58" w:rsidRDefault="0086034C" w:rsidP="00DE64B5">
      <w:pPr>
        <w:jc w:val="both"/>
        <w:rPr>
          <w:rFonts w:ascii="Nyala" w:hAnsi="Nyala"/>
          <w:sz w:val="28"/>
          <w:szCs w:val="28"/>
        </w:rPr>
      </w:pPr>
      <w:r>
        <w:rPr>
          <w:rFonts w:ascii="Nyala" w:hAnsi="Nyala"/>
          <w:sz w:val="28"/>
          <w:szCs w:val="28"/>
        </w:rPr>
        <w:t xml:space="preserve">Aussi, faudrait-il considérer la présente revue comme une opportunité pour i) </w:t>
      </w:r>
      <w:r w:rsidR="009D35E6">
        <w:rPr>
          <w:rFonts w:ascii="Nyala" w:hAnsi="Nyala"/>
          <w:sz w:val="28"/>
          <w:szCs w:val="28"/>
        </w:rPr>
        <w:t xml:space="preserve">revisiter et </w:t>
      </w:r>
      <w:r>
        <w:rPr>
          <w:rFonts w:ascii="Nyala" w:hAnsi="Nyala"/>
          <w:sz w:val="28"/>
          <w:szCs w:val="28"/>
        </w:rPr>
        <w:t xml:space="preserve">préciser les indicateurs et </w:t>
      </w:r>
      <w:r w:rsidR="009D35E6">
        <w:rPr>
          <w:rFonts w:ascii="Nyala" w:hAnsi="Nyala"/>
          <w:sz w:val="28"/>
          <w:szCs w:val="28"/>
        </w:rPr>
        <w:t xml:space="preserve">méthodes d’évaluation pour l’atteinte des cibles retenues ; ii) définir les mesures et investissements à réaliser pour améliorer les 4 dimensions de la sécurité alimentaire (accessibilité, disponibilité, utilisation et stabilité) tout en </w:t>
      </w:r>
      <w:r w:rsidR="0043584D">
        <w:rPr>
          <w:rFonts w:ascii="Nyala" w:hAnsi="Nyala"/>
          <w:sz w:val="28"/>
          <w:szCs w:val="28"/>
        </w:rPr>
        <w:t>n’</w:t>
      </w:r>
      <w:r w:rsidR="009D35E6">
        <w:rPr>
          <w:rFonts w:ascii="Nyala" w:hAnsi="Nyala"/>
          <w:sz w:val="28"/>
          <w:szCs w:val="28"/>
        </w:rPr>
        <w:t xml:space="preserve">occultant pas les facteurs connexes (maîtrise de la croissance démographique, éducation pour tous, égalité des sexes, droit des enfants et de la femmes, croissance inclusive, inégalités se selon le milieu de résidence …), iii) </w:t>
      </w:r>
      <w:r w:rsidR="0043584D">
        <w:rPr>
          <w:rFonts w:ascii="Nyala" w:hAnsi="Nyala"/>
          <w:sz w:val="28"/>
          <w:szCs w:val="28"/>
        </w:rPr>
        <w:t xml:space="preserve">renforcer l’appropriation et </w:t>
      </w:r>
      <w:r w:rsidR="009D35E6">
        <w:rPr>
          <w:rFonts w:ascii="Nyala" w:hAnsi="Nyala"/>
          <w:sz w:val="28"/>
          <w:szCs w:val="28"/>
        </w:rPr>
        <w:t xml:space="preserve">préciser le cadre institutionnel et de gouvernance </w:t>
      </w:r>
      <w:r w:rsidR="0043584D">
        <w:rPr>
          <w:rFonts w:ascii="Nyala" w:hAnsi="Nyala"/>
          <w:sz w:val="28"/>
          <w:szCs w:val="28"/>
        </w:rPr>
        <w:t xml:space="preserve">de </w:t>
      </w:r>
      <w:r w:rsidR="009D35E6">
        <w:rPr>
          <w:rFonts w:ascii="Nyala" w:hAnsi="Nyala"/>
          <w:sz w:val="28"/>
          <w:szCs w:val="28"/>
        </w:rPr>
        <w:t xml:space="preserve">l’ODD2 ; iv) préciser les mesures les plus pertinentes pour créer les meilleures conditions pour la mise en œuvre des priorités retenus </w:t>
      </w:r>
      <w:r w:rsidR="008C0A0E">
        <w:rPr>
          <w:rFonts w:ascii="Nyala" w:hAnsi="Nyala"/>
          <w:sz w:val="28"/>
          <w:szCs w:val="28"/>
        </w:rPr>
        <w:t>tels que le financement de la disponibilité (subvention, soutiens à la production, crédit et autres appuis), le financement de l’accessibilité (soutien ou subvention à la</w:t>
      </w:r>
      <w:r w:rsidR="007C1A58">
        <w:rPr>
          <w:rFonts w:ascii="Nyala" w:hAnsi="Nyala"/>
          <w:sz w:val="28"/>
          <w:szCs w:val="28"/>
        </w:rPr>
        <w:t xml:space="preserve"> consommation, filets sociaux, assurance agricole ), la solidarité, le partenariat et la coopération pour le développement agricole durable, la résilience des ménages face à la sous-alimentation, la malnutrition et la faim.</w:t>
      </w:r>
    </w:p>
    <w:p w:rsidR="0043584D" w:rsidRDefault="0043584D" w:rsidP="0043584D">
      <w:pPr>
        <w:jc w:val="both"/>
        <w:rPr>
          <w:rFonts w:ascii="Nyala" w:hAnsi="Nyala"/>
          <w:sz w:val="28"/>
          <w:szCs w:val="28"/>
        </w:rPr>
      </w:pPr>
      <w:r w:rsidRPr="006866D3">
        <w:rPr>
          <w:rFonts w:ascii="Nyala" w:hAnsi="Nyala"/>
          <w:sz w:val="28"/>
          <w:szCs w:val="28"/>
        </w:rPr>
        <w:t>Tout au long de la Revue, des suggestions ont été faites pour renforcer ou ajuster les stratégies et approches pour l’élimination de la faim, de la malnutrition et pour créer les conditions d’un développement agricole durable. Dans c</w:t>
      </w:r>
      <w:r>
        <w:rPr>
          <w:rFonts w:ascii="Nyala" w:hAnsi="Nyala"/>
          <w:sz w:val="28"/>
          <w:szCs w:val="28"/>
        </w:rPr>
        <w:t xml:space="preserve">ette section sont rappelées les recommandations faites, proposées de nouvelles et relatées celles issues des concertations régionales. </w:t>
      </w:r>
    </w:p>
    <w:p w:rsidR="004F3180" w:rsidRDefault="004F3180" w:rsidP="0043584D">
      <w:pPr>
        <w:rPr>
          <w:sz w:val="28"/>
          <w:szCs w:val="28"/>
        </w:rPr>
      </w:pPr>
    </w:p>
    <w:p w:rsidR="00044FDC" w:rsidRPr="00141D20" w:rsidRDefault="004F3180" w:rsidP="00141D20">
      <w:pPr>
        <w:pStyle w:val="Titre2"/>
        <w:numPr>
          <w:ilvl w:val="1"/>
          <w:numId w:val="2"/>
        </w:numPr>
      </w:pPr>
      <w:bookmarkStart w:id="587" w:name="_Toc526119998"/>
      <w:r w:rsidRPr="00141D20">
        <w:t>Recommandations générales</w:t>
      </w:r>
      <w:bookmarkEnd w:id="587"/>
    </w:p>
    <w:p w:rsidR="004F3180" w:rsidRDefault="004F3180" w:rsidP="0043584D">
      <w:pPr>
        <w:rPr>
          <w:sz w:val="28"/>
          <w:szCs w:val="28"/>
        </w:rPr>
      </w:pPr>
    </w:p>
    <w:p w:rsidR="0043584D" w:rsidRPr="00141D20" w:rsidRDefault="0039504C" w:rsidP="00141D20">
      <w:pPr>
        <w:pStyle w:val="Paragraphedeliste"/>
        <w:numPr>
          <w:ilvl w:val="0"/>
          <w:numId w:val="64"/>
        </w:numPr>
        <w:jc w:val="both"/>
        <w:rPr>
          <w:rStyle w:val="lev"/>
          <w:rFonts w:ascii="Nyala" w:hAnsi="Nyala"/>
          <w:sz w:val="28"/>
          <w:szCs w:val="28"/>
        </w:rPr>
      </w:pPr>
      <w:r w:rsidRPr="00141D20">
        <w:rPr>
          <w:rFonts w:ascii="Nyala" w:hAnsi="Nyala"/>
          <w:sz w:val="28"/>
          <w:szCs w:val="28"/>
        </w:rPr>
        <w:t>De l’</w:t>
      </w:r>
      <w:r w:rsidR="00155989" w:rsidRPr="00141D20">
        <w:rPr>
          <w:rStyle w:val="lev"/>
          <w:rFonts w:ascii="Nyala" w:hAnsi="Nyala"/>
          <w:sz w:val="28"/>
          <w:szCs w:val="28"/>
        </w:rPr>
        <w:t>internalisation</w:t>
      </w:r>
      <w:r w:rsidR="0043584D" w:rsidRPr="00141D20">
        <w:rPr>
          <w:rStyle w:val="lev"/>
          <w:rFonts w:ascii="Nyala" w:hAnsi="Nyala"/>
          <w:sz w:val="28"/>
          <w:szCs w:val="28"/>
        </w:rPr>
        <w:t xml:space="preserve"> de l’ODD2, ses cibles et indicateurs </w:t>
      </w:r>
    </w:p>
    <w:p w:rsidR="0043584D" w:rsidRPr="00584730" w:rsidRDefault="0043584D" w:rsidP="0043584D">
      <w:pPr>
        <w:jc w:val="both"/>
        <w:rPr>
          <w:rFonts w:ascii="Nyala" w:hAnsi="Nyala"/>
          <w:sz w:val="28"/>
          <w:szCs w:val="28"/>
        </w:rPr>
      </w:pPr>
      <w:r w:rsidRPr="00584730">
        <w:rPr>
          <w:rFonts w:ascii="Nyala" w:hAnsi="Nyala"/>
          <w:sz w:val="28"/>
          <w:szCs w:val="28"/>
        </w:rPr>
        <w:t xml:space="preserve">L’internalisation de l’ODD2 s’est surtout faite dans le cadre du processus général d’internalisation et de priorisation des cibles et indicateurs mené par le Ministère du Plan avec l’appui du PNUD. Malheureusement, cela n’a pratiquement concerné que les responsables des Directions des Etudes et Programmes (DEP) et des Statistiques Agricoles (DS) des différents départements ministériels. Ainsi, tous les acteurs de l’élimination de la faim et de la malnutrition ne semble pas suffisamment imprégnés, qu’il s’agisse des services techniques nationaux et déconcentrés ou des Organisations Paysannes et ONG. </w:t>
      </w:r>
    </w:p>
    <w:p w:rsidR="00720C8C" w:rsidRPr="00584730" w:rsidRDefault="00E920AD" w:rsidP="0043584D">
      <w:pPr>
        <w:jc w:val="both"/>
        <w:rPr>
          <w:rFonts w:ascii="Nyala" w:hAnsi="Nyala"/>
          <w:sz w:val="28"/>
          <w:szCs w:val="28"/>
        </w:rPr>
      </w:pPr>
      <w:r w:rsidRPr="00584730">
        <w:rPr>
          <w:rFonts w:ascii="Nyala" w:hAnsi="Nyala"/>
          <w:sz w:val="28"/>
          <w:szCs w:val="28"/>
        </w:rPr>
        <w:t xml:space="preserve">Les concertations régionales réalisées dans le cadre de la présente revue ont été des moments de sensibilisation de certains groupes d’acteurs ; mais elles ne paraissent pas suffisantes. </w:t>
      </w:r>
    </w:p>
    <w:p w:rsidR="0043584D" w:rsidRPr="00584730" w:rsidRDefault="0043584D" w:rsidP="0043584D">
      <w:pPr>
        <w:jc w:val="both"/>
        <w:rPr>
          <w:rFonts w:ascii="Nyala" w:hAnsi="Nyala"/>
          <w:sz w:val="28"/>
          <w:szCs w:val="28"/>
        </w:rPr>
      </w:pPr>
      <w:r w:rsidRPr="00584730">
        <w:rPr>
          <w:rFonts w:ascii="Nyala" w:hAnsi="Nyala"/>
          <w:sz w:val="28"/>
          <w:szCs w:val="28"/>
        </w:rPr>
        <w:t>Aussi, il paraît impératif qu’a</w:t>
      </w:r>
      <w:r w:rsidR="00E920AD" w:rsidRPr="00584730">
        <w:rPr>
          <w:rFonts w:ascii="Nyala" w:hAnsi="Nyala"/>
          <w:sz w:val="28"/>
          <w:szCs w:val="28"/>
        </w:rPr>
        <w:t>u plus tôt,</w:t>
      </w:r>
      <w:r w:rsidRPr="00584730">
        <w:rPr>
          <w:rFonts w:ascii="Nyala" w:hAnsi="Nyala"/>
          <w:sz w:val="28"/>
          <w:szCs w:val="28"/>
        </w:rPr>
        <w:t xml:space="preserve"> toute disposition utile soit prise pour une vaste campagne de communication et de médiatisation de l’ODD2. Celle-ci devrait cibler le grand public, les services techniques, ONG et Organisations Paysannes impliqués dans la thématique, les collectivités territoriales (Régions et Communes) et autres acteurs locaux.</w:t>
      </w:r>
    </w:p>
    <w:p w:rsidR="0043584D" w:rsidRDefault="0043584D" w:rsidP="0043584D">
      <w:pPr>
        <w:jc w:val="both"/>
        <w:rPr>
          <w:rFonts w:ascii="Nyala" w:hAnsi="Nyala"/>
          <w:sz w:val="28"/>
          <w:szCs w:val="28"/>
        </w:rPr>
      </w:pPr>
    </w:p>
    <w:p w:rsidR="00D452FF" w:rsidRDefault="00D452FF" w:rsidP="0043584D">
      <w:pPr>
        <w:jc w:val="both"/>
        <w:rPr>
          <w:rFonts w:ascii="Nyala" w:hAnsi="Nyala"/>
          <w:sz w:val="28"/>
          <w:szCs w:val="28"/>
        </w:rPr>
      </w:pPr>
    </w:p>
    <w:p w:rsidR="0043584D" w:rsidRPr="00141D20" w:rsidRDefault="00E920AD" w:rsidP="00141D20">
      <w:pPr>
        <w:pStyle w:val="Paragraphedeliste"/>
        <w:numPr>
          <w:ilvl w:val="0"/>
          <w:numId w:val="64"/>
        </w:numPr>
        <w:jc w:val="both"/>
        <w:rPr>
          <w:rStyle w:val="lev"/>
          <w:rFonts w:ascii="Nyala" w:hAnsi="Nyala"/>
          <w:sz w:val="28"/>
          <w:szCs w:val="28"/>
        </w:rPr>
      </w:pPr>
      <w:r w:rsidRPr="00141D20">
        <w:rPr>
          <w:rStyle w:val="lev"/>
          <w:rFonts w:ascii="Nyala" w:hAnsi="Nyala"/>
          <w:sz w:val="28"/>
          <w:szCs w:val="28"/>
        </w:rPr>
        <w:t>De la p</w:t>
      </w:r>
      <w:r w:rsidR="0043584D" w:rsidRPr="00141D20">
        <w:rPr>
          <w:rStyle w:val="lev"/>
          <w:rFonts w:ascii="Nyala" w:hAnsi="Nyala"/>
          <w:sz w:val="28"/>
          <w:szCs w:val="28"/>
        </w:rPr>
        <w:t>lanification spécifique pour l’ODD2</w:t>
      </w:r>
    </w:p>
    <w:p w:rsidR="0043584D" w:rsidRPr="00584730" w:rsidRDefault="0043584D" w:rsidP="0043584D">
      <w:pPr>
        <w:jc w:val="both"/>
        <w:rPr>
          <w:rFonts w:ascii="Nyala" w:hAnsi="Nyala"/>
          <w:sz w:val="28"/>
          <w:szCs w:val="28"/>
        </w:rPr>
      </w:pPr>
      <w:r w:rsidRPr="00584730">
        <w:rPr>
          <w:rFonts w:ascii="Nyala" w:hAnsi="Nyala"/>
          <w:sz w:val="28"/>
          <w:szCs w:val="28"/>
        </w:rPr>
        <w:t xml:space="preserve">L’Initiative 3N représente implicitement la stratégie Faim zéro ; mais elle n’est pas suffisante pour traduire toutes les actions et mesures prises par le Niger et qui peuvent prises en compte pour traduire les efforts du pays vers l’atteinte des cibles de l’ODD2. Plusieurs documents de politiques et de stratégies sectorielles ont été adoptés ces dernières années pour compléter voire renforcer les investissements à réaliser pour la sécurité alimentaire, la lutte contre la malnutrition et le développement agricole durable. </w:t>
      </w:r>
    </w:p>
    <w:p w:rsidR="0043584D" w:rsidRPr="00584730" w:rsidRDefault="0043584D" w:rsidP="0043584D">
      <w:pPr>
        <w:jc w:val="both"/>
        <w:rPr>
          <w:rFonts w:ascii="Nyala" w:hAnsi="Nyala"/>
          <w:sz w:val="28"/>
          <w:szCs w:val="28"/>
        </w:rPr>
      </w:pPr>
      <w:r w:rsidRPr="00584730">
        <w:rPr>
          <w:rFonts w:ascii="Nyala" w:hAnsi="Nyala"/>
          <w:sz w:val="28"/>
          <w:szCs w:val="28"/>
        </w:rPr>
        <w:t xml:space="preserve">La mise en œuvre des ODD est sans doute une opportunité pour s’assurer de la cohérence des plans d’actions des différents de documents de stratégie visant directement l’élimination de la faim et la résilience des systèmes de productions agricoles. Mais pour cela, les différentes administrations concernées (et en relation avec les organisations paysannes, les ONG et les PTF) doivent se retrouver dans un exercice de planification et de programmation à court (3 ans), moyen (5 ans) et long termes (15 ans) pour la réalisation des cibles de l’ODD2. Cela imposera probablement aux concernés de se définir des objectifs-cibles des indicateurs globaux ou nationaux qu’ils auraient retenus. </w:t>
      </w:r>
    </w:p>
    <w:p w:rsidR="0043584D" w:rsidRDefault="0043584D" w:rsidP="0043584D">
      <w:pPr>
        <w:jc w:val="both"/>
        <w:rPr>
          <w:rFonts w:ascii="Nyala" w:hAnsi="Nyala"/>
          <w:sz w:val="28"/>
          <w:szCs w:val="28"/>
        </w:rPr>
      </w:pPr>
      <w:r w:rsidRPr="00584730">
        <w:rPr>
          <w:rFonts w:ascii="Nyala" w:hAnsi="Nyala"/>
          <w:sz w:val="28"/>
          <w:szCs w:val="28"/>
        </w:rPr>
        <w:t>Aujourd’hui, force est de constater que 2 des 5 cibles principales de l’ODD2 et les cibles complémentaires n’ont pas été considérées comme prioritaires dans l’exercice de priorisation du Ministère du Plan et  seuls 4 indicateurs sur 14 ont fait l’objet d’établissement d’une situation de référence et pour la grande majorité d’indicateurs, des objectifs-cibles ne sont pas définis dans les documents de planification à moyen (PDES 2017-2020 et PA 2016-2020 de l’Initiative 3n) et à long terme (SDDCI et Stratégie Initiative 3N).</w:t>
      </w:r>
    </w:p>
    <w:p w:rsidR="00B16614" w:rsidRPr="00584730" w:rsidRDefault="00B16614" w:rsidP="00B16614">
      <w:pPr>
        <w:jc w:val="both"/>
        <w:rPr>
          <w:rFonts w:ascii="Nyala" w:hAnsi="Nyala"/>
          <w:sz w:val="28"/>
          <w:szCs w:val="28"/>
        </w:rPr>
      </w:pPr>
      <w:r w:rsidRPr="00584730">
        <w:rPr>
          <w:rFonts w:ascii="Nyala" w:hAnsi="Nyala"/>
          <w:sz w:val="28"/>
          <w:szCs w:val="28"/>
        </w:rPr>
        <w:t>Ces insuffisances doivent être corrigées au plutôt à travers un processus participatif et inclusif de planification. Surtout une attention particulière devrait être accordée aux cibles relatives à la recherche scientifique, à la vulgarisation et aux conditions de mise en œuvre de l’ODD (2a, 2b et 2c).</w:t>
      </w:r>
    </w:p>
    <w:p w:rsidR="00B16614" w:rsidRDefault="004F3180" w:rsidP="0043584D">
      <w:pPr>
        <w:jc w:val="both"/>
        <w:rPr>
          <w:rFonts w:ascii="Nyala" w:hAnsi="Nyala"/>
          <w:sz w:val="28"/>
          <w:szCs w:val="28"/>
        </w:rPr>
      </w:pPr>
      <w:r>
        <w:rPr>
          <w:rFonts w:ascii="Nyala" w:hAnsi="Nyala"/>
          <w:sz w:val="28"/>
          <w:szCs w:val="28"/>
        </w:rPr>
        <w:t>L</w:t>
      </w:r>
      <w:r w:rsidR="00B16614">
        <w:rPr>
          <w:rFonts w:ascii="Nyala" w:hAnsi="Nyala"/>
          <w:sz w:val="28"/>
          <w:szCs w:val="28"/>
        </w:rPr>
        <w:t xml:space="preserve">e </w:t>
      </w:r>
      <w:r w:rsidR="00B16614" w:rsidRPr="00881124">
        <w:rPr>
          <w:rFonts w:ascii="Nyala" w:hAnsi="Nyala"/>
          <w:b/>
          <w:sz w:val="28"/>
          <w:szCs w:val="28"/>
        </w:rPr>
        <w:t xml:space="preserve">tableau </w:t>
      </w:r>
      <w:r w:rsidR="00881124" w:rsidRPr="00881124">
        <w:rPr>
          <w:rFonts w:ascii="Nyala" w:hAnsi="Nyala"/>
          <w:b/>
          <w:sz w:val="28"/>
          <w:szCs w:val="28"/>
        </w:rPr>
        <w:t>12</w:t>
      </w:r>
      <w:r w:rsidR="00B16614">
        <w:rPr>
          <w:rFonts w:ascii="Nyala" w:hAnsi="Nyala"/>
          <w:sz w:val="28"/>
          <w:szCs w:val="28"/>
        </w:rPr>
        <w:t xml:space="preserve"> résume les données de référence et les résultats escomptés à l’horizon 2035 pour les cibles et indicateurs de l’ODD2. </w:t>
      </w:r>
    </w:p>
    <w:p w:rsidR="00B16614" w:rsidRDefault="00B16614" w:rsidP="0043584D">
      <w:pPr>
        <w:jc w:val="both"/>
        <w:rPr>
          <w:rFonts w:ascii="Nyala" w:hAnsi="Nyala"/>
          <w:sz w:val="28"/>
          <w:szCs w:val="28"/>
        </w:rPr>
      </w:pPr>
    </w:p>
    <w:p w:rsidR="004F3180" w:rsidRDefault="009540E4" w:rsidP="009540E4">
      <w:pPr>
        <w:pStyle w:val="Lgende"/>
        <w:rPr>
          <w:rFonts w:ascii="Nyala" w:hAnsi="Nyala"/>
          <w:sz w:val="28"/>
          <w:szCs w:val="28"/>
        </w:rPr>
      </w:pPr>
      <w:bookmarkStart w:id="588" w:name="_Toc526120066"/>
      <w:r>
        <w:t xml:space="preserve">Tableau </w:t>
      </w:r>
      <w:r w:rsidR="00D639F2">
        <w:fldChar w:fldCharType="begin"/>
      </w:r>
      <w:r w:rsidR="00440FAF">
        <w:instrText xml:space="preserve"> SEQ Tableau \* ARABIC </w:instrText>
      </w:r>
      <w:r w:rsidR="00D639F2">
        <w:fldChar w:fldCharType="separate"/>
      </w:r>
      <w:r w:rsidR="00440FAF">
        <w:rPr>
          <w:noProof/>
        </w:rPr>
        <w:t>12</w:t>
      </w:r>
      <w:r w:rsidR="00D639F2">
        <w:fldChar w:fldCharType="end"/>
      </w:r>
      <w:r>
        <w:t xml:space="preserve"> - Données de réfé</w:t>
      </w:r>
      <w:r w:rsidR="006E3BC9">
        <w:t>r</w:t>
      </w:r>
      <w:r>
        <w:t>ence et résultats escomptés pour les indicateurs de l'ODD2</w:t>
      </w:r>
      <w:bookmarkEnd w:id="588"/>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3543"/>
        <w:gridCol w:w="1701"/>
        <w:gridCol w:w="1418"/>
        <w:gridCol w:w="845"/>
      </w:tblGrid>
      <w:tr w:rsidR="00B16614" w:rsidRPr="00141D20" w:rsidTr="00141D20">
        <w:trPr>
          <w:trHeight w:val="300"/>
        </w:trPr>
        <w:tc>
          <w:tcPr>
            <w:tcW w:w="1555" w:type="dxa"/>
            <w:shd w:val="clear" w:color="auto" w:fill="auto"/>
            <w:noWrap/>
            <w:vAlign w:val="center"/>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cibles</w:t>
            </w:r>
          </w:p>
        </w:tc>
        <w:tc>
          <w:tcPr>
            <w:tcW w:w="3543" w:type="dxa"/>
            <w:shd w:val="clear" w:color="auto" w:fill="auto"/>
            <w:noWrap/>
            <w:vAlign w:val="center"/>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indicateurs</w:t>
            </w:r>
          </w:p>
        </w:tc>
        <w:tc>
          <w:tcPr>
            <w:tcW w:w="1701" w:type="dxa"/>
            <w:shd w:val="clear" w:color="auto" w:fill="auto"/>
            <w:noWrap/>
            <w:vAlign w:val="center"/>
          </w:tcPr>
          <w:p w:rsidR="00E52B8F" w:rsidRPr="00141D20" w:rsidRDefault="00FE773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référence</w:t>
            </w:r>
          </w:p>
        </w:tc>
        <w:tc>
          <w:tcPr>
            <w:tcW w:w="1418" w:type="dxa"/>
            <w:shd w:val="clear" w:color="auto" w:fill="auto"/>
            <w:noWrap/>
            <w:vAlign w:val="center"/>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Résultat escompté en 2035</w:t>
            </w:r>
          </w:p>
        </w:tc>
        <w:tc>
          <w:tcPr>
            <w:tcW w:w="845" w:type="dxa"/>
            <w:shd w:val="clear" w:color="auto" w:fill="auto"/>
            <w:noWrap/>
            <w:vAlign w:val="center"/>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Autres résultats</w:t>
            </w:r>
          </w:p>
        </w:tc>
      </w:tr>
      <w:tr w:rsidR="00B16614" w:rsidRPr="00141D20" w:rsidTr="00141D20">
        <w:trPr>
          <w:trHeight w:val="300"/>
        </w:trPr>
        <w:tc>
          <w:tcPr>
            <w:tcW w:w="1555" w:type="dxa"/>
            <w:vMerge w:val="restart"/>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Cible 2.1 :</w:t>
            </w:r>
            <w:r w:rsidR="00162785" w:rsidRPr="00141D20">
              <w:rPr>
                <w:rFonts w:ascii="Nyala" w:eastAsia="Times New Roman" w:hAnsi="Nyala" w:cs="Times New Roman"/>
                <w:color w:val="000000"/>
                <w:sz w:val="18"/>
                <w:szCs w:val="18"/>
                <w:lang w:eastAsia="fr-FR"/>
              </w:rPr>
              <w:t xml:space="preserve"> sous-alimentation</w:t>
            </w:r>
          </w:p>
        </w:tc>
        <w:tc>
          <w:tcPr>
            <w:tcW w:w="3543" w:type="dxa"/>
            <w:shd w:val="clear" w:color="auto" w:fill="auto"/>
            <w:noWrap/>
            <w:vAlign w:val="center"/>
            <w:hideMark/>
          </w:tcPr>
          <w:p w:rsidR="00E52B8F" w:rsidRPr="00141D20" w:rsidRDefault="00FA7A1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2.1.1 Prévalence de la sous-alimentation (%)</w:t>
            </w:r>
          </w:p>
        </w:tc>
        <w:tc>
          <w:tcPr>
            <w:tcW w:w="1701"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50% en 2014</w:t>
            </w:r>
          </w:p>
        </w:tc>
        <w:tc>
          <w:tcPr>
            <w:tcW w:w="1418"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w:t>
            </w:r>
            <w:r w:rsidR="00FE773B" w:rsidRPr="00141D20">
              <w:rPr>
                <w:rFonts w:ascii="Nyala" w:eastAsia="Times New Roman" w:hAnsi="Nyala" w:cs="Times New Roman"/>
                <w:color w:val="000000"/>
                <w:sz w:val="18"/>
                <w:szCs w:val="18"/>
                <w:lang w:eastAsia="fr-FR"/>
              </w:rPr>
              <w:t>Non défini</w:t>
            </w:r>
          </w:p>
        </w:tc>
        <w:tc>
          <w:tcPr>
            <w:tcW w:w="845"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w:t>
            </w:r>
          </w:p>
        </w:tc>
      </w:tr>
      <w:tr w:rsidR="00B16614" w:rsidRPr="00141D20" w:rsidTr="00141D20">
        <w:trPr>
          <w:trHeight w:val="300"/>
        </w:trPr>
        <w:tc>
          <w:tcPr>
            <w:tcW w:w="1555" w:type="dxa"/>
            <w:vMerge/>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p>
        </w:tc>
        <w:tc>
          <w:tcPr>
            <w:tcW w:w="3543"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2.1.2 :</w:t>
            </w:r>
            <w:r w:rsidR="00FA7A1F" w:rsidRPr="00141D20">
              <w:rPr>
                <w:rFonts w:ascii="Nyala" w:eastAsia="Times New Roman" w:hAnsi="Nyala" w:cs="Times New Roman"/>
                <w:color w:val="000000"/>
                <w:sz w:val="18"/>
                <w:szCs w:val="18"/>
                <w:lang w:eastAsia="fr-FR"/>
              </w:rPr>
              <w:t xml:space="preserve"> Prévalence d’une insécurité alimentaire modérée ou grave</w:t>
            </w:r>
          </w:p>
        </w:tc>
        <w:tc>
          <w:tcPr>
            <w:tcW w:w="1701"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27,4% en 2015</w:t>
            </w:r>
            <w:r w:rsidR="00850875" w:rsidRPr="00141D20">
              <w:rPr>
                <w:rFonts w:ascii="Nyala" w:eastAsia="Times New Roman" w:hAnsi="Nyala" w:cs="Times New Roman"/>
                <w:color w:val="000000"/>
                <w:sz w:val="18"/>
                <w:szCs w:val="18"/>
                <w:lang w:eastAsia="fr-FR"/>
              </w:rPr>
              <w:t xml:space="preserve"> (</w:t>
            </w:r>
            <w:r w:rsidR="008979F9" w:rsidRPr="00141D20">
              <w:rPr>
                <w:rFonts w:ascii="Nyala" w:eastAsia="Times New Roman" w:hAnsi="Nyala" w:cs="Times New Roman"/>
                <w:color w:val="000000"/>
                <w:sz w:val="18"/>
                <w:szCs w:val="18"/>
                <w:lang w:eastAsia="fr-FR"/>
              </w:rPr>
              <w:t>11,3% et 1,1% en 2016 selon le PDES 17-21</w:t>
            </w:r>
            <w:r w:rsidR="00FE773B" w:rsidRPr="00141D20">
              <w:rPr>
                <w:rFonts w:ascii="Nyala" w:eastAsia="Times New Roman" w:hAnsi="Nyala" w:cs="Times New Roman"/>
                <w:color w:val="000000"/>
                <w:sz w:val="18"/>
                <w:szCs w:val="18"/>
                <w:lang w:eastAsia="fr-FR"/>
              </w:rPr>
              <w:t>)</w:t>
            </w:r>
          </w:p>
        </w:tc>
        <w:tc>
          <w:tcPr>
            <w:tcW w:w="1418" w:type="dxa"/>
            <w:shd w:val="clear" w:color="auto" w:fill="auto"/>
            <w:noWrap/>
            <w:vAlign w:val="center"/>
            <w:hideMark/>
          </w:tcPr>
          <w:p w:rsidR="00E52B8F" w:rsidRPr="00141D20" w:rsidRDefault="008979F9"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Non défini</w:t>
            </w:r>
            <w:r w:rsidR="00E52B8F" w:rsidRPr="00141D20">
              <w:rPr>
                <w:rFonts w:ascii="Nyala" w:eastAsia="Times New Roman" w:hAnsi="Nyala" w:cs="Times New Roman"/>
                <w:color w:val="000000"/>
                <w:sz w:val="18"/>
                <w:szCs w:val="18"/>
                <w:lang w:eastAsia="fr-FR"/>
              </w:rPr>
              <w:t> </w:t>
            </w:r>
          </w:p>
        </w:tc>
        <w:tc>
          <w:tcPr>
            <w:tcW w:w="845" w:type="dxa"/>
            <w:shd w:val="clear" w:color="auto" w:fill="auto"/>
            <w:noWrap/>
            <w:vAlign w:val="center"/>
            <w:hideMark/>
          </w:tcPr>
          <w:p w:rsidR="00E52B8F" w:rsidRPr="00141D20" w:rsidRDefault="004A6CE5"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11% et 1%</w:t>
            </w:r>
            <w:r w:rsidR="00E52B8F" w:rsidRPr="00141D20">
              <w:rPr>
                <w:rFonts w:ascii="Nyala" w:eastAsia="Times New Roman" w:hAnsi="Nyala" w:cs="Times New Roman"/>
                <w:color w:val="000000"/>
                <w:sz w:val="18"/>
                <w:szCs w:val="18"/>
                <w:lang w:eastAsia="fr-FR"/>
              </w:rPr>
              <w:t> </w:t>
            </w:r>
          </w:p>
        </w:tc>
      </w:tr>
      <w:tr w:rsidR="00B16614" w:rsidRPr="00141D20" w:rsidTr="00141D20">
        <w:trPr>
          <w:trHeight w:val="300"/>
        </w:trPr>
        <w:tc>
          <w:tcPr>
            <w:tcW w:w="1555" w:type="dxa"/>
            <w:vMerge w:val="restart"/>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Cible 2.2 :</w:t>
            </w:r>
            <w:r w:rsidR="00162785" w:rsidRPr="00141D20">
              <w:rPr>
                <w:rFonts w:ascii="Nyala" w:eastAsia="Times New Roman" w:hAnsi="Nyala" w:cs="Times New Roman"/>
                <w:color w:val="000000"/>
                <w:sz w:val="18"/>
                <w:szCs w:val="18"/>
                <w:lang w:eastAsia="fr-FR"/>
              </w:rPr>
              <w:t xml:space="preserve"> malnutrition</w:t>
            </w:r>
          </w:p>
        </w:tc>
        <w:tc>
          <w:tcPr>
            <w:tcW w:w="3543"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2.2.1 :</w:t>
            </w:r>
            <w:r w:rsidR="00FA7A1F" w:rsidRPr="00141D20">
              <w:rPr>
                <w:rFonts w:ascii="Nyala" w:eastAsia="Times New Roman" w:hAnsi="Nyala" w:cs="Times New Roman"/>
                <w:color w:val="000000"/>
                <w:sz w:val="18"/>
                <w:szCs w:val="18"/>
                <w:lang w:eastAsia="fr-FR"/>
              </w:rPr>
              <w:t xml:space="preserve"> prévalence retard de croissance</w:t>
            </w:r>
          </w:p>
        </w:tc>
        <w:tc>
          <w:tcPr>
            <w:tcW w:w="1701"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46,4% en 2016</w:t>
            </w:r>
          </w:p>
        </w:tc>
        <w:tc>
          <w:tcPr>
            <w:tcW w:w="1418" w:type="dxa"/>
            <w:shd w:val="clear" w:color="auto" w:fill="auto"/>
            <w:noWrap/>
            <w:vAlign w:val="center"/>
            <w:hideMark/>
          </w:tcPr>
          <w:p w:rsidR="00E52B8F" w:rsidRPr="00141D20" w:rsidRDefault="008979F9"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Non défini</w:t>
            </w:r>
          </w:p>
        </w:tc>
        <w:tc>
          <w:tcPr>
            <w:tcW w:w="845"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w:t>
            </w:r>
          </w:p>
        </w:tc>
      </w:tr>
      <w:tr w:rsidR="00B16614" w:rsidRPr="00141D20" w:rsidTr="00141D20">
        <w:trPr>
          <w:trHeight w:val="300"/>
        </w:trPr>
        <w:tc>
          <w:tcPr>
            <w:tcW w:w="1555" w:type="dxa"/>
            <w:vMerge/>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p>
        </w:tc>
        <w:tc>
          <w:tcPr>
            <w:tcW w:w="3543"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2.2.2 :</w:t>
            </w:r>
            <w:r w:rsidR="00FA7A1F" w:rsidRPr="00141D20">
              <w:rPr>
                <w:rFonts w:ascii="Nyala" w:eastAsia="Times New Roman" w:hAnsi="Nyala" w:cs="Times New Roman"/>
                <w:color w:val="000000"/>
                <w:sz w:val="18"/>
                <w:szCs w:val="18"/>
                <w:lang w:eastAsia="fr-FR"/>
              </w:rPr>
              <w:t xml:space="preserve"> Prévalence</w:t>
            </w:r>
            <w:r w:rsidR="00162785" w:rsidRPr="00141D20">
              <w:rPr>
                <w:rFonts w:ascii="Nyala" w:eastAsia="Times New Roman" w:hAnsi="Nyala" w:cs="Times New Roman"/>
                <w:color w:val="000000"/>
                <w:sz w:val="18"/>
                <w:szCs w:val="18"/>
                <w:lang w:eastAsia="fr-FR"/>
              </w:rPr>
              <w:t xml:space="preserve"> de la malnutrition selon insuffisance pondérale</w:t>
            </w:r>
          </w:p>
        </w:tc>
        <w:tc>
          <w:tcPr>
            <w:tcW w:w="1701"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10,3% en 2016</w:t>
            </w:r>
          </w:p>
        </w:tc>
        <w:tc>
          <w:tcPr>
            <w:tcW w:w="1418" w:type="dxa"/>
            <w:shd w:val="clear" w:color="auto" w:fill="auto"/>
            <w:noWrap/>
            <w:vAlign w:val="center"/>
            <w:hideMark/>
          </w:tcPr>
          <w:p w:rsidR="00E52B8F" w:rsidRPr="00141D20" w:rsidRDefault="008979F9"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Non défini</w:t>
            </w:r>
            <w:r w:rsidR="00E52B8F" w:rsidRPr="00141D20">
              <w:rPr>
                <w:rFonts w:ascii="Nyala" w:eastAsia="Times New Roman" w:hAnsi="Nyala" w:cs="Times New Roman"/>
                <w:color w:val="000000"/>
                <w:sz w:val="18"/>
                <w:szCs w:val="18"/>
                <w:lang w:eastAsia="fr-FR"/>
              </w:rPr>
              <w:t> </w:t>
            </w:r>
          </w:p>
        </w:tc>
        <w:tc>
          <w:tcPr>
            <w:tcW w:w="845"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w:t>
            </w:r>
          </w:p>
        </w:tc>
      </w:tr>
      <w:tr w:rsidR="00B16614" w:rsidRPr="00141D20" w:rsidTr="00141D20">
        <w:trPr>
          <w:trHeight w:val="300"/>
        </w:trPr>
        <w:tc>
          <w:tcPr>
            <w:tcW w:w="1555" w:type="dxa"/>
            <w:vMerge w:val="restart"/>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Cible 2.3</w:t>
            </w:r>
            <w:r w:rsidR="00162785" w:rsidRPr="00141D20">
              <w:rPr>
                <w:rFonts w:ascii="Nyala" w:eastAsia="Times New Roman" w:hAnsi="Nyala" w:cs="Times New Roman"/>
                <w:color w:val="000000"/>
                <w:sz w:val="18"/>
                <w:szCs w:val="18"/>
                <w:lang w:eastAsia="fr-FR"/>
              </w:rPr>
              <w:t xml:space="preserve"> doublement de la productivité et des revenus</w:t>
            </w:r>
          </w:p>
        </w:tc>
        <w:tc>
          <w:tcPr>
            <w:tcW w:w="3543"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2.3 1 :</w:t>
            </w:r>
            <w:r w:rsidR="00162785" w:rsidRPr="00141D20">
              <w:rPr>
                <w:rFonts w:ascii="Nyala" w:eastAsia="Times New Roman" w:hAnsi="Nyala" w:cs="Times New Roman"/>
                <w:color w:val="000000"/>
                <w:sz w:val="18"/>
                <w:szCs w:val="18"/>
                <w:lang w:eastAsia="fr-FR"/>
              </w:rPr>
              <w:t xml:space="preserve"> volume de production par unité de travail</w:t>
            </w:r>
          </w:p>
        </w:tc>
        <w:tc>
          <w:tcPr>
            <w:tcW w:w="1701"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Envisagé pour 2018</w:t>
            </w:r>
          </w:p>
        </w:tc>
        <w:tc>
          <w:tcPr>
            <w:tcW w:w="1418" w:type="dxa"/>
            <w:shd w:val="clear" w:color="auto" w:fill="auto"/>
            <w:noWrap/>
            <w:vAlign w:val="center"/>
            <w:hideMark/>
          </w:tcPr>
          <w:p w:rsidR="00E52B8F" w:rsidRPr="00141D20" w:rsidRDefault="008979F9"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Non défini</w:t>
            </w:r>
            <w:r w:rsidR="00E52B8F" w:rsidRPr="00141D20">
              <w:rPr>
                <w:rFonts w:ascii="Nyala" w:eastAsia="Times New Roman" w:hAnsi="Nyala" w:cs="Times New Roman"/>
                <w:color w:val="000000"/>
                <w:sz w:val="18"/>
                <w:szCs w:val="18"/>
                <w:lang w:eastAsia="fr-FR"/>
              </w:rPr>
              <w:t> </w:t>
            </w:r>
          </w:p>
        </w:tc>
        <w:tc>
          <w:tcPr>
            <w:tcW w:w="845"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w:t>
            </w:r>
          </w:p>
        </w:tc>
      </w:tr>
      <w:tr w:rsidR="00B16614" w:rsidRPr="00141D20" w:rsidTr="00141D20">
        <w:trPr>
          <w:trHeight w:val="300"/>
        </w:trPr>
        <w:tc>
          <w:tcPr>
            <w:tcW w:w="1555" w:type="dxa"/>
            <w:vMerge/>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p>
        </w:tc>
        <w:tc>
          <w:tcPr>
            <w:tcW w:w="3543"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2.3.2 :</w:t>
            </w:r>
            <w:r w:rsidR="00162785" w:rsidRPr="00141D20">
              <w:rPr>
                <w:rFonts w:ascii="Nyala" w:eastAsia="Times New Roman" w:hAnsi="Nyala" w:cs="Times New Roman"/>
                <w:color w:val="000000"/>
                <w:sz w:val="18"/>
                <w:szCs w:val="18"/>
                <w:lang w:eastAsia="fr-FR"/>
              </w:rPr>
              <w:t xml:space="preserve"> revenu moyen des petits producteurs</w:t>
            </w:r>
          </w:p>
        </w:tc>
        <w:tc>
          <w:tcPr>
            <w:tcW w:w="1701"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Non disponible</w:t>
            </w:r>
          </w:p>
        </w:tc>
        <w:tc>
          <w:tcPr>
            <w:tcW w:w="1418"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w:t>
            </w:r>
          </w:p>
        </w:tc>
        <w:tc>
          <w:tcPr>
            <w:tcW w:w="845" w:type="dxa"/>
            <w:shd w:val="clear" w:color="auto" w:fill="auto"/>
            <w:noWrap/>
            <w:vAlign w:val="center"/>
            <w:hideMark/>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w:t>
            </w:r>
          </w:p>
        </w:tc>
      </w:tr>
      <w:tr w:rsidR="00B16614" w:rsidRPr="00141D20" w:rsidTr="00141D20">
        <w:trPr>
          <w:trHeight w:val="300"/>
        </w:trPr>
        <w:tc>
          <w:tcPr>
            <w:tcW w:w="1555" w:type="dxa"/>
            <w:vAlign w:val="center"/>
          </w:tcPr>
          <w:p w:rsidR="00FE773B" w:rsidRPr="00141D20" w:rsidRDefault="00E52B8F"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Cible 2.4</w:t>
            </w:r>
            <w:r w:rsidR="00FE773B" w:rsidRPr="00141D20">
              <w:rPr>
                <w:rFonts w:ascii="Nyala" w:eastAsia="Times New Roman" w:hAnsi="Nyala" w:cs="Times New Roman"/>
                <w:color w:val="000000"/>
                <w:sz w:val="18"/>
                <w:szCs w:val="18"/>
                <w:lang w:eastAsia="fr-FR"/>
              </w:rPr>
              <w:t>viabilité des systèmes de</w:t>
            </w:r>
          </w:p>
          <w:p w:rsidR="00FE773B" w:rsidRPr="00141D20" w:rsidRDefault="00FE773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xml:space="preserve">production alimentaire et des pratiques </w:t>
            </w:r>
          </w:p>
          <w:p w:rsidR="00E52B8F" w:rsidRPr="00141D20" w:rsidRDefault="00FE773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xml:space="preserve">agricoles résilientes </w:t>
            </w:r>
          </w:p>
        </w:tc>
        <w:tc>
          <w:tcPr>
            <w:tcW w:w="3543" w:type="dxa"/>
            <w:shd w:val="clear" w:color="auto" w:fill="auto"/>
            <w:noWrap/>
            <w:vAlign w:val="center"/>
          </w:tcPr>
          <w:p w:rsidR="00FD4988" w:rsidRPr="00141D20" w:rsidRDefault="00FD4988"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xml:space="preserve">2.4.1  Proportion des zones agricoles exploitées de </w:t>
            </w:r>
          </w:p>
          <w:p w:rsidR="00E52B8F" w:rsidRPr="00141D20" w:rsidRDefault="00FD4988"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manière productive et durable</w:t>
            </w:r>
          </w:p>
        </w:tc>
        <w:tc>
          <w:tcPr>
            <w:tcW w:w="1701" w:type="dxa"/>
            <w:shd w:val="clear" w:color="auto" w:fill="auto"/>
            <w:noWrap/>
            <w:vAlign w:val="center"/>
          </w:tcPr>
          <w:p w:rsidR="00E52B8F" w:rsidRPr="00141D20" w:rsidRDefault="008979F9"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Non disponible (méthodologie à préciser)</w:t>
            </w:r>
          </w:p>
        </w:tc>
        <w:tc>
          <w:tcPr>
            <w:tcW w:w="1418" w:type="dxa"/>
            <w:shd w:val="clear" w:color="auto" w:fill="auto"/>
            <w:noWrap/>
            <w:vAlign w:val="center"/>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p>
        </w:tc>
        <w:tc>
          <w:tcPr>
            <w:tcW w:w="845" w:type="dxa"/>
            <w:shd w:val="clear" w:color="auto" w:fill="auto"/>
            <w:noWrap/>
            <w:vAlign w:val="center"/>
          </w:tcPr>
          <w:p w:rsidR="00E52B8F" w:rsidRPr="00141D20" w:rsidRDefault="00E52B8F" w:rsidP="00141D20">
            <w:pPr>
              <w:spacing w:before="0" w:after="0" w:line="240" w:lineRule="auto"/>
              <w:rPr>
                <w:rFonts w:ascii="Nyala" w:eastAsia="Times New Roman" w:hAnsi="Nyala" w:cs="Times New Roman"/>
                <w:color w:val="000000"/>
                <w:sz w:val="18"/>
                <w:szCs w:val="18"/>
                <w:lang w:eastAsia="fr-FR"/>
              </w:rPr>
            </w:pPr>
          </w:p>
        </w:tc>
      </w:tr>
      <w:tr w:rsidR="00B16614" w:rsidRPr="00141D20" w:rsidTr="00141D20">
        <w:trPr>
          <w:trHeight w:val="300"/>
        </w:trPr>
        <w:tc>
          <w:tcPr>
            <w:tcW w:w="1555" w:type="dxa"/>
            <w:vMerge w:val="restart"/>
            <w:vAlign w:val="center"/>
          </w:tcPr>
          <w:p w:rsidR="004A6CE5" w:rsidRPr="00141D20" w:rsidRDefault="004A6CE5"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Cible 2.5 D’ici à 2020, préserver la diversité génétique</w:t>
            </w:r>
          </w:p>
        </w:tc>
        <w:tc>
          <w:tcPr>
            <w:tcW w:w="3543" w:type="dxa"/>
            <w:shd w:val="clear" w:color="auto" w:fill="auto"/>
            <w:noWrap/>
            <w:vAlign w:val="center"/>
          </w:tcPr>
          <w:p w:rsidR="004A6CE5" w:rsidRPr="00141D20" w:rsidRDefault="004A6CE5"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xml:space="preserve">2.5.1  Nombre de ressources génétiques animales et </w:t>
            </w:r>
          </w:p>
          <w:p w:rsidR="004A6CE5" w:rsidRPr="00141D20" w:rsidRDefault="004A6CE5"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xml:space="preserve">végétales dans des installations de conservation à </w:t>
            </w:r>
          </w:p>
          <w:p w:rsidR="004A6CE5" w:rsidRPr="00141D20" w:rsidRDefault="004A6CE5"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moyen ou à long terme</w:t>
            </w:r>
          </w:p>
        </w:tc>
        <w:tc>
          <w:tcPr>
            <w:tcW w:w="1701" w:type="dxa"/>
            <w:shd w:val="clear" w:color="auto" w:fill="auto"/>
            <w:noWrap/>
            <w:vAlign w:val="center"/>
          </w:tcPr>
          <w:p w:rsidR="004A6CE5" w:rsidRPr="00141D20" w:rsidRDefault="004A6CE5"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Non disponible</w:t>
            </w:r>
          </w:p>
        </w:tc>
        <w:tc>
          <w:tcPr>
            <w:tcW w:w="1418" w:type="dxa"/>
            <w:shd w:val="clear" w:color="auto" w:fill="auto"/>
            <w:noWrap/>
            <w:vAlign w:val="center"/>
          </w:tcPr>
          <w:p w:rsidR="004A6CE5" w:rsidRPr="00141D20" w:rsidRDefault="004A6CE5"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Non disponible</w:t>
            </w:r>
          </w:p>
        </w:tc>
        <w:tc>
          <w:tcPr>
            <w:tcW w:w="845" w:type="dxa"/>
            <w:shd w:val="clear" w:color="auto" w:fill="auto"/>
            <w:noWrap/>
            <w:vAlign w:val="center"/>
          </w:tcPr>
          <w:p w:rsidR="004A6CE5" w:rsidRPr="00141D20" w:rsidRDefault="004A6CE5" w:rsidP="00141D20">
            <w:pPr>
              <w:spacing w:before="0" w:after="0" w:line="240" w:lineRule="auto"/>
              <w:rPr>
                <w:rFonts w:ascii="Nyala" w:eastAsia="Times New Roman" w:hAnsi="Nyala" w:cs="Times New Roman"/>
                <w:color w:val="000000"/>
                <w:sz w:val="18"/>
                <w:szCs w:val="18"/>
                <w:lang w:eastAsia="fr-FR"/>
              </w:rPr>
            </w:pPr>
          </w:p>
        </w:tc>
      </w:tr>
      <w:tr w:rsidR="00B16614" w:rsidRPr="00141D20" w:rsidTr="00141D20">
        <w:trPr>
          <w:trHeight w:val="300"/>
        </w:trPr>
        <w:tc>
          <w:tcPr>
            <w:tcW w:w="1555" w:type="dxa"/>
            <w:vMerge/>
            <w:vAlign w:val="center"/>
          </w:tcPr>
          <w:p w:rsidR="004A6CE5" w:rsidRPr="00141D20" w:rsidRDefault="004A6CE5" w:rsidP="00141D20">
            <w:pPr>
              <w:spacing w:before="0" w:after="0" w:line="240" w:lineRule="auto"/>
              <w:rPr>
                <w:rFonts w:ascii="Nyala" w:eastAsia="Times New Roman" w:hAnsi="Nyala" w:cs="Times New Roman"/>
                <w:color w:val="000000"/>
                <w:sz w:val="18"/>
                <w:szCs w:val="18"/>
                <w:lang w:eastAsia="fr-FR"/>
              </w:rPr>
            </w:pPr>
          </w:p>
        </w:tc>
        <w:tc>
          <w:tcPr>
            <w:tcW w:w="3543" w:type="dxa"/>
            <w:shd w:val="clear" w:color="auto" w:fill="auto"/>
            <w:noWrap/>
            <w:vAlign w:val="center"/>
          </w:tcPr>
          <w:p w:rsidR="004A6CE5" w:rsidRPr="00141D20" w:rsidRDefault="004A6CE5"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xml:space="preserve">2.5.2  Proportion des variétés et races locales </w:t>
            </w:r>
          </w:p>
          <w:p w:rsidR="004A6CE5" w:rsidRPr="00141D20" w:rsidRDefault="004A6CE5"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considérées comme en danger, hors  de danger ou exposées à un risque d extinction de niveau non connu</w:t>
            </w:r>
          </w:p>
        </w:tc>
        <w:tc>
          <w:tcPr>
            <w:tcW w:w="1701" w:type="dxa"/>
            <w:shd w:val="clear" w:color="auto" w:fill="auto"/>
            <w:noWrap/>
            <w:vAlign w:val="center"/>
          </w:tcPr>
          <w:p w:rsidR="004A6CE5" w:rsidRPr="00141D20" w:rsidRDefault="004A6CE5"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Non disponible</w:t>
            </w:r>
          </w:p>
        </w:tc>
        <w:tc>
          <w:tcPr>
            <w:tcW w:w="1418" w:type="dxa"/>
            <w:shd w:val="clear" w:color="auto" w:fill="auto"/>
            <w:noWrap/>
            <w:vAlign w:val="center"/>
          </w:tcPr>
          <w:p w:rsidR="004A6CE5" w:rsidRPr="00141D20" w:rsidRDefault="004A6CE5"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Non disponible</w:t>
            </w:r>
          </w:p>
        </w:tc>
        <w:tc>
          <w:tcPr>
            <w:tcW w:w="845" w:type="dxa"/>
            <w:shd w:val="clear" w:color="auto" w:fill="auto"/>
            <w:noWrap/>
            <w:vAlign w:val="center"/>
          </w:tcPr>
          <w:p w:rsidR="004A6CE5" w:rsidRPr="00141D20" w:rsidRDefault="004A6CE5" w:rsidP="00141D20">
            <w:pPr>
              <w:spacing w:before="0" w:after="0" w:line="240" w:lineRule="auto"/>
              <w:rPr>
                <w:rFonts w:ascii="Nyala" w:eastAsia="Times New Roman" w:hAnsi="Nyala" w:cs="Times New Roman"/>
                <w:color w:val="000000"/>
                <w:sz w:val="18"/>
                <w:szCs w:val="18"/>
                <w:lang w:eastAsia="fr-FR"/>
              </w:rPr>
            </w:pPr>
          </w:p>
        </w:tc>
      </w:tr>
      <w:tr w:rsidR="00B16614" w:rsidRPr="00141D20" w:rsidTr="00141D20">
        <w:trPr>
          <w:trHeight w:val="300"/>
        </w:trPr>
        <w:tc>
          <w:tcPr>
            <w:tcW w:w="1555" w:type="dxa"/>
            <w:vMerge w:val="restart"/>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Cible 2a investissement</w:t>
            </w:r>
            <w:r w:rsidR="00B16614" w:rsidRPr="00141D20">
              <w:rPr>
                <w:rFonts w:ascii="Nyala" w:eastAsia="Times New Roman" w:hAnsi="Nyala" w:cs="Times New Roman"/>
                <w:color w:val="000000"/>
                <w:sz w:val="18"/>
                <w:szCs w:val="18"/>
                <w:lang w:eastAsia="fr-FR"/>
              </w:rPr>
              <w:t>s infrastructures, recherche …</w:t>
            </w:r>
          </w:p>
        </w:tc>
        <w:tc>
          <w:tcPr>
            <w:tcW w:w="3543" w:type="dxa"/>
            <w:shd w:val="clear" w:color="auto" w:fill="auto"/>
            <w:noWrap/>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 a.1 : Indice d’orientation agricole</w:t>
            </w:r>
          </w:p>
        </w:tc>
        <w:tc>
          <w:tcPr>
            <w:tcW w:w="1701" w:type="dxa"/>
            <w:shd w:val="clear" w:color="auto" w:fill="auto"/>
            <w:noWrap/>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r w:rsidRPr="00141D20">
              <w:rPr>
                <w:rFonts w:ascii="Nyala" w:hAnsi="Nyala"/>
                <w:sz w:val="18"/>
                <w:szCs w:val="18"/>
              </w:rPr>
              <w:t>0,4/an pour la période 2012-2015 (variation de 0,6 à 0,2)*</w:t>
            </w:r>
          </w:p>
        </w:tc>
        <w:tc>
          <w:tcPr>
            <w:tcW w:w="1418" w:type="dxa"/>
            <w:shd w:val="clear" w:color="auto" w:fill="auto"/>
            <w:noWrap/>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Non défini</w:t>
            </w:r>
          </w:p>
        </w:tc>
        <w:tc>
          <w:tcPr>
            <w:tcW w:w="845" w:type="dxa"/>
            <w:shd w:val="clear" w:color="auto" w:fill="auto"/>
            <w:noWrap/>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0,9 (PDES 2017-2021)</w:t>
            </w:r>
          </w:p>
        </w:tc>
      </w:tr>
      <w:tr w:rsidR="00B16614" w:rsidRPr="00141D20" w:rsidTr="00141D20">
        <w:trPr>
          <w:trHeight w:val="300"/>
        </w:trPr>
        <w:tc>
          <w:tcPr>
            <w:tcW w:w="1555" w:type="dxa"/>
            <w:vMerge/>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p>
        </w:tc>
        <w:tc>
          <w:tcPr>
            <w:tcW w:w="3543" w:type="dxa"/>
            <w:shd w:val="clear" w:color="auto" w:fill="auto"/>
            <w:noWrap/>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2.a.2 Total des apports publics (aide publique au développement plus autres apports publics) alloués au secteur agricole</w:t>
            </w:r>
          </w:p>
        </w:tc>
        <w:tc>
          <w:tcPr>
            <w:tcW w:w="1701" w:type="dxa"/>
            <w:shd w:val="clear" w:color="auto" w:fill="auto"/>
            <w:noWrap/>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Non déterminé</w:t>
            </w:r>
          </w:p>
        </w:tc>
        <w:tc>
          <w:tcPr>
            <w:tcW w:w="1418" w:type="dxa"/>
            <w:shd w:val="clear" w:color="auto" w:fill="auto"/>
            <w:noWrap/>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Non défini</w:t>
            </w:r>
          </w:p>
        </w:tc>
        <w:tc>
          <w:tcPr>
            <w:tcW w:w="845" w:type="dxa"/>
            <w:shd w:val="clear" w:color="auto" w:fill="auto"/>
            <w:noWrap/>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w:t>
            </w:r>
          </w:p>
        </w:tc>
      </w:tr>
      <w:tr w:rsidR="00B16614" w:rsidRPr="00141D20" w:rsidTr="00141D20">
        <w:trPr>
          <w:trHeight w:val="300"/>
        </w:trPr>
        <w:tc>
          <w:tcPr>
            <w:tcW w:w="1555" w:type="dxa"/>
            <w:vMerge w:val="restart"/>
            <w:vAlign w:val="center"/>
            <w:hideMark/>
          </w:tcPr>
          <w:p w:rsidR="00F076AB" w:rsidRPr="00141D20" w:rsidRDefault="00B16614"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Cible 2.b corriger et prévenir les restrictions et distorsions des  marchés agricoles</w:t>
            </w:r>
          </w:p>
        </w:tc>
        <w:tc>
          <w:tcPr>
            <w:tcW w:w="3543" w:type="dxa"/>
            <w:shd w:val="clear" w:color="auto" w:fill="auto"/>
            <w:noWrap/>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2.b.1 Estimation du soutien à la production agricole</w:t>
            </w:r>
          </w:p>
        </w:tc>
        <w:tc>
          <w:tcPr>
            <w:tcW w:w="1701" w:type="dxa"/>
            <w:shd w:val="clear" w:color="auto" w:fill="auto"/>
            <w:noWrap/>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Non disponible</w:t>
            </w:r>
          </w:p>
        </w:tc>
        <w:tc>
          <w:tcPr>
            <w:tcW w:w="1418" w:type="dxa"/>
            <w:shd w:val="clear" w:color="auto" w:fill="auto"/>
            <w:noWrap/>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Non défini</w:t>
            </w:r>
          </w:p>
        </w:tc>
        <w:tc>
          <w:tcPr>
            <w:tcW w:w="845" w:type="dxa"/>
            <w:shd w:val="clear" w:color="auto" w:fill="auto"/>
            <w:noWrap/>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w:t>
            </w:r>
          </w:p>
        </w:tc>
      </w:tr>
      <w:tr w:rsidR="00B16614" w:rsidRPr="00141D20" w:rsidTr="00141D20">
        <w:trPr>
          <w:trHeight w:val="300"/>
        </w:trPr>
        <w:tc>
          <w:tcPr>
            <w:tcW w:w="1555" w:type="dxa"/>
            <w:vMerge/>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p>
        </w:tc>
        <w:tc>
          <w:tcPr>
            <w:tcW w:w="3543" w:type="dxa"/>
            <w:shd w:val="clear" w:color="auto" w:fill="auto"/>
            <w:noWrap/>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2.b.2 Subventions à l’exportation dans le secteur agricole</w:t>
            </w:r>
          </w:p>
        </w:tc>
        <w:tc>
          <w:tcPr>
            <w:tcW w:w="1701" w:type="dxa"/>
            <w:shd w:val="clear" w:color="auto" w:fill="auto"/>
            <w:noWrap/>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Non déterminé</w:t>
            </w:r>
          </w:p>
        </w:tc>
        <w:tc>
          <w:tcPr>
            <w:tcW w:w="1418" w:type="dxa"/>
            <w:shd w:val="clear" w:color="auto" w:fill="auto"/>
            <w:noWrap/>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Non défini</w:t>
            </w:r>
          </w:p>
        </w:tc>
        <w:tc>
          <w:tcPr>
            <w:tcW w:w="845" w:type="dxa"/>
            <w:shd w:val="clear" w:color="auto" w:fill="auto"/>
            <w:noWrap/>
            <w:vAlign w:val="center"/>
            <w:hideMark/>
          </w:tcPr>
          <w:p w:rsidR="00F076AB" w:rsidRPr="00141D20" w:rsidRDefault="00F076AB"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w:t>
            </w:r>
          </w:p>
        </w:tc>
      </w:tr>
      <w:tr w:rsidR="00B16614" w:rsidRPr="00141D20" w:rsidTr="00141D20">
        <w:trPr>
          <w:trHeight w:val="810"/>
        </w:trPr>
        <w:tc>
          <w:tcPr>
            <w:tcW w:w="1555" w:type="dxa"/>
            <w:vAlign w:val="center"/>
            <w:hideMark/>
          </w:tcPr>
          <w:p w:rsidR="00AE408C" w:rsidRPr="00141D20" w:rsidRDefault="00B16614"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Cible 2C  mesures visant à assurer le bon fonctionnement des marchés de denrées alimentaires et de produits dérivés</w:t>
            </w:r>
          </w:p>
        </w:tc>
        <w:tc>
          <w:tcPr>
            <w:tcW w:w="3543" w:type="dxa"/>
            <w:shd w:val="clear" w:color="auto" w:fill="auto"/>
            <w:noWrap/>
            <w:vAlign w:val="center"/>
            <w:hideMark/>
          </w:tcPr>
          <w:p w:rsidR="00AE408C" w:rsidRPr="00141D20" w:rsidRDefault="00AE408C"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2. c.1 Indicateur des anomalies tarifaires pour les denrées alimentaires</w:t>
            </w:r>
          </w:p>
        </w:tc>
        <w:tc>
          <w:tcPr>
            <w:tcW w:w="1701" w:type="dxa"/>
            <w:shd w:val="clear" w:color="auto" w:fill="auto"/>
            <w:vAlign w:val="center"/>
            <w:hideMark/>
          </w:tcPr>
          <w:p w:rsidR="00AE408C" w:rsidRPr="00141D20" w:rsidRDefault="00AE408C"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Données IHPC existent mais valeur non calculée</w:t>
            </w:r>
          </w:p>
        </w:tc>
        <w:tc>
          <w:tcPr>
            <w:tcW w:w="1418" w:type="dxa"/>
            <w:shd w:val="clear" w:color="auto" w:fill="auto"/>
            <w:noWrap/>
            <w:vAlign w:val="center"/>
            <w:hideMark/>
          </w:tcPr>
          <w:p w:rsidR="00AE408C" w:rsidRPr="00141D20" w:rsidRDefault="00313451"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Non défini</w:t>
            </w:r>
            <w:r w:rsidR="00AE408C" w:rsidRPr="00141D20">
              <w:rPr>
                <w:rFonts w:ascii="Nyala" w:eastAsia="Times New Roman" w:hAnsi="Nyala" w:cs="Times New Roman"/>
                <w:color w:val="000000"/>
                <w:sz w:val="18"/>
                <w:szCs w:val="18"/>
                <w:lang w:eastAsia="fr-FR"/>
              </w:rPr>
              <w:t> </w:t>
            </w:r>
          </w:p>
        </w:tc>
        <w:tc>
          <w:tcPr>
            <w:tcW w:w="845" w:type="dxa"/>
            <w:shd w:val="clear" w:color="auto" w:fill="auto"/>
            <w:noWrap/>
            <w:vAlign w:val="center"/>
            <w:hideMark/>
          </w:tcPr>
          <w:p w:rsidR="00AE408C" w:rsidRPr="00141D20" w:rsidRDefault="00AE408C" w:rsidP="00141D20">
            <w:pPr>
              <w:spacing w:before="0" w:after="0" w:line="240" w:lineRule="auto"/>
              <w:rPr>
                <w:rFonts w:ascii="Nyala" w:eastAsia="Times New Roman" w:hAnsi="Nyala" w:cs="Times New Roman"/>
                <w:color w:val="000000"/>
                <w:sz w:val="18"/>
                <w:szCs w:val="18"/>
                <w:lang w:eastAsia="fr-FR"/>
              </w:rPr>
            </w:pPr>
            <w:r w:rsidRPr="00141D20">
              <w:rPr>
                <w:rFonts w:ascii="Nyala" w:eastAsia="Times New Roman" w:hAnsi="Nyala" w:cs="Times New Roman"/>
                <w:color w:val="000000"/>
                <w:sz w:val="18"/>
                <w:szCs w:val="18"/>
                <w:lang w:eastAsia="fr-FR"/>
              </w:rPr>
              <w:t> </w:t>
            </w:r>
          </w:p>
        </w:tc>
      </w:tr>
    </w:tbl>
    <w:p w:rsidR="004F3180" w:rsidRDefault="009540E4" w:rsidP="00141D20">
      <w:pPr>
        <w:spacing w:line="240" w:lineRule="auto"/>
        <w:jc w:val="both"/>
        <w:rPr>
          <w:rFonts w:ascii="Nyala" w:hAnsi="Nyala"/>
          <w:sz w:val="16"/>
          <w:szCs w:val="16"/>
        </w:rPr>
      </w:pPr>
      <w:r>
        <w:rPr>
          <w:rFonts w:ascii="Nyala" w:hAnsi="Nyala"/>
          <w:sz w:val="16"/>
          <w:szCs w:val="16"/>
        </w:rPr>
        <w:t xml:space="preserve">Sources : INS, PDES et autres documents de politique </w:t>
      </w:r>
      <w:r>
        <w:rPr>
          <w:rFonts w:ascii="Nyala" w:hAnsi="Nyala"/>
          <w:sz w:val="16"/>
          <w:szCs w:val="16"/>
        </w:rPr>
        <w:tab/>
      </w:r>
      <w:r w:rsidR="00313451" w:rsidRPr="00141D20">
        <w:rPr>
          <w:rFonts w:ascii="Nyala" w:hAnsi="Nyala"/>
          <w:sz w:val="16"/>
          <w:szCs w:val="16"/>
        </w:rPr>
        <w:t>*  calculé par les auteurs sur les données du PDES 2012-2015, et du PDES 2017-2021</w:t>
      </w:r>
    </w:p>
    <w:p w:rsidR="009540E4" w:rsidRPr="00141D20" w:rsidRDefault="009540E4" w:rsidP="00141D20">
      <w:pPr>
        <w:spacing w:line="240" w:lineRule="auto"/>
        <w:jc w:val="both"/>
        <w:rPr>
          <w:rFonts w:ascii="Nyala" w:hAnsi="Nyala"/>
          <w:sz w:val="16"/>
          <w:szCs w:val="16"/>
        </w:rPr>
      </w:pPr>
    </w:p>
    <w:p w:rsidR="007C1A58" w:rsidRPr="00584730" w:rsidRDefault="007C1A58" w:rsidP="00DE64B5">
      <w:pPr>
        <w:jc w:val="both"/>
        <w:rPr>
          <w:rFonts w:ascii="Nyala" w:hAnsi="Nyala"/>
          <w:sz w:val="28"/>
          <w:szCs w:val="28"/>
        </w:rPr>
      </w:pPr>
    </w:p>
    <w:p w:rsidR="00720C8C" w:rsidRPr="00141D20" w:rsidRDefault="00E920AD" w:rsidP="00141D20">
      <w:pPr>
        <w:pStyle w:val="Paragraphedeliste"/>
        <w:numPr>
          <w:ilvl w:val="0"/>
          <w:numId w:val="64"/>
        </w:numPr>
        <w:jc w:val="both"/>
        <w:rPr>
          <w:rStyle w:val="lev"/>
        </w:rPr>
      </w:pPr>
      <w:r w:rsidRPr="00141D20">
        <w:rPr>
          <w:rStyle w:val="lev"/>
          <w:rFonts w:ascii="Nyala" w:hAnsi="Nyala"/>
          <w:sz w:val="28"/>
          <w:szCs w:val="28"/>
        </w:rPr>
        <w:t>De l’é</w:t>
      </w:r>
      <w:r w:rsidR="00720C8C" w:rsidRPr="00141D20">
        <w:rPr>
          <w:rStyle w:val="lev"/>
        </w:rPr>
        <w:t>valuation de la prévalence de l’insécurité alimentaire et de la malnutrition</w:t>
      </w:r>
      <w:r w:rsidR="009B7CFA" w:rsidRPr="00141D20">
        <w:rPr>
          <w:rStyle w:val="lev"/>
        </w:rPr>
        <w:t>)</w:t>
      </w:r>
    </w:p>
    <w:p w:rsidR="009B7CFA" w:rsidRPr="00584730" w:rsidRDefault="00E920AD">
      <w:pPr>
        <w:spacing w:line="259" w:lineRule="auto"/>
        <w:contextualSpacing/>
        <w:jc w:val="both"/>
        <w:rPr>
          <w:rFonts w:ascii="Nyala" w:hAnsi="Nyala"/>
          <w:color w:val="000000"/>
          <w:sz w:val="28"/>
          <w:szCs w:val="28"/>
          <w:lang w:eastAsia="fr-FR"/>
        </w:rPr>
      </w:pPr>
      <w:r w:rsidRPr="00584730">
        <w:rPr>
          <w:rFonts w:ascii="Nyala" w:hAnsi="Nyala"/>
          <w:bCs/>
          <w:color w:val="000000"/>
          <w:sz w:val="28"/>
          <w:szCs w:val="28"/>
          <w:lang w:eastAsia="fr-FR"/>
        </w:rPr>
        <w:t xml:space="preserve">Le Niger a opté </w:t>
      </w:r>
      <w:r w:rsidR="003A5E49" w:rsidRPr="00584730">
        <w:rPr>
          <w:rFonts w:ascii="Nyala" w:hAnsi="Nyala"/>
          <w:color w:val="000000"/>
          <w:sz w:val="28"/>
          <w:szCs w:val="28"/>
          <w:lang w:eastAsia="fr-FR"/>
        </w:rPr>
        <w:t>pour une mesure des progrès de la cible 2.1 de l’ODD2 à partir de la consommation calorique et le S</w:t>
      </w:r>
      <w:r w:rsidRPr="00584730">
        <w:rPr>
          <w:rFonts w:ascii="Nyala" w:hAnsi="Nyala"/>
          <w:color w:val="000000"/>
          <w:sz w:val="28"/>
          <w:szCs w:val="28"/>
          <w:lang w:eastAsia="fr-FR"/>
        </w:rPr>
        <w:t>core de Diversité alimentaire (métado</w:t>
      </w:r>
      <w:r w:rsidR="009B7CFA" w:rsidRPr="00584730">
        <w:rPr>
          <w:rFonts w:ascii="Nyala" w:hAnsi="Nyala"/>
          <w:color w:val="000000"/>
          <w:sz w:val="28"/>
          <w:szCs w:val="28"/>
          <w:lang w:eastAsia="fr-FR"/>
        </w:rPr>
        <w:t xml:space="preserve">nnées) évalués périodiquement déterminés lors des Enquêtes sur les conditions de vie des ménages (ECVMA). </w:t>
      </w:r>
    </w:p>
    <w:p w:rsidR="00A001FA" w:rsidRPr="00584730" w:rsidRDefault="00A001FA" w:rsidP="00141D20">
      <w:pPr>
        <w:spacing w:line="259" w:lineRule="auto"/>
        <w:jc w:val="both"/>
        <w:rPr>
          <w:rFonts w:ascii="Nyala" w:hAnsi="Nyala"/>
          <w:color w:val="000000"/>
          <w:sz w:val="28"/>
          <w:szCs w:val="28"/>
          <w:lang w:eastAsia="fr-FR"/>
        </w:rPr>
      </w:pPr>
      <w:r w:rsidRPr="00141D20">
        <w:rPr>
          <w:rFonts w:ascii="Nyala" w:hAnsi="Nyala"/>
          <w:color w:val="000000"/>
          <w:sz w:val="28"/>
          <w:szCs w:val="28"/>
          <w:lang w:eastAsia="fr-FR"/>
        </w:rPr>
        <w:t xml:space="preserve">Toutefois, annuellement, le pays établit un bilan alimentaire qui donne un aperçu global de la situation alimentaire du pays et réalise des enquêtes annuelles </w:t>
      </w:r>
      <w:r w:rsidR="004D059B" w:rsidRPr="00584730">
        <w:rPr>
          <w:rFonts w:ascii="Nyala" w:hAnsi="Nyala"/>
          <w:color w:val="000000"/>
          <w:sz w:val="28"/>
          <w:szCs w:val="28"/>
          <w:lang w:eastAsia="fr-FR"/>
        </w:rPr>
        <w:t xml:space="preserve">(EVIAM) </w:t>
      </w:r>
      <w:r w:rsidRPr="00141D20">
        <w:rPr>
          <w:rFonts w:ascii="Nyala" w:hAnsi="Nyala"/>
          <w:color w:val="000000"/>
          <w:sz w:val="28"/>
          <w:szCs w:val="28"/>
          <w:lang w:eastAsia="fr-FR"/>
        </w:rPr>
        <w:t>qui permettent d’estimer la prévalence de l’insécurité alimentaire des ménages. Ces enquêtes se fondent sur l’apport calorique et le score de consommation alimentaire et utilisent d’autres indicateurs tels que</w:t>
      </w:r>
      <w:r w:rsidRPr="00584730">
        <w:rPr>
          <w:rFonts w:ascii="Nyala" w:hAnsi="Nyala"/>
          <w:color w:val="000000"/>
          <w:sz w:val="28"/>
          <w:szCs w:val="28"/>
          <w:lang w:eastAsia="fr-FR"/>
        </w:rPr>
        <w:t> : la durée déclarée des stocks alimentaires du ménage, La possession de bétail (nombre d’UBT), la part des dépenses alimentaires dans les dépenses totales, l’indice des stratégies d’adaptation développées par les ménages</w:t>
      </w:r>
    </w:p>
    <w:p w:rsidR="00720C8C" w:rsidRDefault="004D059B" w:rsidP="00DE64B5">
      <w:pPr>
        <w:jc w:val="both"/>
        <w:rPr>
          <w:rFonts w:ascii="Nyala" w:hAnsi="Nyala"/>
          <w:sz w:val="28"/>
          <w:szCs w:val="28"/>
        </w:rPr>
      </w:pPr>
      <w:r w:rsidRPr="00584730">
        <w:rPr>
          <w:rFonts w:ascii="Nyala" w:hAnsi="Nyala"/>
          <w:sz w:val="28"/>
          <w:szCs w:val="28"/>
        </w:rPr>
        <w:t>L’utilisation des données de l’EVIAM et de l’ECVMA semble pertinente pour un suivi de la prévalence de la sous-alimentation ; ces deux enquêtes devraient être fusionnées, ce qui implique l’adoption d’une même approche méthodologique (ciblage, groupe de produi</w:t>
      </w:r>
      <w:r w:rsidR="006E3BC9">
        <w:rPr>
          <w:rFonts w:ascii="Nyala" w:hAnsi="Nyala"/>
          <w:sz w:val="28"/>
          <w:szCs w:val="28"/>
        </w:rPr>
        <w:t>ts alimentaires à considérer …).</w:t>
      </w:r>
    </w:p>
    <w:p w:rsidR="006E3BC9" w:rsidRDefault="006E3BC9" w:rsidP="00DE64B5">
      <w:pPr>
        <w:jc w:val="both"/>
        <w:rPr>
          <w:rFonts w:ascii="Nyala" w:hAnsi="Nyala"/>
          <w:sz w:val="28"/>
          <w:szCs w:val="28"/>
        </w:rPr>
      </w:pPr>
    </w:p>
    <w:p w:rsidR="006E3BC9" w:rsidRPr="00881124" w:rsidRDefault="006E3BC9" w:rsidP="006E3BC9">
      <w:pPr>
        <w:pStyle w:val="Paragraphedeliste"/>
        <w:numPr>
          <w:ilvl w:val="0"/>
          <w:numId w:val="64"/>
        </w:numPr>
        <w:jc w:val="both"/>
        <w:rPr>
          <w:rFonts w:ascii="Nyala" w:hAnsi="Nyala"/>
          <w:b/>
          <w:sz w:val="28"/>
          <w:szCs w:val="28"/>
        </w:rPr>
      </w:pPr>
      <w:r w:rsidRPr="00881124">
        <w:rPr>
          <w:rFonts w:ascii="Nyala" w:hAnsi="Nyala"/>
          <w:b/>
          <w:bCs/>
          <w:sz w:val="28"/>
          <w:szCs w:val="28"/>
        </w:rPr>
        <w:t>Du lien entre renforcement de la résilience, réduction des risques de catastrophe</w:t>
      </w:r>
      <w:r w:rsidRPr="00881124">
        <w:rPr>
          <w:rFonts w:ascii="Nyala" w:hAnsi="Nyala"/>
          <w:b/>
          <w:sz w:val="28"/>
          <w:szCs w:val="28"/>
        </w:rPr>
        <w:t xml:space="preserve"> et insécurité alimentaire</w:t>
      </w:r>
    </w:p>
    <w:p w:rsidR="00881124" w:rsidRDefault="00881124" w:rsidP="00881124">
      <w:pPr>
        <w:jc w:val="both"/>
        <w:rPr>
          <w:rFonts w:ascii="Nyala" w:hAnsi="Nyala"/>
          <w:sz w:val="28"/>
          <w:szCs w:val="28"/>
        </w:rPr>
      </w:pPr>
      <w:r w:rsidRPr="00C02361">
        <w:rPr>
          <w:rFonts w:ascii="Nyala" w:hAnsi="Nyala"/>
          <w:sz w:val="28"/>
          <w:szCs w:val="28"/>
        </w:rPr>
        <w:t>L</w:t>
      </w:r>
      <w:r>
        <w:rPr>
          <w:rFonts w:ascii="Nyala" w:hAnsi="Nyala"/>
          <w:sz w:val="28"/>
          <w:szCs w:val="28"/>
        </w:rPr>
        <w:t>’un des challenges du renforcement de la résilience des personnes en situation d’urgence est de pouvoir les localiser et les identifier à temps et de prévoir concomitamment les actions les plus pertinentes alliant « secours d’urgence » et solutions aux causes profondes de l’insécurité alimentaire et de la malnutrition. L’EVIAM donne un premier aperçu des zones et des ménages en insécurité alimentaire. Ses résultats sont très souvent complétés pour un ciblage intelligent lors des opérations, chaque intervenant selon son approche. Mais, dans la plupart des cas actions d’urgence humanitaire et actions de développement durable sont découplées ; ce qui n’est pas de nature à vérifier l’impact sur les changements structurels intervenus au niveau des ménages et des systèmes de production ou des moyens de subsistance.</w:t>
      </w:r>
    </w:p>
    <w:p w:rsidR="00881124" w:rsidRDefault="00881124" w:rsidP="00881124">
      <w:pPr>
        <w:jc w:val="both"/>
        <w:rPr>
          <w:rFonts w:ascii="Nyala" w:hAnsi="Nyala"/>
          <w:sz w:val="28"/>
          <w:szCs w:val="28"/>
        </w:rPr>
      </w:pPr>
      <w:r>
        <w:rPr>
          <w:rFonts w:ascii="Nyala" w:hAnsi="Nyala"/>
          <w:sz w:val="28"/>
          <w:szCs w:val="28"/>
        </w:rPr>
        <w:t>La méthode AIC développée par le PAM en collaboration avec le Système d’Alerte Précoce  des crises et des catastrophes (SAP/CC) et le HC3N pourrait apporter une solution à ce problème. « </w:t>
      </w:r>
      <w:r w:rsidRPr="00550874">
        <w:rPr>
          <w:rFonts w:ascii="Nyala" w:hAnsi="Nyala"/>
          <w:i/>
          <w:sz w:val="28"/>
          <w:szCs w:val="28"/>
        </w:rPr>
        <w:t>L’AIC  fournit des informations permettant de guider  le  choix  des  différentes  combinaisons  de  thèmes  programmatiques  à  appliquer  dans  chaque  zone géographique, afin d’améliorer la sécurité alimentaire des plus vulnérables et de réduire les risques de chocs naturels  d’origine  climatique  auxquels  ils  sont  exposés,  et  ainsi  de  protéger  les  acquis  et  de  favoriser  le développement futur dans les régions fortement exposées à l’insécurité alimentaire et aux risques</w:t>
      </w:r>
      <w:r>
        <w:rPr>
          <w:rFonts w:ascii="Nyala" w:hAnsi="Nyala"/>
          <w:sz w:val="28"/>
          <w:szCs w:val="28"/>
        </w:rPr>
        <w:t> ». Cela permet de planifier les types d’actions de protection sociale (filets sociaux) et de sécurité alimentaire (accroissement productions et productivité, aménagements pastoraux, protection de l’environnement) ou des actions connexes (éducation, santé, hydraulique, alerte précoce).</w:t>
      </w:r>
    </w:p>
    <w:p w:rsidR="00881124" w:rsidRDefault="00881124" w:rsidP="00881124">
      <w:pPr>
        <w:jc w:val="both"/>
        <w:rPr>
          <w:rFonts w:ascii="Nyala" w:hAnsi="Nyala"/>
          <w:sz w:val="28"/>
          <w:szCs w:val="28"/>
        </w:rPr>
      </w:pPr>
      <w:r>
        <w:rPr>
          <w:rFonts w:ascii="Nyala" w:hAnsi="Nyala"/>
          <w:sz w:val="28"/>
          <w:szCs w:val="28"/>
        </w:rPr>
        <w:t>L’AIC permet une représentation cartographique les zones critiques d’insécurité alimentaire et nutritionnelle et risques multiples. Toutefois, pour acquérir toute sa pertinence l’AIC devrait trouver des solutions à ses propres limites parmi lesquels deux peuvent être notées, du moins pour son utilisation au niveau décentralisée :</w:t>
      </w:r>
    </w:p>
    <w:p w:rsidR="00881124" w:rsidRDefault="00881124" w:rsidP="00881124">
      <w:pPr>
        <w:pStyle w:val="Paragraphedeliste"/>
        <w:numPr>
          <w:ilvl w:val="0"/>
          <w:numId w:val="75"/>
        </w:numPr>
        <w:jc w:val="both"/>
        <w:rPr>
          <w:rFonts w:ascii="Nyala" w:hAnsi="Nyala"/>
          <w:sz w:val="28"/>
          <w:szCs w:val="28"/>
        </w:rPr>
      </w:pPr>
      <w:r>
        <w:rPr>
          <w:rFonts w:ascii="Nyala" w:hAnsi="Nyala"/>
          <w:sz w:val="28"/>
          <w:szCs w:val="28"/>
        </w:rPr>
        <w:t>Un même département peut être un espace de contraste selon son étendue et son orientation. Il peut abriter en son sein diverses situations agroécologiques, démographiques et hydrologiques. Cela pourrait être de nature à rendre moins efficace  le ciblage.</w:t>
      </w:r>
    </w:p>
    <w:p w:rsidR="00881124" w:rsidRDefault="00881124" w:rsidP="00881124">
      <w:pPr>
        <w:pStyle w:val="Paragraphedeliste"/>
        <w:ind w:left="1068"/>
        <w:jc w:val="both"/>
        <w:rPr>
          <w:rFonts w:ascii="Nyala" w:hAnsi="Nyala"/>
          <w:sz w:val="28"/>
          <w:szCs w:val="28"/>
        </w:rPr>
      </w:pPr>
    </w:p>
    <w:p w:rsidR="00881124" w:rsidRDefault="00881124" w:rsidP="00881124">
      <w:pPr>
        <w:pStyle w:val="Paragraphedeliste"/>
        <w:numPr>
          <w:ilvl w:val="0"/>
          <w:numId w:val="75"/>
        </w:numPr>
        <w:jc w:val="both"/>
        <w:rPr>
          <w:rFonts w:ascii="Nyala" w:hAnsi="Nyala"/>
          <w:sz w:val="28"/>
          <w:szCs w:val="28"/>
        </w:rPr>
      </w:pPr>
      <w:r>
        <w:rPr>
          <w:rFonts w:ascii="Nyala" w:hAnsi="Nyala"/>
          <w:sz w:val="28"/>
          <w:szCs w:val="28"/>
        </w:rPr>
        <w:t xml:space="preserve">la planification et la programmation des actions de développement local, ne relève pas du Département, mais de la Commune ou de la Région qui pourraient l’utiliser cet outil lors des processus d’élaboration de leur PDC (Plan de Développement Communal) ou PDR (Plan de Développement Régional). </w:t>
      </w:r>
    </w:p>
    <w:p w:rsidR="00881124" w:rsidRPr="00881124" w:rsidRDefault="00881124" w:rsidP="00881124">
      <w:pPr>
        <w:pStyle w:val="Paragraphedeliste"/>
        <w:rPr>
          <w:rFonts w:ascii="Nyala" w:hAnsi="Nyala"/>
          <w:sz w:val="28"/>
          <w:szCs w:val="28"/>
        </w:rPr>
      </w:pPr>
    </w:p>
    <w:p w:rsidR="00881124" w:rsidRPr="00B8723E" w:rsidRDefault="00881124" w:rsidP="00881124">
      <w:pPr>
        <w:pStyle w:val="Paragraphedeliste"/>
        <w:rPr>
          <w:rFonts w:ascii="Nyala" w:hAnsi="Nyala"/>
          <w:sz w:val="28"/>
          <w:szCs w:val="28"/>
        </w:rPr>
      </w:pPr>
    </w:p>
    <w:p w:rsidR="003A5E49" w:rsidRPr="009540E4" w:rsidRDefault="004F3180" w:rsidP="00141D20">
      <w:pPr>
        <w:pStyle w:val="Paragraphedeliste"/>
        <w:numPr>
          <w:ilvl w:val="0"/>
          <w:numId w:val="64"/>
        </w:numPr>
        <w:jc w:val="both"/>
        <w:rPr>
          <w:rStyle w:val="lev"/>
          <w:rFonts w:ascii="Nyala" w:hAnsi="Nyala"/>
          <w:sz w:val="28"/>
          <w:szCs w:val="28"/>
        </w:rPr>
      </w:pPr>
      <w:r w:rsidRPr="009540E4">
        <w:rPr>
          <w:rStyle w:val="lev"/>
          <w:rFonts w:ascii="Nyala" w:hAnsi="Nyala"/>
          <w:sz w:val="28"/>
          <w:szCs w:val="28"/>
        </w:rPr>
        <w:t xml:space="preserve">De </w:t>
      </w:r>
      <w:r w:rsidR="003A5E49" w:rsidRPr="009540E4">
        <w:rPr>
          <w:rStyle w:val="lev"/>
          <w:rFonts w:ascii="Nyala" w:hAnsi="Nyala"/>
          <w:sz w:val="28"/>
          <w:szCs w:val="28"/>
        </w:rPr>
        <w:t xml:space="preserve">la réduction de la </w:t>
      </w:r>
      <w:r w:rsidR="00CC16EF" w:rsidRPr="009540E4">
        <w:rPr>
          <w:rStyle w:val="lev"/>
          <w:rFonts w:ascii="Nyala" w:hAnsi="Nyala"/>
          <w:sz w:val="28"/>
          <w:szCs w:val="28"/>
        </w:rPr>
        <w:t xml:space="preserve">sous-alimentation et de la </w:t>
      </w:r>
      <w:r w:rsidR="003A5E49" w:rsidRPr="009540E4">
        <w:rPr>
          <w:rStyle w:val="lev"/>
          <w:rFonts w:ascii="Nyala" w:hAnsi="Nyala"/>
          <w:sz w:val="28"/>
          <w:szCs w:val="28"/>
        </w:rPr>
        <w:t xml:space="preserve">malnutrition </w:t>
      </w:r>
    </w:p>
    <w:p w:rsidR="00B03471" w:rsidRPr="00584730" w:rsidRDefault="00CC16EF" w:rsidP="003A5E49">
      <w:pPr>
        <w:jc w:val="both"/>
        <w:rPr>
          <w:rFonts w:ascii="Nyala" w:hAnsi="Nyala"/>
          <w:sz w:val="28"/>
          <w:szCs w:val="28"/>
        </w:rPr>
      </w:pPr>
      <w:r w:rsidRPr="00584730">
        <w:rPr>
          <w:rFonts w:ascii="Nyala" w:hAnsi="Nyala"/>
          <w:sz w:val="28"/>
          <w:szCs w:val="28"/>
        </w:rPr>
        <w:t xml:space="preserve">La lutte contre l’insécurité alimentaire et nutritionnelle requiert des actions conjuguées non seulement dans les domaines liés aux quatre dimensions reconnues (disponibilité, accessibilité, utilisation et stabilité) mais également à une diversité de domaines connexes pris en compte dans l’Agenda 2030. </w:t>
      </w:r>
      <w:r w:rsidR="00B03471" w:rsidRPr="00584730">
        <w:rPr>
          <w:rFonts w:ascii="Nyala" w:hAnsi="Nyala"/>
          <w:sz w:val="28"/>
          <w:szCs w:val="28"/>
        </w:rPr>
        <w:t xml:space="preserve">Les interventions pour accroître la disponibilité et prendre en charge les ménages et les enfants en situation d’urgence alimentaire sont certes pertinentes, mais elles sont loin d’être suffisantes pour garantir à tous un accès équitable et durable aux aliments et nutriments dont ils ont besoin. La réduction de la sous-alimentation et de la malnutrition passera par un accroissement significatif du pouvoir d’achat des ménages, l’observance des droits de chaque composante du ménage et de la société, une redistribution des richesses engendrées par la croissance économique, et sans doute d’une maîtrise de la croissance démographique. </w:t>
      </w:r>
    </w:p>
    <w:p w:rsidR="00BE0DC6" w:rsidRPr="00584730" w:rsidRDefault="00B03471" w:rsidP="003A5E49">
      <w:pPr>
        <w:jc w:val="both"/>
        <w:rPr>
          <w:rFonts w:ascii="Nyala" w:hAnsi="Nyala"/>
          <w:sz w:val="28"/>
          <w:szCs w:val="28"/>
        </w:rPr>
      </w:pPr>
      <w:r w:rsidRPr="00584730">
        <w:rPr>
          <w:rFonts w:ascii="Nyala" w:hAnsi="Nyala"/>
          <w:sz w:val="28"/>
          <w:szCs w:val="28"/>
        </w:rPr>
        <w:t xml:space="preserve"> Malheureusement, l’approche trop sectorielle de ciblage des zones d’interventions et des ménages à accompagner et le « saupoudrage » des investissements ne sont pas toujours de nature à impulser des changements significatifs durables. </w:t>
      </w:r>
    </w:p>
    <w:p w:rsidR="00B03471" w:rsidRPr="00584730" w:rsidRDefault="00BE0DC6" w:rsidP="003A5E49">
      <w:pPr>
        <w:jc w:val="both"/>
        <w:rPr>
          <w:rFonts w:ascii="Nyala" w:hAnsi="Nyala"/>
          <w:sz w:val="28"/>
          <w:szCs w:val="28"/>
        </w:rPr>
      </w:pPr>
      <w:r w:rsidRPr="00584730">
        <w:rPr>
          <w:rFonts w:ascii="Nyala" w:hAnsi="Nyala"/>
          <w:sz w:val="28"/>
          <w:szCs w:val="28"/>
        </w:rPr>
        <w:t xml:space="preserve">A cet effet, l’expérience des Communes de Convergence (initiée par le HC3N, les organismes du système des Nations Unies et autres partenaires) pour une synergie et une complémentarité des actions est à encourager et à mettre à l’échelle (après en avoir tiré des leçons).  </w:t>
      </w:r>
    </w:p>
    <w:p w:rsidR="00BE0DC6" w:rsidRPr="00141D20" w:rsidRDefault="00BE0DC6" w:rsidP="003A5E49">
      <w:pPr>
        <w:jc w:val="both"/>
        <w:rPr>
          <w:rStyle w:val="Rfrenceintense"/>
          <w:rFonts w:ascii="Nyala" w:hAnsi="Nyala"/>
          <w:sz w:val="28"/>
          <w:szCs w:val="28"/>
        </w:rPr>
      </w:pPr>
    </w:p>
    <w:p w:rsidR="003A5E49" w:rsidRPr="00141D20" w:rsidRDefault="003A5E49" w:rsidP="00141D20">
      <w:pPr>
        <w:pStyle w:val="Paragraphedeliste"/>
        <w:numPr>
          <w:ilvl w:val="0"/>
          <w:numId w:val="64"/>
        </w:numPr>
        <w:jc w:val="both"/>
        <w:rPr>
          <w:rStyle w:val="lev"/>
          <w:sz w:val="28"/>
          <w:szCs w:val="28"/>
        </w:rPr>
      </w:pPr>
      <w:r w:rsidRPr="00141D20">
        <w:rPr>
          <w:rStyle w:val="lev"/>
          <w:rFonts w:ascii="Nyala" w:hAnsi="Nyala"/>
          <w:sz w:val="28"/>
          <w:szCs w:val="28"/>
        </w:rPr>
        <w:t>De la</w:t>
      </w:r>
      <w:r w:rsidR="00BE0DC6" w:rsidRPr="00141D20">
        <w:rPr>
          <w:rStyle w:val="lev"/>
          <w:sz w:val="28"/>
          <w:szCs w:val="28"/>
        </w:rPr>
        <w:t xml:space="preserve"> prise en charge des ménages et enfants en situation d’urgence alimentaire </w:t>
      </w:r>
    </w:p>
    <w:p w:rsidR="00CC1186" w:rsidRPr="00141D20" w:rsidRDefault="00BE0DC6">
      <w:pPr>
        <w:jc w:val="both"/>
        <w:rPr>
          <w:rFonts w:ascii="Nyala" w:hAnsi="Nyala"/>
          <w:sz w:val="28"/>
          <w:szCs w:val="28"/>
        </w:rPr>
      </w:pPr>
      <w:r w:rsidRPr="00141D20">
        <w:rPr>
          <w:rFonts w:ascii="Nyala" w:hAnsi="Nyala"/>
          <w:sz w:val="28"/>
          <w:szCs w:val="28"/>
        </w:rPr>
        <w:t>Le Niger accorde une place importante dans le « sauvetage des vies » en situation de sous-alimentation sévère ou de malnutrition aggravée. Mais, la récurrence des phénomènes conduisant à la fragilisation des ménages, l</w:t>
      </w:r>
      <w:r w:rsidR="00622180" w:rsidRPr="00141D20">
        <w:rPr>
          <w:rFonts w:ascii="Nyala" w:hAnsi="Nyala"/>
          <w:sz w:val="28"/>
          <w:szCs w:val="28"/>
        </w:rPr>
        <w:t xml:space="preserve">eur </w:t>
      </w:r>
      <w:r w:rsidRPr="00141D20">
        <w:rPr>
          <w:rFonts w:ascii="Nyala" w:hAnsi="Nyala"/>
          <w:sz w:val="28"/>
          <w:szCs w:val="28"/>
        </w:rPr>
        <w:t>étendue et</w:t>
      </w:r>
      <w:r w:rsidR="00622180" w:rsidRPr="00141D20">
        <w:rPr>
          <w:rFonts w:ascii="Nyala" w:hAnsi="Nyala"/>
          <w:sz w:val="28"/>
          <w:szCs w:val="28"/>
        </w:rPr>
        <w:t xml:space="preserve"> leur incidence </w:t>
      </w:r>
      <w:r w:rsidRPr="00141D20">
        <w:rPr>
          <w:rFonts w:ascii="Nyala" w:hAnsi="Nyala"/>
          <w:sz w:val="28"/>
          <w:szCs w:val="28"/>
        </w:rPr>
        <w:t>font que le pays sur ses seules ressources ne peut subvenir aux beso</w:t>
      </w:r>
      <w:r w:rsidR="00622180" w:rsidRPr="00141D20">
        <w:rPr>
          <w:rFonts w:ascii="Nyala" w:hAnsi="Nyala"/>
          <w:sz w:val="28"/>
          <w:szCs w:val="28"/>
        </w:rPr>
        <w:t>i</w:t>
      </w:r>
      <w:r w:rsidRPr="00141D20">
        <w:rPr>
          <w:rFonts w:ascii="Nyala" w:hAnsi="Nyala"/>
          <w:sz w:val="28"/>
          <w:szCs w:val="28"/>
        </w:rPr>
        <w:t>ns</w:t>
      </w:r>
      <w:r w:rsidR="00622180" w:rsidRPr="00141D20">
        <w:rPr>
          <w:rFonts w:ascii="Nyala" w:hAnsi="Nyala"/>
          <w:sz w:val="28"/>
          <w:szCs w:val="28"/>
        </w:rPr>
        <w:t xml:space="preserve"> alimentaires des personnes les plus vulnérables. Ainsi, chaque année, le pays bénéficie d’une importante contribution des partenaires et de la communauté internationale pour faire face aux exigences de protection sociale. </w:t>
      </w:r>
      <w:r w:rsidR="00CC1186" w:rsidRPr="00141D20">
        <w:rPr>
          <w:rFonts w:ascii="Nyala" w:hAnsi="Nyala"/>
          <w:sz w:val="28"/>
          <w:szCs w:val="28"/>
        </w:rPr>
        <w:t>Toutefois, il est à se poser la question sur la durabilité de ces mécanismes de soutien avec la rareté des ressources et l’augmentation possible du nombre absolu de personnes à secourir.</w:t>
      </w:r>
    </w:p>
    <w:p w:rsidR="006E0903" w:rsidRPr="00141D20" w:rsidRDefault="00CC1186">
      <w:pPr>
        <w:jc w:val="both"/>
        <w:rPr>
          <w:rFonts w:ascii="Nyala" w:hAnsi="Nyala"/>
          <w:sz w:val="28"/>
          <w:szCs w:val="28"/>
        </w:rPr>
      </w:pPr>
      <w:r w:rsidRPr="00141D20">
        <w:rPr>
          <w:rFonts w:ascii="Nyala" w:hAnsi="Nyala"/>
          <w:sz w:val="28"/>
          <w:szCs w:val="28"/>
        </w:rPr>
        <w:t>Aussi, faudrait-il envisager de réfléchir sur des mécanismes additionn</w:t>
      </w:r>
      <w:r w:rsidR="006E0903" w:rsidRPr="00141D20">
        <w:rPr>
          <w:rFonts w:ascii="Nyala" w:hAnsi="Nyala"/>
          <w:sz w:val="28"/>
          <w:szCs w:val="28"/>
        </w:rPr>
        <w:t xml:space="preserve">els de solidarité nationale, le renforcement du rôle des collectivités (autrement dit, la décentralisation des mécanismes de soutien) et la participation du secteur privé (à travers un système assurantiel). Sur ce dernier aspect, il s’agira de poursuivre l’expérience de l’African Risk Assessement et de mettre en place une assurance agricole qui pourrait compenser certaines formes de pertes de récolte.   </w:t>
      </w:r>
    </w:p>
    <w:p w:rsidR="006E0903" w:rsidRPr="00584730" w:rsidRDefault="006E0903" w:rsidP="009838ED">
      <w:pPr>
        <w:jc w:val="both"/>
        <w:rPr>
          <w:rFonts w:ascii="Nyala" w:hAnsi="Nyala"/>
          <w:color w:val="FF0000"/>
          <w:sz w:val="28"/>
          <w:szCs w:val="28"/>
        </w:rPr>
      </w:pPr>
    </w:p>
    <w:p w:rsidR="006E0903" w:rsidRPr="00141D20" w:rsidRDefault="006E0903" w:rsidP="00141D20">
      <w:pPr>
        <w:pStyle w:val="Paragraphedeliste"/>
        <w:numPr>
          <w:ilvl w:val="0"/>
          <w:numId w:val="64"/>
        </w:numPr>
        <w:jc w:val="both"/>
        <w:rPr>
          <w:rFonts w:ascii="Nyala" w:hAnsi="Nyala"/>
          <w:b/>
          <w:sz w:val="28"/>
          <w:szCs w:val="28"/>
        </w:rPr>
      </w:pPr>
      <w:r w:rsidRPr="00141D20">
        <w:rPr>
          <w:rFonts w:ascii="Nyala" w:hAnsi="Nyala"/>
          <w:b/>
          <w:sz w:val="28"/>
          <w:szCs w:val="28"/>
        </w:rPr>
        <w:t>De l’accroissement de la disponibilité des produits alimentaires</w:t>
      </w:r>
    </w:p>
    <w:p w:rsidR="00777D88" w:rsidRPr="00584730" w:rsidRDefault="006E0903" w:rsidP="009838ED">
      <w:pPr>
        <w:jc w:val="both"/>
        <w:rPr>
          <w:rFonts w:ascii="Nyala" w:hAnsi="Nyala"/>
          <w:sz w:val="28"/>
          <w:szCs w:val="28"/>
        </w:rPr>
      </w:pPr>
      <w:r w:rsidRPr="00584730">
        <w:rPr>
          <w:rFonts w:ascii="Nyala" w:hAnsi="Nyala"/>
          <w:sz w:val="28"/>
          <w:szCs w:val="28"/>
        </w:rPr>
        <w:t>Jusqu’à présent, l’accroissement des productions agricoles et animales a été assuré par les systèmes de production extensifs consommateurs d’espace. Le taux de progression des superficies cultivées suit à peu près la croissance démographique.</w:t>
      </w:r>
      <w:r w:rsidR="00777D88" w:rsidRPr="00584730">
        <w:rPr>
          <w:rFonts w:ascii="Nyala" w:hAnsi="Nyala"/>
          <w:sz w:val="28"/>
          <w:szCs w:val="28"/>
        </w:rPr>
        <w:t xml:space="preserve"> Le pays s’approche progressivement de la saturation des terres cultivables et des espaces pastoraux. Les preuves sont une extension des superficies vers des zones marginales de culture pluviale (plateaux et zones pastorales) et une des éleveurs transhumants à pénétrer plus en profondeur dans les pays d’accueil ?</w:t>
      </w:r>
    </w:p>
    <w:p w:rsidR="008F0DF2" w:rsidRPr="00584730" w:rsidRDefault="00777D88" w:rsidP="009838ED">
      <w:pPr>
        <w:jc w:val="both"/>
        <w:rPr>
          <w:rFonts w:ascii="Nyala" w:hAnsi="Nyala"/>
          <w:sz w:val="28"/>
          <w:szCs w:val="28"/>
        </w:rPr>
      </w:pPr>
      <w:r w:rsidRPr="00584730">
        <w:rPr>
          <w:rFonts w:ascii="Nyala" w:hAnsi="Nyala"/>
          <w:sz w:val="28"/>
          <w:szCs w:val="28"/>
        </w:rPr>
        <w:t>Aussi, pour s’assurer de l’accroissement et de la durabilité de l’offre en denrées alimentaires prod</w:t>
      </w:r>
      <w:r w:rsidR="008F0DF2" w:rsidRPr="00584730">
        <w:rPr>
          <w:rFonts w:ascii="Nyala" w:hAnsi="Nyala"/>
          <w:sz w:val="28"/>
          <w:szCs w:val="28"/>
        </w:rPr>
        <w:t xml:space="preserve">uites locales, il ne semble y avoir d’autres choix que de passer à des systèmes intensifs ou tout au moins semi-intensifs. </w:t>
      </w:r>
    </w:p>
    <w:p w:rsidR="004B13B9" w:rsidRPr="00584730" w:rsidRDefault="008F0DF2" w:rsidP="009838ED">
      <w:pPr>
        <w:jc w:val="both"/>
        <w:rPr>
          <w:rFonts w:ascii="Nyala" w:hAnsi="Nyala"/>
          <w:sz w:val="28"/>
          <w:szCs w:val="28"/>
        </w:rPr>
      </w:pPr>
      <w:r w:rsidRPr="00584730">
        <w:rPr>
          <w:rFonts w:ascii="Nyala" w:hAnsi="Nyala"/>
          <w:sz w:val="28"/>
          <w:szCs w:val="28"/>
        </w:rPr>
        <w:t>Aussi, l’Etat devrait-il envisager de créer les conditions pour une mise à l’échelle des meilleures pratiques d’intensification des systèmes agricoles (y compris par l’irrigation) d’élevage fermier dans les zones péri-urbaines, les villages et même dans la zone pastorale. Sans soutiens à la production et aux producteurs, les changements seront long</w:t>
      </w:r>
      <w:r w:rsidR="004B13B9" w:rsidRPr="00584730">
        <w:rPr>
          <w:rFonts w:ascii="Nyala" w:hAnsi="Nyala"/>
          <w:sz w:val="28"/>
          <w:szCs w:val="28"/>
        </w:rPr>
        <w:t>s</w:t>
      </w:r>
      <w:r w:rsidRPr="00584730">
        <w:rPr>
          <w:rFonts w:ascii="Nyala" w:hAnsi="Nyala"/>
          <w:sz w:val="28"/>
          <w:szCs w:val="28"/>
        </w:rPr>
        <w:t xml:space="preserve"> à venir.</w:t>
      </w:r>
      <w:r w:rsidR="004B13B9" w:rsidRPr="00584730">
        <w:rPr>
          <w:rFonts w:ascii="Nyala" w:hAnsi="Nyala"/>
          <w:sz w:val="28"/>
          <w:szCs w:val="28"/>
        </w:rPr>
        <w:t xml:space="preserve"> Entre autres mesures, il s’agit de dynamiser la recherche agronomique, de mettre en place des incitatifs attractifs pour encourager l’investissement agricole, de soutenir les prix au producteur, de créer les conditions pour l’émergence d’un secteur secondaire  agricole performant, d’accroître et mieux gérer les différentes formes de subvention déjà existantes et sans doute d’œuvrer pour une gouvernance plus responsable et plus équitable du secteur.</w:t>
      </w:r>
    </w:p>
    <w:p w:rsidR="004B13B9" w:rsidRPr="00584730" w:rsidRDefault="004B13B9" w:rsidP="009838ED">
      <w:pPr>
        <w:jc w:val="both"/>
        <w:rPr>
          <w:rFonts w:ascii="Nyala" w:hAnsi="Nyala"/>
          <w:sz w:val="28"/>
          <w:szCs w:val="28"/>
        </w:rPr>
      </w:pPr>
      <w:r w:rsidRPr="00584730">
        <w:rPr>
          <w:rFonts w:ascii="Nyala" w:hAnsi="Nyala"/>
          <w:sz w:val="28"/>
          <w:szCs w:val="28"/>
        </w:rPr>
        <w:t>Toutefois, dans la perspective de se doter d’une véritable politique de soutien aux activités agropastorales et de protection de l’environnement, un état des lieux est à faire pour en mesurer la nature actuelle,</w:t>
      </w:r>
      <w:r w:rsidR="00685F19" w:rsidRPr="00584730">
        <w:rPr>
          <w:rFonts w:ascii="Nyala" w:hAnsi="Nyala"/>
          <w:sz w:val="28"/>
          <w:szCs w:val="28"/>
        </w:rPr>
        <w:t xml:space="preserve"> les points forts et les points faibles et définir des pistes de solutions. </w:t>
      </w:r>
    </w:p>
    <w:p w:rsidR="00044FDC" w:rsidRPr="00584730" w:rsidRDefault="00044FDC" w:rsidP="00044FDC">
      <w:pPr>
        <w:jc w:val="both"/>
        <w:rPr>
          <w:rFonts w:ascii="Nyala" w:hAnsi="Nyala"/>
          <w:sz w:val="28"/>
          <w:szCs w:val="28"/>
        </w:rPr>
      </w:pPr>
      <w:r w:rsidRPr="00584730">
        <w:rPr>
          <w:rFonts w:ascii="Nyala" w:hAnsi="Nyala"/>
          <w:sz w:val="28"/>
          <w:szCs w:val="28"/>
        </w:rPr>
        <w:t>Toutefois, si l’on tient compte de la tendance évolutive amorcée à partir de 2011, année à partir de laquelle</w:t>
      </w:r>
      <w:r w:rsidR="009540E4">
        <w:rPr>
          <w:rFonts w:ascii="Nyala" w:hAnsi="Nyala"/>
          <w:sz w:val="28"/>
          <w:szCs w:val="28"/>
        </w:rPr>
        <w:t xml:space="preserve"> les inégalités sont accentuées</w:t>
      </w:r>
      <w:r w:rsidRPr="00584730">
        <w:rPr>
          <w:rFonts w:ascii="Nyala" w:hAnsi="Nyala"/>
          <w:sz w:val="28"/>
          <w:szCs w:val="28"/>
        </w:rPr>
        <w:t xml:space="preserve">, il faudrait davantage orienter les politiques publiques, les programmes et projets vers la réduction des inégalités et une amélioration du bien-être général de toutes les couches sociales, notamment en milieu rural dont la richesse dépend de l’agriculture, de la pêche, de l’élevage et de l’exploitation des ressources forestières. </w:t>
      </w:r>
    </w:p>
    <w:p w:rsidR="00044FDC" w:rsidRPr="00584730" w:rsidRDefault="00044FDC" w:rsidP="00044FDC">
      <w:pPr>
        <w:jc w:val="both"/>
        <w:rPr>
          <w:rFonts w:ascii="Nyala" w:hAnsi="Nyala" w:cs="Arial"/>
          <w:bCs/>
          <w:kern w:val="24"/>
          <w:sz w:val="28"/>
          <w:szCs w:val="28"/>
        </w:rPr>
      </w:pPr>
      <w:r w:rsidRPr="00584730">
        <w:rPr>
          <w:rFonts w:ascii="Nyala" w:hAnsi="Nyala" w:cs="Arial"/>
          <w:bCs/>
          <w:kern w:val="24"/>
          <w:sz w:val="28"/>
          <w:szCs w:val="28"/>
        </w:rPr>
        <w:t>L’un dans l’autre, le secteur secondaire dans le domaine de l’agriculture et de l’agroalimentaire risque de reste trop faible pour encourager les agriculteurs et éleveurs à investir plus pour produire plus et gagner plus. Sans une approche de développement agricole radicalement changée, le Niger risque de perdurer dans le cercle vicieux d’une offre en matière première trop faible pour encourager l’agro-industrie et d’une demande industrielle trop faible pour stimuler la productivité et la production. En cela, des réflexions et des concertations doivent être menées et des leçons doivent être tirées des initiatives de productions agroindustrielles de la république naissante du Niger.</w:t>
      </w:r>
    </w:p>
    <w:p w:rsidR="00720C8C" w:rsidRDefault="00720C8C" w:rsidP="00DE64B5">
      <w:pPr>
        <w:jc w:val="both"/>
        <w:rPr>
          <w:rFonts w:ascii="Nyala" w:hAnsi="Nyala"/>
          <w:sz w:val="28"/>
          <w:szCs w:val="28"/>
        </w:rPr>
      </w:pPr>
    </w:p>
    <w:p w:rsidR="004F3180" w:rsidRDefault="004F3180" w:rsidP="00141D20">
      <w:pPr>
        <w:pStyle w:val="Titre2"/>
        <w:numPr>
          <w:ilvl w:val="1"/>
          <w:numId w:val="2"/>
        </w:numPr>
      </w:pPr>
      <w:bookmarkStart w:id="589" w:name="_Toc526119999"/>
      <w:r>
        <w:t>Recommandations issues des concertations régionales</w:t>
      </w:r>
      <w:bookmarkEnd w:id="589"/>
    </w:p>
    <w:p w:rsidR="004F3180" w:rsidRDefault="004F3180" w:rsidP="00DE64B5">
      <w:pPr>
        <w:jc w:val="both"/>
        <w:rPr>
          <w:rFonts w:ascii="Nyala" w:hAnsi="Nyala"/>
          <w:sz w:val="28"/>
          <w:szCs w:val="28"/>
        </w:rPr>
      </w:pPr>
    </w:p>
    <w:p w:rsidR="00E32BCC" w:rsidRPr="006866D3" w:rsidRDefault="0090061C" w:rsidP="00141D20">
      <w:pPr>
        <w:jc w:val="both"/>
        <w:rPr>
          <w:rFonts w:ascii="Nyala" w:hAnsi="Nyala" w:cs="Arial"/>
          <w:color w:val="000000" w:themeColor="text1"/>
          <w:sz w:val="28"/>
          <w:szCs w:val="28"/>
        </w:rPr>
      </w:pPr>
      <w:r>
        <w:rPr>
          <w:rFonts w:ascii="Nyala" w:hAnsi="Nyala" w:cs="Arial"/>
          <w:color w:val="000000" w:themeColor="text1"/>
          <w:sz w:val="28"/>
          <w:szCs w:val="28"/>
        </w:rPr>
        <w:t>Les concertations régionales ont vu la participation d’une diversité d’acteurs concernés par le secteur rural et la sécurité alimentaire et nutritionnelle. L’objectif est de s’assurer de la prise en compte des analyses et suggestions de toutes les parties prenantes, en particulier au niveau décentralisé.  Plus spécifiquement, il s’est agi de :</w:t>
      </w:r>
    </w:p>
    <w:p w:rsidR="00E32BCC" w:rsidRPr="006866D3" w:rsidRDefault="00E32BCC" w:rsidP="00E32BCC">
      <w:pPr>
        <w:spacing w:after="0" w:line="240" w:lineRule="auto"/>
        <w:ind w:left="708"/>
        <w:jc w:val="both"/>
        <w:rPr>
          <w:rFonts w:ascii="Nyala" w:hAnsi="Nyala" w:cs="Arial"/>
          <w:color w:val="000000" w:themeColor="text1"/>
          <w:sz w:val="28"/>
          <w:szCs w:val="28"/>
        </w:rPr>
      </w:pPr>
      <w:r w:rsidRPr="006866D3">
        <w:rPr>
          <w:rFonts w:ascii="Nyala" w:hAnsi="Nyala" w:cs="Arial"/>
          <w:color w:val="000000" w:themeColor="text1"/>
          <w:sz w:val="28"/>
          <w:szCs w:val="28"/>
        </w:rPr>
        <w:t>i/ expliquer le contenu de la revue : contexte, problématique, objectifs poursuivis, résultats  attendus, recommandations à formuler, feuille de route pour la mise en œuvre des recommandations, … ;</w:t>
      </w:r>
    </w:p>
    <w:p w:rsidR="00E32BCC" w:rsidRPr="006866D3" w:rsidRDefault="00E32BCC" w:rsidP="00E32BCC">
      <w:pPr>
        <w:spacing w:after="0" w:line="240" w:lineRule="auto"/>
        <w:ind w:left="708"/>
        <w:jc w:val="both"/>
        <w:rPr>
          <w:rFonts w:ascii="Nyala" w:hAnsi="Nyala" w:cs="Arial"/>
          <w:color w:val="000000" w:themeColor="text1"/>
          <w:sz w:val="28"/>
          <w:szCs w:val="28"/>
        </w:rPr>
      </w:pPr>
      <w:r w:rsidRPr="006866D3">
        <w:rPr>
          <w:rFonts w:ascii="Nyala" w:hAnsi="Nyala" w:cs="Arial"/>
          <w:color w:val="000000" w:themeColor="text1"/>
          <w:sz w:val="28"/>
          <w:szCs w:val="28"/>
        </w:rPr>
        <w:t>ii/ Partager avec les acteurs régionaux l’état d’avancement du processus ; dire les attentes par rapport à leurs niveaux d’appropriation de l’exercice ;</w:t>
      </w:r>
    </w:p>
    <w:p w:rsidR="00E32BCC" w:rsidRPr="006866D3" w:rsidRDefault="00E32BCC" w:rsidP="00E32BCC">
      <w:pPr>
        <w:spacing w:after="0" w:line="240" w:lineRule="auto"/>
        <w:ind w:left="708"/>
        <w:jc w:val="both"/>
        <w:rPr>
          <w:rFonts w:ascii="Nyala" w:hAnsi="Nyala" w:cs="Arial"/>
          <w:color w:val="000000" w:themeColor="text1"/>
          <w:sz w:val="28"/>
          <w:szCs w:val="28"/>
        </w:rPr>
      </w:pPr>
      <w:r w:rsidRPr="006866D3">
        <w:rPr>
          <w:rFonts w:ascii="Nyala" w:hAnsi="Nyala" w:cs="Arial"/>
          <w:color w:val="000000" w:themeColor="text1"/>
          <w:sz w:val="28"/>
          <w:szCs w:val="28"/>
        </w:rPr>
        <w:t>iii/ solliciter la contribution des Régions, en termes d’idées, d’analyses, de problématiques, d’informations, de bilan des réalisations dans le domaine, de recommandations, … ;</w:t>
      </w:r>
    </w:p>
    <w:p w:rsidR="0083199D" w:rsidRPr="00141D20" w:rsidRDefault="0083199D" w:rsidP="00141D20">
      <w:pPr>
        <w:jc w:val="both"/>
        <w:rPr>
          <w:rFonts w:ascii="Nyala" w:hAnsi="Nyala"/>
          <w:sz w:val="28"/>
          <w:szCs w:val="28"/>
        </w:rPr>
      </w:pPr>
    </w:p>
    <w:p w:rsidR="00E32BCC" w:rsidRPr="006866D3" w:rsidRDefault="00A7380C" w:rsidP="00141D20">
      <w:pPr>
        <w:spacing w:line="240" w:lineRule="auto"/>
        <w:rPr>
          <w:rFonts w:ascii="Nyala" w:hAnsi="Nyala"/>
          <w:sz w:val="28"/>
          <w:szCs w:val="28"/>
        </w:rPr>
      </w:pPr>
      <w:r>
        <w:rPr>
          <w:rFonts w:ascii="Nyala" w:hAnsi="Nyala"/>
          <w:sz w:val="28"/>
          <w:szCs w:val="28"/>
        </w:rPr>
        <w:t xml:space="preserve">Plusieurs </w:t>
      </w:r>
      <w:r w:rsidR="00E32BCC" w:rsidRPr="006866D3">
        <w:rPr>
          <w:rFonts w:ascii="Nyala" w:hAnsi="Nyala"/>
          <w:sz w:val="28"/>
          <w:szCs w:val="28"/>
        </w:rPr>
        <w:t>con</w:t>
      </w:r>
      <w:r>
        <w:rPr>
          <w:rFonts w:ascii="Nyala" w:hAnsi="Nyala"/>
          <w:sz w:val="28"/>
          <w:szCs w:val="28"/>
        </w:rPr>
        <w:t>stats suivants ont été relevés. Il s’agit, entre autres,</w:t>
      </w:r>
    </w:p>
    <w:p w:rsidR="00A7380C" w:rsidRDefault="00A7380C" w:rsidP="00A7380C">
      <w:pPr>
        <w:pStyle w:val="Paragraphedeliste"/>
        <w:numPr>
          <w:ilvl w:val="0"/>
          <w:numId w:val="68"/>
        </w:numPr>
        <w:spacing w:before="0" w:after="0" w:line="240" w:lineRule="auto"/>
        <w:rPr>
          <w:rFonts w:ascii="Nyala" w:hAnsi="Nyala"/>
          <w:sz w:val="28"/>
          <w:szCs w:val="28"/>
        </w:rPr>
      </w:pPr>
      <w:r>
        <w:rPr>
          <w:rFonts w:ascii="Nyala" w:hAnsi="Nyala"/>
          <w:sz w:val="28"/>
          <w:szCs w:val="28"/>
        </w:rPr>
        <w:t xml:space="preserve">Le </w:t>
      </w:r>
      <w:r w:rsidRPr="006866D3">
        <w:rPr>
          <w:rFonts w:ascii="Nyala" w:hAnsi="Nyala"/>
          <w:sz w:val="28"/>
          <w:szCs w:val="28"/>
        </w:rPr>
        <w:t>placage des réalisations sans référence au préalable aux besoins des populations ;</w:t>
      </w:r>
    </w:p>
    <w:p w:rsidR="00A7380C" w:rsidRPr="006866D3" w:rsidRDefault="00A7380C" w:rsidP="00141D20">
      <w:pPr>
        <w:pStyle w:val="Paragraphedeliste"/>
        <w:spacing w:before="0" w:after="0" w:line="240" w:lineRule="auto"/>
        <w:rPr>
          <w:rFonts w:ascii="Nyala" w:hAnsi="Nyala"/>
          <w:sz w:val="28"/>
          <w:szCs w:val="28"/>
        </w:rPr>
      </w:pPr>
    </w:p>
    <w:p w:rsidR="00E32BCC" w:rsidRPr="00141D20" w:rsidRDefault="00A7380C" w:rsidP="00141D20">
      <w:pPr>
        <w:pStyle w:val="Paragraphedeliste"/>
        <w:numPr>
          <w:ilvl w:val="0"/>
          <w:numId w:val="68"/>
        </w:numPr>
        <w:spacing w:before="0" w:after="0" w:line="240" w:lineRule="auto"/>
        <w:rPr>
          <w:rFonts w:ascii="Nyala" w:hAnsi="Nyala"/>
          <w:sz w:val="28"/>
          <w:szCs w:val="28"/>
        </w:rPr>
      </w:pPr>
      <w:r>
        <w:rPr>
          <w:rFonts w:ascii="Nyala" w:hAnsi="Nyala"/>
          <w:sz w:val="28"/>
          <w:szCs w:val="28"/>
        </w:rPr>
        <w:t xml:space="preserve">Le </w:t>
      </w:r>
      <w:r w:rsidR="00E32BCC" w:rsidRPr="00141D20">
        <w:rPr>
          <w:rFonts w:ascii="Nyala" w:hAnsi="Nyala"/>
          <w:sz w:val="28"/>
          <w:szCs w:val="28"/>
        </w:rPr>
        <w:t>saupoudrage des interventions des différents acteurs, se traduisant par des déséquilibres spacieux en matière d’investissement ;</w:t>
      </w:r>
    </w:p>
    <w:p w:rsidR="00A7380C" w:rsidRPr="006866D3" w:rsidRDefault="00A7380C" w:rsidP="00141D20">
      <w:pPr>
        <w:pStyle w:val="Paragraphedeliste"/>
        <w:spacing w:before="0" w:after="0" w:line="240" w:lineRule="auto"/>
        <w:rPr>
          <w:rFonts w:ascii="Nyala" w:hAnsi="Nyala"/>
          <w:sz w:val="28"/>
          <w:szCs w:val="28"/>
        </w:rPr>
      </w:pPr>
    </w:p>
    <w:p w:rsidR="00E32BCC" w:rsidRPr="006866D3" w:rsidRDefault="00A7380C" w:rsidP="00141D20">
      <w:pPr>
        <w:pStyle w:val="Paragraphedeliste"/>
        <w:numPr>
          <w:ilvl w:val="0"/>
          <w:numId w:val="68"/>
        </w:numPr>
        <w:spacing w:before="0" w:after="0" w:line="240" w:lineRule="auto"/>
        <w:rPr>
          <w:rFonts w:ascii="Nyala" w:hAnsi="Nyala"/>
          <w:sz w:val="28"/>
          <w:szCs w:val="28"/>
        </w:rPr>
      </w:pPr>
      <w:r>
        <w:rPr>
          <w:rFonts w:ascii="Nyala" w:hAnsi="Nyala"/>
          <w:sz w:val="28"/>
          <w:szCs w:val="28"/>
        </w:rPr>
        <w:t xml:space="preserve">L’insuffisance </w:t>
      </w:r>
      <w:r w:rsidR="00E32BCC" w:rsidRPr="006866D3">
        <w:rPr>
          <w:rFonts w:ascii="Nyala" w:hAnsi="Nyala"/>
          <w:sz w:val="28"/>
          <w:szCs w:val="28"/>
        </w:rPr>
        <w:t>d’appropriation des réalisations ;</w:t>
      </w:r>
    </w:p>
    <w:p w:rsidR="00A7380C" w:rsidRDefault="00A7380C" w:rsidP="00141D20">
      <w:pPr>
        <w:pStyle w:val="Paragraphedeliste"/>
        <w:spacing w:before="0" w:after="0" w:line="240" w:lineRule="auto"/>
        <w:rPr>
          <w:rFonts w:ascii="Nyala" w:hAnsi="Nyala"/>
          <w:sz w:val="28"/>
          <w:szCs w:val="28"/>
        </w:rPr>
      </w:pPr>
    </w:p>
    <w:p w:rsidR="00E32BCC" w:rsidRPr="006866D3" w:rsidRDefault="00A7380C" w:rsidP="00141D20">
      <w:pPr>
        <w:pStyle w:val="Paragraphedeliste"/>
        <w:numPr>
          <w:ilvl w:val="0"/>
          <w:numId w:val="68"/>
        </w:numPr>
        <w:spacing w:before="0" w:after="0" w:line="240" w:lineRule="auto"/>
        <w:rPr>
          <w:rFonts w:ascii="Nyala" w:hAnsi="Nyala"/>
          <w:sz w:val="28"/>
          <w:szCs w:val="28"/>
        </w:rPr>
      </w:pPr>
      <w:r>
        <w:rPr>
          <w:rFonts w:ascii="Nyala" w:hAnsi="Nyala"/>
          <w:sz w:val="28"/>
          <w:szCs w:val="28"/>
        </w:rPr>
        <w:t xml:space="preserve">L’impunité dans la mauvaise </w:t>
      </w:r>
      <w:r w:rsidR="00E32BCC" w:rsidRPr="006866D3">
        <w:rPr>
          <w:rFonts w:ascii="Nyala" w:hAnsi="Nyala"/>
          <w:sz w:val="28"/>
          <w:szCs w:val="28"/>
        </w:rPr>
        <w:t>gestion des ressources publiques ;</w:t>
      </w:r>
    </w:p>
    <w:p w:rsidR="00A7380C" w:rsidRDefault="00A7380C" w:rsidP="00141D20">
      <w:pPr>
        <w:pStyle w:val="Paragraphedeliste"/>
        <w:spacing w:before="0" w:after="0" w:line="240" w:lineRule="auto"/>
        <w:rPr>
          <w:rFonts w:ascii="Nyala" w:hAnsi="Nyala"/>
          <w:sz w:val="28"/>
          <w:szCs w:val="28"/>
        </w:rPr>
      </w:pPr>
    </w:p>
    <w:p w:rsidR="00E32BCC" w:rsidRPr="006866D3" w:rsidRDefault="00A7380C" w:rsidP="00141D20">
      <w:pPr>
        <w:pStyle w:val="Paragraphedeliste"/>
        <w:numPr>
          <w:ilvl w:val="0"/>
          <w:numId w:val="68"/>
        </w:numPr>
        <w:spacing w:before="0" w:after="0" w:line="240" w:lineRule="auto"/>
        <w:rPr>
          <w:rFonts w:ascii="Nyala" w:hAnsi="Nyala"/>
          <w:sz w:val="28"/>
          <w:szCs w:val="28"/>
        </w:rPr>
      </w:pPr>
      <w:r>
        <w:rPr>
          <w:rFonts w:ascii="Nyala" w:hAnsi="Nyala"/>
          <w:sz w:val="28"/>
          <w:szCs w:val="28"/>
        </w:rPr>
        <w:t>L’</w:t>
      </w:r>
      <w:r w:rsidR="00E32BCC" w:rsidRPr="006866D3">
        <w:rPr>
          <w:rFonts w:ascii="Nyala" w:hAnsi="Nyala"/>
          <w:sz w:val="28"/>
          <w:szCs w:val="28"/>
        </w:rPr>
        <w:t>insuffisance de coordination, de concertation et de suivi-évaluation ;</w:t>
      </w:r>
    </w:p>
    <w:p w:rsidR="00A7380C" w:rsidRDefault="00A7380C" w:rsidP="00141D20">
      <w:pPr>
        <w:pStyle w:val="Paragraphedeliste"/>
        <w:spacing w:before="0" w:after="0" w:line="240" w:lineRule="auto"/>
        <w:rPr>
          <w:rFonts w:ascii="Nyala" w:hAnsi="Nyala"/>
          <w:sz w:val="28"/>
          <w:szCs w:val="28"/>
        </w:rPr>
      </w:pPr>
    </w:p>
    <w:p w:rsidR="00E32BCC" w:rsidRPr="006866D3" w:rsidRDefault="00A7380C" w:rsidP="00141D20">
      <w:pPr>
        <w:pStyle w:val="Paragraphedeliste"/>
        <w:numPr>
          <w:ilvl w:val="0"/>
          <w:numId w:val="68"/>
        </w:numPr>
        <w:spacing w:before="0" w:after="0" w:line="240" w:lineRule="auto"/>
        <w:rPr>
          <w:rFonts w:ascii="Nyala" w:hAnsi="Nyala"/>
          <w:sz w:val="28"/>
          <w:szCs w:val="28"/>
        </w:rPr>
      </w:pPr>
      <w:r>
        <w:rPr>
          <w:rFonts w:ascii="Nyala" w:hAnsi="Nyala"/>
          <w:sz w:val="28"/>
          <w:szCs w:val="28"/>
        </w:rPr>
        <w:t xml:space="preserve">L’absence de </w:t>
      </w:r>
      <w:r w:rsidR="00E32BCC" w:rsidRPr="006866D3">
        <w:rPr>
          <w:rFonts w:ascii="Nyala" w:hAnsi="Nyala"/>
          <w:sz w:val="28"/>
          <w:szCs w:val="28"/>
        </w:rPr>
        <w:t>leadership pour assurer la convergence des actions de développement ;</w:t>
      </w:r>
    </w:p>
    <w:p w:rsidR="00A7380C" w:rsidRDefault="00A7380C" w:rsidP="00141D20">
      <w:pPr>
        <w:pStyle w:val="Paragraphedeliste"/>
        <w:spacing w:before="0" w:after="0" w:line="240" w:lineRule="auto"/>
        <w:rPr>
          <w:rFonts w:ascii="Nyala" w:hAnsi="Nyala"/>
          <w:sz w:val="28"/>
          <w:szCs w:val="28"/>
        </w:rPr>
      </w:pPr>
    </w:p>
    <w:p w:rsidR="00E32BCC" w:rsidRPr="006866D3" w:rsidRDefault="00A7380C" w:rsidP="00141D20">
      <w:pPr>
        <w:pStyle w:val="Paragraphedeliste"/>
        <w:numPr>
          <w:ilvl w:val="0"/>
          <w:numId w:val="68"/>
        </w:numPr>
        <w:spacing w:before="0" w:after="0" w:line="240" w:lineRule="auto"/>
        <w:rPr>
          <w:rFonts w:ascii="Nyala" w:hAnsi="Nyala"/>
          <w:sz w:val="28"/>
          <w:szCs w:val="28"/>
        </w:rPr>
      </w:pPr>
      <w:r>
        <w:rPr>
          <w:rFonts w:ascii="Nyala" w:hAnsi="Nyala"/>
          <w:sz w:val="28"/>
          <w:szCs w:val="28"/>
        </w:rPr>
        <w:t xml:space="preserve">Le non fonctionnement </w:t>
      </w:r>
      <w:r w:rsidR="00E32BCC" w:rsidRPr="006866D3">
        <w:rPr>
          <w:rFonts w:ascii="Nyala" w:hAnsi="Nyala"/>
          <w:sz w:val="28"/>
          <w:szCs w:val="28"/>
        </w:rPr>
        <w:t>des cadres de concertation à tous les niveaux, faute de moyens et d’exercice réel de pouvoir de gestion socio-institutionnelle ;</w:t>
      </w:r>
    </w:p>
    <w:p w:rsidR="00A7380C" w:rsidRDefault="00A7380C" w:rsidP="00141D20">
      <w:pPr>
        <w:pStyle w:val="Paragraphedeliste"/>
        <w:spacing w:before="0" w:after="0" w:line="240" w:lineRule="auto"/>
        <w:rPr>
          <w:rFonts w:ascii="Nyala" w:hAnsi="Nyala"/>
          <w:sz w:val="28"/>
          <w:szCs w:val="28"/>
        </w:rPr>
      </w:pPr>
    </w:p>
    <w:p w:rsidR="00A7380C" w:rsidRDefault="00A7380C" w:rsidP="00141D20">
      <w:pPr>
        <w:pStyle w:val="Paragraphedeliste"/>
        <w:numPr>
          <w:ilvl w:val="0"/>
          <w:numId w:val="68"/>
        </w:numPr>
        <w:spacing w:before="0" w:after="0" w:line="240" w:lineRule="auto"/>
        <w:rPr>
          <w:rFonts w:ascii="Nyala" w:hAnsi="Nyala"/>
          <w:sz w:val="28"/>
          <w:szCs w:val="28"/>
        </w:rPr>
      </w:pPr>
      <w:r>
        <w:rPr>
          <w:rFonts w:ascii="Nyala" w:hAnsi="Nyala"/>
          <w:sz w:val="28"/>
          <w:szCs w:val="28"/>
        </w:rPr>
        <w:t>L’</w:t>
      </w:r>
      <w:r w:rsidR="003B21DB">
        <w:rPr>
          <w:rFonts w:ascii="Nyala" w:hAnsi="Nyala"/>
          <w:sz w:val="28"/>
          <w:szCs w:val="28"/>
        </w:rPr>
        <w:t>appui au secteur rural (engrais, semences …) ne se fait pas toujours dans la transparence, du fait de son caractère trop politique</w:t>
      </w:r>
      <w:r w:rsidR="00E32BCC" w:rsidRPr="006866D3">
        <w:rPr>
          <w:rFonts w:ascii="Nyala" w:hAnsi="Nyala"/>
          <w:sz w:val="28"/>
          <w:szCs w:val="28"/>
        </w:rPr>
        <w:t xml:space="preserve"> ; </w:t>
      </w:r>
    </w:p>
    <w:p w:rsidR="00A7380C" w:rsidRPr="00141D20" w:rsidRDefault="00A7380C" w:rsidP="00141D20">
      <w:pPr>
        <w:pStyle w:val="Paragraphedeliste"/>
        <w:rPr>
          <w:rFonts w:ascii="Nyala" w:hAnsi="Nyala"/>
          <w:sz w:val="28"/>
          <w:szCs w:val="28"/>
        </w:rPr>
      </w:pPr>
    </w:p>
    <w:p w:rsidR="00E32BCC" w:rsidRPr="00A7380C" w:rsidRDefault="00A7380C" w:rsidP="00141D20">
      <w:pPr>
        <w:pStyle w:val="Paragraphedeliste"/>
        <w:numPr>
          <w:ilvl w:val="0"/>
          <w:numId w:val="68"/>
        </w:numPr>
        <w:spacing w:before="0" w:after="0" w:line="240" w:lineRule="auto"/>
        <w:rPr>
          <w:rFonts w:ascii="Nyala" w:hAnsi="Nyala"/>
          <w:sz w:val="28"/>
          <w:szCs w:val="28"/>
        </w:rPr>
      </w:pPr>
      <w:r w:rsidRPr="00A7380C">
        <w:rPr>
          <w:rFonts w:ascii="Nyala" w:hAnsi="Nyala"/>
          <w:sz w:val="28"/>
          <w:szCs w:val="28"/>
        </w:rPr>
        <w:t xml:space="preserve">Le faible niveau </w:t>
      </w:r>
      <w:r w:rsidR="00E32BCC" w:rsidRPr="00A7380C">
        <w:rPr>
          <w:rFonts w:ascii="Nyala" w:hAnsi="Nyala"/>
          <w:sz w:val="28"/>
          <w:szCs w:val="28"/>
        </w:rPr>
        <w:t>d’organisation et de défense du monde rural ;</w:t>
      </w:r>
    </w:p>
    <w:p w:rsidR="00A7380C" w:rsidRDefault="00A7380C" w:rsidP="00141D20">
      <w:pPr>
        <w:pStyle w:val="Paragraphedeliste"/>
        <w:spacing w:before="0" w:after="0" w:line="240" w:lineRule="auto"/>
        <w:rPr>
          <w:rFonts w:ascii="Nyala" w:hAnsi="Nyala"/>
          <w:sz w:val="28"/>
          <w:szCs w:val="28"/>
        </w:rPr>
      </w:pPr>
    </w:p>
    <w:p w:rsidR="00E32BCC" w:rsidRPr="006866D3" w:rsidRDefault="00A7380C" w:rsidP="00141D20">
      <w:pPr>
        <w:pStyle w:val="Paragraphedeliste"/>
        <w:numPr>
          <w:ilvl w:val="0"/>
          <w:numId w:val="68"/>
        </w:numPr>
        <w:spacing w:before="0" w:after="0" w:line="240" w:lineRule="auto"/>
        <w:rPr>
          <w:rFonts w:ascii="Nyala" w:hAnsi="Nyala"/>
          <w:sz w:val="28"/>
          <w:szCs w:val="28"/>
        </w:rPr>
      </w:pPr>
      <w:r>
        <w:rPr>
          <w:rFonts w:ascii="Nyala" w:hAnsi="Nyala"/>
          <w:sz w:val="28"/>
          <w:szCs w:val="28"/>
        </w:rPr>
        <w:t xml:space="preserve">Le désintérêt des jeunes de l’Agriculture, car la </w:t>
      </w:r>
      <w:r w:rsidR="00E32BCC" w:rsidRPr="006866D3">
        <w:rPr>
          <w:rFonts w:ascii="Nyala" w:hAnsi="Nyala"/>
          <w:sz w:val="28"/>
          <w:szCs w:val="28"/>
        </w:rPr>
        <w:t>terre  ne nourrit plus;</w:t>
      </w:r>
    </w:p>
    <w:p w:rsidR="00A7380C" w:rsidRDefault="00A7380C" w:rsidP="00141D20">
      <w:pPr>
        <w:pStyle w:val="Paragraphedeliste"/>
        <w:spacing w:before="0" w:after="0" w:line="240" w:lineRule="auto"/>
        <w:rPr>
          <w:rFonts w:ascii="Nyala" w:hAnsi="Nyala"/>
          <w:sz w:val="28"/>
          <w:szCs w:val="28"/>
        </w:rPr>
      </w:pPr>
    </w:p>
    <w:p w:rsidR="00E32BCC" w:rsidRPr="006866D3" w:rsidRDefault="00A7380C" w:rsidP="00141D20">
      <w:pPr>
        <w:pStyle w:val="Paragraphedeliste"/>
        <w:numPr>
          <w:ilvl w:val="0"/>
          <w:numId w:val="68"/>
        </w:numPr>
        <w:spacing w:before="0" w:after="0" w:line="240" w:lineRule="auto"/>
        <w:rPr>
          <w:rFonts w:ascii="Nyala" w:hAnsi="Nyala"/>
          <w:sz w:val="28"/>
          <w:szCs w:val="28"/>
        </w:rPr>
      </w:pPr>
      <w:r>
        <w:rPr>
          <w:rFonts w:ascii="Nyala" w:hAnsi="Nyala"/>
          <w:sz w:val="28"/>
          <w:szCs w:val="28"/>
        </w:rPr>
        <w:t xml:space="preserve">Les </w:t>
      </w:r>
      <w:r w:rsidR="00E32BCC" w:rsidRPr="006866D3">
        <w:rPr>
          <w:rFonts w:ascii="Nyala" w:hAnsi="Nyala"/>
          <w:sz w:val="28"/>
          <w:szCs w:val="28"/>
        </w:rPr>
        <w:t xml:space="preserve">discours </w:t>
      </w:r>
      <w:r>
        <w:rPr>
          <w:rFonts w:ascii="Nyala" w:hAnsi="Nyala"/>
          <w:sz w:val="28"/>
          <w:szCs w:val="28"/>
        </w:rPr>
        <w:t>« politiques » ne sont pas toujours suivi par d</w:t>
      </w:r>
      <w:r w:rsidR="00E32BCC" w:rsidRPr="006866D3">
        <w:rPr>
          <w:rFonts w:ascii="Nyala" w:hAnsi="Nyala"/>
          <w:sz w:val="28"/>
          <w:szCs w:val="28"/>
        </w:rPr>
        <w:t>es actes ;</w:t>
      </w:r>
    </w:p>
    <w:p w:rsidR="00A7380C" w:rsidRDefault="00A7380C" w:rsidP="00141D20">
      <w:pPr>
        <w:pStyle w:val="Paragraphedeliste"/>
        <w:spacing w:before="0" w:after="0" w:line="240" w:lineRule="auto"/>
        <w:rPr>
          <w:rFonts w:ascii="Nyala" w:hAnsi="Nyala"/>
          <w:sz w:val="28"/>
          <w:szCs w:val="28"/>
        </w:rPr>
      </w:pPr>
    </w:p>
    <w:p w:rsidR="00E32BCC" w:rsidRPr="006866D3" w:rsidRDefault="00A7380C" w:rsidP="00141D20">
      <w:pPr>
        <w:pStyle w:val="Paragraphedeliste"/>
        <w:numPr>
          <w:ilvl w:val="0"/>
          <w:numId w:val="68"/>
        </w:numPr>
        <w:spacing w:before="0" w:after="0" w:line="240" w:lineRule="auto"/>
        <w:rPr>
          <w:rFonts w:ascii="Nyala" w:hAnsi="Nyala"/>
          <w:sz w:val="28"/>
          <w:szCs w:val="28"/>
        </w:rPr>
      </w:pPr>
      <w:r>
        <w:rPr>
          <w:rFonts w:ascii="Nyala" w:hAnsi="Nyala"/>
          <w:sz w:val="28"/>
          <w:szCs w:val="28"/>
        </w:rPr>
        <w:t xml:space="preserve">L’absence de </w:t>
      </w:r>
      <w:r w:rsidR="00E32BCC" w:rsidRPr="006866D3">
        <w:rPr>
          <w:rFonts w:ascii="Nyala" w:hAnsi="Nyala"/>
          <w:sz w:val="28"/>
          <w:szCs w:val="28"/>
        </w:rPr>
        <w:t>sécurité, de paix et de justice aggrave la situation.</w:t>
      </w:r>
    </w:p>
    <w:p w:rsidR="00A7380C" w:rsidRPr="00141D20" w:rsidRDefault="00A7380C" w:rsidP="00141D20">
      <w:pPr>
        <w:pStyle w:val="Paragraphedeliste"/>
        <w:spacing w:before="0" w:after="0" w:line="240" w:lineRule="auto"/>
        <w:rPr>
          <w:rFonts w:ascii="Nyala" w:hAnsi="Nyala"/>
          <w:sz w:val="28"/>
          <w:szCs w:val="28"/>
        </w:rPr>
      </w:pPr>
    </w:p>
    <w:p w:rsidR="00A7380C" w:rsidRPr="006866D3" w:rsidRDefault="00A7380C" w:rsidP="00141D20">
      <w:pPr>
        <w:pStyle w:val="Paragraphedeliste"/>
        <w:numPr>
          <w:ilvl w:val="0"/>
          <w:numId w:val="68"/>
        </w:numPr>
        <w:spacing w:before="0" w:after="0" w:line="240" w:lineRule="auto"/>
        <w:rPr>
          <w:rFonts w:ascii="Nyala" w:hAnsi="Nyala" w:cs="Arial"/>
          <w:color w:val="000000" w:themeColor="text1"/>
          <w:sz w:val="28"/>
          <w:szCs w:val="28"/>
        </w:rPr>
      </w:pPr>
      <w:r>
        <w:rPr>
          <w:rFonts w:ascii="Nyala" w:hAnsi="Nyala" w:cs="Arial"/>
          <w:color w:val="000000" w:themeColor="text1"/>
          <w:sz w:val="28"/>
          <w:szCs w:val="28"/>
        </w:rPr>
        <w:t>Le</w:t>
      </w:r>
      <w:r w:rsidRPr="006866D3">
        <w:rPr>
          <w:rFonts w:ascii="Nyala" w:hAnsi="Nyala" w:cs="Arial"/>
          <w:color w:val="000000" w:themeColor="text1"/>
          <w:sz w:val="28"/>
          <w:szCs w:val="28"/>
        </w:rPr>
        <w:t xml:space="preserve">s </w:t>
      </w:r>
      <w:r w:rsidRPr="00141D20">
        <w:rPr>
          <w:rFonts w:ascii="Nyala" w:hAnsi="Nyala"/>
          <w:sz w:val="28"/>
          <w:szCs w:val="28"/>
        </w:rPr>
        <w:t>productions</w:t>
      </w:r>
      <w:r w:rsidRPr="006866D3">
        <w:rPr>
          <w:rFonts w:ascii="Nyala" w:hAnsi="Nyala" w:cs="Arial"/>
          <w:color w:val="000000" w:themeColor="text1"/>
          <w:sz w:val="28"/>
          <w:szCs w:val="28"/>
        </w:rPr>
        <w:t xml:space="preserve"> nationales sont actuellement évincées du marché national par elles d</w:t>
      </w:r>
      <w:r w:rsidR="003B21DB">
        <w:rPr>
          <w:rFonts w:ascii="Nyala" w:hAnsi="Nyala" w:cs="Arial"/>
          <w:color w:val="000000" w:themeColor="text1"/>
          <w:sz w:val="28"/>
          <w:szCs w:val="28"/>
        </w:rPr>
        <w:t>es pays voisins</w:t>
      </w:r>
      <w:r w:rsidRPr="006866D3">
        <w:rPr>
          <w:rFonts w:ascii="Nyala" w:hAnsi="Nyala" w:cs="Arial"/>
          <w:color w:val="000000" w:themeColor="text1"/>
          <w:sz w:val="28"/>
          <w:szCs w:val="28"/>
        </w:rPr>
        <w:t> ; la concurrence des pays de la CEDEAO est ruineuse pour le Niger ;</w:t>
      </w:r>
    </w:p>
    <w:p w:rsidR="00575973" w:rsidRDefault="00575973" w:rsidP="00141D20">
      <w:pPr>
        <w:pStyle w:val="Paragraphedeliste"/>
        <w:spacing w:before="0" w:after="0" w:line="240" w:lineRule="auto"/>
        <w:rPr>
          <w:rFonts w:ascii="Nyala" w:hAnsi="Nyala" w:cs="Arial"/>
          <w:color w:val="000000" w:themeColor="text1"/>
          <w:sz w:val="28"/>
          <w:szCs w:val="28"/>
        </w:rPr>
      </w:pPr>
    </w:p>
    <w:p w:rsidR="003B21DB" w:rsidRDefault="003B21DB" w:rsidP="00141D20">
      <w:pPr>
        <w:pStyle w:val="Paragraphedeliste"/>
        <w:numPr>
          <w:ilvl w:val="0"/>
          <w:numId w:val="68"/>
        </w:numPr>
        <w:spacing w:before="0" w:after="0" w:line="240" w:lineRule="auto"/>
        <w:rPr>
          <w:rFonts w:ascii="Nyala" w:hAnsi="Nyala" w:cs="Arial"/>
          <w:color w:val="000000" w:themeColor="text1"/>
          <w:sz w:val="28"/>
          <w:szCs w:val="28"/>
        </w:rPr>
      </w:pPr>
      <w:r>
        <w:rPr>
          <w:rFonts w:ascii="Nyala" w:hAnsi="Nyala" w:cs="Arial"/>
          <w:color w:val="000000" w:themeColor="text1"/>
          <w:sz w:val="28"/>
          <w:szCs w:val="28"/>
        </w:rPr>
        <w:t>Dans certaines régions, l</w:t>
      </w:r>
      <w:r w:rsidRPr="006866D3">
        <w:rPr>
          <w:rFonts w:ascii="Nyala" w:hAnsi="Nyala" w:cs="Arial"/>
          <w:color w:val="000000" w:themeColor="text1"/>
          <w:sz w:val="28"/>
          <w:szCs w:val="28"/>
        </w:rPr>
        <w:t xml:space="preserve">es </w:t>
      </w:r>
      <w:r w:rsidRPr="00141D20">
        <w:rPr>
          <w:rFonts w:ascii="Nyala" w:hAnsi="Nyala"/>
          <w:sz w:val="28"/>
          <w:szCs w:val="28"/>
        </w:rPr>
        <w:t>femmes</w:t>
      </w:r>
      <w:r>
        <w:rPr>
          <w:rFonts w:ascii="Nyala" w:hAnsi="Nyala" w:cs="Arial"/>
          <w:color w:val="000000" w:themeColor="text1"/>
          <w:sz w:val="28"/>
          <w:szCs w:val="28"/>
        </w:rPr>
        <w:t xml:space="preserve">font l’objet de </w:t>
      </w:r>
      <w:r w:rsidRPr="006866D3">
        <w:rPr>
          <w:rFonts w:ascii="Nyala" w:hAnsi="Nyala" w:cs="Arial"/>
          <w:color w:val="000000" w:themeColor="text1"/>
          <w:sz w:val="28"/>
          <w:szCs w:val="28"/>
        </w:rPr>
        <w:t xml:space="preserve">discrimination </w:t>
      </w:r>
      <w:r>
        <w:rPr>
          <w:rFonts w:ascii="Nyala" w:hAnsi="Nyala" w:cs="Arial"/>
          <w:color w:val="000000" w:themeColor="text1"/>
          <w:sz w:val="28"/>
          <w:szCs w:val="28"/>
        </w:rPr>
        <w:t>quant à l’accès aux</w:t>
      </w:r>
      <w:r w:rsidRPr="006866D3">
        <w:rPr>
          <w:rFonts w:ascii="Nyala" w:hAnsi="Nyala" w:cs="Arial"/>
          <w:color w:val="000000" w:themeColor="text1"/>
          <w:sz w:val="28"/>
          <w:szCs w:val="28"/>
        </w:rPr>
        <w:t xml:space="preserve"> avantages des </w:t>
      </w:r>
      <w:r>
        <w:rPr>
          <w:rFonts w:ascii="Nyala" w:hAnsi="Nyala" w:cs="Arial"/>
          <w:color w:val="000000" w:themeColor="text1"/>
          <w:sz w:val="28"/>
          <w:szCs w:val="28"/>
        </w:rPr>
        <w:t xml:space="preserve">opérations </w:t>
      </w:r>
      <w:r w:rsidRPr="006866D3">
        <w:rPr>
          <w:rFonts w:ascii="Nyala" w:hAnsi="Nyala" w:cs="Arial"/>
          <w:color w:val="000000" w:themeColor="text1"/>
          <w:sz w:val="28"/>
          <w:szCs w:val="28"/>
        </w:rPr>
        <w:t xml:space="preserve">de développement et la </w:t>
      </w:r>
      <w:r>
        <w:rPr>
          <w:rFonts w:ascii="Nyala" w:hAnsi="Nyala" w:cs="Arial"/>
          <w:color w:val="000000" w:themeColor="text1"/>
          <w:sz w:val="28"/>
          <w:szCs w:val="28"/>
        </w:rPr>
        <w:t xml:space="preserve">aux instances de décision dans les </w:t>
      </w:r>
      <w:r w:rsidRPr="006866D3">
        <w:rPr>
          <w:rFonts w:ascii="Nyala" w:hAnsi="Nyala" w:cs="Arial"/>
          <w:color w:val="000000" w:themeColor="text1"/>
          <w:sz w:val="28"/>
          <w:szCs w:val="28"/>
        </w:rPr>
        <w:t>structures régionales de développement ou de gestion économique.</w:t>
      </w:r>
    </w:p>
    <w:p w:rsidR="003B21DB" w:rsidRPr="00141D20" w:rsidRDefault="003B21DB" w:rsidP="00141D20">
      <w:pPr>
        <w:pStyle w:val="Paragraphedeliste"/>
        <w:rPr>
          <w:rFonts w:ascii="Nyala" w:hAnsi="Nyala" w:cs="Arial"/>
          <w:color w:val="000000" w:themeColor="text1"/>
          <w:sz w:val="28"/>
          <w:szCs w:val="28"/>
        </w:rPr>
      </w:pPr>
    </w:p>
    <w:p w:rsidR="003B21DB" w:rsidRPr="006866D3" w:rsidRDefault="003B21DB" w:rsidP="00141D20">
      <w:pPr>
        <w:pStyle w:val="Paragraphedeliste"/>
        <w:numPr>
          <w:ilvl w:val="0"/>
          <w:numId w:val="68"/>
        </w:numPr>
        <w:spacing w:before="0" w:after="0" w:line="240" w:lineRule="auto"/>
        <w:rPr>
          <w:rFonts w:ascii="Nyala" w:hAnsi="Nyala" w:cs="Arial"/>
          <w:color w:val="000000" w:themeColor="text1"/>
          <w:sz w:val="28"/>
          <w:szCs w:val="28"/>
        </w:rPr>
      </w:pPr>
      <w:r>
        <w:rPr>
          <w:rFonts w:ascii="Nyala" w:hAnsi="Nyala" w:cs="Arial"/>
          <w:color w:val="000000" w:themeColor="text1"/>
          <w:sz w:val="28"/>
          <w:szCs w:val="28"/>
        </w:rPr>
        <w:t>L’encadrement insuffisant du monde rural</w:t>
      </w:r>
    </w:p>
    <w:p w:rsidR="00456B45" w:rsidRDefault="00456B45" w:rsidP="00E32BCC">
      <w:pPr>
        <w:spacing w:line="240" w:lineRule="auto"/>
        <w:rPr>
          <w:rFonts w:ascii="Nyala" w:hAnsi="Nyala" w:cs="Arial"/>
          <w:b/>
          <w:color w:val="000000" w:themeColor="text1"/>
          <w:sz w:val="28"/>
          <w:szCs w:val="28"/>
        </w:rPr>
      </w:pPr>
    </w:p>
    <w:p w:rsidR="00E32BCC" w:rsidRPr="006866D3" w:rsidRDefault="003B21DB" w:rsidP="00E32BCC">
      <w:pPr>
        <w:spacing w:line="240" w:lineRule="auto"/>
        <w:rPr>
          <w:rFonts w:ascii="Nyala" w:hAnsi="Nyala" w:cs="Arial"/>
          <w:b/>
          <w:color w:val="000000" w:themeColor="text1"/>
          <w:sz w:val="28"/>
          <w:szCs w:val="28"/>
        </w:rPr>
      </w:pPr>
      <w:r>
        <w:rPr>
          <w:rFonts w:ascii="Nyala" w:hAnsi="Nyala" w:cs="Arial"/>
          <w:b/>
          <w:color w:val="000000" w:themeColor="text1"/>
          <w:sz w:val="28"/>
          <w:szCs w:val="28"/>
        </w:rPr>
        <w:t>Plusieurs recommandations ont été émises, dont entre autres :</w:t>
      </w:r>
    </w:p>
    <w:p w:rsidR="002955AC" w:rsidRDefault="002955AC" w:rsidP="002955AC">
      <w:pPr>
        <w:spacing w:before="0" w:after="0" w:line="240" w:lineRule="auto"/>
        <w:ind w:left="708"/>
        <w:rPr>
          <w:rFonts w:ascii="Nyala" w:hAnsi="Nyala" w:cs="Arial"/>
          <w:color w:val="000000" w:themeColor="text1"/>
          <w:sz w:val="28"/>
          <w:szCs w:val="28"/>
        </w:rPr>
      </w:pPr>
    </w:p>
    <w:p w:rsidR="002955AC" w:rsidRDefault="002955AC" w:rsidP="00141D20">
      <w:pPr>
        <w:pStyle w:val="Paragraphedeliste"/>
        <w:numPr>
          <w:ilvl w:val="0"/>
          <w:numId w:val="69"/>
        </w:numPr>
        <w:spacing w:after="0"/>
        <w:jc w:val="both"/>
        <w:rPr>
          <w:rFonts w:ascii="Nyala" w:hAnsi="Nyala" w:cs="Arial"/>
          <w:color w:val="000000" w:themeColor="text1"/>
          <w:sz w:val="28"/>
          <w:szCs w:val="28"/>
        </w:rPr>
      </w:pPr>
      <w:r>
        <w:rPr>
          <w:rFonts w:ascii="Nyala" w:hAnsi="Nyala" w:cs="Arial"/>
          <w:color w:val="000000" w:themeColor="text1"/>
          <w:sz w:val="28"/>
          <w:szCs w:val="28"/>
        </w:rPr>
        <w:t>dé</w:t>
      </w:r>
      <w:r w:rsidRPr="00D7360E">
        <w:rPr>
          <w:rFonts w:ascii="Nyala" w:hAnsi="Nyala" w:cs="Arial"/>
          <w:color w:val="000000" w:themeColor="text1"/>
          <w:sz w:val="28"/>
          <w:szCs w:val="28"/>
        </w:rPr>
        <w:t>politiser les appuis de l’Etat au secteur rural (intrants, équipements, investissements, …) ;</w:t>
      </w:r>
    </w:p>
    <w:p w:rsidR="002955AC" w:rsidRPr="00AA4A81" w:rsidRDefault="002955AC" w:rsidP="00141D20">
      <w:pPr>
        <w:pStyle w:val="Paragraphedeliste"/>
        <w:numPr>
          <w:ilvl w:val="0"/>
          <w:numId w:val="69"/>
        </w:numPr>
        <w:spacing w:after="0"/>
        <w:jc w:val="both"/>
        <w:rPr>
          <w:rFonts w:ascii="Nyala" w:hAnsi="Nyala" w:cs="Arial"/>
          <w:sz w:val="28"/>
          <w:szCs w:val="28"/>
        </w:rPr>
      </w:pPr>
      <w:r w:rsidRPr="00AA4A81">
        <w:rPr>
          <w:rFonts w:ascii="Nyala" w:hAnsi="Nyala" w:cs="Arial"/>
          <w:sz w:val="28"/>
          <w:szCs w:val="28"/>
        </w:rPr>
        <w:t>améliorer la gestion des investissements affectés à la région et combattre les détournements déguisés des ressources destinées aux populations ;</w:t>
      </w:r>
    </w:p>
    <w:p w:rsidR="002955AC" w:rsidRPr="00C61E79" w:rsidRDefault="002955AC" w:rsidP="00141D20">
      <w:pPr>
        <w:pStyle w:val="Paragraphedeliste"/>
        <w:numPr>
          <w:ilvl w:val="0"/>
          <w:numId w:val="69"/>
        </w:numPr>
        <w:spacing w:after="0"/>
        <w:jc w:val="both"/>
        <w:rPr>
          <w:rFonts w:ascii="Nyala" w:hAnsi="Nyala" w:cs="Arial"/>
          <w:color w:val="000000" w:themeColor="text1"/>
          <w:sz w:val="28"/>
          <w:szCs w:val="28"/>
        </w:rPr>
      </w:pPr>
      <w:r>
        <w:rPr>
          <w:rFonts w:ascii="Nyala" w:hAnsi="Nyala" w:cs="Arial"/>
          <w:color w:val="000000" w:themeColor="text1"/>
          <w:sz w:val="28"/>
          <w:szCs w:val="28"/>
        </w:rPr>
        <w:t>d</w:t>
      </w:r>
      <w:r w:rsidRPr="00C61E79">
        <w:rPr>
          <w:rFonts w:ascii="Nyala" w:hAnsi="Nyala" w:cs="Arial"/>
          <w:color w:val="000000" w:themeColor="text1"/>
          <w:sz w:val="28"/>
          <w:szCs w:val="28"/>
        </w:rPr>
        <w:t>évelopper l’agriculture commerciale pour permettre l’accès aux revenus monétaires et pouvoir investir ;</w:t>
      </w:r>
    </w:p>
    <w:p w:rsidR="00E32BCC" w:rsidRPr="00141D20" w:rsidRDefault="003B21DB" w:rsidP="00141D20">
      <w:pPr>
        <w:pStyle w:val="Paragraphedeliste"/>
        <w:numPr>
          <w:ilvl w:val="0"/>
          <w:numId w:val="69"/>
        </w:numPr>
        <w:spacing w:after="0"/>
        <w:jc w:val="both"/>
        <w:rPr>
          <w:rFonts w:ascii="Nyala" w:hAnsi="Nyala" w:cs="Arial"/>
          <w:color w:val="000000" w:themeColor="text1"/>
          <w:sz w:val="28"/>
          <w:szCs w:val="28"/>
        </w:rPr>
      </w:pPr>
      <w:r w:rsidRPr="003B21DB">
        <w:rPr>
          <w:rFonts w:ascii="Nyala" w:hAnsi="Nyala" w:cs="Arial"/>
          <w:color w:val="000000" w:themeColor="text1"/>
          <w:sz w:val="28"/>
          <w:szCs w:val="28"/>
        </w:rPr>
        <w:t>E</w:t>
      </w:r>
      <w:r w:rsidR="00E32BCC" w:rsidRPr="00141D20">
        <w:rPr>
          <w:rFonts w:ascii="Nyala" w:hAnsi="Nyala" w:cs="Arial"/>
          <w:color w:val="000000" w:themeColor="text1"/>
          <w:sz w:val="28"/>
          <w:szCs w:val="28"/>
        </w:rPr>
        <w:t>n</w:t>
      </w:r>
      <w:r>
        <w:rPr>
          <w:rFonts w:ascii="Nyala" w:hAnsi="Nyala" w:cs="Arial"/>
          <w:color w:val="000000" w:themeColor="text1"/>
          <w:sz w:val="28"/>
          <w:szCs w:val="28"/>
        </w:rPr>
        <w:t xml:space="preserve">courager </w:t>
      </w:r>
      <w:r w:rsidR="00E32BCC" w:rsidRPr="00141D20">
        <w:rPr>
          <w:rFonts w:ascii="Nyala" w:hAnsi="Nyala" w:cs="Arial"/>
          <w:color w:val="000000" w:themeColor="text1"/>
          <w:sz w:val="28"/>
          <w:szCs w:val="28"/>
        </w:rPr>
        <w:t>les Nigériens ayant des possibilité</w:t>
      </w:r>
      <w:r>
        <w:rPr>
          <w:rFonts w:ascii="Nyala" w:hAnsi="Nyala" w:cs="Arial"/>
          <w:color w:val="000000" w:themeColor="text1"/>
          <w:sz w:val="28"/>
          <w:szCs w:val="28"/>
        </w:rPr>
        <w:t>s</w:t>
      </w:r>
      <w:r w:rsidR="00E32BCC" w:rsidRPr="00141D20">
        <w:rPr>
          <w:rFonts w:ascii="Nyala" w:hAnsi="Nyala" w:cs="Arial"/>
          <w:color w:val="000000" w:themeColor="text1"/>
          <w:sz w:val="28"/>
          <w:szCs w:val="28"/>
        </w:rPr>
        <w:t xml:space="preserve"> d’investir dans les productions rurales en les convaincant par des projets pilotes ;</w:t>
      </w:r>
    </w:p>
    <w:p w:rsidR="00E32BCC" w:rsidRPr="00141D20" w:rsidRDefault="00E32BCC" w:rsidP="00141D20">
      <w:pPr>
        <w:pStyle w:val="Paragraphedeliste"/>
        <w:numPr>
          <w:ilvl w:val="0"/>
          <w:numId w:val="69"/>
        </w:numPr>
        <w:spacing w:after="0"/>
        <w:jc w:val="both"/>
        <w:rPr>
          <w:rFonts w:ascii="Nyala" w:hAnsi="Nyala" w:cs="Arial"/>
          <w:color w:val="000000" w:themeColor="text1"/>
          <w:sz w:val="28"/>
          <w:szCs w:val="28"/>
        </w:rPr>
      </w:pPr>
      <w:r w:rsidRPr="00141D20">
        <w:rPr>
          <w:rFonts w:ascii="Nyala" w:hAnsi="Nyala" w:cs="Arial"/>
          <w:color w:val="000000" w:themeColor="text1"/>
          <w:sz w:val="28"/>
          <w:szCs w:val="28"/>
        </w:rPr>
        <w:t>mettre l’accent sur les cultures irriguées pour réduire les aléas sur les disponibilités alimentaires;</w:t>
      </w:r>
      <w:r w:rsidR="002955AC">
        <w:rPr>
          <w:rFonts w:ascii="Nyala" w:hAnsi="Nyala" w:cs="Arial"/>
          <w:color w:val="000000" w:themeColor="text1"/>
          <w:sz w:val="28"/>
          <w:szCs w:val="28"/>
        </w:rPr>
        <w:t xml:space="preserve"> faciliter la mobilisation des eaux pour l’agriculture et l’élevage ;</w:t>
      </w:r>
    </w:p>
    <w:p w:rsidR="00E32BCC" w:rsidRPr="00141D20" w:rsidRDefault="002955AC" w:rsidP="00141D20">
      <w:pPr>
        <w:pStyle w:val="Paragraphedeliste"/>
        <w:numPr>
          <w:ilvl w:val="0"/>
          <w:numId w:val="69"/>
        </w:numPr>
        <w:spacing w:after="0"/>
        <w:jc w:val="both"/>
        <w:rPr>
          <w:rFonts w:ascii="Nyala" w:hAnsi="Nyala" w:cs="Arial"/>
          <w:color w:val="000000" w:themeColor="text1"/>
          <w:sz w:val="28"/>
          <w:szCs w:val="28"/>
        </w:rPr>
      </w:pPr>
      <w:r>
        <w:rPr>
          <w:rFonts w:ascii="Nyala" w:hAnsi="Nyala" w:cs="Arial"/>
          <w:color w:val="000000" w:themeColor="text1"/>
          <w:sz w:val="28"/>
          <w:szCs w:val="28"/>
        </w:rPr>
        <w:t>m</w:t>
      </w:r>
      <w:r w:rsidR="00E32BCC" w:rsidRPr="00141D20">
        <w:rPr>
          <w:rFonts w:ascii="Nyala" w:hAnsi="Nyala" w:cs="Arial"/>
          <w:color w:val="000000" w:themeColor="text1"/>
          <w:sz w:val="28"/>
          <w:szCs w:val="28"/>
        </w:rPr>
        <w:t>ettre en place un comité régional de suivi de la mise en œuvre des recommandation</w:t>
      </w:r>
      <w:r>
        <w:rPr>
          <w:rFonts w:ascii="Nyala" w:hAnsi="Nyala" w:cs="Arial"/>
          <w:color w:val="000000" w:themeColor="text1"/>
          <w:sz w:val="28"/>
          <w:szCs w:val="28"/>
        </w:rPr>
        <w:t>s</w:t>
      </w:r>
      <w:r w:rsidR="00E32BCC" w:rsidRPr="00141D20">
        <w:rPr>
          <w:rFonts w:ascii="Nyala" w:hAnsi="Nyala" w:cs="Arial"/>
          <w:color w:val="000000" w:themeColor="text1"/>
          <w:sz w:val="28"/>
          <w:szCs w:val="28"/>
        </w:rPr>
        <w:t xml:space="preserve"> de la revue « Faim Zéro » ;</w:t>
      </w:r>
    </w:p>
    <w:p w:rsidR="002955AC" w:rsidRDefault="00E32BCC" w:rsidP="00141D20">
      <w:pPr>
        <w:pStyle w:val="Paragraphedeliste"/>
        <w:numPr>
          <w:ilvl w:val="0"/>
          <w:numId w:val="69"/>
        </w:numPr>
        <w:spacing w:after="0"/>
        <w:jc w:val="both"/>
        <w:rPr>
          <w:rFonts w:ascii="Nyala" w:hAnsi="Nyala" w:cs="Arial"/>
          <w:color w:val="000000" w:themeColor="text1"/>
          <w:sz w:val="28"/>
          <w:szCs w:val="28"/>
        </w:rPr>
      </w:pPr>
      <w:r w:rsidRPr="00141D20">
        <w:rPr>
          <w:rFonts w:ascii="Nyala" w:hAnsi="Nyala" w:cs="Arial"/>
          <w:color w:val="000000" w:themeColor="text1"/>
          <w:sz w:val="28"/>
          <w:szCs w:val="28"/>
        </w:rPr>
        <w:t>renforcer le personnel et la logistique d</w:t>
      </w:r>
      <w:r w:rsidR="002955AC">
        <w:rPr>
          <w:rFonts w:ascii="Nyala" w:hAnsi="Nyala" w:cs="Arial"/>
          <w:color w:val="000000" w:themeColor="text1"/>
          <w:sz w:val="28"/>
          <w:szCs w:val="28"/>
        </w:rPr>
        <w:t xml:space="preserve">es services déconcentrés de l’élevage et de l’agriculture ; </w:t>
      </w:r>
    </w:p>
    <w:p w:rsidR="00E32BCC" w:rsidRPr="00141D20" w:rsidRDefault="00E32BCC" w:rsidP="00141D20">
      <w:pPr>
        <w:pStyle w:val="Paragraphedeliste"/>
        <w:numPr>
          <w:ilvl w:val="0"/>
          <w:numId w:val="69"/>
        </w:numPr>
        <w:spacing w:after="0"/>
        <w:jc w:val="both"/>
        <w:rPr>
          <w:rFonts w:ascii="Nyala" w:hAnsi="Nyala" w:cs="Arial"/>
          <w:color w:val="000000" w:themeColor="text1"/>
          <w:sz w:val="28"/>
          <w:szCs w:val="28"/>
        </w:rPr>
      </w:pPr>
      <w:r w:rsidRPr="00141D20">
        <w:rPr>
          <w:rFonts w:ascii="Nyala" w:hAnsi="Nyala" w:cs="Arial"/>
          <w:color w:val="000000" w:themeColor="text1"/>
          <w:sz w:val="28"/>
          <w:szCs w:val="28"/>
        </w:rPr>
        <w:t>renforcer le leadership, la coordination, le suivi et l’évaluation des interventions au niveau de la région ;</w:t>
      </w:r>
    </w:p>
    <w:p w:rsidR="00E32BCC" w:rsidRPr="00141D20" w:rsidRDefault="00E32BCC" w:rsidP="00141D20">
      <w:pPr>
        <w:pStyle w:val="Paragraphedeliste"/>
        <w:numPr>
          <w:ilvl w:val="0"/>
          <w:numId w:val="69"/>
        </w:numPr>
        <w:spacing w:after="0"/>
        <w:jc w:val="both"/>
        <w:rPr>
          <w:rFonts w:ascii="Nyala" w:hAnsi="Nyala" w:cs="Arial"/>
          <w:sz w:val="28"/>
          <w:szCs w:val="28"/>
        </w:rPr>
      </w:pPr>
      <w:r w:rsidRPr="00141D20">
        <w:rPr>
          <w:rFonts w:ascii="Nyala" w:hAnsi="Nyala" w:cs="Arial"/>
          <w:color w:val="000000" w:themeColor="text1"/>
          <w:sz w:val="28"/>
          <w:szCs w:val="28"/>
        </w:rPr>
        <w:t xml:space="preserve">soutenir la </w:t>
      </w:r>
      <w:r w:rsidRPr="00141D20">
        <w:rPr>
          <w:rFonts w:ascii="Nyala" w:hAnsi="Nyala" w:cs="Arial"/>
          <w:sz w:val="28"/>
          <w:szCs w:val="28"/>
        </w:rPr>
        <w:t>mise en place d’une société civile rurale capable de défendre les intérêts des ruraux ;</w:t>
      </w:r>
    </w:p>
    <w:p w:rsidR="00E32BCC" w:rsidRDefault="00E32BCC" w:rsidP="00141D20">
      <w:pPr>
        <w:pStyle w:val="Paragraphedeliste"/>
        <w:numPr>
          <w:ilvl w:val="0"/>
          <w:numId w:val="69"/>
        </w:numPr>
        <w:spacing w:after="0"/>
        <w:jc w:val="both"/>
        <w:rPr>
          <w:rFonts w:ascii="Nyala" w:hAnsi="Nyala" w:cs="Arial"/>
          <w:sz w:val="28"/>
          <w:szCs w:val="28"/>
        </w:rPr>
      </w:pPr>
      <w:r w:rsidRPr="00141D20">
        <w:rPr>
          <w:rFonts w:ascii="Nyala" w:hAnsi="Nyala" w:cs="Arial"/>
          <w:sz w:val="28"/>
          <w:szCs w:val="28"/>
        </w:rPr>
        <w:t>promouvoir la transformation du lait local en produits dérivés ;</w:t>
      </w:r>
    </w:p>
    <w:p w:rsidR="002955AC" w:rsidRPr="00AA4A81" w:rsidRDefault="002955AC" w:rsidP="00141D20">
      <w:pPr>
        <w:pStyle w:val="Paragraphedeliste"/>
        <w:numPr>
          <w:ilvl w:val="0"/>
          <w:numId w:val="69"/>
        </w:numPr>
        <w:spacing w:after="0"/>
        <w:jc w:val="both"/>
        <w:rPr>
          <w:rFonts w:ascii="Nyala" w:hAnsi="Nyala" w:cs="Arial"/>
          <w:sz w:val="28"/>
          <w:szCs w:val="28"/>
        </w:rPr>
      </w:pPr>
      <w:r w:rsidRPr="00AA4A81">
        <w:rPr>
          <w:rFonts w:ascii="Nyala" w:hAnsi="Nyala" w:cs="Arial"/>
          <w:sz w:val="28"/>
          <w:szCs w:val="28"/>
        </w:rPr>
        <w:t>désenclaver les sites de production pour permettre l’acheminement des produits alimentaires dans les centres urbains ;</w:t>
      </w:r>
    </w:p>
    <w:p w:rsidR="00E32BCC" w:rsidRPr="00141D20" w:rsidRDefault="00E32BCC" w:rsidP="00141D20">
      <w:pPr>
        <w:pStyle w:val="Paragraphedeliste"/>
        <w:numPr>
          <w:ilvl w:val="0"/>
          <w:numId w:val="69"/>
        </w:numPr>
        <w:spacing w:after="0"/>
        <w:jc w:val="both"/>
        <w:rPr>
          <w:rFonts w:ascii="Nyala" w:hAnsi="Nyala" w:cs="Arial"/>
          <w:sz w:val="28"/>
          <w:szCs w:val="28"/>
        </w:rPr>
      </w:pPr>
      <w:r w:rsidRPr="00141D20">
        <w:rPr>
          <w:rFonts w:ascii="Nyala" w:hAnsi="Nyala" w:cs="Arial"/>
          <w:sz w:val="28"/>
          <w:szCs w:val="28"/>
        </w:rPr>
        <w:t>réhabiliter et développer les espèces végétales en voie de disparition ;</w:t>
      </w:r>
    </w:p>
    <w:p w:rsidR="00E32BCC" w:rsidRPr="00141D20" w:rsidRDefault="00E32BCC" w:rsidP="00141D20">
      <w:pPr>
        <w:pStyle w:val="Paragraphedeliste"/>
        <w:numPr>
          <w:ilvl w:val="0"/>
          <w:numId w:val="69"/>
        </w:numPr>
        <w:spacing w:after="0"/>
        <w:jc w:val="both"/>
        <w:rPr>
          <w:rFonts w:ascii="Nyala" w:hAnsi="Nyala" w:cs="Arial"/>
          <w:sz w:val="28"/>
          <w:szCs w:val="28"/>
        </w:rPr>
      </w:pPr>
      <w:r w:rsidRPr="00141D20">
        <w:rPr>
          <w:rFonts w:ascii="Nyala" w:hAnsi="Nyala" w:cs="Arial"/>
          <w:sz w:val="28"/>
          <w:szCs w:val="28"/>
        </w:rPr>
        <w:t>améliorer la communication, la capitalisation de l’information et la coordination en matière environnementale ;</w:t>
      </w:r>
    </w:p>
    <w:p w:rsidR="00E32BCC" w:rsidRPr="00141D20" w:rsidRDefault="00E32BCC" w:rsidP="00141D20">
      <w:pPr>
        <w:pStyle w:val="Paragraphedeliste"/>
        <w:numPr>
          <w:ilvl w:val="0"/>
          <w:numId w:val="69"/>
        </w:numPr>
        <w:spacing w:after="0"/>
        <w:jc w:val="both"/>
        <w:rPr>
          <w:rFonts w:ascii="Nyala" w:hAnsi="Nyala" w:cs="Arial"/>
          <w:sz w:val="28"/>
          <w:szCs w:val="28"/>
        </w:rPr>
      </w:pPr>
      <w:r w:rsidRPr="00141D20">
        <w:rPr>
          <w:rFonts w:ascii="Nyala" w:hAnsi="Nyala" w:cs="Arial"/>
          <w:sz w:val="28"/>
          <w:szCs w:val="28"/>
        </w:rPr>
        <w:t>accroitre les investissements à haute intensité de main d’œuvre dans le domaine environnemental ;</w:t>
      </w:r>
    </w:p>
    <w:p w:rsidR="00E32BCC" w:rsidRDefault="00E32BCC" w:rsidP="00141D20">
      <w:pPr>
        <w:pStyle w:val="Paragraphedeliste"/>
        <w:numPr>
          <w:ilvl w:val="0"/>
          <w:numId w:val="69"/>
        </w:numPr>
        <w:spacing w:after="0"/>
        <w:jc w:val="both"/>
        <w:rPr>
          <w:rFonts w:ascii="Nyala" w:hAnsi="Nyala" w:cs="Arial"/>
          <w:sz w:val="28"/>
          <w:szCs w:val="28"/>
        </w:rPr>
      </w:pPr>
      <w:r w:rsidRPr="00141D20">
        <w:rPr>
          <w:rFonts w:ascii="Nyala" w:hAnsi="Nyala" w:cs="Arial"/>
          <w:sz w:val="28"/>
          <w:szCs w:val="28"/>
        </w:rPr>
        <w:t xml:space="preserve">mettre l’accent sur la formation professionnelle, en partant des besoins constatés au niveau </w:t>
      </w:r>
      <w:r w:rsidR="002955AC">
        <w:rPr>
          <w:rFonts w:ascii="Nyala" w:hAnsi="Nyala" w:cs="Arial"/>
          <w:sz w:val="28"/>
          <w:szCs w:val="28"/>
        </w:rPr>
        <w:t>des régions ; r</w:t>
      </w:r>
      <w:r w:rsidRPr="00141D20">
        <w:rPr>
          <w:rFonts w:ascii="Nyala" w:hAnsi="Nyala" w:cs="Arial"/>
          <w:sz w:val="28"/>
          <w:szCs w:val="28"/>
        </w:rPr>
        <w:t>enforcer les capacités matérielles, financières et humaines des centres de formation aux métiers, en liaison avec les besoins du secteur rural (y compris la transformation et l’électrification rurale au solaire)</w:t>
      </w:r>
      <w:r w:rsidR="002955AC" w:rsidRPr="00141D20">
        <w:rPr>
          <w:rFonts w:ascii="Nyala" w:hAnsi="Nyala" w:cs="Arial"/>
          <w:sz w:val="28"/>
          <w:szCs w:val="28"/>
        </w:rPr>
        <w:t> ;</w:t>
      </w:r>
    </w:p>
    <w:p w:rsidR="00E32BCC" w:rsidRDefault="00E32BCC" w:rsidP="00141D20">
      <w:pPr>
        <w:pStyle w:val="Paragraphedeliste"/>
        <w:numPr>
          <w:ilvl w:val="0"/>
          <w:numId w:val="69"/>
        </w:numPr>
        <w:spacing w:after="0"/>
        <w:jc w:val="both"/>
        <w:rPr>
          <w:rFonts w:ascii="Nyala" w:hAnsi="Nyala" w:cs="Arial"/>
          <w:sz w:val="28"/>
          <w:szCs w:val="28"/>
        </w:rPr>
      </w:pPr>
      <w:r w:rsidRPr="00141D20">
        <w:rPr>
          <w:rFonts w:ascii="Nyala" w:hAnsi="Nyala" w:cs="Arial"/>
          <w:sz w:val="28"/>
          <w:szCs w:val="28"/>
        </w:rPr>
        <w:t>adapter les programmes d’enseignement des cycles secondaires aux besoins de l’économie et de la société ; au besoin, on pourrait revenir aux activités pratiques et productives (APP) des années 80 et 90, en les améliorant ;</w:t>
      </w:r>
    </w:p>
    <w:p w:rsidR="002955AC" w:rsidRPr="00141D20" w:rsidRDefault="002955AC" w:rsidP="00141D20">
      <w:pPr>
        <w:pStyle w:val="Paragraphedeliste"/>
        <w:spacing w:after="0"/>
        <w:ind w:left="1068"/>
        <w:jc w:val="both"/>
        <w:rPr>
          <w:rFonts w:ascii="Nyala" w:hAnsi="Nyala" w:cs="Arial"/>
          <w:sz w:val="28"/>
          <w:szCs w:val="28"/>
        </w:rPr>
      </w:pPr>
    </w:p>
    <w:p w:rsidR="00E32BCC" w:rsidRPr="00141D20" w:rsidRDefault="00E32BCC" w:rsidP="00141D20">
      <w:pPr>
        <w:pStyle w:val="Paragraphedeliste"/>
        <w:numPr>
          <w:ilvl w:val="0"/>
          <w:numId w:val="69"/>
        </w:numPr>
        <w:spacing w:after="0"/>
        <w:jc w:val="both"/>
        <w:rPr>
          <w:rFonts w:ascii="Nyala" w:hAnsi="Nyala" w:cs="Arial"/>
          <w:sz w:val="28"/>
          <w:szCs w:val="28"/>
        </w:rPr>
      </w:pPr>
      <w:r w:rsidRPr="00141D20">
        <w:rPr>
          <w:rFonts w:ascii="Nyala" w:hAnsi="Nyala" w:cs="Arial"/>
          <w:sz w:val="28"/>
          <w:szCs w:val="28"/>
        </w:rPr>
        <w:t>trouver une approche régionale qui permette aux différents intervenant dans la région de communiquer suffisamment entre eux et de faire la mise en commun en matière d’information sur ce que chacun fait ;</w:t>
      </w:r>
    </w:p>
    <w:p w:rsidR="00E32BCC" w:rsidRPr="00141D20" w:rsidRDefault="00E32BCC" w:rsidP="00141D20">
      <w:pPr>
        <w:pStyle w:val="Paragraphedeliste"/>
        <w:numPr>
          <w:ilvl w:val="0"/>
          <w:numId w:val="69"/>
        </w:numPr>
        <w:spacing w:after="0"/>
        <w:jc w:val="both"/>
        <w:rPr>
          <w:rFonts w:ascii="Nyala" w:hAnsi="Nyala" w:cs="Arial"/>
          <w:sz w:val="28"/>
          <w:szCs w:val="28"/>
        </w:rPr>
      </w:pPr>
      <w:r w:rsidRPr="00141D20">
        <w:rPr>
          <w:rFonts w:ascii="Nyala" w:hAnsi="Nyala" w:cs="Arial"/>
          <w:sz w:val="28"/>
          <w:szCs w:val="28"/>
        </w:rPr>
        <w:t>améliorer les relations entre les services de la douane et les commerçants, pour résor</w:t>
      </w:r>
      <w:r w:rsidR="00575973">
        <w:rPr>
          <w:rFonts w:ascii="Nyala" w:hAnsi="Nyala" w:cs="Arial"/>
          <w:sz w:val="28"/>
          <w:szCs w:val="28"/>
        </w:rPr>
        <w:t>ber l’incompréhension actuelle.</w:t>
      </w:r>
    </w:p>
    <w:p w:rsidR="002955AC" w:rsidRDefault="002955AC" w:rsidP="00141D20">
      <w:pPr>
        <w:spacing w:line="240" w:lineRule="auto"/>
        <w:jc w:val="both"/>
        <w:rPr>
          <w:rFonts w:ascii="Nyala" w:hAnsi="Nyala" w:cs="Arial"/>
          <w:b/>
          <w:color w:val="000000" w:themeColor="text1"/>
          <w:sz w:val="28"/>
          <w:szCs w:val="28"/>
        </w:rPr>
      </w:pPr>
    </w:p>
    <w:p w:rsidR="00456B45" w:rsidRDefault="00456B45">
      <w:pPr>
        <w:rPr>
          <w:rFonts w:ascii="Nyala" w:hAnsi="Nyala"/>
          <w:sz w:val="28"/>
          <w:szCs w:val="28"/>
        </w:rPr>
      </w:pPr>
      <w:r>
        <w:rPr>
          <w:rFonts w:ascii="Nyala" w:hAnsi="Nyala"/>
          <w:sz w:val="28"/>
          <w:szCs w:val="28"/>
        </w:rPr>
        <w:br w:type="page"/>
      </w:r>
    </w:p>
    <w:p w:rsidR="00EA1822" w:rsidRPr="006866D3" w:rsidRDefault="00463EEA" w:rsidP="000500A5">
      <w:pPr>
        <w:pStyle w:val="Titre1"/>
        <w:rPr>
          <w:sz w:val="28"/>
          <w:szCs w:val="28"/>
        </w:rPr>
      </w:pPr>
      <w:bookmarkStart w:id="590" w:name="_Toc526120000"/>
      <w:r w:rsidRPr="006866D3">
        <w:rPr>
          <w:sz w:val="28"/>
          <w:szCs w:val="28"/>
        </w:rPr>
        <w:t>conclusion</w:t>
      </w:r>
      <w:bookmarkEnd w:id="590"/>
    </w:p>
    <w:p w:rsidR="0025396A" w:rsidRPr="006866D3" w:rsidRDefault="0025396A" w:rsidP="008C50DA">
      <w:pPr>
        <w:tabs>
          <w:tab w:val="left" w:pos="2459"/>
        </w:tabs>
        <w:rPr>
          <w:rFonts w:ascii="Nyala" w:hAnsi="Nyala"/>
          <w:sz w:val="28"/>
          <w:szCs w:val="28"/>
        </w:rPr>
      </w:pPr>
    </w:p>
    <w:p w:rsidR="00E54A84" w:rsidRPr="006866D3" w:rsidRDefault="00094D69" w:rsidP="00094D69">
      <w:pPr>
        <w:tabs>
          <w:tab w:val="left" w:pos="2459"/>
        </w:tabs>
        <w:jc w:val="both"/>
        <w:rPr>
          <w:rFonts w:ascii="Nyala" w:hAnsi="Nyala"/>
          <w:sz w:val="28"/>
          <w:szCs w:val="28"/>
        </w:rPr>
      </w:pPr>
      <w:r w:rsidRPr="006866D3">
        <w:rPr>
          <w:rFonts w:ascii="Nyala" w:hAnsi="Nyala"/>
          <w:sz w:val="28"/>
          <w:szCs w:val="28"/>
        </w:rPr>
        <w:t xml:space="preserve">Au moment de la signature de l’Agenda 2030 en septembre 2015, le Niger était déjà engagé sinon avancé dans la lutte contre l’insécurité alimentaire et nutritionnelle et le développement durable. Il faudrait rappeler que le Niger depuis le début du millénaire s’était doté de politique publique (Stratégie de réduction de la pauvreté </w:t>
      </w:r>
      <w:r w:rsidR="00A91C78" w:rsidRPr="006866D3">
        <w:rPr>
          <w:rFonts w:ascii="Nyala" w:hAnsi="Nyala"/>
          <w:sz w:val="28"/>
          <w:szCs w:val="28"/>
        </w:rPr>
        <w:t xml:space="preserve">2000-2012 </w:t>
      </w:r>
      <w:r w:rsidRPr="006866D3">
        <w:rPr>
          <w:rFonts w:ascii="Nyala" w:hAnsi="Nyala"/>
          <w:sz w:val="28"/>
          <w:szCs w:val="28"/>
        </w:rPr>
        <w:t>et stratégie de développement rural</w:t>
      </w:r>
      <w:r w:rsidR="00A91C78" w:rsidRPr="006866D3">
        <w:rPr>
          <w:rFonts w:ascii="Nyala" w:hAnsi="Nyala"/>
          <w:sz w:val="28"/>
          <w:szCs w:val="28"/>
        </w:rPr>
        <w:t xml:space="preserve"> 2003-2011</w:t>
      </w:r>
      <w:r w:rsidRPr="006866D3">
        <w:rPr>
          <w:rFonts w:ascii="Nyala" w:hAnsi="Nyala"/>
          <w:sz w:val="28"/>
          <w:szCs w:val="28"/>
        </w:rPr>
        <w:t>) qui établissait un lien très fort entre réduction de la pauvreté, éradication de l’insécurité alimentaire et développement agricole durable dans un contexte de sécheresse récurrente et de dégradation des terres.</w:t>
      </w:r>
      <w:r w:rsidR="00A91C78" w:rsidRPr="006866D3">
        <w:rPr>
          <w:rFonts w:ascii="Nyala" w:hAnsi="Nyala"/>
          <w:sz w:val="28"/>
          <w:szCs w:val="28"/>
        </w:rPr>
        <w:t xml:space="preserve"> La SDDCI et l’Initiative 3N sont venus consolider les acquis antérieurs et réaffirmer la volonté </w:t>
      </w:r>
      <w:r w:rsidR="00A43A83" w:rsidRPr="006866D3">
        <w:rPr>
          <w:rFonts w:ascii="Nyala" w:hAnsi="Nyala"/>
          <w:sz w:val="28"/>
          <w:szCs w:val="28"/>
        </w:rPr>
        <w:t xml:space="preserve">nationaled’atteindre la Faim Zéro et d’autres objectifs de l’Agenda 2030 en lien avec le développement durable et l’éradication de la faim. </w:t>
      </w:r>
      <w:r w:rsidR="00E54A84" w:rsidRPr="006866D3">
        <w:rPr>
          <w:rFonts w:ascii="Nyala" w:hAnsi="Nyala"/>
          <w:sz w:val="28"/>
          <w:szCs w:val="28"/>
        </w:rPr>
        <w:t>D</w:t>
      </w:r>
      <w:r w:rsidR="00A43A83" w:rsidRPr="006866D3">
        <w:rPr>
          <w:rFonts w:ascii="Nyala" w:hAnsi="Nyala"/>
          <w:sz w:val="28"/>
          <w:szCs w:val="28"/>
        </w:rPr>
        <w:t>es cibles et indicateurs de</w:t>
      </w:r>
      <w:r w:rsidR="00E54A84" w:rsidRPr="006866D3">
        <w:rPr>
          <w:rFonts w:ascii="Nyala" w:hAnsi="Nyala"/>
          <w:sz w:val="28"/>
          <w:szCs w:val="28"/>
        </w:rPr>
        <w:t xml:space="preserve">s ODD </w:t>
      </w:r>
      <w:r w:rsidR="00A43A83" w:rsidRPr="006866D3">
        <w:rPr>
          <w:rFonts w:ascii="Nyala" w:hAnsi="Nyala"/>
          <w:sz w:val="28"/>
          <w:szCs w:val="28"/>
        </w:rPr>
        <w:t>ont été pris en c</w:t>
      </w:r>
      <w:r w:rsidR="00E54A84" w:rsidRPr="006866D3">
        <w:rPr>
          <w:rFonts w:ascii="Nyala" w:hAnsi="Nyala"/>
          <w:sz w:val="28"/>
          <w:szCs w:val="28"/>
        </w:rPr>
        <w:t>ompte dans le plan</w:t>
      </w:r>
      <w:r w:rsidR="00A43A83" w:rsidRPr="006866D3">
        <w:rPr>
          <w:rFonts w:ascii="Nyala" w:hAnsi="Nyala"/>
          <w:sz w:val="28"/>
          <w:szCs w:val="28"/>
        </w:rPr>
        <w:t xml:space="preserve"> d’</w:t>
      </w:r>
      <w:r w:rsidR="00E54A84" w:rsidRPr="006866D3">
        <w:rPr>
          <w:rFonts w:ascii="Nyala" w:hAnsi="Nyala"/>
          <w:sz w:val="28"/>
          <w:szCs w:val="28"/>
        </w:rPr>
        <w:t>action 2017-2021 de mise en œuvre de la SDDCI, après un exercice de priorisation animée par le Ministère du Plan avec l’appui du PNUD.</w:t>
      </w:r>
    </w:p>
    <w:p w:rsidR="00A91C78" w:rsidRPr="006866D3" w:rsidRDefault="00C83879" w:rsidP="00184D54">
      <w:pPr>
        <w:jc w:val="both"/>
        <w:rPr>
          <w:rFonts w:ascii="Nyala" w:hAnsi="Nyala"/>
          <w:sz w:val="28"/>
          <w:szCs w:val="28"/>
          <w:lang w:eastAsia="fr-FR"/>
        </w:rPr>
      </w:pPr>
      <w:r w:rsidRPr="006866D3">
        <w:rPr>
          <w:rFonts w:ascii="Nyala" w:hAnsi="Nyala"/>
          <w:sz w:val="28"/>
          <w:szCs w:val="28"/>
        </w:rPr>
        <w:t>Pour l’ODD2</w:t>
      </w:r>
      <w:r w:rsidR="00A91C78" w:rsidRPr="006866D3">
        <w:rPr>
          <w:rFonts w:ascii="Nyala" w:hAnsi="Nyala"/>
          <w:sz w:val="28"/>
          <w:szCs w:val="28"/>
        </w:rPr>
        <w:t xml:space="preserve">,  six </w:t>
      </w:r>
      <w:r w:rsidRPr="006866D3">
        <w:rPr>
          <w:rFonts w:ascii="Nyala" w:hAnsi="Nyala"/>
          <w:sz w:val="28"/>
          <w:szCs w:val="28"/>
        </w:rPr>
        <w:t xml:space="preserve">(6) </w:t>
      </w:r>
      <w:r w:rsidR="00A91C78" w:rsidRPr="006866D3">
        <w:rPr>
          <w:rFonts w:ascii="Nyala" w:hAnsi="Nyala"/>
          <w:sz w:val="28"/>
          <w:szCs w:val="28"/>
          <w:lang w:eastAsia="fr-FR"/>
        </w:rPr>
        <w:t>cibles sont considérées</w:t>
      </w:r>
      <w:r w:rsidR="00A76F79" w:rsidRPr="006866D3">
        <w:rPr>
          <w:rFonts w:ascii="Nyala" w:hAnsi="Nyala"/>
          <w:sz w:val="28"/>
          <w:szCs w:val="28"/>
          <w:lang w:eastAsia="fr-FR"/>
        </w:rPr>
        <w:t>, soit 79% de la totalité</w:t>
      </w:r>
      <w:r w:rsidR="00A91C78" w:rsidRPr="006866D3">
        <w:rPr>
          <w:rFonts w:ascii="Nyala" w:hAnsi="Nyala"/>
          <w:sz w:val="28"/>
          <w:szCs w:val="28"/>
          <w:lang w:eastAsia="fr-FR"/>
        </w:rPr>
        <w:t> ; elles ont trait à l’élimination de la faim et à l’augmentation de la productivité du travail et du revenu des producteurs (2.1 ; 2.2 ; et 2.3) et aux conditions de mise en œuvre (2.a ; 2.b ; 2.c). Pour ces cibles, une situation de référen</w:t>
      </w:r>
      <w:r w:rsidR="00A76F79" w:rsidRPr="006866D3">
        <w:rPr>
          <w:rFonts w:ascii="Nyala" w:hAnsi="Nyala"/>
          <w:sz w:val="28"/>
          <w:szCs w:val="28"/>
          <w:lang w:eastAsia="fr-FR"/>
        </w:rPr>
        <w:t xml:space="preserve">ce a été partiellement établie ; seuls 25% des indicateurs retenus de l’ODD2 ont été renseignés dans cette situation de référence. </w:t>
      </w:r>
      <w:r w:rsidR="00A91C78" w:rsidRPr="006866D3">
        <w:rPr>
          <w:rFonts w:ascii="Nyala" w:hAnsi="Nyala"/>
          <w:sz w:val="28"/>
          <w:szCs w:val="28"/>
          <w:lang w:eastAsia="fr-FR"/>
        </w:rPr>
        <w:t xml:space="preserve">Les cibles de l’ODD2 non </w:t>
      </w:r>
      <w:r w:rsidR="00A76F79" w:rsidRPr="006866D3">
        <w:rPr>
          <w:rFonts w:ascii="Nyala" w:hAnsi="Nyala"/>
          <w:sz w:val="28"/>
          <w:szCs w:val="28"/>
          <w:lang w:eastAsia="fr-FR"/>
        </w:rPr>
        <w:t xml:space="preserve">encore pris en compte </w:t>
      </w:r>
      <w:r w:rsidR="00A91C78" w:rsidRPr="006866D3">
        <w:rPr>
          <w:rFonts w:ascii="Nyala" w:hAnsi="Nyala"/>
          <w:sz w:val="28"/>
          <w:szCs w:val="28"/>
          <w:lang w:eastAsia="fr-FR"/>
        </w:rPr>
        <w:t xml:space="preserve">ont trait au développement d’une agriculture durable </w:t>
      </w:r>
      <w:r w:rsidR="00A76F79" w:rsidRPr="006866D3">
        <w:rPr>
          <w:rFonts w:ascii="Nyala" w:hAnsi="Nyala"/>
          <w:sz w:val="28"/>
          <w:szCs w:val="28"/>
          <w:lang w:eastAsia="fr-FR"/>
        </w:rPr>
        <w:t xml:space="preserve">(2.4 et 2.5). </w:t>
      </w:r>
    </w:p>
    <w:p w:rsidR="00953BC2" w:rsidRPr="006866D3" w:rsidRDefault="00A76F79" w:rsidP="00184D54">
      <w:pPr>
        <w:jc w:val="both"/>
        <w:rPr>
          <w:rFonts w:ascii="Nyala" w:hAnsi="Nyala"/>
          <w:sz w:val="28"/>
          <w:szCs w:val="28"/>
        </w:rPr>
      </w:pPr>
      <w:r w:rsidRPr="006866D3">
        <w:rPr>
          <w:rFonts w:ascii="Nyala" w:hAnsi="Nyala"/>
          <w:sz w:val="28"/>
          <w:szCs w:val="28"/>
        </w:rPr>
        <w:t xml:space="preserve">L’absence de données de référence pour certains indicateurs, l’imprécision sur les modalités d’évaluation pour d’autres et </w:t>
      </w:r>
      <w:r w:rsidR="00953BC2" w:rsidRPr="006866D3">
        <w:rPr>
          <w:rFonts w:ascii="Nyala" w:hAnsi="Nyala"/>
          <w:sz w:val="28"/>
          <w:szCs w:val="28"/>
        </w:rPr>
        <w:t>la détermination des actions spécifiques pour réaliser le programme de l’Agenda 2030 ont été des facteurs limitant pour la complétude et la pertinence de la présente revue stratégique. Néanmoins, le Niger en a tiré un ensemble de leçons :</w:t>
      </w:r>
    </w:p>
    <w:p w:rsidR="00D26527" w:rsidRPr="006866D3" w:rsidRDefault="00D26527" w:rsidP="0059103A">
      <w:pPr>
        <w:pStyle w:val="Paragraphedeliste"/>
        <w:numPr>
          <w:ilvl w:val="0"/>
          <w:numId w:val="17"/>
        </w:numPr>
        <w:tabs>
          <w:tab w:val="left" w:pos="2459"/>
        </w:tabs>
        <w:jc w:val="both"/>
        <w:rPr>
          <w:rFonts w:ascii="Nyala" w:hAnsi="Nyala"/>
          <w:sz w:val="28"/>
          <w:szCs w:val="28"/>
        </w:rPr>
      </w:pPr>
      <w:r w:rsidRPr="006866D3">
        <w:rPr>
          <w:rFonts w:ascii="Nyala" w:hAnsi="Nyala"/>
          <w:sz w:val="28"/>
          <w:szCs w:val="28"/>
        </w:rPr>
        <w:t xml:space="preserve">La revue stratégique constitue une opportunité pour revisiter les stratégies actuelles de sécurité alimentaire et nutritionnelle et de développement agricole durable. </w:t>
      </w:r>
    </w:p>
    <w:p w:rsidR="00D26527" w:rsidRPr="006866D3" w:rsidRDefault="00D26527" w:rsidP="00D26527">
      <w:pPr>
        <w:pStyle w:val="Paragraphedeliste"/>
        <w:jc w:val="both"/>
        <w:rPr>
          <w:rFonts w:ascii="Nyala" w:hAnsi="Nyala"/>
          <w:sz w:val="28"/>
          <w:szCs w:val="28"/>
        </w:rPr>
      </w:pPr>
    </w:p>
    <w:p w:rsidR="00243385" w:rsidRPr="006866D3" w:rsidRDefault="00CE2963" w:rsidP="0059103A">
      <w:pPr>
        <w:pStyle w:val="Paragraphedeliste"/>
        <w:numPr>
          <w:ilvl w:val="0"/>
          <w:numId w:val="17"/>
        </w:numPr>
        <w:tabs>
          <w:tab w:val="left" w:pos="2459"/>
        </w:tabs>
        <w:jc w:val="both"/>
        <w:rPr>
          <w:rFonts w:ascii="Nyala" w:hAnsi="Nyala"/>
          <w:sz w:val="28"/>
          <w:szCs w:val="28"/>
        </w:rPr>
      </w:pPr>
      <w:r w:rsidRPr="006866D3">
        <w:rPr>
          <w:rFonts w:ascii="Nyala" w:hAnsi="Nyala"/>
          <w:sz w:val="28"/>
          <w:szCs w:val="28"/>
        </w:rPr>
        <w:t xml:space="preserve">L’absence </w:t>
      </w:r>
      <w:r w:rsidR="00953BC2" w:rsidRPr="006866D3">
        <w:rPr>
          <w:rFonts w:ascii="Nyala" w:hAnsi="Nyala"/>
          <w:sz w:val="28"/>
          <w:szCs w:val="28"/>
        </w:rPr>
        <w:t>d’un plan d’actions spécifiques</w:t>
      </w:r>
      <w:r w:rsidRPr="006866D3">
        <w:rPr>
          <w:rFonts w:ascii="Nyala" w:hAnsi="Nyala"/>
          <w:sz w:val="28"/>
          <w:szCs w:val="28"/>
        </w:rPr>
        <w:t xml:space="preserve"> etd’un cadre institutionnel bien défini pour la mise en œuvre et le suivi-évaluation constitue un handicap pour le suivi des progrès vers l’objectif faim zéro. </w:t>
      </w:r>
      <w:r w:rsidR="00243385" w:rsidRPr="006866D3">
        <w:rPr>
          <w:rFonts w:ascii="Nyala" w:hAnsi="Nyala"/>
          <w:sz w:val="28"/>
          <w:szCs w:val="28"/>
        </w:rPr>
        <w:t xml:space="preserve">Ce plan doit définir les activités à mener à court, moyen et long terme pour chaque cible, les approches opérationnelles à observer, les indicateurs (consensuels ou proxy) à retenir et les mécanismes de coordination et de suivi de la mise en œuvre. </w:t>
      </w:r>
    </w:p>
    <w:p w:rsidR="00184D54" w:rsidRPr="006866D3" w:rsidRDefault="00184D54" w:rsidP="00184D54">
      <w:pPr>
        <w:pStyle w:val="Paragraphedeliste"/>
        <w:tabs>
          <w:tab w:val="left" w:pos="2459"/>
        </w:tabs>
        <w:jc w:val="both"/>
        <w:rPr>
          <w:rFonts w:ascii="Nyala" w:hAnsi="Nyala"/>
          <w:sz w:val="28"/>
          <w:szCs w:val="28"/>
        </w:rPr>
      </w:pPr>
    </w:p>
    <w:p w:rsidR="00094D69" w:rsidRPr="006866D3" w:rsidRDefault="00783E66" w:rsidP="0059103A">
      <w:pPr>
        <w:pStyle w:val="Paragraphedeliste"/>
        <w:numPr>
          <w:ilvl w:val="0"/>
          <w:numId w:val="17"/>
        </w:numPr>
        <w:tabs>
          <w:tab w:val="left" w:pos="2459"/>
        </w:tabs>
        <w:jc w:val="both"/>
        <w:rPr>
          <w:rFonts w:ascii="Nyala" w:hAnsi="Nyala"/>
          <w:sz w:val="28"/>
          <w:szCs w:val="28"/>
        </w:rPr>
      </w:pPr>
      <w:r w:rsidRPr="006866D3">
        <w:rPr>
          <w:rFonts w:ascii="Nyala" w:hAnsi="Nyala"/>
          <w:sz w:val="28"/>
          <w:szCs w:val="28"/>
        </w:rPr>
        <w:t xml:space="preserve">L’appropriation de l’ODD2 et l’implication de toutes les parties prenantes en particulier le secteur privé, les organisations paysannes et les ONG sont nécessaires pour ne laisser personne pour compte. Cela ne peut être obtenu qu’à travers des concertations multi-acteurs régulières ; les multiples mécanismes actuels de concertations et de pilotage mis en place dans le cadre de l’Initiative 3N, présente des défaillances dans leur fonctionnement et leur efficacité.  </w:t>
      </w:r>
      <w:r w:rsidR="00184D54" w:rsidRPr="006866D3">
        <w:rPr>
          <w:rFonts w:ascii="Nyala" w:hAnsi="Nyala"/>
          <w:sz w:val="28"/>
          <w:szCs w:val="28"/>
        </w:rPr>
        <w:t>Une rationalisation des cadres de concertation et autres comités multisectoriels paraît nécessaire.</w:t>
      </w:r>
    </w:p>
    <w:p w:rsidR="00184D54" w:rsidRPr="006866D3" w:rsidRDefault="00184D54" w:rsidP="00184D54">
      <w:pPr>
        <w:pStyle w:val="Paragraphedeliste"/>
        <w:jc w:val="both"/>
        <w:rPr>
          <w:rFonts w:ascii="Nyala" w:hAnsi="Nyala"/>
          <w:sz w:val="28"/>
          <w:szCs w:val="28"/>
        </w:rPr>
      </w:pPr>
    </w:p>
    <w:p w:rsidR="00184D54" w:rsidRPr="006866D3" w:rsidRDefault="00184D54" w:rsidP="0059103A">
      <w:pPr>
        <w:pStyle w:val="Paragraphedeliste"/>
        <w:numPr>
          <w:ilvl w:val="0"/>
          <w:numId w:val="17"/>
        </w:numPr>
        <w:tabs>
          <w:tab w:val="left" w:pos="2459"/>
        </w:tabs>
        <w:jc w:val="both"/>
        <w:rPr>
          <w:rFonts w:ascii="Nyala" w:hAnsi="Nyala"/>
          <w:sz w:val="28"/>
          <w:szCs w:val="28"/>
        </w:rPr>
      </w:pPr>
      <w:r w:rsidRPr="006866D3">
        <w:rPr>
          <w:rFonts w:ascii="Nyala" w:hAnsi="Nyala"/>
          <w:sz w:val="28"/>
          <w:szCs w:val="28"/>
        </w:rPr>
        <w:t xml:space="preserve">L’ODD2 dans son libellé fait une intègre les trois dimensions de la </w:t>
      </w:r>
      <w:r w:rsidRPr="006866D3">
        <w:rPr>
          <w:rFonts w:ascii="Nyala" w:hAnsi="Nyala"/>
          <w:b/>
          <w:i/>
          <w:sz w:val="28"/>
          <w:szCs w:val="28"/>
        </w:rPr>
        <w:t xml:space="preserve">«Transformation vers des sociétés durables et résilientes » : </w:t>
      </w:r>
      <w:r w:rsidRPr="006866D3">
        <w:rPr>
          <w:rFonts w:ascii="Nyala" w:hAnsi="Nyala"/>
          <w:sz w:val="28"/>
          <w:szCs w:val="28"/>
        </w:rPr>
        <w:t>la dimension sociale avec des vies à améliorer et à sauver dans les situations d’urgence, la dimension économique avec la productivité et les revenus des producteurs à accroître et la dimension environnementale avec les pratiques agricoles résilientes et la préservation des ressources génétiques. La plupart des opérations menées par les services publiques, les projets d’investissements et les actions humanitaires abordent ces trois dimensions mais parfois de façon cloisonnée avec des difficultés de mesurer les effets de l’action humanitaire sur l’économie agricole et le développement agricole durable et vice-versa.</w:t>
      </w:r>
    </w:p>
    <w:p w:rsidR="00CE2963" w:rsidRPr="006866D3" w:rsidRDefault="00CE2963" w:rsidP="00CE2963">
      <w:pPr>
        <w:pStyle w:val="Paragraphedeliste"/>
        <w:rPr>
          <w:rFonts w:ascii="Nyala" w:hAnsi="Nyala"/>
          <w:sz w:val="28"/>
          <w:szCs w:val="28"/>
        </w:rPr>
      </w:pPr>
    </w:p>
    <w:p w:rsidR="00EA2DEB" w:rsidRPr="006866D3" w:rsidRDefault="00EA2DEB">
      <w:pPr>
        <w:rPr>
          <w:sz w:val="28"/>
          <w:szCs w:val="28"/>
        </w:rPr>
      </w:pPr>
      <w:bookmarkStart w:id="591" w:name="_Toc518387570"/>
      <w:r w:rsidRPr="006866D3">
        <w:rPr>
          <w:sz w:val="28"/>
          <w:szCs w:val="28"/>
        </w:rPr>
        <w:br w:type="page"/>
      </w:r>
    </w:p>
    <w:p w:rsidR="00EA2DEB" w:rsidRPr="006866D3" w:rsidRDefault="00EA2DEB" w:rsidP="000500A5">
      <w:pPr>
        <w:pStyle w:val="Titre1"/>
        <w:rPr>
          <w:sz w:val="28"/>
          <w:szCs w:val="28"/>
        </w:rPr>
      </w:pPr>
      <w:bookmarkStart w:id="592" w:name="_Toc526120001"/>
      <w:r w:rsidRPr="006866D3">
        <w:rPr>
          <w:sz w:val="28"/>
          <w:szCs w:val="28"/>
        </w:rPr>
        <w:t>Annexes</w:t>
      </w:r>
      <w:bookmarkEnd w:id="592"/>
    </w:p>
    <w:bookmarkEnd w:id="591"/>
    <w:p w:rsidR="00EA2DEB" w:rsidRPr="006866D3" w:rsidRDefault="00EA2DEB" w:rsidP="0024399D">
      <w:pPr>
        <w:rPr>
          <w:rFonts w:ascii="Nyala" w:hAnsi="Nyala"/>
          <w:sz w:val="28"/>
          <w:szCs w:val="28"/>
        </w:rPr>
      </w:pPr>
    </w:p>
    <w:p w:rsidR="00B56E1F" w:rsidRPr="006866D3" w:rsidRDefault="00B56E1F" w:rsidP="000F30A3">
      <w:pPr>
        <w:pStyle w:val="Titre2"/>
        <w:rPr>
          <w:sz w:val="28"/>
          <w:szCs w:val="28"/>
        </w:rPr>
      </w:pPr>
      <w:bookmarkStart w:id="593" w:name="_Toc526120002"/>
      <w:r w:rsidRPr="006866D3">
        <w:rPr>
          <w:sz w:val="28"/>
          <w:szCs w:val="28"/>
        </w:rPr>
        <w:t>Documentation consultée</w:t>
      </w:r>
      <w:bookmarkEnd w:id="593"/>
    </w:p>
    <w:p w:rsidR="00DE7A10" w:rsidRDefault="00DE7A10" w:rsidP="0024399D">
      <w:pPr>
        <w:rPr>
          <w:rFonts w:ascii="Nyala" w:hAnsi="Nyala"/>
          <w:sz w:val="28"/>
          <w:szCs w:val="28"/>
        </w:rPr>
      </w:pPr>
    </w:p>
    <w:tbl>
      <w:tblPr>
        <w:tblW w:w="9071" w:type="dxa"/>
        <w:tblInd w:w="-5" w:type="dxa"/>
        <w:tblLayout w:type="fixed"/>
        <w:tblCellMar>
          <w:left w:w="70" w:type="dxa"/>
          <w:right w:w="70" w:type="dxa"/>
        </w:tblCellMar>
        <w:tblLook w:val="04A0" w:firstRow="1" w:lastRow="0" w:firstColumn="1" w:lastColumn="0" w:noHBand="0" w:noVBand="1"/>
      </w:tblPr>
      <w:tblGrid>
        <w:gridCol w:w="2552"/>
        <w:gridCol w:w="283"/>
        <w:gridCol w:w="6236"/>
      </w:tblGrid>
      <w:tr w:rsidR="002750EA" w:rsidRPr="006866D3" w:rsidTr="009B11E1">
        <w:trPr>
          <w:trHeight w:val="283"/>
        </w:trPr>
        <w:tc>
          <w:tcPr>
            <w:tcW w:w="2552" w:type="dxa"/>
            <w:shd w:val="clear" w:color="auto" w:fill="auto"/>
          </w:tcPr>
          <w:p w:rsidR="002750EA" w:rsidRPr="009B11E1" w:rsidRDefault="002750EA" w:rsidP="009B11E1">
            <w:pPr>
              <w:spacing w:before="0" w:line="240" w:lineRule="auto"/>
              <w:rPr>
                <w:rFonts w:ascii="Nyala" w:eastAsia="Times New Roman" w:hAnsi="Nyala" w:cs="Times New Roman"/>
                <w:b/>
                <w:sz w:val="16"/>
                <w:szCs w:val="16"/>
                <w:lang w:eastAsia="fr-FR"/>
              </w:rPr>
            </w:pPr>
            <w:r w:rsidRPr="009B11E1">
              <w:rPr>
                <w:rFonts w:ascii="Nyala" w:eastAsia="Times New Roman" w:hAnsi="Nyala" w:cs="Times New Roman"/>
                <w:b/>
                <w:sz w:val="16"/>
                <w:szCs w:val="16"/>
                <w:lang w:eastAsia="fr-FR"/>
              </w:rPr>
              <w:t>Année</w:t>
            </w:r>
          </w:p>
        </w:tc>
        <w:tc>
          <w:tcPr>
            <w:tcW w:w="283" w:type="dxa"/>
            <w:vAlign w:val="center"/>
          </w:tcPr>
          <w:p w:rsidR="002750EA" w:rsidRPr="009B11E1" w:rsidRDefault="002750EA" w:rsidP="009B11E1">
            <w:pPr>
              <w:spacing w:before="0" w:line="240" w:lineRule="auto"/>
              <w:rPr>
                <w:rFonts w:ascii="Nyala" w:eastAsia="Times New Roman" w:hAnsi="Nyala" w:cs="Times New Roman"/>
                <w:sz w:val="16"/>
                <w:szCs w:val="16"/>
                <w:lang w:eastAsia="fr-FR"/>
              </w:rPr>
            </w:pPr>
          </w:p>
        </w:tc>
        <w:tc>
          <w:tcPr>
            <w:tcW w:w="6236" w:type="dxa"/>
            <w:shd w:val="clear" w:color="auto" w:fill="auto"/>
            <w:noWrap/>
            <w:hideMark/>
          </w:tcPr>
          <w:p w:rsidR="002750EA" w:rsidRPr="009B11E1" w:rsidRDefault="002750EA" w:rsidP="009B11E1">
            <w:pPr>
              <w:spacing w:before="0" w:line="240" w:lineRule="auto"/>
              <w:rPr>
                <w:rFonts w:ascii="Nyala" w:eastAsia="Times New Roman" w:hAnsi="Nyala" w:cs="Times New Roman"/>
                <w:sz w:val="16"/>
                <w:szCs w:val="16"/>
                <w:lang w:eastAsia="fr-FR"/>
              </w:rPr>
            </w:pPr>
            <w:r w:rsidRPr="009B11E1">
              <w:rPr>
                <w:rFonts w:ascii="Nyala" w:eastAsia="Times New Roman" w:hAnsi="Nyala" w:cs="Times New Roman"/>
                <w:sz w:val="16"/>
                <w:szCs w:val="16"/>
                <w:lang w:eastAsia="fr-FR"/>
              </w:rPr>
              <w:t>Titre</w:t>
            </w:r>
          </w:p>
        </w:tc>
      </w:tr>
      <w:tr w:rsidR="00010607" w:rsidRPr="006866D3" w:rsidTr="009B11E1">
        <w:trPr>
          <w:trHeight w:val="283"/>
        </w:trPr>
        <w:tc>
          <w:tcPr>
            <w:tcW w:w="2552" w:type="dxa"/>
            <w:shd w:val="clear" w:color="auto" w:fill="auto"/>
          </w:tcPr>
          <w:p w:rsidR="00C353B9" w:rsidRPr="009B11E1" w:rsidRDefault="00C353B9"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B</w:t>
            </w:r>
            <w:r w:rsidR="00A37A50" w:rsidRPr="009B11E1">
              <w:rPr>
                <w:rFonts w:ascii="Nyala" w:eastAsia="Times New Roman" w:hAnsi="Nyala" w:cs="Times New Roman"/>
                <w:b/>
                <w:bCs/>
                <w:color w:val="000000"/>
                <w:sz w:val="16"/>
                <w:szCs w:val="16"/>
                <w:lang w:eastAsia="fr-FR"/>
              </w:rPr>
              <w:t xml:space="preserve">anque </w:t>
            </w:r>
            <w:r w:rsidRPr="009B11E1">
              <w:rPr>
                <w:rFonts w:ascii="Nyala" w:eastAsia="Times New Roman" w:hAnsi="Nyala" w:cs="Times New Roman"/>
                <w:b/>
                <w:bCs/>
                <w:color w:val="000000"/>
                <w:sz w:val="16"/>
                <w:szCs w:val="16"/>
                <w:lang w:eastAsia="fr-FR"/>
              </w:rPr>
              <w:t>M</w:t>
            </w:r>
            <w:r w:rsidR="00A37A50" w:rsidRPr="009B11E1">
              <w:rPr>
                <w:rFonts w:ascii="Nyala" w:eastAsia="Times New Roman" w:hAnsi="Nyala" w:cs="Times New Roman"/>
                <w:b/>
                <w:bCs/>
                <w:color w:val="000000"/>
                <w:sz w:val="16"/>
                <w:szCs w:val="16"/>
                <w:lang w:eastAsia="fr-FR"/>
              </w:rPr>
              <w:t>ondiale (2014</w:t>
            </w:r>
            <w:r w:rsidRPr="009B11E1">
              <w:rPr>
                <w:rFonts w:ascii="Nyala" w:eastAsia="Times New Roman" w:hAnsi="Nyala" w:cs="Times New Roman"/>
                <w:b/>
                <w:bCs/>
                <w:color w:val="000000"/>
                <w:sz w:val="16"/>
                <w:szCs w:val="16"/>
                <w:lang w:eastAsia="fr-FR"/>
              </w:rPr>
              <w:t>)</w:t>
            </w:r>
          </w:p>
        </w:tc>
        <w:tc>
          <w:tcPr>
            <w:tcW w:w="283" w:type="dxa"/>
            <w:vAlign w:val="center"/>
          </w:tcPr>
          <w:p w:rsidR="00C353B9" w:rsidRPr="009B11E1" w:rsidDel="002750EA"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hideMark/>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Propos d'hommes et de femmes au sujet des normes sociales au Niger</w:t>
            </w:r>
          </w:p>
        </w:tc>
      </w:tr>
      <w:tr w:rsidR="00010607" w:rsidRPr="006866D3" w:rsidTr="009B11E1">
        <w:trPr>
          <w:trHeight w:val="283"/>
        </w:trPr>
        <w:tc>
          <w:tcPr>
            <w:tcW w:w="2552" w:type="dxa"/>
            <w:shd w:val="clear" w:color="auto" w:fill="auto"/>
          </w:tcPr>
          <w:p w:rsidR="00C353B9" w:rsidRPr="009B11E1" w:rsidRDefault="00C353B9"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B</w:t>
            </w:r>
            <w:r w:rsidR="00A37A50" w:rsidRPr="009B11E1">
              <w:rPr>
                <w:rFonts w:ascii="Nyala" w:eastAsia="Times New Roman" w:hAnsi="Nyala" w:cs="Times New Roman"/>
                <w:b/>
                <w:bCs/>
                <w:color w:val="000000"/>
                <w:sz w:val="16"/>
                <w:szCs w:val="16"/>
                <w:lang w:eastAsia="fr-FR"/>
              </w:rPr>
              <w:t>anque Mondiale (2013</w:t>
            </w:r>
            <w:r w:rsidRPr="009B11E1">
              <w:rPr>
                <w:rFonts w:ascii="Nyala" w:eastAsia="Times New Roman" w:hAnsi="Nyala" w:cs="Times New Roman"/>
                <w:b/>
                <w:bCs/>
                <w:color w:val="000000"/>
                <w:sz w:val="16"/>
                <w:szCs w:val="16"/>
                <w:lang w:eastAsia="fr-FR"/>
              </w:rPr>
              <w:t>)</w:t>
            </w:r>
          </w:p>
        </w:tc>
        <w:tc>
          <w:tcPr>
            <w:tcW w:w="283" w:type="dxa"/>
            <w:vAlign w:val="center"/>
          </w:tcPr>
          <w:p w:rsidR="00C353B9" w:rsidRPr="009B11E1" w:rsidDel="002750EA"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hideMark/>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Évaluation des risques du secteur agricole au Niger: De la réaction aux crises à la gestion des risques à Long Terme</w:t>
            </w:r>
          </w:p>
        </w:tc>
      </w:tr>
      <w:tr w:rsidR="00010607" w:rsidRPr="006866D3" w:rsidTr="009B11E1">
        <w:trPr>
          <w:trHeight w:val="283"/>
        </w:trPr>
        <w:tc>
          <w:tcPr>
            <w:tcW w:w="2552" w:type="dxa"/>
            <w:shd w:val="clear" w:color="auto" w:fill="auto"/>
          </w:tcPr>
          <w:p w:rsidR="00C353B9" w:rsidRPr="009B11E1" w:rsidRDefault="00C353B9"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Burkina Faso (2016)</w:t>
            </w:r>
          </w:p>
        </w:tc>
        <w:tc>
          <w:tcPr>
            <w:tcW w:w="283" w:type="dxa"/>
            <w:vAlign w:val="center"/>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hideMark/>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BURKINA FASO- Revue stratégique « faim zéro » au Burkina Faso. Etat des lieux de la situation alimentaire et nutritionnelle</w:t>
            </w:r>
          </w:p>
        </w:tc>
      </w:tr>
      <w:tr w:rsidR="00010607" w:rsidRPr="006866D3" w:rsidTr="009B11E1">
        <w:trPr>
          <w:trHeight w:val="283"/>
        </w:trPr>
        <w:tc>
          <w:tcPr>
            <w:tcW w:w="2552" w:type="dxa"/>
            <w:shd w:val="clear" w:color="auto" w:fill="auto"/>
          </w:tcPr>
          <w:p w:rsidR="00C353B9" w:rsidRPr="009B11E1" w:rsidRDefault="00C353B9" w:rsidP="009B11E1">
            <w:pPr>
              <w:spacing w:before="0" w:line="240" w:lineRule="auto"/>
              <w:rPr>
                <w:rFonts w:ascii="Nyala" w:hAnsi="Nyala"/>
                <w:b/>
                <w:sz w:val="16"/>
                <w:szCs w:val="16"/>
              </w:rPr>
            </w:pPr>
            <w:r w:rsidRPr="009B11E1">
              <w:rPr>
                <w:rFonts w:ascii="Nyala" w:hAnsi="Nyala"/>
                <w:b/>
                <w:sz w:val="16"/>
                <w:szCs w:val="16"/>
              </w:rPr>
              <w:t>CILSS (2004)</w:t>
            </w:r>
          </w:p>
        </w:tc>
        <w:tc>
          <w:tcPr>
            <w:tcW w:w="283" w:type="dxa"/>
            <w:vAlign w:val="center"/>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C353B9" w:rsidRPr="009B11E1" w:rsidRDefault="003065B6" w:rsidP="009B11E1">
            <w:pPr>
              <w:pStyle w:val="Notedebasdepage"/>
              <w:spacing w:after="200"/>
              <w:rPr>
                <w:rFonts w:ascii="Nyala" w:hAnsi="Nyala"/>
                <w:sz w:val="16"/>
                <w:szCs w:val="16"/>
              </w:rPr>
            </w:pPr>
            <w:r w:rsidRPr="009B11E1">
              <w:rPr>
                <w:rFonts w:ascii="Nyala" w:hAnsi="Nyala"/>
                <w:sz w:val="16"/>
                <w:szCs w:val="16"/>
              </w:rPr>
              <w:t>N</w:t>
            </w:r>
            <w:r w:rsidR="00042CC6" w:rsidRPr="009B11E1">
              <w:rPr>
                <w:rFonts w:ascii="Nyala" w:hAnsi="Nyala"/>
                <w:sz w:val="16"/>
                <w:szCs w:val="16"/>
              </w:rPr>
              <w:t xml:space="preserve">ormes e consommation des principaux produits alimentaires dans les pays du CILSS </w:t>
            </w:r>
          </w:p>
        </w:tc>
      </w:tr>
      <w:tr w:rsidR="00010607" w:rsidRPr="006866D3" w:rsidTr="009B11E1">
        <w:trPr>
          <w:trHeight w:val="283"/>
        </w:trPr>
        <w:tc>
          <w:tcPr>
            <w:tcW w:w="2552" w:type="dxa"/>
            <w:shd w:val="clear" w:color="auto" w:fill="auto"/>
          </w:tcPr>
          <w:p w:rsidR="00C353B9" w:rsidRPr="009B11E1" w:rsidRDefault="00C353B9" w:rsidP="009B11E1">
            <w:pPr>
              <w:spacing w:before="0" w:line="240" w:lineRule="auto"/>
              <w:rPr>
                <w:rFonts w:ascii="Nyala" w:hAnsi="Nyala"/>
                <w:b/>
                <w:sz w:val="16"/>
                <w:szCs w:val="16"/>
              </w:rPr>
            </w:pPr>
            <w:r w:rsidRPr="009B11E1">
              <w:rPr>
                <w:rFonts w:ascii="Nyala" w:hAnsi="Nyala"/>
                <w:b/>
                <w:sz w:val="16"/>
                <w:szCs w:val="16"/>
              </w:rPr>
              <w:t>Danda Mahamadou (2017)</w:t>
            </w:r>
          </w:p>
        </w:tc>
        <w:tc>
          <w:tcPr>
            <w:tcW w:w="283" w:type="dxa"/>
            <w:vAlign w:val="center"/>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C353B9" w:rsidRPr="009B11E1" w:rsidRDefault="00C353B9" w:rsidP="009B11E1">
            <w:pPr>
              <w:pStyle w:val="Notedebasdepage"/>
              <w:spacing w:after="200"/>
              <w:rPr>
                <w:rFonts w:ascii="Nyala" w:hAnsi="Nyala"/>
                <w:sz w:val="16"/>
                <w:szCs w:val="16"/>
              </w:rPr>
            </w:pPr>
            <w:r w:rsidRPr="009B11E1">
              <w:rPr>
                <w:rFonts w:ascii="Nyala" w:hAnsi="Nyala"/>
                <w:sz w:val="16"/>
                <w:szCs w:val="16"/>
              </w:rPr>
              <w:t>Lien Sécurité et migration – Développement de la région du sahele : une vue du Niger, Conférence internationale IAI, FEEP, Décembr</w:t>
            </w:r>
            <w:r w:rsidR="00042CC6" w:rsidRPr="009B11E1">
              <w:rPr>
                <w:rFonts w:ascii="Nyala" w:hAnsi="Nyala"/>
                <w:sz w:val="16"/>
                <w:szCs w:val="16"/>
              </w:rPr>
              <w:t>e 2017, Addis-Abeba (Ethiopie).</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DS / MAG/EL</w:t>
            </w:r>
          </w:p>
        </w:tc>
        <w:tc>
          <w:tcPr>
            <w:tcW w:w="283" w:type="dxa"/>
            <w:vAlign w:val="center"/>
          </w:tcPr>
          <w:p w:rsidR="00A23D71" w:rsidRPr="009B11E1" w:rsidDel="002750EA"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Rapport National de synthèse – évaluation des résltats de campagne hivernage – 2012, 2013, 2015, 2016</w:t>
            </w:r>
          </w:p>
        </w:tc>
      </w:tr>
      <w:tr w:rsidR="00010607" w:rsidRPr="006866D3" w:rsidTr="009B11E1">
        <w:trPr>
          <w:trHeight w:val="283"/>
        </w:trPr>
        <w:tc>
          <w:tcPr>
            <w:tcW w:w="2552" w:type="dxa"/>
            <w:shd w:val="clear" w:color="auto" w:fill="auto"/>
          </w:tcPr>
          <w:p w:rsidR="00C353B9" w:rsidRPr="009B11E1" w:rsidRDefault="00C353B9" w:rsidP="009B11E1">
            <w:pPr>
              <w:spacing w:before="0" w:line="240" w:lineRule="auto"/>
              <w:rPr>
                <w:rFonts w:ascii="Nyala" w:hAnsi="Nyala"/>
                <w:b/>
                <w:sz w:val="16"/>
                <w:szCs w:val="16"/>
              </w:rPr>
            </w:pPr>
            <w:r w:rsidRPr="009B11E1">
              <w:rPr>
                <w:rFonts w:ascii="Nyala" w:hAnsi="Nyala"/>
                <w:b/>
                <w:sz w:val="16"/>
                <w:szCs w:val="16"/>
              </w:rPr>
              <w:t>FAO (2017)</w:t>
            </w:r>
          </w:p>
        </w:tc>
        <w:tc>
          <w:tcPr>
            <w:tcW w:w="283" w:type="dxa"/>
            <w:vAlign w:val="center"/>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C353B9" w:rsidRPr="009B11E1" w:rsidRDefault="00C353B9" w:rsidP="009B11E1">
            <w:pPr>
              <w:pStyle w:val="Notedebasdepage"/>
              <w:spacing w:after="200"/>
              <w:rPr>
                <w:rFonts w:ascii="Nyala" w:hAnsi="Nyala"/>
                <w:sz w:val="16"/>
                <w:szCs w:val="16"/>
              </w:rPr>
            </w:pPr>
            <w:r w:rsidRPr="009B11E1">
              <w:rPr>
                <w:rFonts w:ascii="Nyala" w:hAnsi="Nyala"/>
                <w:sz w:val="16"/>
                <w:szCs w:val="16"/>
              </w:rPr>
              <w:t>La FAO et les ODD : des indicateurs de mesure pour suivre la mise en œuvre du Programme de Développement Durable à l’horizon 2030</w:t>
            </w:r>
          </w:p>
        </w:tc>
      </w:tr>
      <w:tr w:rsidR="00D26083" w:rsidRPr="006866D3" w:rsidTr="009B11E1">
        <w:trPr>
          <w:trHeight w:val="283"/>
        </w:trPr>
        <w:tc>
          <w:tcPr>
            <w:tcW w:w="2552" w:type="dxa"/>
            <w:shd w:val="clear" w:color="auto" w:fill="auto"/>
          </w:tcPr>
          <w:p w:rsidR="00D26083" w:rsidRPr="009B11E1" w:rsidRDefault="00A37A50" w:rsidP="009B11E1">
            <w:pPr>
              <w:spacing w:before="0" w:line="240" w:lineRule="auto"/>
              <w:rPr>
                <w:rFonts w:ascii="Nyala" w:hAnsi="Nyala"/>
                <w:b/>
                <w:sz w:val="16"/>
                <w:szCs w:val="16"/>
              </w:rPr>
            </w:pPr>
            <w:r w:rsidRPr="009B11E1">
              <w:rPr>
                <w:rFonts w:ascii="Nyala" w:hAnsi="Nyala"/>
                <w:b/>
                <w:sz w:val="16"/>
                <w:szCs w:val="16"/>
              </w:rPr>
              <w:t xml:space="preserve">ABOUBACAR Djibrillou </w:t>
            </w:r>
            <w:r w:rsidR="00D26083" w:rsidRPr="009B11E1">
              <w:rPr>
                <w:rFonts w:ascii="Nyala" w:hAnsi="Nyala"/>
                <w:b/>
                <w:sz w:val="16"/>
                <w:szCs w:val="16"/>
              </w:rPr>
              <w:t>(2017)</w:t>
            </w:r>
          </w:p>
        </w:tc>
        <w:tc>
          <w:tcPr>
            <w:tcW w:w="283" w:type="dxa"/>
            <w:vAlign w:val="center"/>
          </w:tcPr>
          <w:p w:rsidR="00D26083" w:rsidRPr="009B11E1" w:rsidRDefault="00D26083" w:rsidP="009B11E1">
            <w:pPr>
              <w:spacing w:before="0" w:line="240" w:lineRule="auto"/>
              <w:rPr>
                <w:rFonts w:ascii="Nyala" w:hAnsi="Nyala"/>
                <w:sz w:val="16"/>
                <w:szCs w:val="16"/>
              </w:rPr>
            </w:pPr>
          </w:p>
        </w:tc>
        <w:tc>
          <w:tcPr>
            <w:tcW w:w="6236" w:type="dxa"/>
            <w:shd w:val="clear" w:color="auto" w:fill="auto"/>
            <w:noWrap/>
          </w:tcPr>
          <w:p w:rsidR="00D26083" w:rsidRPr="009B11E1" w:rsidRDefault="00D26083" w:rsidP="009B11E1">
            <w:pPr>
              <w:spacing w:before="0" w:line="240" w:lineRule="auto"/>
              <w:rPr>
                <w:rFonts w:ascii="Nyala" w:hAnsi="Nyala"/>
                <w:sz w:val="16"/>
                <w:szCs w:val="16"/>
              </w:rPr>
            </w:pPr>
            <w:r w:rsidRPr="009B11E1">
              <w:rPr>
                <w:rFonts w:ascii="Nyala" w:hAnsi="Nyala"/>
                <w:sz w:val="16"/>
                <w:szCs w:val="16"/>
              </w:rPr>
              <w:t>R</w:t>
            </w:r>
            <w:r w:rsidR="00042CC6" w:rsidRPr="009B11E1">
              <w:rPr>
                <w:rFonts w:ascii="Nyala" w:hAnsi="Nyala"/>
                <w:sz w:val="16"/>
                <w:szCs w:val="16"/>
              </w:rPr>
              <w:t xml:space="preserve">evue des filières bétail-viande et lait et des politiques qui influencent au Niger </w:t>
            </w:r>
            <w:r w:rsidR="00A37A50" w:rsidRPr="009B11E1">
              <w:rPr>
                <w:rFonts w:ascii="Nyala" w:hAnsi="Nyala"/>
                <w:sz w:val="16"/>
                <w:szCs w:val="16"/>
              </w:rPr>
              <w:t>- FAO</w:t>
            </w:r>
          </w:p>
        </w:tc>
      </w:tr>
      <w:tr w:rsidR="00010607" w:rsidRPr="006866D3" w:rsidTr="009B11E1">
        <w:trPr>
          <w:trHeight w:val="283"/>
        </w:trPr>
        <w:tc>
          <w:tcPr>
            <w:tcW w:w="2552" w:type="dxa"/>
            <w:shd w:val="clear" w:color="auto" w:fill="auto"/>
          </w:tcPr>
          <w:p w:rsidR="00C353B9" w:rsidRPr="009B11E1" w:rsidRDefault="00C353B9" w:rsidP="009B11E1">
            <w:pPr>
              <w:spacing w:before="0" w:line="240" w:lineRule="auto"/>
              <w:rPr>
                <w:rFonts w:ascii="Nyala" w:eastAsia="Times New Roman" w:hAnsi="Nyala" w:cs="Times New Roman"/>
                <w:b/>
                <w:bCs/>
                <w:color w:val="000000"/>
                <w:sz w:val="16"/>
                <w:szCs w:val="16"/>
                <w:lang w:eastAsia="fr-FR"/>
              </w:rPr>
            </w:pPr>
            <w:r w:rsidRPr="009B11E1">
              <w:rPr>
                <w:rFonts w:ascii="Nyala" w:hAnsi="Nyala"/>
                <w:b/>
                <w:sz w:val="16"/>
                <w:szCs w:val="16"/>
              </w:rPr>
              <w:t>HC3N (2012)</w:t>
            </w:r>
          </w:p>
        </w:tc>
        <w:tc>
          <w:tcPr>
            <w:tcW w:w="283" w:type="dxa"/>
            <w:vAlign w:val="center"/>
          </w:tcPr>
          <w:p w:rsidR="00C353B9" w:rsidRPr="009B11E1" w:rsidRDefault="00C353B9" w:rsidP="009B11E1">
            <w:pPr>
              <w:spacing w:before="0" w:line="240" w:lineRule="auto"/>
              <w:rPr>
                <w:rFonts w:ascii="Nyala" w:hAnsi="Nyala"/>
                <w:sz w:val="16"/>
                <w:szCs w:val="16"/>
              </w:rPr>
            </w:pPr>
          </w:p>
        </w:tc>
        <w:tc>
          <w:tcPr>
            <w:tcW w:w="6236" w:type="dxa"/>
            <w:shd w:val="clear" w:color="auto" w:fill="auto"/>
            <w:noWrap/>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r w:rsidRPr="009B11E1">
              <w:rPr>
                <w:rFonts w:ascii="Nyala" w:hAnsi="Nyala"/>
                <w:sz w:val="16"/>
                <w:szCs w:val="16"/>
              </w:rPr>
              <w:t>Stratégie de Sécurité Alimentaire et Nutritionnelle et de développement agricole durable</w:t>
            </w:r>
          </w:p>
        </w:tc>
      </w:tr>
      <w:tr w:rsidR="00010607" w:rsidRPr="006866D3" w:rsidTr="009B11E1">
        <w:trPr>
          <w:trHeight w:val="283"/>
        </w:trPr>
        <w:tc>
          <w:tcPr>
            <w:tcW w:w="2552" w:type="dxa"/>
            <w:shd w:val="clear" w:color="auto" w:fill="auto"/>
          </w:tcPr>
          <w:p w:rsidR="00C353B9" w:rsidRPr="009B11E1" w:rsidRDefault="00C353B9"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HC3N (2015)</w:t>
            </w:r>
          </w:p>
        </w:tc>
        <w:tc>
          <w:tcPr>
            <w:tcW w:w="283" w:type="dxa"/>
            <w:vAlign w:val="center"/>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Priorités Resilience-Pays (PRP)</w:t>
            </w:r>
          </w:p>
        </w:tc>
      </w:tr>
      <w:tr w:rsidR="00010607" w:rsidRPr="006866D3" w:rsidTr="009B11E1">
        <w:trPr>
          <w:trHeight w:val="283"/>
        </w:trPr>
        <w:tc>
          <w:tcPr>
            <w:tcW w:w="2552" w:type="dxa"/>
            <w:shd w:val="clear" w:color="auto" w:fill="auto"/>
          </w:tcPr>
          <w:p w:rsidR="00C353B9" w:rsidRPr="009B11E1" w:rsidRDefault="00EE3F0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HC3N (2015)</w:t>
            </w:r>
          </w:p>
        </w:tc>
        <w:tc>
          <w:tcPr>
            <w:tcW w:w="283" w:type="dxa"/>
            <w:vAlign w:val="center"/>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tcPr>
          <w:p w:rsidR="00C353B9" w:rsidRPr="009B11E1" w:rsidRDefault="00EE3F0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Approche commun de convergence – note de cadrage</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NIGER/INS 2015</w:t>
            </w:r>
          </w:p>
        </w:tc>
        <w:tc>
          <w:tcPr>
            <w:tcW w:w="283" w:type="dxa"/>
            <w:vAlign w:val="center"/>
          </w:tcPr>
          <w:p w:rsidR="00A23D71" w:rsidRPr="009B11E1" w:rsidDel="002750EA"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hideMark/>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 Rapport national sur les progrès vers l'atteinte des OMD-1990-2015</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HC3N (2016)</w:t>
            </w:r>
          </w:p>
        </w:tc>
        <w:tc>
          <w:tcPr>
            <w:tcW w:w="283" w:type="dxa"/>
            <w:vAlign w:val="center"/>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hideMark/>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HC3N- Plan d'action/2016-2020</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HC3N -2016 (Sept)</w:t>
            </w:r>
          </w:p>
        </w:tc>
        <w:tc>
          <w:tcPr>
            <w:tcW w:w="283" w:type="dxa"/>
            <w:vAlign w:val="center"/>
          </w:tcPr>
          <w:p w:rsidR="00A23D71" w:rsidRPr="009B11E1" w:rsidDel="002750EA"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hideMark/>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Rapport Bilan/2011-2015</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HC3N 2016 (Sept)</w:t>
            </w:r>
          </w:p>
        </w:tc>
        <w:tc>
          <w:tcPr>
            <w:tcW w:w="283" w:type="dxa"/>
            <w:vAlign w:val="center"/>
          </w:tcPr>
          <w:p w:rsidR="00A23D71" w:rsidRPr="009B11E1" w:rsidDel="002750EA"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hideMark/>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-Revue des dépenses publiques/2011-2015</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HC3N 2017 (Août)</w:t>
            </w:r>
          </w:p>
        </w:tc>
        <w:tc>
          <w:tcPr>
            <w:tcW w:w="283" w:type="dxa"/>
            <w:vAlign w:val="center"/>
          </w:tcPr>
          <w:p w:rsidR="00A23D71" w:rsidRPr="009B11E1" w:rsidDel="002750EA"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hideMark/>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-Fonds d’Investissement pour la Sécurité Alimentaire et Nutritionnelle –FISAN-</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HC3N (2013)</w:t>
            </w:r>
          </w:p>
        </w:tc>
        <w:tc>
          <w:tcPr>
            <w:tcW w:w="283" w:type="dxa"/>
            <w:vAlign w:val="center"/>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hideMark/>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 xml:space="preserve">BM-Plan d’action pour la  gestion des risques agricoles au Niger (PAGRA) 2014-2023 </w:t>
            </w:r>
          </w:p>
        </w:tc>
      </w:tr>
      <w:tr w:rsidR="00EE3F01" w:rsidRPr="006866D3" w:rsidTr="009B11E1">
        <w:trPr>
          <w:trHeight w:val="283"/>
        </w:trPr>
        <w:tc>
          <w:tcPr>
            <w:tcW w:w="2552" w:type="dxa"/>
            <w:shd w:val="clear" w:color="auto" w:fill="auto"/>
          </w:tcPr>
          <w:p w:rsidR="00EE3F01" w:rsidRPr="009B11E1" w:rsidRDefault="00EE3F01" w:rsidP="009B11E1">
            <w:pPr>
              <w:spacing w:before="0" w:line="240" w:lineRule="auto"/>
              <w:rPr>
                <w:rFonts w:ascii="Nyala" w:eastAsia="Times New Roman" w:hAnsi="Nyala" w:cs="Times New Roman"/>
                <w:b/>
                <w:bCs/>
                <w:color w:val="00000A"/>
                <w:sz w:val="16"/>
                <w:szCs w:val="16"/>
                <w:lang w:eastAsia="fr-FR"/>
              </w:rPr>
            </w:pPr>
            <w:r w:rsidRPr="009B11E1">
              <w:rPr>
                <w:rFonts w:ascii="Nyala" w:eastAsia="Times New Roman" w:hAnsi="Nyala" w:cs="Times New Roman"/>
                <w:b/>
                <w:bCs/>
                <w:color w:val="00000A"/>
                <w:sz w:val="16"/>
                <w:szCs w:val="16"/>
                <w:lang w:eastAsia="fr-FR"/>
              </w:rPr>
              <w:t>HC3N (2017)</w:t>
            </w:r>
          </w:p>
        </w:tc>
        <w:tc>
          <w:tcPr>
            <w:tcW w:w="283" w:type="dxa"/>
            <w:vAlign w:val="center"/>
          </w:tcPr>
          <w:p w:rsidR="00EE3F01" w:rsidRPr="009B11E1" w:rsidRDefault="00EE3F01" w:rsidP="009B11E1">
            <w:pPr>
              <w:spacing w:before="0" w:line="240" w:lineRule="auto"/>
              <w:rPr>
                <w:rFonts w:ascii="Nyala" w:eastAsia="Times New Roman" w:hAnsi="Nyala" w:cs="Times New Roman"/>
                <w:bCs/>
                <w:color w:val="00000A"/>
                <w:sz w:val="16"/>
                <w:szCs w:val="16"/>
                <w:lang w:eastAsia="fr-FR"/>
              </w:rPr>
            </w:pPr>
          </w:p>
        </w:tc>
        <w:tc>
          <w:tcPr>
            <w:tcW w:w="6236" w:type="dxa"/>
            <w:shd w:val="clear" w:color="auto" w:fill="auto"/>
            <w:noWrap/>
          </w:tcPr>
          <w:p w:rsidR="00EE3F01" w:rsidRPr="009B11E1" w:rsidRDefault="00EE3F01" w:rsidP="009B11E1">
            <w:pPr>
              <w:spacing w:before="0" w:line="240" w:lineRule="auto"/>
              <w:rPr>
                <w:rFonts w:ascii="Nyala" w:eastAsia="Times New Roman" w:hAnsi="Nyala" w:cs="Times New Roman"/>
                <w:bCs/>
                <w:color w:val="00000A"/>
                <w:sz w:val="16"/>
                <w:szCs w:val="16"/>
                <w:lang w:eastAsia="fr-FR"/>
              </w:rPr>
            </w:pPr>
            <w:r w:rsidRPr="009B11E1">
              <w:rPr>
                <w:rFonts w:ascii="Nyala" w:eastAsia="Times New Roman" w:hAnsi="Nyala" w:cs="Times New Roman"/>
                <w:bCs/>
                <w:color w:val="00000A"/>
                <w:sz w:val="16"/>
                <w:szCs w:val="16"/>
                <w:lang w:eastAsia="fr-FR"/>
              </w:rPr>
              <w:t>Système National de conseil agricole (SNCA</w:t>
            </w:r>
          </w:p>
        </w:tc>
      </w:tr>
      <w:tr w:rsidR="00010607" w:rsidRPr="006866D3" w:rsidTr="009B11E1">
        <w:trPr>
          <w:trHeight w:val="283"/>
        </w:trPr>
        <w:tc>
          <w:tcPr>
            <w:tcW w:w="2552" w:type="dxa"/>
            <w:shd w:val="clear" w:color="auto" w:fill="auto"/>
          </w:tcPr>
          <w:p w:rsidR="00C353B9" w:rsidRPr="009B11E1" w:rsidRDefault="00C353B9"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A"/>
                <w:sz w:val="16"/>
                <w:szCs w:val="16"/>
                <w:lang w:eastAsia="fr-FR"/>
              </w:rPr>
              <w:t>INRAN CNRA/PPAAO (</w:t>
            </w:r>
            <w:r w:rsidRPr="009B11E1">
              <w:rPr>
                <w:rFonts w:ascii="Nyala" w:eastAsia="Times New Roman" w:hAnsi="Nyala" w:cs="Times New Roman"/>
                <w:b/>
                <w:bCs/>
                <w:color w:val="000000"/>
                <w:sz w:val="16"/>
                <w:szCs w:val="16"/>
                <w:lang w:eastAsia="fr-FR"/>
              </w:rPr>
              <w:t xml:space="preserve">2016) </w:t>
            </w:r>
          </w:p>
        </w:tc>
        <w:tc>
          <w:tcPr>
            <w:tcW w:w="283" w:type="dxa"/>
            <w:vAlign w:val="center"/>
          </w:tcPr>
          <w:p w:rsidR="00C353B9" w:rsidRPr="009B11E1" w:rsidRDefault="00C353B9" w:rsidP="009B11E1">
            <w:pPr>
              <w:spacing w:before="0" w:line="240" w:lineRule="auto"/>
              <w:rPr>
                <w:rFonts w:ascii="Nyala" w:eastAsia="Times New Roman" w:hAnsi="Nyala" w:cs="Times New Roman"/>
                <w:bCs/>
                <w:color w:val="00000A"/>
                <w:sz w:val="16"/>
                <w:szCs w:val="16"/>
                <w:lang w:eastAsia="fr-FR"/>
              </w:rPr>
            </w:pPr>
          </w:p>
        </w:tc>
        <w:tc>
          <w:tcPr>
            <w:tcW w:w="6236" w:type="dxa"/>
            <w:shd w:val="clear" w:color="auto" w:fill="auto"/>
            <w:noWrap/>
            <w:hideMark/>
          </w:tcPr>
          <w:p w:rsidR="00C353B9" w:rsidRPr="009B11E1" w:rsidRDefault="00C353B9" w:rsidP="009B11E1">
            <w:pPr>
              <w:spacing w:before="0" w:line="240" w:lineRule="auto"/>
              <w:rPr>
                <w:rFonts w:ascii="Nyala" w:eastAsia="Times New Roman" w:hAnsi="Nyala" w:cs="Times New Roman"/>
                <w:bCs/>
                <w:color w:val="00000A"/>
                <w:sz w:val="16"/>
                <w:szCs w:val="16"/>
                <w:lang w:eastAsia="fr-FR"/>
              </w:rPr>
            </w:pPr>
            <w:r w:rsidRPr="009B11E1">
              <w:rPr>
                <w:rFonts w:ascii="Nyala" w:eastAsia="Times New Roman" w:hAnsi="Nyala" w:cs="Times New Roman"/>
                <w:bCs/>
                <w:color w:val="00000A"/>
                <w:sz w:val="16"/>
                <w:szCs w:val="16"/>
                <w:lang w:eastAsia="fr-FR"/>
              </w:rPr>
              <w:t>NIGER-Stratégie de Recherche - Formation - Innovation pour l’Agriculture sur le moyen et long terme au Niger (.</w:t>
            </w:r>
          </w:p>
        </w:tc>
      </w:tr>
      <w:tr w:rsidR="00C353B9" w:rsidRPr="006866D3" w:rsidTr="009B11E1">
        <w:trPr>
          <w:trHeight w:val="283"/>
        </w:trPr>
        <w:tc>
          <w:tcPr>
            <w:tcW w:w="2552" w:type="dxa"/>
            <w:shd w:val="clear" w:color="auto" w:fill="auto"/>
          </w:tcPr>
          <w:p w:rsidR="00C353B9" w:rsidRPr="009B11E1" w:rsidRDefault="00A37A50" w:rsidP="009B11E1">
            <w:pPr>
              <w:spacing w:before="0" w:line="240" w:lineRule="auto"/>
              <w:rPr>
                <w:rFonts w:ascii="Nyala" w:hAnsi="Nyala"/>
                <w:b/>
                <w:sz w:val="16"/>
                <w:szCs w:val="16"/>
              </w:rPr>
            </w:pPr>
            <w:r w:rsidRPr="009B11E1">
              <w:rPr>
                <w:rFonts w:ascii="Nyala" w:hAnsi="Nyala"/>
                <w:b/>
                <w:sz w:val="16"/>
                <w:szCs w:val="16"/>
              </w:rPr>
              <w:t>INS</w:t>
            </w:r>
          </w:p>
        </w:tc>
        <w:tc>
          <w:tcPr>
            <w:tcW w:w="283" w:type="dxa"/>
            <w:vAlign w:val="center"/>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C353B9" w:rsidRPr="009B11E1" w:rsidRDefault="00042CC6"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 xml:space="preserve">Population du Niger : projection démographique </w:t>
            </w:r>
            <w:r w:rsidR="00A37A50" w:rsidRPr="009B11E1">
              <w:rPr>
                <w:rFonts w:ascii="Nyala" w:eastAsia="Times New Roman" w:hAnsi="Nyala" w:cs="Times New Roman"/>
                <w:bCs/>
                <w:color w:val="000000"/>
                <w:sz w:val="16"/>
                <w:szCs w:val="16"/>
                <w:lang w:eastAsia="fr-FR"/>
              </w:rPr>
              <w:t>2012 A 2035</w:t>
            </w:r>
          </w:p>
        </w:tc>
      </w:tr>
      <w:tr w:rsidR="00010607" w:rsidRPr="006866D3" w:rsidTr="009B11E1">
        <w:trPr>
          <w:trHeight w:val="283"/>
        </w:trPr>
        <w:tc>
          <w:tcPr>
            <w:tcW w:w="2552" w:type="dxa"/>
            <w:shd w:val="clear" w:color="auto" w:fill="auto"/>
          </w:tcPr>
          <w:p w:rsidR="00C353B9" w:rsidRPr="009B11E1" w:rsidRDefault="00C353B9" w:rsidP="009B11E1">
            <w:pPr>
              <w:spacing w:before="0" w:line="240" w:lineRule="auto"/>
              <w:rPr>
                <w:rFonts w:ascii="Nyala" w:hAnsi="Nyala"/>
                <w:b/>
                <w:sz w:val="16"/>
                <w:szCs w:val="16"/>
              </w:rPr>
            </w:pPr>
            <w:r w:rsidRPr="009B11E1">
              <w:rPr>
                <w:rFonts w:ascii="Nyala" w:hAnsi="Nyala"/>
                <w:b/>
                <w:sz w:val="16"/>
                <w:szCs w:val="16"/>
              </w:rPr>
              <w:t>INS (2011)</w:t>
            </w:r>
          </w:p>
        </w:tc>
        <w:tc>
          <w:tcPr>
            <w:tcW w:w="283" w:type="dxa"/>
            <w:vAlign w:val="center"/>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w:t>
            </w:r>
          </w:p>
        </w:tc>
        <w:tc>
          <w:tcPr>
            <w:tcW w:w="6236" w:type="dxa"/>
            <w:shd w:val="clear" w:color="auto" w:fill="auto"/>
            <w:noWrap/>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Profil de pauvreté 2011</w:t>
            </w:r>
          </w:p>
        </w:tc>
      </w:tr>
      <w:tr w:rsidR="00010607" w:rsidRPr="006866D3" w:rsidTr="009B11E1">
        <w:trPr>
          <w:trHeight w:val="283"/>
        </w:trPr>
        <w:tc>
          <w:tcPr>
            <w:tcW w:w="2552" w:type="dxa"/>
            <w:shd w:val="clear" w:color="auto" w:fill="auto"/>
          </w:tcPr>
          <w:p w:rsidR="00C353B9" w:rsidRPr="009B11E1" w:rsidRDefault="00C353B9" w:rsidP="009B11E1">
            <w:pPr>
              <w:spacing w:before="0" w:line="240" w:lineRule="auto"/>
              <w:rPr>
                <w:rFonts w:ascii="Nyala" w:hAnsi="Nyala"/>
                <w:b/>
                <w:sz w:val="16"/>
                <w:szCs w:val="16"/>
              </w:rPr>
            </w:pPr>
            <w:r w:rsidRPr="009B11E1">
              <w:rPr>
                <w:rFonts w:ascii="Nyala" w:hAnsi="Nyala"/>
                <w:b/>
                <w:sz w:val="16"/>
                <w:szCs w:val="16"/>
              </w:rPr>
              <w:t>INS (2014)</w:t>
            </w:r>
          </w:p>
        </w:tc>
        <w:tc>
          <w:tcPr>
            <w:tcW w:w="283" w:type="dxa"/>
            <w:vAlign w:val="center"/>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w:t>
            </w:r>
          </w:p>
        </w:tc>
        <w:tc>
          <w:tcPr>
            <w:tcW w:w="6236" w:type="dxa"/>
            <w:shd w:val="clear" w:color="auto" w:fill="auto"/>
            <w:noWrap/>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r w:rsidRPr="009B11E1">
              <w:rPr>
                <w:rFonts w:ascii="Nyala" w:hAnsi="Nyala"/>
                <w:sz w:val="16"/>
                <w:szCs w:val="16"/>
              </w:rPr>
              <w:t xml:space="preserve">Profil, déterminants et tendances de la pauvreté au Niger de 2005 à 2014. </w:t>
            </w:r>
            <w:r w:rsidRPr="009B11E1">
              <w:rPr>
                <w:rFonts w:ascii="Nyala" w:eastAsia="Times New Roman" w:hAnsi="Nyala" w:cs="Times New Roman"/>
                <w:bCs/>
                <w:color w:val="000000"/>
                <w:sz w:val="16"/>
                <w:szCs w:val="16"/>
                <w:lang w:eastAsia="fr-FR"/>
              </w:rPr>
              <w:t>Profil de Pauvreté 2014</w:t>
            </w:r>
          </w:p>
        </w:tc>
      </w:tr>
      <w:tr w:rsidR="00010607" w:rsidRPr="006866D3" w:rsidTr="009B11E1">
        <w:trPr>
          <w:trHeight w:val="283"/>
        </w:trPr>
        <w:tc>
          <w:tcPr>
            <w:tcW w:w="2552" w:type="dxa"/>
            <w:shd w:val="clear" w:color="auto" w:fill="auto"/>
          </w:tcPr>
          <w:p w:rsidR="00C353B9" w:rsidRPr="009B11E1" w:rsidRDefault="00A37A50" w:rsidP="009B11E1">
            <w:pPr>
              <w:spacing w:before="0" w:line="240" w:lineRule="auto"/>
              <w:rPr>
                <w:rFonts w:ascii="Nyala" w:eastAsia="Times New Roman" w:hAnsi="Nyala" w:cs="Times New Roman"/>
                <w:b/>
                <w:bCs/>
                <w:color w:val="000000"/>
                <w:sz w:val="16"/>
                <w:szCs w:val="16"/>
                <w:lang w:eastAsia="fr-FR"/>
              </w:rPr>
            </w:pPr>
            <w:r w:rsidRPr="009B11E1">
              <w:rPr>
                <w:rFonts w:ascii="Nyala" w:hAnsi="Nyala"/>
                <w:b/>
                <w:sz w:val="16"/>
                <w:szCs w:val="16"/>
              </w:rPr>
              <w:t xml:space="preserve">INS Niger (2015) </w:t>
            </w:r>
          </w:p>
        </w:tc>
        <w:tc>
          <w:tcPr>
            <w:tcW w:w="283" w:type="dxa"/>
            <w:vAlign w:val="center"/>
          </w:tcPr>
          <w:p w:rsidR="00C353B9" w:rsidRPr="009B11E1" w:rsidDel="00DA0FEE"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tcPr>
          <w:p w:rsidR="00C353B9" w:rsidRPr="009B11E1" w:rsidRDefault="00C353B9" w:rsidP="009B11E1">
            <w:pPr>
              <w:pStyle w:val="Notedebasdepage"/>
              <w:spacing w:after="200"/>
              <w:rPr>
                <w:rFonts w:ascii="Nyala" w:hAnsi="Nyala"/>
                <w:sz w:val="16"/>
                <w:szCs w:val="16"/>
              </w:rPr>
            </w:pPr>
            <w:r w:rsidRPr="009B11E1">
              <w:rPr>
                <w:rFonts w:ascii="Nyala" w:hAnsi="Nyala"/>
                <w:sz w:val="16"/>
                <w:szCs w:val="16"/>
              </w:rPr>
              <w:t>Rapport national sur les progrès vers l’atteinte des objectifs du millénaire pour le développemen</w:t>
            </w:r>
            <w:r w:rsidR="0088523E" w:rsidRPr="009B11E1">
              <w:rPr>
                <w:rFonts w:ascii="Nyala" w:hAnsi="Nyala"/>
                <w:sz w:val="16"/>
                <w:szCs w:val="16"/>
              </w:rPr>
              <w:t>t 1990-2015</w:t>
            </w:r>
          </w:p>
        </w:tc>
      </w:tr>
      <w:tr w:rsidR="00010607" w:rsidRPr="00772F6A"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val="en-US" w:eastAsia="fr-FR"/>
              </w:rPr>
            </w:pPr>
            <w:r w:rsidRPr="009B11E1">
              <w:rPr>
                <w:rFonts w:ascii="Nyala" w:eastAsia="Times New Roman" w:hAnsi="Nyala" w:cs="Times New Roman"/>
                <w:b/>
                <w:bCs/>
                <w:color w:val="000000"/>
                <w:sz w:val="16"/>
                <w:szCs w:val="16"/>
                <w:lang w:val="en-US" w:eastAsia="fr-FR"/>
              </w:rPr>
              <w:t>INS (2016)</w:t>
            </w:r>
          </w:p>
        </w:tc>
        <w:tc>
          <w:tcPr>
            <w:tcW w:w="283" w:type="dxa"/>
            <w:vAlign w:val="center"/>
          </w:tcPr>
          <w:p w:rsidR="00A23D71" w:rsidRPr="009B11E1" w:rsidDel="002750EA" w:rsidRDefault="00A23D71" w:rsidP="009B11E1">
            <w:pPr>
              <w:spacing w:before="0" w:line="240" w:lineRule="auto"/>
              <w:rPr>
                <w:rFonts w:ascii="Nyala" w:eastAsia="Times New Roman" w:hAnsi="Nyala" w:cs="Times New Roman"/>
                <w:bCs/>
                <w:color w:val="000000"/>
                <w:sz w:val="16"/>
                <w:szCs w:val="16"/>
                <w:lang w:val="en-US" w:eastAsia="fr-FR"/>
              </w:rPr>
            </w:pPr>
          </w:p>
        </w:tc>
        <w:tc>
          <w:tcPr>
            <w:tcW w:w="6236" w:type="dxa"/>
            <w:shd w:val="clear" w:color="auto" w:fill="auto"/>
          </w:tcPr>
          <w:p w:rsidR="00A23D71" w:rsidRPr="009B11E1" w:rsidDel="002750EA" w:rsidRDefault="00A23D71" w:rsidP="009B11E1">
            <w:pPr>
              <w:spacing w:before="0" w:line="240" w:lineRule="auto"/>
              <w:rPr>
                <w:rFonts w:ascii="Nyala" w:eastAsia="Times New Roman" w:hAnsi="Nyala" w:cs="Times New Roman"/>
                <w:bCs/>
                <w:color w:val="000000"/>
                <w:sz w:val="16"/>
                <w:szCs w:val="16"/>
                <w:lang w:val="en-US" w:eastAsia="fr-FR"/>
              </w:rPr>
            </w:pPr>
            <w:r w:rsidRPr="009B11E1">
              <w:rPr>
                <w:rFonts w:ascii="Nyala" w:eastAsia="Times New Roman" w:hAnsi="Nyala" w:cs="Times New Roman"/>
                <w:bCs/>
                <w:color w:val="000000"/>
                <w:sz w:val="16"/>
                <w:szCs w:val="16"/>
                <w:lang w:val="en-US" w:eastAsia="fr-FR"/>
              </w:rPr>
              <w:t>Enquête Nutrition</w:t>
            </w:r>
          </w:p>
        </w:tc>
      </w:tr>
      <w:tr w:rsidR="00010607" w:rsidRPr="006866D3" w:rsidTr="009B11E1">
        <w:trPr>
          <w:trHeight w:val="283"/>
        </w:trPr>
        <w:tc>
          <w:tcPr>
            <w:tcW w:w="2552" w:type="dxa"/>
            <w:shd w:val="clear" w:color="auto" w:fill="auto"/>
          </w:tcPr>
          <w:p w:rsidR="00C353B9" w:rsidRPr="009B11E1" w:rsidRDefault="00C353B9"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INS</w:t>
            </w:r>
          </w:p>
        </w:tc>
        <w:tc>
          <w:tcPr>
            <w:tcW w:w="283" w:type="dxa"/>
            <w:vAlign w:val="center"/>
          </w:tcPr>
          <w:p w:rsidR="00C353B9" w:rsidRPr="009B11E1" w:rsidDel="00DA0FEE"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EVIAM</w:t>
            </w:r>
          </w:p>
        </w:tc>
      </w:tr>
      <w:tr w:rsidR="00A37A50" w:rsidRPr="006866D3" w:rsidTr="009B11E1">
        <w:trPr>
          <w:trHeight w:val="283"/>
        </w:trPr>
        <w:tc>
          <w:tcPr>
            <w:tcW w:w="2552" w:type="dxa"/>
            <w:shd w:val="clear" w:color="auto" w:fill="auto"/>
          </w:tcPr>
          <w:p w:rsidR="00A37A50" w:rsidRPr="009B11E1" w:rsidRDefault="00A37A50"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INS (2016)</w:t>
            </w:r>
          </w:p>
        </w:tc>
        <w:tc>
          <w:tcPr>
            <w:tcW w:w="283" w:type="dxa"/>
            <w:vAlign w:val="center"/>
          </w:tcPr>
          <w:p w:rsidR="00A37A50" w:rsidRPr="009B11E1" w:rsidRDefault="00A37A50"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tcPr>
          <w:p w:rsidR="00A37A50" w:rsidRPr="009B11E1" w:rsidRDefault="00A37A50" w:rsidP="009B11E1">
            <w:pPr>
              <w:pStyle w:val="Notedebasdepage"/>
              <w:spacing w:after="200"/>
              <w:rPr>
                <w:rFonts w:ascii="Nyala" w:hAnsi="Nyala"/>
                <w:sz w:val="16"/>
                <w:szCs w:val="16"/>
              </w:rPr>
            </w:pPr>
            <w:r w:rsidRPr="009B11E1">
              <w:rPr>
                <w:rFonts w:ascii="Nyala" w:hAnsi="Nyala"/>
                <w:sz w:val="16"/>
                <w:szCs w:val="16"/>
              </w:rPr>
              <w:t>Tableau de bord Social – Edition 2016</w:t>
            </w:r>
          </w:p>
        </w:tc>
      </w:tr>
      <w:tr w:rsidR="00010607" w:rsidRPr="006866D3" w:rsidTr="009B11E1">
        <w:trPr>
          <w:trHeight w:val="283"/>
        </w:trPr>
        <w:tc>
          <w:tcPr>
            <w:tcW w:w="2552" w:type="dxa"/>
            <w:shd w:val="clear" w:color="auto" w:fill="auto"/>
          </w:tcPr>
          <w:p w:rsidR="00C353B9" w:rsidRPr="009B11E1" w:rsidRDefault="00C353B9"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INS-SAP (2016)</w:t>
            </w:r>
          </w:p>
        </w:tc>
        <w:tc>
          <w:tcPr>
            <w:tcW w:w="283" w:type="dxa"/>
            <w:vAlign w:val="center"/>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tcPr>
          <w:p w:rsidR="00C353B9" w:rsidRPr="009B11E1" w:rsidRDefault="00C353B9" w:rsidP="009B11E1">
            <w:pPr>
              <w:pStyle w:val="Notedebasdepage"/>
              <w:spacing w:after="200"/>
              <w:rPr>
                <w:rFonts w:ascii="Nyala" w:hAnsi="Nyala"/>
                <w:sz w:val="16"/>
                <w:szCs w:val="16"/>
              </w:rPr>
            </w:pPr>
            <w:r w:rsidRPr="009B11E1">
              <w:rPr>
                <w:rFonts w:ascii="Nyala" w:hAnsi="Nyala"/>
                <w:sz w:val="16"/>
                <w:szCs w:val="16"/>
              </w:rPr>
              <w:t xml:space="preserve">Enquête conjointe sur la vulnérabilité à l’insécurité alimentaire des ménages du Niger (décembre 2015 – janvier 2016). Mars 2016 </w:t>
            </w:r>
          </w:p>
        </w:tc>
      </w:tr>
      <w:tr w:rsidR="00010607" w:rsidRPr="006866D3" w:rsidTr="009B11E1">
        <w:trPr>
          <w:trHeight w:val="283"/>
        </w:trPr>
        <w:tc>
          <w:tcPr>
            <w:tcW w:w="2552" w:type="dxa"/>
            <w:shd w:val="clear" w:color="auto" w:fill="auto"/>
          </w:tcPr>
          <w:p w:rsidR="00C353B9" w:rsidRPr="009B11E1" w:rsidRDefault="00C353B9"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INS (2017)</w:t>
            </w:r>
          </w:p>
        </w:tc>
        <w:tc>
          <w:tcPr>
            <w:tcW w:w="283" w:type="dxa"/>
            <w:vAlign w:val="center"/>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 xml:space="preserve">Métadonnées des indicateurs de mesure de mesure des cibles – priorités des objectifs de développement durable à l’horizon 2030 </w:t>
            </w:r>
          </w:p>
        </w:tc>
      </w:tr>
      <w:tr w:rsidR="00010607" w:rsidRPr="006866D3" w:rsidTr="009B11E1">
        <w:trPr>
          <w:trHeight w:val="283"/>
        </w:trPr>
        <w:tc>
          <w:tcPr>
            <w:tcW w:w="2552" w:type="dxa"/>
            <w:shd w:val="clear" w:color="auto" w:fill="auto"/>
          </w:tcPr>
          <w:p w:rsidR="00C353B9" w:rsidRPr="009B11E1" w:rsidRDefault="00C353B9" w:rsidP="009B11E1">
            <w:pPr>
              <w:spacing w:before="0" w:line="240" w:lineRule="auto"/>
              <w:rPr>
                <w:rFonts w:ascii="Nyala" w:hAnsi="Nyala"/>
                <w:b/>
                <w:sz w:val="16"/>
                <w:szCs w:val="16"/>
              </w:rPr>
            </w:pPr>
            <w:r w:rsidRPr="009B11E1">
              <w:rPr>
                <w:rFonts w:ascii="Nyala" w:hAnsi="Nyala" w:cstheme="minorHAnsi"/>
                <w:b/>
                <w:sz w:val="16"/>
                <w:szCs w:val="16"/>
              </w:rPr>
              <w:t>INS-NIGER, UNDP 2017 (Décembre)</w:t>
            </w:r>
          </w:p>
        </w:tc>
        <w:tc>
          <w:tcPr>
            <w:tcW w:w="283" w:type="dxa"/>
            <w:vAlign w:val="center"/>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r w:rsidRPr="009B11E1">
              <w:rPr>
                <w:rFonts w:ascii="Nyala" w:hAnsi="Nyala" w:cstheme="minorHAnsi"/>
                <w:sz w:val="16"/>
                <w:szCs w:val="16"/>
              </w:rPr>
              <w:t>Situation de référence des Objectifs de Développement Durable (ODD) au Niger</w:t>
            </w:r>
          </w:p>
        </w:tc>
      </w:tr>
      <w:tr w:rsidR="00010607" w:rsidRPr="006866D3" w:rsidTr="009B11E1">
        <w:trPr>
          <w:trHeight w:val="283"/>
        </w:trPr>
        <w:tc>
          <w:tcPr>
            <w:tcW w:w="2552" w:type="dxa"/>
            <w:shd w:val="clear" w:color="auto" w:fill="auto"/>
          </w:tcPr>
          <w:p w:rsidR="00C353B9" w:rsidRPr="009B11E1" w:rsidRDefault="00C353B9" w:rsidP="009B11E1">
            <w:pPr>
              <w:spacing w:before="0" w:line="240" w:lineRule="auto"/>
              <w:rPr>
                <w:rFonts w:ascii="Nyala" w:hAnsi="Nyala"/>
                <w:b/>
                <w:sz w:val="16"/>
                <w:szCs w:val="16"/>
              </w:rPr>
            </w:pPr>
            <w:r w:rsidRPr="009B11E1">
              <w:rPr>
                <w:rFonts w:ascii="Nyala" w:hAnsi="Nyala"/>
                <w:b/>
                <w:sz w:val="16"/>
                <w:szCs w:val="16"/>
              </w:rPr>
              <w:t>INS (2018)</w:t>
            </w:r>
          </w:p>
        </w:tc>
        <w:tc>
          <w:tcPr>
            <w:tcW w:w="283" w:type="dxa"/>
            <w:vAlign w:val="center"/>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C353B9" w:rsidRPr="009B11E1" w:rsidRDefault="00C353B9" w:rsidP="009B11E1">
            <w:pPr>
              <w:pStyle w:val="Notedebasdepage"/>
              <w:spacing w:after="200"/>
              <w:rPr>
                <w:rFonts w:ascii="Nyala" w:hAnsi="Nyala"/>
                <w:sz w:val="16"/>
                <w:szCs w:val="16"/>
              </w:rPr>
            </w:pPr>
            <w:r w:rsidRPr="009B11E1">
              <w:rPr>
                <w:rFonts w:ascii="Nyala" w:eastAsia="Times New Roman" w:hAnsi="Nyala" w:cs="Times New Roman"/>
                <w:bCs/>
                <w:color w:val="000000"/>
                <w:sz w:val="16"/>
                <w:szCs w:val="16"/>
                <w:lang w:eastAsia="fr-FR"/>
              </w:rPr>
              <w:t>Enquête Démographique et de Santé du Niger EDSN-V 2017-Résultats Préliminaires</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Mauritanie (2017)</w:t>
            </w:r>
          </w:p>
        </w:tc>
        <w:tc>
          <w:tcPr>
            <w:tcW w:w="283" w:type="dxa"/>
            <w:vAlign w:val="center"/>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hideMark/>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MAURITANIE-Revue Stratégique de la Sécurité Alimentaire et de la Nutrition pour l’atteinte de l’objectif : « faim zéro » à l’horizon 2030</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hAnsi="Nyala"/>
                <w:b/>
                <w:sz w:val="16"/>
                <w:szCs w:val="16"/>
              </w:rPr>
              <w:t>Ministère de l’Agriculture et de l’élevage (2016)</w:t>
            </w:r>
          </w:p>
        </w:tc>
        <w:tc>
          <w:tcPr>
            <w:tcW w:w="283" w:type="dxa"/>
            <w:vAlign w:val="center"/>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Politique Agricole</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Ministère de l’Environnement et du développement durable 2005 (Juin)</w:t>
            </w:r>
          </w:p>
        </w:tc>
        <w:tc>
          <w:tcPr>
            <w:tcW w:w="283" w:type="dxa"/>
            <w:vAlign w:val="center"/>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hideMark/>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ME/DD-Cadre National de Biosécurité</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Ministère de l’Environnement et du développement durable 2007 (Mars)</w:t>
            </w:r>
          </w:p>
        </w:tc>
        <w:tc>
          <w:tcPr>
            <w:tcW w:w="283" w:type="dxa"/>
            <w:vAlign w:val="center"/>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hideMark/>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ME/DD-Stratégie de développement de la pêche et de l‘aquaculture </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Ministère de l’Environnement et du développement durable 2014 (Nov)</w:t>
            </w:r>
          </w:p>
        </w:tc>
        <w:tc>
          <w:tcPr>
            <w:tcW w:w="283" w:type="dxa"/>
            <w:vAlign w:val="center"/>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hideMark/>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 xml:space="preserve">ME/DD-Plan d'Investissement du Cadre stratégique de la GDT (CS/GDT) </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Ministère de l’Environnement et du développement durable 2011 (Nov)</w:t>
            </w:r>
          </w:p>
        </w:tc>
        <w:tc>
          <w:tcPr>
            <w:tcW w:w="283" w:type="dxa"/>
            <w:vAlign w:val="center"/>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hideMark/>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ME/DD-Plan d’action de l’Initiative  Grande Muraille Verte</w:t>
            </w:r>
          </w:p>
        </w:tc>
      </w:tr>
      <w:tr w:rsidR="00010607" w:rsidRPr="006866D3" w:rsidTr="009B11E1">
        <w:trPr>
          <w:trHeight w:val="283"/>
        </w:trPr>
        <w:tc>
          <w:tcPr>
            <w:tcW w:w="2552" w:type="dxa"/>
            <w:shd w:val="clear" w:color="auto" w:fill="auto"/>
          </w:tcPr>
          <w:p w:rsidR="00A23D71" w:rsidRPr="009B11E1" w:rsidRDefault="00A23D71" w:rsidP="009B11E1">
            <w:pPr>
              <w:shd w:val="clear" w:color="auto" w:fill="FFFFFF" w:themeFill="background1"/>
              <w:spacing w:before="0" w:line="240" w:lineRule="auto"/>
              <w:rPr>
                <w:rFonts w:ascii="Nyala" w:hAnsi="Nyala" w:cs="Arial"/>
                <w:b/>
                <w:sz w:val="16"/>
                <w:szCs w:val="16"/>
              </w:rPr>
            </w:pPr>
            <w:r w:rsidRPr="009B11E1">
              <w:rPr>
                <w:rFonts w:ascii="Nyala" w:hAnsi="Nyala" w:cs="Arial"/>
                <w:b/>
                <w:sz w:val="16"/>
                <w:szCs w:val="16"/>
              </w:rPr>
              <w:t xml:space="preserve">Ministère de la Jeunesse et des Sports. 2015. </w:t>
            </w:r>
          </w:p>
        </w:tc>
        <w:tc>
          <w:tcPr>
            <w:tcW w:w="283" w:type="dxa"/>
            <w:vAlign w:val="center"/>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hAnsi="Nyala" w:cs="Arial"/>
                <w:i/>
                <w:sz w:val="16"/>
                <w:szCs w:val="16"/>
              </w:rPr>
              <w:t>Politique nationale de la jeunesse Niger</w:t>
            </w:r>
            <w:r w:rsidRPr="009B11E1">
              <w:rPr>
                <w:rFonts w:ascii="Nyala" w:hAnsi="Nyala" w:cs="Arial"/>
                <w:sz w:val="16"/>
                <w:szCs w:val="16"/>
              </w:rPr>
              <w:t>.</w:t>
            </w:r>
          </w:p>
        </w:tc>
      </w:tr>
      <w:tr w:rsidR="00C353B9" w:rsidRPr="00D5664F" w:rsidTr="009B11E1">
        <w:trPr>
          <w:trHeight w:val="283"/>
        </w:trPr>
        <w:tc>
          <w:tcPr>
            <w:tcW w:w="2552" w:type="dxa"/>
            <w:shd w:val="clear" w:color="auto" w:fill="auto"/>
          </w:tcPr>
          <w:p w:rsidR="00C353B9" w:rsidRPr="009B11E1" w:rsidRDefault="006A171C" w:rsidP="009B11E1">
            <w:pPr>
              <w:spacing w:before="0" w:line="240" w:lineRule="auto"/>
              <w:rPr>
                <w:rFonts w:ascii="Nyala" w:hAnsi="Nyala"/>
                <w:b/>
                <w:sz w:val="16"/>
                <w:szCs w:val="16"/>
              </w:rPr>
            </w:pPr>
            <w:r w:rsidRPr="009B11E1">
              <w:rPr>
                <w:rFonts w:ascii="Nyala" w:hAnsi="Nyala"/>
                <w:b/>
                <w:sz w:val="16"/>
                <w:szCs w:val="16"/>
              </w:rPr>
              <w:t>Moise Ballo, Jean-Martin Bauer</w:t>
            </w:r>
            <w:r w:rsidR="00042CC6" w:rsidRPr="009B11E1">
              <w:rPr>
                <w:rFonts w:ascii="Nyala" w:hAnsi="Nyala"/>
                <w:b/>
                <w:sz w:val="16"/>
                <w:szCs w:val="16"/>
              </w:rPr>
              <w:t xml:space="preserve"> (</w:t>
            </w:r>
            <w:r w:rsidRPr="009B11E1">
              <w:rPr>
                <w:rFonts w:ascii="Nyala" w:hAnsi="Nyala"/>
                <w:b/>
                <w:sz w:val="16"/>
                <w:szCs w:val="16"/>
              </w:rPr>
              <w:t>2013</w:t>
            </w:r>
            <w:r w:rsidR="00042CC6" w:rsidRPr="009B11E1">
              <w:rPr>
                <w:rFonts w:ascii="Nyala" w:hAnsi="Nyala"/>
                <w:b/>
                <w:sz w:val="16"/>
                <w:szCs w:val="16"/>
              </w:rPr>
              <w:t>)</w:t>
            </w:r>
          </w:p>
        </w:tc>
        <w:tc>
          <w:tcPr>
            <w:tcW w:w="283" w:type="dxa"/>
            <w:vAlign w:val="center"/>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C353B9" w:rsidRPr="00146325" w:rsidRDefault="006A171C" w:rsidP="009B11E1">
            <w:pPr>
              <w:spacing w:before="0" w:line="240" w:lineRule="auto"/>
              <w:rPr>
                <w:rFonts w:ascii="Nyala" w:eastAsia="Times New Roman" w:hAnsi="Nyala" w:cs="Times New Roman"/>
                <w:bCs/>
                <w:color w:val="000000"/>
                <w:sz w:val="16"/>
                <w:szCs w:val="16"/>
                <w:lang w:val="en-US" w:eastAsia="fr-FR"/>
              </w:rPr>
            </w:pPr>
            <w:r w:rsidRPr="00146325">
              <w:rPr>
                <w:rFonts w:ascii="Nyala" w:eastAsia="Times New Roman" w:hAnsi="Nyala" w:cs="Times New Roman"/>
                <w:bCs/>
                <w:color w:val="000000"/>
                <w:sz w:val="16"/>
                <w:szCs w:val="16"/>
                <w:lang w:val="en-US" w:eastAsia="fr-FR"/>
              </w:rPr>
              <w:t>he Economics of Early Response and Resilience in Niger</w:t>
            </w:r>
            <w:r w:rsidR="00042CC6" w:rsidRPr="00146325">
              <w:rPr>
                <w:rFonts w:ascii="Nyala" w:eastAsia="Times New Roman" w:hAnsi="Nyala" w:cs="Times New Roman"/>
                <w:bCs/>
                <w:color w:val="000000"/>
                <w:sz w:val="16"/>
                <w:szCs w:val="16"/>
                <w:lang w:val="en-US" w:eastAsia="fr-FR"/>
              </w:rPr>
              <w:t xml:space="preserve"> - PAM</w:t>
            </w:r>
          </w:p>
        </w:tc>
      </w:tr>
      <w:tr w:rsidR="006A171C" w:rsidRPr="006866D3" w:rsidTr="009B11E1">
        <w:trPr>
          <w:trHeight w:val="283"/>
        </w:trPr>
        <w:tc>
          <w:tcPr>
            <w:tcW w:w="2552" w:type="dxa"/>
            <w:shd w:val="clear" w:color="auto" w:fill="auto"/>
          </w:tcPr>
          <w:p w:rsidR="006A171C" w:rsidRPr="009B11E1" w:rsidRDefault="00EE3F0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Ministère de l’Environnement, de la salubrité urbaine et du développement durable (2014)</w:t>
            </w:r>
          </w:p>
        </w:tc>
        <w:tc>
          <w:tcPr>
            <w:tcW w:w="283" w:type="dxa"/>
            <w:vAlign w:val="center"/>
          </w:tcPr>
          <w:p w:rsidR="006A171C" w:rsidRPr="009B11E1" w:rsidRDefault="006A171C"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6A171C" w:rsidRPr="009B11E1" w:rsidRDefault="00042CC6"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 xml:space="preserve">Cadre stratégique de la gestion durable des terres (CS-GDT) au Niger et son plan d’investissement </w:t>
            </w:r>
            <w:r w:rsidR="00EE3F01" w:rsidRPr="009B11E1">
              <w:rPr>
                <w:rFonts w:ascii="Nyala" w:eastAsia="Times New Roman" w:hAnsi="Nyala" w:cs="Times New Roman"/>
                <w:bCs/>
                <w:color w:val="000000"/>
                <w:sz w:val="16"/>
                <w:szCs w:val="16"/>
                <w:lang w:eastAsia="fr-FR"/>
              </w:rPr>
              <w:t>2015 - 2029</w:t>
            </w:r>
          </w:p>
        </w:tc>
      </w:tr>
      <w:tr w:rsidR="0088523E" w:rsidRPr="006866D3" w:rsidTr="009B11E1">
        <w:trPr>
          <w:trHeight w:val="283"/>
        </w:trPr>
        <w:tc>
          <w:tcPr>
            <w:tcW w:w="2552" w:type="dxa"/>
            <w:shd w:val="clear" w:color="auto" w:fill="auto"/>
          </w:tcPr>
          <w:p w:rsidR="0088523E" w:rsidRPr="009B11E1" w:rsidRDefault="0088523E"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Ministère de l’Environnement et du développement durable (2014)</w:t>
            </w:r>
          </w:p>
        </w:tc>
        <w:tc>
          <w:tcPr>
            <w:tcW w:w="283" w:type="dxa"/>
            <w:vAlign w:val="center"/>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 xml:space="preserve">ME/DD-Cadre stratégique de la GDT (CS/GDT) </w:t>
            </w:r>
          </w:p>
        </w:tc>
      </w:tr>
      <w:tr w:rsidR="0088523E" w:rsidRPr="006866D3" w:rsidTr="009B11E1">
        <w:trPr>
          <w:trHeight w:val="283"/>
        </w:trPr>
        <w:tc>
          <w:tcPr>
            <w:tcW w:w="2552" w:type="dxa"/>
            <w:shd w:val="clear" w:color="auto" w:fill="auto"/>
          </w:tcPr>
          <w:p w:rsidR="0088523E" w:rsidRPr="009B11E1" w:rsidRDefault="0088523E"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Ministère de l’Environnement et du développement durable 2011 (Nov)</w:t>
            </w:r>
          </w:p>
        </w:tc>
        <w:tc>
          <w:tcPr>
            <w:tcW w:w="283" w:type="dxa"/>
            <w:vAlign w:val="center"/>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ME/DD- Stratégie de l’Initiative  Grande Muraille Verte</w:t>
            </w:r>
          </w:p>
        </w:tc>
      </w:tr>
      <w:tr w:rsidR="0088523E" w:rsidRPr="006866D3" w:rsidTr="009B11E1">
        <w:trPr>
          <w:trHeight w:val="283"/>
        </w:trPr>
        <w:tc>
          <w:tcPr>
            <w:tcW w:w="2552" w:type="dxa"/>
            <w:shd w:val="clear" w:color="auto" w:fill="auto"/>
          </w:tcPr>
          <w:p w:rsidR="0088523E" w:rsidRPr="009B11E1" w:rsidRDefault="0088523E"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Ministère de l’Environnement et du développement durable 2013</w:t>
            </w:r>
          </w:p>
        </w:tc>
        <w:tc>
          <w:tcPr>
            <w:tcW w:w="283" w:type="dxa"/>
            <w:vAlign w:val="center"/>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ME/DD- Stratégie sur l’agroforesterie</w:t>
            </w:r>
          </w:p>
        </w:tc>
      </w:tr>
      <w:tr w:rsidR="0088523E" w:rsidRPr="006866D3" w:rsidTr="009B11E1">
        <w:trPr>
          <w:trHeight w:val="283"/>
        </w:trPr>
        <w:tc>
          <w:tcPr>
            <w:tcW w:w="2552" w:type="dxa"/>
            <w:shd w:val="clear" w:color="auto" w:fill="auto"/>
          </w:tcPr>
          <w:p w:rsidR="0088523E" w:rsidRPr="009B11E1" w:rsidRDefault="0088523E" w:rsidP="009B11E1">
            <w:pPr>
              <w:spacing w:before="0" w:line="240" w:lineRule="auto"/>
              <w:rPr>
                <w:rFonts w:ascii="Nyala" w:hAnsi="Nyala"/>
                <w:b/>
                <w:sz w:val="16"/>
                <w:szCs w:val="16"/>
              </w:rPr>
            </w:pPr>
            <w:r w:rsidRPr="009B11E1">
              <w:rPr>
                <w:rFonts w:ascii="Nyala" w:eastAsia="Times New Roman" w:hAnsi="Nyala" w:cs="Times New Roman"/>
                <w:b/>
                <w:bCs/>
                <w:color w:val="000000"/>
                <w:sz w:val="16"/>
                <w:szCs w:val="16"/>
                <w:lang w:eastAsia="fr-FR"/>
              </w:rPr>
              <w:t>NATIONS UNIES 2014 (Oct)</w:t>
            </w:r>
          </w:p>
        </w:tc>
        <w:tc>
          <w:tcPr>
            <w:tcW w:w="283" w:type="dxa"/>
            <w:vAlign w:val="center"/>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La nutrition et les Objectifs de Développement Durable de l’après-2015– Standing Committee on Nutrition. Note Technique -</w:t>
            </w:r>
          </w:p>
        </w:tc>
      </w:tr>
      <w:tr w:rsidR="0088523E" w:rsidRPr="006866D3" w:rsidTr="009B11E1">
        <w:trPr>
          <w:trHeight w:val="283"/>
        </w:trPr>
        <w:tc>
          <w:tcPr>
            <w:tcW w:w="2552" w:type="dxa"/>
            <w:shd w:val="clear" w:color="auto" w:fill="auto"/>
          </w:tcPr>
          <w:p w:rsidR="0088523E" w:rsidRPr="009B11E1" w:rsidRDefault="0088523E" w:rsidP="009B11E1">
            <w:pPr>
              <w:spacing w:before="0" w:line="240" w:lineRule="auto"/>
              <w:rPr>
                <w:rFonts w:ascii="Nyala" w:hAnsi="Nyala"/>
                <w:b/>
                <w:sz w:val="16"/>
                <w:szCs w:val="16"/>
              </w:rPr>
            </w:pPr>
            <w:r w:rsidRPr="009B11E1">
              <w:rPr>
                <w:rFonts w:ascii="Nyala" w:eastAsia="Times New Roman" w:hAnsi="Nyala" w:cs="Times New Roman"/>
                <w:b/>
                <w:bCs/>
                <w:color w:val="000000"/>
                <w:sz w:val="16"/>
                <w:szCs w:val="16"/>
                <w:lang w:eastAsia="fr-FR"/>
              </w:rPr>
              <w:t>NATIONS UNIES 2016</w:t>
            </w:r>
          </w:p>
        </w:tc>
        <w:tc>
          <w:tcPr>
            <w:tcW w:w="283" w:type="dxa"/>
            <w:vAlign w:val="center"/>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Liste finale des indicateurs proposés pour les Objectifs de Développement Durable - E/CN.3/2016/2/Rev.1</w:t>
            </w:r>
          </w:p>
        </w:tc>
      </w:tr>
      <w:tr w:rsidR="0088523E" w:rsidRPr="006866D3" w:rsidTr="009B11E1">
        <w:trPr>
          <w:trHeight w:val="283"/>
        </w:trPr>
        <w:tc>
          <w:tcPr>
            <w:tcW w:w="2552" w:type="dxa"/>
            <w:shd w:val="clear" w:color="auto" w:fill="auto"/>
          </w:tcPr>
          <w:p w:rsidR="0088523E" w:rsidRPr="009B11E1" w:rsidRDefault="0088523E" w:rsidP="009B11E1">
            <w:pPr>
              <w:spacing w:before="0" w:line="240" w:lineRule="auto"/>
              <w:rPr>
                <w:rFonts w:ascii="Nyala" w:eastAsia="Times New Roman" w:hAnsi="Nyala" w:cs="Times New Roman"/>
                <w:b/>
                <w:bCs/>
                <w:color w:val="000000"/>
                <w:sz w:val="16"/>
                <w:szCs w:val="16"/>
                <w:lang w:eastAsia="fr-FR"/>
              </w:rPr>
            </w:pPr>
            <w:r w:rsidRPr="009B11E1">
              <w:rPr>
                <w:rFonts w:ascii="Nyala" w:hAnsi="Nyala"/>
                <w:b/>
                <w:sz w:val="16"/>
                <w:szCs w:val="16"/>
              </w:rPr>
              <w:t>Niger (2016)</w:t>
            </w:r>
          </w:p>
        </w:tc>
        <w:tc>
          <w:tcPr>
            <w:tcW w:w="283" w:type="dxa"/>
            <w:vAlign w:val="center"/>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 xml:space="preserve">Le Niger en 2035 </w:t>
            </w:r>
            <w:r w:rsidRPr="009B11E1">
              <w:rPr>
                <w:rFonts w:ascii="Nyala" w:hAnsi="Nyala" w:cstheme="minorHAnsi"/>
                <w:sz w:val="16"/>
                <w:szCs w:val="16"/>
              </w:rPr>
              <w:t>Un pays et un peuple prospère Tome - I  Stratégie de développement durable et croissance inclusive (</w:t>
            </w:r>
            <w:r w:rsidRPr="009B11E1">
              <w:rPr>
                <w:rFonts w:ascii="Nyala" w:eastAsia="Times New Roman" w:hAnsi="Nyala" w:cs="Times New Roman"/>
                <w:bCs/>
                <w:color w:val="000000"/>
                <w:sz w:val="16"/>
                <w:szCs w:val="16"/>
                <w:lang w:eastAsia="fr-FR"/>
              </w:rPr>
              <w:t>SDDCI) (Tomes I &amp;2)</w:t>
            </w:r>
          </w:p>
        </w:tc>
      </w:tr>
      <w:tr w:rsidR="0088523E" w:rsidRPr="006866D3" w:rsidTr="009B11E1">
        <w:trPr>
          <w:trHeight w:val="283"/>
        </w:trPr>
        <w:tc>
          <w:tcPr>
            <w:tcW w:w="2552" w:type="dxa"/>
            <w:shd w:val="clear" w:color="auto" w:fill="auto"/>
          </w:tcPr>
          <w:p w:rsidR="0088523E" w:rsidRPr="009B11E1" w:rsidRDefault="0088523E"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Niger (2016)</w:t>
            </w:r>
          </w:p>
        </w:tc>
        <w:tc>
          <w:tcPr>
            <w:tcW w:w="283" w:type="dxa"/>
            <w:vAlign w:val="center"/>
          </w:tcPr>
          <w:p w:rsidR="0088523E" w:rsidRPr="009B11E1" w:rsidDel="008E7597" w:rsidRDefault="0088523E"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hideMark/>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 xml:space="preserve">Stratégie Nationale d’Achats Locaux d’Aliments auprès des Petits Producteurs (SNALAPP) </w:t>
            </w:r>
          </w:p>
        </w:tc>
      </w:tr>
      <w:tr w:rsidR="0088523E" w:rsidRPr="006866D3" w:rsidTr="009B11E1">
        <w:trPr>
          <w:trHeight w:val="283"/>
        </w:trPr>
        <w:tc>
          <w:tcPr>
            <w:tcW w:w="2552" w:type="dxa"/>
            <w:shd w:val="clear" w:color="auto" w:fill="auto"/>
          </w:tcPr>
          <w:p w:rsidR="0088523E" w:rsidRPr="009B11E1" w:rsidRDefault="0088523E"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République du Niger (2016)</w:t>
            </w:r>
          </w:p>
        </w:tc>
        <w:tc>
          <w:tcPr>
            <w:tcW w:w="283" w:type="dxa"/>
            <w:vAlign w:val="center"/>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POLITIQUE NATIONALE DE SECURITE</w:t>
            </w:r>
          </w:p>
          <w:p w:rsidR="0088523E" w:rsidRPr="009B11E1" w:rsidRDefault="0088523E"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NUTRITIONNELLE AU NIGER (2016-2025)</w:t>
            </w:r>
          </w:p>
        </w:tc>
      </w:tr>
      <w:tr w:rsidR="0088523E" w:rsidRPr="006866D3" w:rsidTr="009B11E1">
        <w:trPr>
          <w:trHeight w:val="283"/>
        </w:trPr>
        <w:tc>
          <w:tcPr>
            <w:tcW w:w="2552" w:type="dxa"/>
            <w:shd w:val="clear" w:color="auto" w:fill="auto"/>
          </w:tcPr>
          <w:p w:rsidR="0088523E" w:rsidRPr="009B11E1" w:rsidRDefault="0088523E"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Niger (2017)</w:t>
            </w:r>
          </w:p>
        </w:tc>
        <w:tc>
          <w:tcPr>
            <w:tcW w:w="283" w:type="dxa"/>
            <w:vAlign w:val="center"/>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Niger</w:t>
            </w:r>
            <w:r w:rsidRPr="009B11E1">
              <w:rPr>
                <w:rFonts w:ascii="Nyala" w:eastAsia="Times New Roman" w:hAnsi="Nyala" w:cs="Times New Roman"/>
                <w:bCs/>
                <w:color w:val="000000"/>
                <w:sz w:val="16"/>
                <w:szCs w:val="16"/>
                <w:lang w:eastAsia="fr-FR"/>
              </w:rPr>
              <w:tab/>
              <w:t>PDES 2017-2021</w:t>
            </w:r>
          </w:p>
        </w:tc>
      </w:tr>
      <w:tr w:rsidR="0088523E" w:rsidRPr="006866D3" w:rsidTr="009B11E1">
        <w:trPr>
          <w:trHeight w:val="283"/>
        </w:trPr>
        <w:tc>
          <w:tcPr>
            <w:tcW w:w="2552" w:type="dxa"/>
            <w:shd w:val="clear" w:color="auto" w:fill="auto"/>
          </w:tcPr>
          <w:p w:rsidR="0088523E" w:rsidRPr="009B11E1" w:rsidRDefault="0088523E"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NIGER-BM 2017 (Jan)</w:t>
            </w:r>
          </w:p>
        </w:tc>
        <w:tc>
          <w:tcPr>
            <w:tcW w:w="283" w:type="dxa"/>
            <w:vAlign w:val="center"/>
          </w:tcPr>
          <w:p w:rsidR="0088523E" w:rsidRPr="009B11E1" w:rsidDel="002750EA" w:rsidRDefault="0088523E"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hideMark/>
          </w:tcPr>
          <w:p w:rsidR="0088523E" w:rsidRPr="009B11E1" w:rsidRDefault="0088523E"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-Projet d'Appui à l'Agriculture Sensible aux Risques Climatiques (PASEC)/2017-2022</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NIGER-USA-2016 (Oct)</w:t>
            </w:r>
          </w:p>
        </w:tc>
        <w:tc>
          <w:tcPr>
            <w:tcW w:w="283" w:type="dxa"/>
            <w:vAlign w:val="center"/>
          </w:tcPr>
          <w:p w:rsidR="00A23D71" w:rsidRPr="009B11E1" w:rsidDel="002750EA"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hideMark/>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Programme Compact-2018-2022</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NIGER/MPPFPE (2011)</w:t>
            </w:r>
          </w:p>
        </w:tc>
        <w:tc>
          <w:tcPr>
            <w:tcW w:w="283" w:type="dxa"/>
            <w:vAlign w:val="center"/>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Politique Nationale de Protection Sociale</w:t>
            </w:r>
          </w:p>
        </w:tc>
      </w:tr>
      <w:tr w:rsidR="00010607" w:rsidRPr="00D5664F"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Nigeria (2016)</w:t>
            </w:r>
          </w:p>
        </w:tc>
        <w:tc>
          <w:tcPr>
            <w:tcW w:w="283" w:type="dxa"/>
            <w:vAlign w:val="center"/>
          </w:tcPr>
          <w:p w:rsidR="00A23D71" w:rsidRPr="009B11E1" w:rsidRDefault="00A23D71" w:rsidP="009B11E1">
            <w:pPr>
              <w:spacing w:before="0" w:line="240" w:lineRule="auto"/>
              <w:rPr>
                <w:rFonts w:ascii="Nyala" w:eastAsia="Times New Roman" w:hAnsi="Nyala" w:cs="Times New Roman"/>
                <w:bCs/>
                <w:color w:val="000000"/>
                <w:sz w:val="16"/>
                <w:szCs w:val="16"/>
                <w:lang w:val="en-US" w:eastAsia="fr-FR"/>
              </w:rPr>
            </w:pPr>
          </w:p>
        </w:tc>
        <w:tc>
          <w:tcPr>
            <w:tcW w:w="6236" w:type="dxa"/>
            <w:shd w:val="clear" w:color="auto" w:fill="auto"/>
            <w:hideMark/>
          </w:tcPr>
          <w:p w:rsidR="00A23D71" w:rsidRPr="009B11E1" w:rsidRDefault="00A23D71" w:rsidP="009B11E1">
            <w:pPr>
              <w:spacing w:before="0" w:line="240" w:lineRule="auto"/>
              <w:rPr>
                <w:rFonts w:ascii="Nyala" w:eastAsia="Times New Roman" w:hAnsi="Nyala" w:cs="Times New Roman"/>
                <w:bCs/>
                <w:color w:val="000000"/>
                <w:sz w:val="16"/>
                <w:szCs w:val="16"/>
                <w:lang w:val="en-US" w:eastAsia="fr-FR"/>
              </w:rPr>
            </w:pPr>
            <w:r w:rsidRPr="009B11E1">
              <w:rPr>
                <w:rFonts w:ascii="Nyala" w:eastAsia="Times New Roman" w:hAnsi="Nyala" w:cs="Times New Roman"/>
                <w:bCs/>
                <w:color w:val="000000"/>
                <w:sz w:val="16"/>
                <w:szCs w:val="16"/>
                <w:lang w:val="en-US" w:eastAsia="fr-FR"/>
              </w:rPr>
              <w:t xml:space="preserve">NIGERIA-Synthesis Report of the Nigeria  Zero Hunger Strategic Review </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hAnsi="Nyala"/>
                <w:b/>
                <w:sz w:val="16"/>
                <w:szCs w:val="16"/>
              </w:rPr>
            </w:pPr>
            <w:r w:rsidRPr="009B11E1">
              <w:rPr>
                <w:rFonts w:ascii="Nyala" w:eastAsia="Times New Roman" w:hAnsi="Nyala" w:cs="Times New Roman"/>
                <w:b/>
                <w:bCs/>
                <w:color w:val="000000"/>
                <w:sz w:val="16"/>
                <w:szCs w:val="16"/>
                <w:lang w:eastAsia="fr-FR"/>
              </w:rPr>
              <w:t>PAM 2017 (juin)</w:t>
            </w:r>
          </w:p>
        </w:tc>
        <w:tc>
          <w:tcPr>
            <w:tcW w:w="283" w:type="dxa"/>
            <w:vAlign w:val="center"/>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Programme pays Cameroun 2018-2020</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hAnsi="Nyala"/>
                <w:b/>
                <w:sz w:val="16"/>
                <w:szCs w:val="16"/>
              </w:rPr>
              <w:t>PAM (2015)</w:t>
            </w:r>
          </w:p>
        </w:tc>
        <w:tc>
          <w:tcPr>
            <w:tcW w:w="283" w:type="dxa"/>
            <w:vAlign w:val="center"/>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Politique du PAM en matière de gestion globale des risques</w:t>
            </w:r>
          </w:p>
        </w:tc>
      </w:tr>
      <w:tr w:rsidR="00010607" w:rsidRPr="00D5664F"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val="en-US" w:eastAsia="fr-FR"/>
              </w:rPr>
              <w:t>PAM)-</w:t>
            </w:r>
            <w:r w:rsidRPr="009B11E1">
              <w:rPr>
                <w:rFonts w:ascii="Nyala" w:eastAsia="Times New Roman" w:hAnsi="Nyala" w:cs="Times New Roman"/>
                <w:b/>
                <w:bCs/>
                <w:color w:val="000000"/>
                <w:sz w:val="16"/>
                <w:szCs w:val="16"/>
                <w:lang w:eastAsia="fr-FR"/>
              </w:rPr>
              <w:t>2013 (Mai)</w:t>
            </w:r>
          </w:p>
        </w:tc>
        <w:tc>
          <w:tcPr>
            <w:tcW w:w="283" w:type="dxa"/>
            <w:vAlign w:val="center"/>
          </w:tcPr>
          <w:p w:rsidR="00A23D71" w:rsidRPr="009B11E1" w:rsidDel="002750EA" w:rsidRDefault="00A23D71" w:rsidP="009B11E1">
            <w:pPr>
              <w:spacing w:before="0" w:line="240" w:lineRule="auto"/>
              <w:rPr>
                <w:rFonts w:ascii="Nyala" w:eastAsia="Times New Roman" w:hAnsi="Nyala" w:cs="Times New Roman"/>
                <w:bCs/>
                <w:color w:val="000000"/>
                <w:sz w:val="16"/>
                <w:szCs w:val="16"/>
                <w:lang w:val="en-US" w:eastAsia="fr-FR"/>
              </w:rPr>
            </w:pPr>
          </w:p>
        </w:tc>
        <w:tc>
          <w:tcPr>
            <w:tcW w:w="6236" w:type="dxa"/>
            <w:shd w:val="clear" w:color="auto" w:fill="auto"/>
            <w:hideMark/>
          </w:tcPr>
          <w:p w:rsidR="00A23D71" w:rsidRPr="009B11E1" w:rsidRDefault="00A23D71" w:rsidP="009B11E1">
            <w:pPr>
              <w:spacing w:before="0" w:line="240" w:lineRule="auto"/>
              <w:rPr>
                <w:rFonts w:ascii="Nyala" w:eastAsia="Times New Roman" w:hAnsi="Nyala" w:cs="Times New Roman"/>
                <w:bCs/>
                <w:color w:val="000000"/>
                <w:sz w:val="16"/>
                <w:szCs w:val="16"/>
                <w:lang w:val="en-US" w:eastAsia="fr-FR"/>
              </w:rPr>
            </w:pPr>
            <w:r w:rsidRPr="009B11E1">
              <w:rPr>
                <w:rFonts w:ascii="Nyala" w:eastAsia="Times New Roman" w:hAnsi="Nyala" w:cs="Times New Roman"/>
                <w:bCs/>
                <w:color w:val="000000"/>
                <w:sz w:val="16"/>
                <w:szCs w:val="16"/>
                <w:lang w:val="en-US" w:eastAsia="fr-FR"/>
              </w:rPr>
              <w:t>The Economics of Early Response and Resilience in Niger</w:t>
            </w:r>
          </w:p>
        </w:tc>
      </w:tr>
      <w:tr w:rsidR="00C353B9" w:rsidRPr="006866D3" w:rsidTr="009B11E1">
        <w:trPr>
          <w:trHeight w:val="283"/>
        </w:trPr>
        <w:tc>
          <w:tcPr>
            <w:tcW w:w="2552" w:type="dxa"/>
            <w:shd w:val="clear" w:color="auto" w:fill="auto"/>
          </w:tcPr>
          <w:p w:rsidR="00C353B9" w:rsidRPr="009B11E1" w:rsidRDefault="006A171C" w:rsidP="009B11E1">
            <w:pPr>
              <w:spacing w:before="0" w:line="240" w:lineRule="auto"/>
              <w:rPr>
                <w:rFonts w:ascii="Nyala" w:hAnsi="Nyala"/>
                <w:b/>
                <w:sz w:val="16"/>
                <w:szCs w:val="16"/>
              </w:rPr>
            </w:pPr>
            <w:r w:rsidRPr="009B11E1">
              <w:rPr>
                <w:rFonts w:ascii="Nyala" w:hAnsi="Nyala"/>
                <w:b/>
                <w:sz w:val="16"/>
                <w:szCs w:val="16"/>
              </w:rPr>
              <w:t>PAM (2017)</w:t>
            </w:r>
          </w:p>
        </w:tc>
        <w:tc>
          <w:tcPr>
            <w:tcW w:w="283" w:type="dxa"/>
            <w:vAlign w:val="center"/>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C353B9" w:rsidRPr="009B11E1" w:rsidRDefault="006A171C"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Analyse intégrée du Contexte – cas du Niger</w:t>
            </w:r>
          </w:p>
        </w:tc>
      </w:tr>
      <w:tr w:rsidR="00042CC6" w:rsidRPr="006866D3" w:rsidTr="009B11E1">
        <w:trPr>
          <w:trHeight w:val="283"/>
        </w:trPr>
        <w:tc>
          <w:tcPr>
            <w:tcW w:w="2552" w:type="dxa"/>
            <w:shd w:val="clear" w:color="auto" w:fill="auto"/>
          </w:tcPr>
          <w:p w:rsidR="00042CC6" w:rsidRPr="009B11E1" w:rsidRDefault="00042CC6" w:rsidP="009B11E1">
            <w:pPr>
              <w:spacing w:before="0" w:line="240" w:lineRule="auto"/>
              <w:rPr>
                <w:rFonts w:ascii="Nyala" w:hAnsi="Nyala"/>
                <w:b/>
                <w:sz w:val="16"/>
                <w:szCs w:val="16"/>
              </w:rPr>
            </w:pPr>
            <w:r w:rsidRPr="009B11E1">
              <w:rPr>
                <w:rFonts w:ascii="Nyala" w:hAnsi="Nyala"/>
                <w:b/>
                <w:sz w:val="16"/>
                <w:szCs w:val="16"/>
              </w:rPr>
              <w:t>PAM (2018)</w:t>
            </w:r>
          </w:p>
        </w:tc>
        <w:tc>
          <w:tcPr>
            <w:tcW w:w="283" w:type="dxa"/>
            <w:vAlign w:val="center"/>
          </w:tcPr>
          <w:p w:rsidR="00042CC6" w:rsidRPr="009B11E1" w:rsidRDefault="00042CC6"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042CC6" w:rsidRPr="009B11E1" w:rsidRDefault="00042CC6"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 xml:space="preserve">Analyse intégrée du Contexte – Niger </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Reach (2014)</w:t>
            </w:r>
          </w:p>
        </w:tc>
        <w:tc>
          <w:tcPr>
            <w:tcW w:w="283" w:type="dxa"/>
            <w:vAlign w:val="center"/>
          </w:tcPr>
          <w:p w:rsidR="00A23D71" w:rsidRPr="009B11E1" w:rsidDel="002750EA"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Sénégal (2017)</w:t>
            </w:r>
          </w:p>
        </w:tc>
        <w:tc>
          <w:tcPr>
            <w:tcW w:w="283" w:type="dxa"/>
            <w:vAlign w:val="center"/>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hideMark/>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 xml:space="preserve">Revue Stratégique Nationale pour l'Éradication totale de la Faim (ODD2) </w:t>
            </w:r>
          </w:p>
        </w:tc>
      </w:tr>
      <w:tr w:rsidR="00010607" w:rsidRPr="00D5664F" w:rsidTr="009B11E1">
        <w:trPr>
          <w:trHeight w:val="283"/>
        </w:trPr>
        <w:tc>
          <w:tcPr>
            <w:tcW w:w="2552" w:type="dxa"/>
            <w:shd w:val="clear" w:color="auto" w:fill="auto"/>
          </w:tcPr>
          <w:p w:rsidR="00A23D71" w:rsidRPr="009B11E1" w:rsidRDefault="00A23D71" w:rsidP="009B11E1">
            <w:pPr>
              <w:spacing w:before="0" w:line="240" w:lineRule="auto"/>
              <w:rPr>
                <w:rFonts w:ascii="Nyala" w:hAnsi="Nyala"/>
                <w:b/>
                <w:sz w:val="16"/>
                <w:szCs w:val="16"/>
              </w:rPr>
            </w:pPr>
            <w:r w:rsidRPr="009B11E1">
              <w:rPr>
                <w:rFonts w:ascii="Nyala" w:hAnsi="Nyala" w:cstheme="minorHAnsi"/>
                <w:b/>
                <w:sz w:val="16"/>
                <w:szCs w:val="16"/>
                <w:lang w:val="en-US"/>
              </w:rPr>
              <w:t>UNICEF/WHO/World 2015</w:t>
            </w:r>
          </w:p>
        </w:tc>
        <w:tc>
          <w:tcPr>
            <w:tcW w:w="283" w:type="dxa"/>
            <w:vAlign w:val="center"/>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A23D71" w:rsidRPr="00146325" w:rsidRDefault="00A23D71" w:rsidP="009B11E1">
            <w:pPr>
              <w:spacing w:before="0" w:line="240" w:lineRule="auto"/>
              <w:rPr>
                <w:rFonts w:ascii="Nyala" w:eastAsia="Times New Roman" w:hAnsi="Nyala" w:cs="Times New Roman"/>
                <w:bCs/>
                <w:color w:val="000000"/>
                <w:sz w:val="16"/>
                <w:szCs w:val="16"/>
                <w:lang w:val="en-US" w:eastAsia="fr-FR"/>
              </w:rPr>
            </w:pPr>
            <w:r w:rsidRPr="009B11E1">
              <w:rPr>
                <w:rFonts w:ascii="Nyala" w:hAnsi="Nyala" w:cstheme="minorHAnsi"/>
                <w:sz w:val="16"/>
                <w:szCs w:val="16"/>
                <w:lang w:val="en-US"/>
              </w:rPr>
              <w:t>Bank Joint Child Malnutrition Estimates, September 2015 edition</w:t>
            </w:r>
          </w:p>
        </w:tc>
      </w:tr>
      <w:tr w:rsidR="00010607"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hAnsi="Nyala"/>
                <w:b/>
                <w:sz w:val="16"/>
                <w:szCs w:val="16"/>
              </w:rPr>
            </w:pPr>
            <w:r w:rsidRPr="009B11E1">
              <w:rPr>
                <w:rFonts w:ascii="Nyala" w:hAnsi="Nyala" w:cstheme="minorHAnsi"/>
                <w:b/>
                <w:sz w:val="16"/>
                <w:szCs w:val="16"/>
              </w:rPr>
              <w:t xml:space="preserve">UNS. </w:t>
            </w:r>
            <w:r w:rsidRPr="009B11E1">
              <w:rPr>
                <w:rFonts w:ascii="Nyala" w:hAnsi="Nyala" w:cstheme="minorHAnsi"/>
                <w:b/>
                <w:sz w:val="16"/>
                <w:szCs w:val="16"/>
                <w:lang w:val="en-US"/>
              </w:rPr>
              <w:t>2014</w:t>
            </w:r>
          </w:p>
        </w:tc>
        <w:tc>
          <w:tcPr>
            <w:tcW w:w="283" w:type="dxa"/>
            <w:vAlign w:val="center"/>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r w:rsidRPr="009B11E1">
              <w:rPr>
                <w:rFonts w:ascii="Nyala" w:hAnsi="Nyala" w:cstheme="minorHAnsi"/>
                <w:sz w:val="16"/>
                <w:szCs w:val="16"/>
              </w:rPr>
              <w:t xml:space="preserve">La nutrition et les Objectifs de Développement Durable de l’après-2015, note technique octobre </w:t>
            </w:r>
          </w:p>
        </w:tc>
      </w:tr>
      <w:tr w:rsidR="0088523E" w:rsidRPr="006866D3" w:rsidTr="0088523E">
        <w:trPr>
          <w:trHeight w:val="283"/>
        </w:trPr>
        <w:tc>
          <w:tcPr>
            <w:tcW w:w="2552" w:type="dxa"/>
            <w:shd w:val="clear" w:color="auto" w:fill="auto"/>
          </w:tcPr>
          <w:p w:rsidR="008C6BF7" w:rsidRPr="009B11E1" w:rsidRDefault="00C353B9" w:rsidP="009B11E1">
            <w:pPr>
              <w:spacing w:before="0" w:line="240" w:lineRule="auto"/>
              <w:rPr>
                <w:rFonts w:ascii="Nyala" w:hAnsi="Nyala"/>
                <w:b/>
                <w:sz w:val="16"/>
                <w:szCs w:val="16"/>
              </w:rPr>
            </w:pPr>
            <w:r w:rsidRPr="009B11E1">
              <w:rPr>
                <w:rFonts w:ascii="Nyala" w:hAnsi="Nyala" w:cstheme="minorHAnsi"/>
                <w:b/>
                <w:sz w:val="16"/>
                <w:szCs w:val="16"/>
                <w:lang w:val="en-US"/>
              </w:rPr>
              <w:t>WHO, (2014)</w:t>
            </w:r>
          </w:p>
        </w:tc>
        <w:tc>
          <w:tcPr>
            <w:tcW w:w="283" w:type="dxa"/>
            <w:vAlign w:val="center"/>
          </w:tcPr>
          <w:p w:rsidR="008C6BF7" w:rsidRPr="009B11E1" w:rsidRDefault="008C6BF7"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8C6BF7" w:rsidRPr="009B11E1" w:rsidRDefault="00C353B9" w:rsidP="009B11E1">
            <w:pPr>
              <w:spacing w:before="0" w:line="240" w:lineRule="auto"/>
              <w:rPr>
                <w:rFonts w:ascii="Nyala" w:eastAsia="Times New Roman" w:hAnsi="Nyala" w:cs="Times New Roman"/>
                <w:bCs/>
                <w:color w:val="000000"/>
                <w:sz w:val="16"/>
                <w:szCs w:val="16"/>
                <w:lang w:eastAsia="fr-FR"/>
              </w:rPr>
            </w:pPr>
            <w:r w:rsidRPr="009B11E1">
              <w:rPr>
                <w:rFonts w:ascii="Nyala" w:hAnsi="Nyala" w:cstheme="minorHAnsi"/>
                <w:sz w:val="16"/>
                <w:szCs w:val="16"/>
                <w:lang w:val="en-US"/>
              </w:rPr>
              <w:t xml:space="preserve">Joint Child Malnutrition Estimates, 2014; United Nations Children’s Fund, World Health Organization, The World Bank. UNICEF WHO-World Bank 2014 </w:t>
            </w:r>
          </w:p>
        </w:tc>
      </w:tr>
      <w:tr w:rsidR="00010607" w:rsidRPr="006866D3" w:rsidTr="009B11E1">
        <w:trPr>
          <w:trHeight w:val="283"/>
        </w:trPr>
        <w:tc>
          <w:tcPr>
            <w:tcW w:w="2552" w:type="dxa"/>
            <w:shd w:val="clear" w:color="auto" w:fill="auto"/>
          </w:tcPr>
          <w:p w:rsidR="00C353B9" w:rsidRPr="009B11E1" w:rsidRDefault="00C353B9" w:rsidP="009B11E1">
            <w:pPr>
              <w:spacing w:before="0" w:line="240" w:lineRule="auto"/>
              <w:rPr>
                <w:rFonts w:ascii="Nyala" w:hAnsi="Nyala"/>
                <w:b/>
                <w:sz w:val="16"/>
                <w:szCs w:val="16"/>
              </w:rPr>
            </w:pPr>
            <w:r w:rsidRPr="009B11E1">
              <w:rPr>
                <w:rFonts w:ascii="Nyala" w:eastAsia="Times New Roman" w:hAnsi="Nyala" w:cs="Times New Roman"/>
                <w:b/>
                <w:bCs/>
                <w:color w:val="000000"/>
                <w:sz w:val="16"/>
                <w:szCs w:val="16"/>
                <w:lang w:eastAsia="fr-FR"/>
              </w:rPr>
              <w:t xml:space="preserve">RCPA.2016 </w:t>
            </w:r>
          </w:p>
        </w:tc>
        <w:tc>
          <w:tcPr>
            <w:tcW w:w="283" w:type="dxa"/>
            <w:vAlign w:val="center"/>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noWrap/>
          </w:tcPr>
          <w:p w:rsidR="00C353B9" w:rsidRPr="009B11E1" w:rsidRDefault="00C353B9"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Maps &amp; Facts : les enjeux alimentaires face aux défis démographiques, urbains, migratoires et sécuritaires n°2, novembre 2016 - www.food-security.net</w:t>
            </w:r>
          </w:p>
        </w:tc>
      </w:tr>
      <w:tr w:rsidR="002750EA" w:rsidRPr="006866D3" w:rsidTr="009B11E1">
        <w:trPr>
          <w:trHeight w:val="283"/>
        </w:trPr>
        <w:tc>
          <w:tcPr>
            <w:tcW w:w="2552" w:type="dxa"/>
            <w:shd w:val="clear" w:color="auto" w:fill="auto"/>
          </w:tcPr>
          <w:p w:rsidR="002750EA" w:rsidRPr="009B11E1" w:rsidRDefault="002750EA" w:rsidP="009B11E1">
            <w:pPr>
              <w:spacing w:before="0" w:line="240" w:lineRule="auto"/>
              <w:rPr>
                <w:rFonts w:ascii="Nyala" w:eastAsia="Times New Roman" w:hAnsi="Nyala" w:cs="Times New Roman"/>
                <w:b/>
                <w:bCs/>
                <w:color w:val="000000"/>
                <w:sz w:val="16"/>
                <w:szCs w:val="16"/>
                <w:lang w:eastAsia="fr-FR"/>
              </w:rPr>
            </w:pPr>
            <w:r w:rsidRPr="009B11E1">
              <w:rPr>
                <w:rFonts w:ascii="Nyala" w:eastAsia="Times New Roman" w:hAnsi="Nyala" w:cs="Times New Roman"/>
                <w:b/>
                <w:bCs/>
                <w:color w:val="000000"/>
                <w:sz w:val="16"/>
                <w:szCs w:val="16"/>
                <w:lang w:eastAsia="fr-FR"/>
              </w:rPr>
              <w:t>Union Européenne (2011)</w:t>
            </w:r>
          </w:p>
        </w:tc>
        <w:tc>
          <w:tcPr>
            <w:tcW w:w="283" w:type="dxa"/>
            <w:vAlign w:val="center"/>
          </w:tcPr>
          <w:p w:rsidR="002750EA" w:rsidRPr="009B11E1" w:rsidRDefault="002750EA"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hideMark/>
          </w:tcPr>
          <w:p w:rsidR="002750EA" w:rsidRPr="009B11E1" w:rsidRDefault="002750EA" w:rsidP="009B11E1">
            <w:pPr>
              <w:spacing w:before="0" w:line="240" w:lineRule="auto"/>
              <w:rPr>
                <w:rFonts w:ascii="Nyala" w:eastAsia="Times New Roman" w:hAnsi="Nyala" w:cs="Times New Roman"/>
                <w:bCs/>
                <w:color w:val="000000"/>
                <w:sz w:val="16"/>
                <w:szCs w:val="16"/>
                <w:lang w:eastAsia="fr-FR"/>
              </w:rPr>
            </w:pPr>
            <w:r w:rsidRPr="009B11E1">
              <w:rPr>
                <w:rFonts w:ascii="Nyala" w:eastAsia="Times New Roman" w:hAnsi="Nyala" w:cs="Times New Roman"/>
                <w:bCs/>
                <w:color w:val="000000"/>
                <w:sz w:val="16"/>
                <w:szCs w:val="16"/>
                <w:lang w:eastAsia="fr-FR"/>
              </w:rPr>
              <w:t>UE-Service Européen pour l'Action Extérieure  (SEAE)-Stratégie pour la sécurité et le développement au Sahel</w:t>
            </w:r>
          </w:p>
        </w:tc>
      </w:tr>
      <w:tr w:rsidR="009B11E1" w:rsidRPr="006866D3" w:rsidTr="009B11E1">
        <w:trPr>
          <w:trHeight w:val="283"/>
        </w:trPr>
        <w:tc>
          <w:tcPr>
            <w:tcW w:w="2552" w:type="dxa"/>
            <w:shd w:val="clear" w:color="auto" w:fill="auto"/>
          </w:tcPr>
          <w:p w:rsidR="008C6BF7" w:rsidRPr="009B11E1" w:rsidRDefault="008C6BF7" w:rsidP="009B11E1">
            <w:pPr>
              <w:spacing w:before="0" w:line="240" w:lineRule="auto"/>
              <w:rPr>
                <w:rFonts w:ascii="Nyala" w:eastAsia="Times New Roman" w:hAnsi="Nyala" w:cs="Times New Roman"/>
                <w:b/>
                <w:bCs/>
                <w:color w:val="000000"/>
                <w:sz w:val="16"/>
                <w:szCs w:val="16"/>
                <w:lang w:eastAsia="fr-FR"/>
              </w:rPr>
            </w:pPr>
          </w:p>
        </w:tc>
        <w:tc>
          <w:tcPr>
            <w:tcW w:w="283" w:type="dxa"/>
            <w:vAlign w:val="center"/>
          </w:tcPr>
          <w:p w:rsidR="008C6BF7" w:rsidRPr="009B11E1" w:rsidRDefault="008C6BF7"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tcPr>
          <w:p w:rsidR="008C6BF7" w:rsidRPr="009B11E1" w:rsidRDefault="008C6BF7" w:rsidP="009B11E1">
            <w:pPr>
              <w:spacing w:before="0" w:line="240" w:lineRule="auto"/>
              <w:rPr>
                <w:rFonts w:ascii="Nyala" w:eastAsia="Times New Roman" w:hAnsi="Nyala" w:cs="Times New Roman"/>
                <w:bCs/>
                <w:color w:val="000000"/>
                <w:sz w:val="16"/>
                <w:szCs w:val="16"/>
                <w:lang w:eastAsia="fr-FR"/>
              </w:rPr>
            </w:pPr>
          </w:p>
        </w:tc>
      </w:tr>
      <w:tr w:rsidR="00A23D71" w:rsidRPr="006866D3" w:rsidTr="009B11E1">
        <w:trPr>
          <w:trHeight w:val="283"/>
        </w:trPr>
        <w:tc>
          <w:tcPr>
            <w:tcW w:w="2552" w:type="dxa"/>
            <w:shd w:val="clear" w:color="auto" w:fill="auto"/>
          </w:tcPr>
          <w:p w:rsidR="00A23D71" w:rsidRPr="009B11E1" w:rsidRDefault="00A23D71" w:rsidP="009B11E1">
            <w:pPr>
              <w:spacing w:before="0" w:line="240" w:lineRule="auto"/>
              <w:rPr>
                <w:rFonts w:ascii="Nyala" w:eastAsia="Times New Roman" w:hAnsi="Nyala" w:cs="Times New Roman"/>
                <w:b/>
                <w:bCs/>
                <w:color w:val="000000"/>
                <w:sz w:val="16"/>
                <w:szCs w:val="16"/>
                <w:lang w:eastAsia="fr-FR"/>
              </w:rPr>
            </w:pPr>
          </w:p>
        </w:tc>
        <w:tc>
          <w:tcPr>
            <w:tcW w:w="283" w:type="dxa"/>
            <w:vAlign w:val="center"/>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c>
          <w:tcPr>
            <w:tcW w:w="6236" w:type="dxa"/>
            <w:shd w:val="clear" w:color="auto" w:fill="auto"/>
          </w:tcPr>
          <w:p w:rsidR="00A23D71" w:rsidRPr="009B11E1" w:rsidRDefault="00A23D71" w:rsidP="009B11E1">
            <w:pPr>
              <w:spacing w:before="0" w:line="240" w:lineRule="auto"/>
              <w:rPr>
                <w:rFonts w:ascii="Nyala" w:eastAsia="Times New Roman" w:hAnsi="Nyala" w:cs="Times New Roman"/>
                <w:bCs/>
                <w:color w:val="000000"/>
                <w:sz w:val="16"/>
                <w:szCs w:val="16"/>
                <w:lang w:eastAsia="fr-FR"/>
              </w:rPr>
            </w:pPr>
          </w:p>
        </w:tc>
      </w:tr>
    </w:tbl>
    <w:p w:rsidR="00B56E1F" w:rsidRPr="006866D3" w:rsidRDefault="00B56E1F" w:rsidP="0024399D">
      <w:pPr>
        <w:rPr>
          <w:rFonts w:ascii="Nyala" w:hAnsi="Nyala"/>
          <w:sz w:val="28"/>
          <w:szCs w:val="28"/>
        </w:rPr>
      </w:pPr>
    </w:p>
    <w:p w:rsidR="00B56E1F" w:rsidRPr="006866D3" w:rsidRDefault="00B56E1F">
      <w:pPr>
        <w:rPr>
          <w:rFonts w:ascii="Nyala" w:hAnsi="Nyala"/>
          <w:sz w:val="28"/>
          <w:szCs w:val="28"/>
        </w:rPr>
      </w:pPr>
      <w:r w:rsidRPr="006866D3">
        <w:rPr>
          <w:rFonts w:ascii="Nyala" w:hAnsi="Nyala"/>
          <w:sz w:val="28"/>
          <w:szCs w:val="28"/>
        </w:rPr>
        <w:br w:type="page"/>
      </w:r>
    </w:p>
    <w:p w:rsidR="00B56E1F" w:rsidRPr="006866D3" w:rsidRDefault="00B56E1F" w:rsidP="0024399D">
      <w:pPr>
        <w:rPr>
          <w:rFonts w:ascii="Nyala" w:hAnsi="Nyala"/>
          <w:sz w:val="28"/>
          <w:szCs w:val="28"/>
        </w:rPr>
      </w:pPr>
    </w:p>
    <w:p w:rsidR="00B56E1F" w:rsidRPr="006866D3" w:rsidRDefault="006B3B21" w:rsidP="000F30A3">
      <w:pPr>
        <w:pStyle w:val="Titre2"/>
        <w:rPr>
          <w:sz w:val="28"/>
          <w:szCs w:val="28"/>
        </w:rPr>
      </w:pPr>
      <w:bookmarkStart w:id="594" w:name="_Toc526120003"/>
      <w:r w:rsidRPr="006866D3">
        <w:rPr>
          <w:sz w:val="28"/>
          <w:szCs w:val="28"/>
        </w:rPr>
        <w:t>Résumé des ateliers régionaux</w:t>
      </w:r>
      <w:bookmarkEnd w:id="594"/>
    </w:p>
    <w:p w:rsidR="00DD12DB" w:rsidRPr="009B11E1" w:rsidRDefault="00DD12DB" w:rsidP="00DD12DB">
      <w:pPr>
        <w:spacing w:line="240" w:lineRule="auto"/>
        <w:rPr>
          <w:rFonts w:ascii="Nyala" w:hAnsi="Nyala" w:cs="Arial"/>
          <w:b/>
          <w:color w:val="000000" w:themeColor="text1"/>
        </w:rPr>
      </w:pPr>
    </w:p>
    <w:p w:rsidR="00DD12DB" w:rsidRPr="009B11E1" w:rsidRDefault="00DD12DB" w:rsidP="00DD12DB">
      <w:pPr>
        <w:spacing w:after="160" w:line="240" w:lineRule="auto"/>
        <w:jc w:val="both"/>
        <w:rPr>
          <w:rFonts w:ascii="Nyala" w:hAnsi="Nyala" w:cs="Arial"/>
          <w:color w:val="000000" w:themeColor="text1"/>
        </w:rPr>
      </w:pPr>
      <w:r w:rsidRPr="009B11E1">
        <w:rPr>
          <w:rFonts w:ascii="Nyala" w:hAnsi="Nyala" w:cs="Arial"/>
          <w:color w:val="000000" w:themeColor="text1"/>
        </w:rPr>
        <w:t xml:space="preserve">En conformité avec </w:t>
      </w:r>
      <w:r w:rsidRPr="009B11E1">
        <w:rPr>
          <w:rFonts w:ascii="Nyala" w:hAnsi="Nyala" w:cs="Arial"/>
          <w:b/>
          <w:color w:val="000000" w:themeColor="text1"/>
          <w:u w:val="single"/>
        </w:rPr>
        <w:t>l’Agenda 2030</w:t>
      </w:r>
      <w:r w:rsidRPr="009B11E1">
        <w:rPr>
          <w:rFonts w:ascii="Nyala" w:hAnsi="Nyala" w:cs="Arial"/>
          <w:color w:val="000000" w:themeColor="text1"/>
        </w:rPr>
        <w:t xml:space="preserve"> des Nations Unies adopté en septembre 2015 et à l’instar d’autres pays du monde, le Niger a décidé de faire sa revue stratégique « faim zéro », avec l’appui du Programme Alimentaire Mondial (PAM). Pour ce faire, le Gouvernement a créé par arrêtés du Premier Ministre, un </w:t>
      </w:r>
      <w:r w:rsidRPr="009B11E1">
        <w:rPr>
          <w:rFonts w:ascii="Nyala" w:hAnsi="Nyala" w:cs="Arial"/>
          <w:b/>
          <w:color w:val="000000" w:themeColor="text1"/>
        </w:rPr>
        <w:t>comité interministériel</w:t>
      </w:r>
      <w:r w:rsidRPr="009B11E1">
        <w:rPr>
          <w:rFonts w:ascii="Nyala" w:hAnsi="Nyala" w:cs="Arial"/>
          <w:color w:val="000000" w:themeColor="text1"/>
        </w:rPr>
        <w:t xml:space="preserve"> composé des Ministres les plus concernés et soutenu par un </w:t>
      </w:r>
      <w:r w:rsidRPr="009B11E1">
        <w:rPr>
          <w:rFonts w:ascii="Nyala" w:hAnsi="Nyala" w:cs="Arial"/>
          <w:b/>
          <w:color w:val="000000" w:themeColor="text1"/>
        </w:rPr>
        <w:t>comité technique</w:t>
      </w:r>
      <w:r w:rsidRPr="009B11E1">
        <w:rPr>
          <w:rFonts w:ascii="Nyala" w:hAnsi="Nyala" w:cs="Arial"/>
          <w:color w:val="000000" w:themeColor="text1"/>
        </w:rPr>
        <w:t xml:space="preserve"> regroupant les hauts responsables techniques des mêmes ministères. De concert avec le PAM le Gouvernement a également désigné l’ancien Premier Ministre </w:t>
      </w:r>
      <w:r w:rsidRPr="009B11E1">
        <w:rPr>
          <w:rFonts w:ascii="Nyala" w:hAnsi="Nyala" w:cs="Arial"/>
          <w:b/>
          <w:color w:val="000000" w:themeColor="text1"/>
        </w:rPr>
        <w:t>Mahamadou DANDA</w:t>
      </w:r>
      <w:r w:rsidRPr="009B11E1">
        <w:rPr>
          <w:rFonts w:ascii="Nyala" w:hAnsi="Nyala" w:cs="Arial"/>
          <w:color w:val="000000" w:themeColor="text1"/>
        </w:rPr>
        <w:t xml:space="preserve"> pour faciliter  et animer le processus de la revue. Le PAM a recruté un bureau d’Etudes (Réseau d’Expertises en Développement Economique et Social-REDES) qui a mis à disposition trois experts (deux agroéconomistes et un économiste) pour apporter l’assistance technique nécessaire aux comités et au facilitateur. </w:t>
      </w:r>
    </w:p>
    <w:p w:rsidR="00DD12DB" w:rsidRPr="009B11E1" w:rsidRDefault="00DD12DB" w:rsidP="00DD12DB">
      <w:pPr>
        <w:spacing w:after="160" w:line="240" w:lineRule="auto"/>
        <w:jc w:val="both"/>
        <w:rPr>
          <w:rFonts w:ascii="Nyala" w:hAnsi="Nyala" w:cs="Arial"/>
          <w:color w:val="000000" w:themeColor="text1"/>
        </w:rPr>
      </w:pPr>
      <w:r w:rsidRPr="009B11E1">
        <w:rPr>
          <w:rFonts w:ascii="Nyala" w:hAnsi="Nyala" w:cs="Arial"/>
          <w:color w:val="000000" w:themeColor="text1"/>
        </w:rPr>
        <w:t xml:space="preserve">Le Gouvernement a demandé que cette revue soit participative et inclusive de toutes les parties prenantes, </w:t>
      </w:r>
      <w:r w:rsidRPr="009B11E1">
        <w:rPr>
          <w:rFonts w:ascii="Nyala" w:hAnsi="Nyala" w:cs="Arial"/>
          <w:b/>
          <w:color w:val="000000" w:themeColor="text1"/>
        </w:rPr>
        <w:t>notamment celles de l’intérieur du pays, aux niveaux décentralisé et déconcentré</w:t>
      </w:r>
      <w:r w:rsidRPr="009B11E1">
        <w:rPr>
          <w:rFonts w:ascii="Nyala" w:hAnsi="Nyala" w:cs="Arial"/>
          <w:color w:val="000000" w:themeColor="text1"/>
        </w:rPr>
        <w:t>. En effet, les acteurs de l’intérieur du pays sont particulièrement concernés par cette revue, aussi bien dans sa réalisation que dans l’appropriation et la mise en œuvre de ses recommandations. Aussi, parmi les activités contenues dans la feuille de route élaboré par le Comité Technique, figurent en bonne place, les consultations régionales animées par des Hauts Responsables techniques du secteur  gouvernemental et les experts chargés d’appuyer la réalisation de cette revue.</w:t>
      </w:r>
    </w:p>
    <w:p w:rsidR="00DD12DB" w:rsidRPr="009B11E1" w:rsidRDefault="00DD12DB" w:rsidP="00DD12DB">
      <w:pPr>
        <w:spacing w:after="0" w:line="240" w:lineRule="auto"/>
        <w:jc w:val="both"/>
        <w:rPr>
          <w:rFonts w:ascii="Nyala" w:hAnsi="Nyala" w:cs="Arial"/>
          <w:color w:val="000000" w:themeColor="text1"/>
        </w:rPr>
      </w:pPr>
      <w:r w:rsidRPr="009B11E1">
        <w:rPr>
          <w:rFonts w:ascii="Nyala" w:hAnsi="Nyala" w:cs="Arial"/>
          <w:color w:val="000000" w:themeColor="text1"/>
        </w:rPr>
        <w:t>Ces consultations régionales ont pour objectifs de:</w:t>
      </w:r>
    </w:p>
    <w:p w:rsidR="00DD12DB" w:rsidRPr="009B11E1" w:rsidRDefault="00DD12DB" w:rsidP="00DD12DB">
      <w:pPr>
        <w:spacing w:after="0" w:line="240" w:lineRule="auto"/>
        <w:ind w:left="708"/>
        <w:jc w:val="both"/>
        <w:rPr>
          <w:rFonts w:ascii="Nyala" w:hAnsi="Nyala" w:cs="Arial"/>
          <w:color w:val="000000" w:themeColor="text1"/>
        </w:rPr>
      </w:pPr>
      <w:r w:rsidRPr="009B11E1">
        <w:rPr>
          <w:rFonts w:ascii="Nyala" w:hAnsi="Nyala" w:cs="Arial"/>
          <w:color w:val="000000" w:themeColor="text1"/>
        </w:rPr>
        <w:t>i/ expliquer le contenu de la revue : contexte, problématique, objectifs poursuivis, résultats  attendus, recommandations à formuler, feuille de route pour la mise en œuvre des recommandations, … ;</w:t>
      </w:r>
    </w:p>
    <w:p w:rsidR="00DD12DB" w:rsidRPr="009B11E1" w:rsidRDefault="00DD12DB" w:rsidP="00DD12DB">
      <w:pPr>
        <w:spacing w:after="0" w:line="240" w:lineRule="auto"/>
        <w:ind w:left="708"/>
        <w:jc w:val="both"/>
        <w:rPr>
          <w:rFonts w:ascii="Nyala" w:hAnsi="Nyala" w:cs="Arial"/>
          <w:color w:val="000000" w:themeColor="text1"/>
        </w:rPr>
      </w:pPr>
      <w:r w:rsidRPr="009B11E1">
        <w:rPr>
          <w:rFonts w:ascii="Nyala" w:hAnsi="Nyala" w:cs="Arial"/>
          <w:color w:val="000000" w:themeColor="text1"/>
        </w:rPr>
        <w:t>ii/ donner des exemples de pays ayant fait des revues « faim Zéro » (Nigéria, Burkina Faso, Mauritanie, Sénégal, …);</w:t>
      </w:r>
    </w:p>
    <w:p w:rsidR="00DD12DB" w:rsidRPr="009B11E1" w:rsidRDefault="00DD12DB" w:rsidP="00DD12DB">
      <w:pPr>
        <w:spacing w:after="0" w:line="240" w:lineRule="auto"/>
        <w:ind w:left="708"/>
        <w:jc w:val="both"/>
        <w:rPr>
          <w:rFonts w:ascii="Nyala" w:hAnsi="Nyala" w:cs="Arial"/>
          <w:color w:val="000000" w:themeColor="text1"/>
        </w:rPr>
      </w:pPr>
      <w:r w:rsidRPr="009B11E1">
        <w:rPr>
          <w:rFonts w:ascii="Nyala" w:hAnsi="Nyala" w:cs="Arial"/>
          <w:color w:val="000000" w:themeColor="text1"/>
        </w:rPr>
        <w:t>ii/ Partager avec les acteurs régionaux l’état d’avancement du processus ; dire les attentes par rapport à leurs niveaux d’appropriation de l’exercice ;</w:t>
      </w:r>
    </w:p>
    <w:p w:rsidR="00DD12DB" w:rsidRPr="009B11E1" w:rsidRDefault="00DD12DB" w:rsidP="00DD12DB">
      <w:pPr>
        <w:spacing w:after="0" w:line="240" w:lineRule="auto"/>
        <w:ind w:left="708"/>
        <w:jc w:val="both"/>
        <w:rPr>
          <w:rFonts w:ascii="Nyala" w:hAnsi="Nyala" w:cs="Arial"/>
          <w:color w:val="000000" w:themeColor="text1"/>
        </w:rPr>
      </w:pPr>
      <w:r w:rsidRPr="009B11E1">
        <w:rPr>
          <w:rFonts w:ascii="Nyala" w:hAnsi="Nyala" w:cs="Arial"/>
          <w:color w:val="000000" w:themeColor="text1"/>
        </w:rPr>
        <w:t>iii/ solliciter la contribution des Régions, en termes d’idées, d’analyses, de problématiques, d’informations, de bilan des réalisations dans le domaine, de recommandations, … ;</w:t>
      </w:r>
    </w:p>
    <w:p w:rsidR="00DD12DB" w:rsidRPr="009B11E1" w:rsidRDefault="00DD12DB" w:rsidP="00DD12DB">
      <w:pPr>
        <w:spacing w:after="0" w:line="240" w:lineRule="auto"/>
        <w:ind w:left="708"/>
        <w:jc w:val="both"/>
        <w:rPr>
          <w:rFonts w:ascii="Nyala" w:hAnsi="Nyala" w:cs="Arial"/>
          <w:color w:val="000000" w:themeColor="text1"/>
        </w:rPr>
      </w:pPr>
      <w:r w:rsidRPr="009B11E1">
        <w:rPr>
          <w:rFonts w:ascii="Nyala" w:hAnsi="Nyala" w:cs="Arial"/>
          <w:color w:val="000000" w:themeColor="text1"/>
        </w:rPr>
        <w:t>iv/ donner systématiquement la parole à toutes les catégories des parties prenantes présentes, à tour de rôle, même quand la parole n’est pas demandé ; noter la contribution ou l’abstention.</w:t>
      </w:r>
    </w:p>
    <w:p w:rsidR="00DD12DB" w:rsidRPr="009B11E1" w:rsidRDefault="00DD12DB" w:rsidP="00DD12DB">
      <w:pPr>
        <w:spacing w:after="0" w:line="240" w:lineRule="auto"/>
        <w:jc w:val="both"/>
        <w:rPr>
          <w:rFonts w:ascii="Nyala" w:hAnsi="Nyala" w:cs="Arial"/>
          <w:color w:val="000000" w:themeColor="text1"/>
        </w:rPr>
      </w:pPr>
      <w:r w:rsidRPr="009B11E1">
        <w:rPr>
          <w:rFonts w:ascii="Nyala" w:hAnsi="Nyala" w:cs="Arial"/>
          <w:color w:val="000000" w:themeColor="text1"/>
        </w:rPr>
        <w:t>Ces missions de consultations régionales ont fait l’objet de la constitution de trois équipes dédiées chacune à un axe ou bouquet de régions :</w:t>
      </w:r>
    </w:p>
    <w:p w:rsidR="00DD12DB" w:rsidRPr="009B11E1" w:rsidRDefault="00DD12DB" w:rsidP="00DD12DB">
      <w:pPr>
        <w:spacing w:after="0" w:line="240" w:lineRule="auto"/>
        <w:ind w:left="708"/>
        <w:jc w:val="both"/>
        <w:rPr>
          <w:rFonts w:ascii="Nyala" w:hAnsi="Nyala" w:cs="Arial"/>
          <w:color w:val="000000" w:themeColor="text1"/>
        </w:rPr>
      </w:pPr>
      <w:r w:rsidRPr="009B11E1">
        <w:rPr>
          <w:rFonts w:ascii="Nyala" w:hAnsi="Nyala" w:cs="Arial"/>
          <w:color w:val="000000" w:themeColor="text1"/>
        </w:rPr>
        <w:t>1/ Mission1 sur l’axe Maradi-Zinder-Diffa</w:t>
      </w:r>
    </w:p>
    <w:p w:rsidR="00DD12DB" w:rsidRPr="009B11E1" w:rsidRDefault="00DD12DB" w:rsidP="00DD12DB">
      <w:pPr>
        <w:spacing w:after="0" w:line="240" w:lineRule="auto"/>
        <w:ind w:left="708"/>
        <w:jc w:val="both"/>
        <w:rPr>
          <w:rFonts w:ascii="Nyala" w:hAnsi="Nyala" w:cs="Arial"/>
          <w:color w:val="000000" w:themeColor="text1"/>
        </w:rPr>
      </w:pPr>
      <w:r w:rsidRPr="009B11E1">
        <w:rPr>
          <w:rFonts w:ascii="Nyala" w:hAnsi="Nyala" w:cs="Arial"/>
          <w:color w:val="000000" w:themeColor="text1"/>
        </w:rPr>
        <w:t>2/ Mission 2 sur l’axe Tillabery-Niamey-Dosso</w:t>
      </w:r>
    </w:p>
    <w:p w:rsidR="00DD12DB" w:rsidRPr="009B11E1" w:rsidRDefault="00DD12DB" w:rsidP="00DD12DB">
      <w:pPr>
        <w:spacing w:after="0" w:line="240" w:lineRule="auto"/>
        <w:ind w:left="708"/>
        <w:jc w:val="both"/>
        <w:rPr>
          <w:rFonts w:ascii="Nyala" w:hAnsi="Nyala" w:cs="Arial"/>
          <w:color w:val="000000" w:themeColor="text1"/>
        </w:rPr>
      </w:pPr>
      <w:r w:rsidRPr="009B11E1">
        <w:rPr>
          <w:rFonts w:ascii="Nyala" w:hAnsi="Nyala" w:cs="Arial"/>
          <w:color w:val="000000" w:themeColor="text1"/>
        </w:rPr>
        <w:t>3/ Mission 3 sur l’axe Tahoua-Agadez</w:t>
      </w:r>
    </w:p>
    <w:p w:rsidR="00DD12DB" w:rsidRPr="009B11E1" w:rsidRDefault="00DD12DB" w:rsidP="006B3B21">
      <w:pPr>
        <w:rPr>
          <w:rFonts w:ascii="Nyala" w:hAnsi="Nyala"/>
        </w:rPr>
      </w:pPr>
    </w:p>
    <w:p w:rsidR="005104D3" w:rsidRPr="009B11E1" w:rsidRDefault="005104D3" w:rsidP="00141D20">
      <w:pPr>
        <w:pStyle w:val="Paragraphedeliste"/>
        <w:numPr>
          <w:ilvl w:val="0"/>
          <w:numId w:val="35"/>
        </w:numPr>
        <w:spacing w:after="160" w:line="240" w:lineRule="auto"/>
        <w:jc w:val="both"/>
        <w:rPr>
          <w:rFonts w:ascii="Nyala" w:hAnsi="Nyala" w:cs="Arial"/>
          <w:color w:val="000000" w:themeColor="text1"/>
        </w:rPr>
      </w:pPr>
      <w:r w:rsidRPr="009B11E1">
        <w:rPr>
          <w:rFonts w:ascii="Nyala" w:hAnsi="Nyala" w:cs="Arial"/>
          <w:b/>
          <w:color w:val="000000" w:themeColor="text1"/>
        </w:rPr>
        <w:t>AXE Tahoua-Agadez (du 23 au 27 juillet 2018) (</w:t>
      </w:r>
      <w:r w:rsidRPr="009B11E1">
        <w:rPr>
          <w:rFonts w:ascii="Nyala" w:hAnsi="Nyala" w:cs="Arial"/>
          <w:color w:val="000000" w:themeColor="text1"/>
        </w:rPr>
        <w:t>Ousseini Halidou, Agro-économiste (MAG/EL) ; Hamid Ahmed, Economiste (REDES)</w:t>
      </w:r>
    </w:p>
    <w:p w:rsidR="005104D3" w:rsidRPr="009B11E1" w:rsidRDefault="005104D3" w:rsidP="005104D3">
      <w:pPr>
        <w:spacing w:line="240" w:lineRule="auto"/>
        <w:jc w:val="both"/>
        <w:rPr>
          <w:rFonts w:ascii="Nyala" w:hAnsi="Nyala" w:cs="Arial"/>
          <w:color w:val="000000" w:themeColor="text1"/>
        </w:rPr>
      </w:pPr>
      <w:r w:rsidRPr="009B11E1">
        <w:rPr>
          <w:rFonts w:ascii="Nyala" w:hAnsi="Nyala" w:cs="Arial"/>
          <w:color w:val="000000" w:themeColor="text1"/>
        </w:rPr>
        <w:t>Les régions de Tahoua et d’Agadez étaient informées par le Ministère en charge de l’Agriculture et de l’Elevage de l’arrivée de la mission. La mission est arrivée à Tahoua, la veille de la tenue de la réunion de consultation.</w:t>
      </w:r>
    </w:p>
    <w:p w:rsidR="005104D3" w:rsidRPr="009B11E1" w:rsidRDefault="005104D3" w:rsidP="005104D3">
      <w:pPr>
        <w:spacing w:line="240" w:lineRule="auto"/>
        <w:jc w:val="both"/>
        <w:rPr>
          <w:rFonts w:ascii="Nyala" w:hAnsi="Nyala" w:cs="Arial"/>
          <w:color w:val="000000" w:themeColor="text1"/>
        </w:rPr>
      </w:pPr>
      <w:r w:rsidRPr="009B11E1">
        <w:rPr>
          <w:rFonts w:ascii="Nyala" w:hAnsi="Nyala" w:cs="Arial"/>
          <w:color w:val="000000" w:themeColor="text1"/>
        </w:rPr>
        <w:t>La mission était arrivée à Tahoua le lundi 23 juillet 2018, dans l’après midi (15 heures). Elle a immédiatement pris attache avec les Directeurs régionaux de l’Agriculture, de l’Elevage, de l’Environnement, du Développement Communautaire et le coordonnateur de l’i3N. Après un bref échange sur l’état de préparation de la consultation, l’équipe a été conduite au secrétariat général du Gouvernorat où elle a rencontré respectivement le Secrétaire Général et le Gouverneur de la région. La réunion a été effectivement bien préparée par le DRA et ses collègues des autres secteurs concernés.</w:t>
      </w:r>
    </w:p>
    <w:p w:rsidR="005104D3" w:rsidRPr="009B11E1" w:rsidRDefault="005104D3" w:rsidP="005104D3">
      <w:pPr>
        <w:spacing w:line="240" w:lineRule="auto"/>
        <w:jc w:val="both"/>
        <w:rPr>
          <w:rFonts w:ascii="Nyala" w:hAnsi="Nyala" w:cs="Arial"/>
          <w:color w:val="000000" w:themeColor="text1"/>
        </w:rPr>
      </w:pPr>
      <w:r w:rsidRPr="009B11E1">
        <w:rPr>
          <w:rFonts w:ascii="Nyala" w:hAnsi="Nyala" w:cs="Arial"/>
          <w:color w:val="000000" w:themeColor="text1"/>
        </w:rPr>
        <w:t>La réunion de consultation a eu lieu dans la salle du PRODAF, le mardi 24 juillet 2018 à 9 heures, sous la présidence du Secrétaire général adjoint du Gouvernorat. Elle a regroupé 42 participants. Après la fatiha prononcée par le représentant de l’association islamique de Tahoua, un tour de table a été fait pour permettre aux participants de se présenter. Ensuite la parole a été donnée aux membres de la mission pour introduire le sujet et expliquer l’ordre du jour, ce qui fut fait. Après quoi le Secrétaire général adjoint du gouvernorat a prononcé son discours d’ouverture. Une pause-café s’en est suivie pour permettre aux Autorités de se retirer. La réunion plénière a commencé après la pause-café.</w:t>
      </w:r>
    </w:p>
    <w:p w:rsidR="005104D3" w:rsidRPr="009B11E1" w:rsidRDefault="005104D3" w:rsidP="00DD12DB">
      <w:pPr>
        <w:spacing w:before="0" w:line="240" w:lineRule="auto"/>
        <w:jc w:val="both"/>
        <w:rPr>
          <w:rFonts w:ascii="Nyala" w:hAnsi="Nyala" w:cs="Arial"/>
          <w:b/>
          <w:color w:val="000000" w:themeColor="text1"/>
        </w:rPr>
      </w:pPr>
      <w:r w:rsidRPr="009B11E1">
        <w:rPr>
          <w:rFonts w:ascii="Nyala" w:hAnsi="Nyala" w:cs="Arial"/>
          <w:b/>
          <w:color w:val="000000" w:themeColor="text1"/>
        </w:rPr>
        <w:t>Contenu des échanges et débats</w:t>
      </w:r>
    </w:p>
    <w:p w:rsidR="005104D3" w:rsidRPr="009B11E1" w:rsidRDefault="005104D3" w:rsidP="00DD12DB">
      <w:pPr>
        <w:spacing w:line="240" w:lineRule="auto"/>
        <w:ind w:left="708"/>
        <w:jc w:val="both"/>
        <w:rPr>
          <w:rFonts w:ascii="Nyala" w:hAnsi="Nyala" w:cs="Arial"/>
          <w:b/>
          <w:color w:val="000000" w:themeColor="text1"/>
        </w:rPr>
      </w:pPr>
      <w:r w:rsidRPr="009B11E1">
        <w:rPr>
          <w:rFonts w:ascii="Nyala" w:hAnsi="Nyala" w:cs="Arial"/>
          <w:b/>
          <w:color w:val="000000" w:themeColor="text1"/>
        </w:rPr>
        <w:t xml:space="preserve">i/ Sécurité alimentaire : </w:t>
      </w:r>
    </w:p>
    <w:p w:rsidR="005104D3" w:rsidRPr="009B11E1" w:rsidRDefault="005104D3" w:rsidP="00DD12DB">
      <w:pPr>
        <w:spacing w:line="240" w:lineRule="auto"/>
        <w:ind w:left="708"/>
        <w:jc w:val="both"/>
        <w:rPr>
          <w:rFonts w:ascii="Nyala" w:hAnsi="Nyala" w:cs="Arial"/>
          <w:color w:val="000000" w:themeColor="text1"/>
        </w:rPr>
      </w:pPr>
      <w:r w:rsidRPr="009B11E1">
        <w:rPr>
          <w:rFonts w:ascii="Nyala" w:hAnsi="Nyala" w:cs="Arial"/>
          <w:color w:val="000000" w:themeColor="text1"/>
        </w:rPr>
        <w:t>Des efforts significatifs sont faits par le gouvernement et les partenaires pour contenir les crises et les catastrophes ; les populations sont soulagées ; sans les soutiens du Gouvernement et des partenaires, la situation serait dramatique. Mais ces aides sont loin de régler tous les problèmes alimentaires; le ciblage et l’équité sont difficiles à réussir. Parfois, les aides ne sont même pas adaptées aux besoins des bénéficiaires, parfois elles arrivent avec retard. Les aides elles-mêmes sont aléatoires et précaires. Il y a des populations en petits effectifs dispersées dans les brousses lointaines enclavées qui ne peuvent pas bénéficier de ces aides et qui pourtant vivent des situations alimentaires extrêmement difficiles.</w:t>
      </w:r>
    </w:p>
    <w:p w:rsidR="005104D3" w:rsidRPr="009B11E1" w:rsidRDefault="005104D3" w:rsidP="00DD12DB">
      <w:pPr>
        <w:spacing w:line="240" w:lineRule="auto"/>
        <w:ind w:left="708"/>
        <w:jc w:val="both"/>
        <w:rPr>
          <w:rFonts w:ascii="Nyala" w:hAnsi="Nyala" w:cs="Arial"/>
          <w:b/>
          <w:color w:val="000000" w:themeColor="text1"/>
        </w:rPr>
      </w:pPr>
      <w:r w:rsidRPr="009B11E1">
        <w:rPr>
          <w:rFonts w:ascii="Nyala" w:hAnsi="Nyala" w:cs="Arial"/>
          <w:b/>
          <w:color w:val="000000" w:themeColor="text1"/>
        </w:rPr>
        <w:t xml:space="preserve">ii/ Nutrition : </w:t>
      </w:r>
    </w:p>
    <w:p w:rsidR="005104D3" w:rsidRPr="009B11E1" w:rsidRDefault="005104D3" w:rsidP="00DD12DB">
      <w:pPr>
        <w:spacing w:line="240" w:lineRule="auto"/>
        <w:ind w:left="708"/>
        <w:jc w:val="both"/>
        <w:rPr>
          <w:rFonts w:ascii="Nyala" w:hAnsi="Nyala" w:cs="Arial"/>
          <w:color w:val="000000" w:themeColor="text1"/>
        </w:rPr>
      </w:pPr>
      <w:r w:rsidRPr="009B11E1">
        <w:rPr>
          <w:rFonts w:ascii="Nyala" w:hAnsi="Nyala" w:cs="Arial"/>
          <w:color w:val="000000" w:themeColor="text1"/>
        </w:rPr>
        <w:t xml:space="preserve">Grâce aux soutiens des partenaires en intrants, la situation de la malnutrition est contenu. On enregistre même une relative amélioration, quoique modeste. Les aides d’urgence et les aides à la résorption des crises dominent le soutien aux solutions structurelles. Il y a des progrès dans les activités de prise en charge de la malnutrition. Il y a aussi une intensification relative des activités préventives de la malnutrition. La région ambitionne de mettre en place un système sanitaire et nutritionnel solide, à terme. Le problème le plus important se pose au niveau de la coordination et de l’harmonisation des actions des différents acteurs intervenants dans le domaine de la nutrition (ONG et dispositif national). </w:t>
      </w:r>
    </w:p>
    <w:p w:rsidR="005104D3" w:rsidRPr="009B11E1" w:rsidRDefault="005104D3" w:rsidP="00DD12DB">
      <w:pPr>
        <w:spacing w:line="240" w:lineRule="auto"/>
        <w:ind w:left="708"/>
        <w:jc w:val="both"/>
        <w:rPr>
          <w:rFonts w:ascii="Nyala" w:hAnsi="Nyala" w:cs="Arial"/>
          <w:b/>
          <w:color w:val="000000" w:themeColor="text1"/>
        </w:rPr>
      </w:pPr>
      <w:r w:rsidRPr="009B11E1">
        <w:rPr>
          <w:rFonts w:ascii="Nyala" w:hAnsi="Nyala" w:cs="Arial"/>
          <w:b/>
          <w:color w:val="000000" w:themeColor="text1"/>
        </w:rPr>
        <w:t>iii/ Développement durable :</w:t>
      </w:r>
    </w:p>
    <w:p w:rsidR="005104D3" w:rsidRPr="009B11E1" w:rsidRDefault="005104D3" w:rsidP="00DD12DB">
      <w:pPr>
        <w:spacing w:line="240" w:lineRule="auto"/>
        <w:ind w:left="708"/>
        <w:jc w:val="both"/>
        <w:rPr>
          <w:rFonts w:ascii="Nyala" w:hAnsi="Nyala" w:cs="Arial"/>
          <w:color w:val="000000" w:themeColor="text1"/>
        </w:rPr>
      </w:pPr>
      <w:r w:rsidRPr="009B11E1">
        <w:rPr>
          <w:rFonts w:ascii="Nyala" w:hAnsi="Nyala" w:cs="Arial"/>
          <w:color w:val="000000" w:themeColor="text1"/>
        </w:rPr>
        <w:t>Les pressions sur les terres, les forêts et les autres ressources naturelles sont de plus en plus fortes, faute d’autres opportunités d’emplois et de revenus, notamment pour les jeunes ruraux. La remontée des cultures vers les terres pastorales cause de sérieux problèmes, à la fois environnementaux et sociaux (conflits agriculteurs-éleveurs). Les textes en la matière ne semblent pas respectés par les exploitants des ces ressources. Le désherbage et le déboisement sont en train de devenir des sources importantes de revenus pour les ruraux. La dégradation des terres est en train de s’accélérer. Il y a une vive tension entre les éleveurs et les agriculteurs relativement à l’exploitation des ressources pastorales.</w:t>
      </w:r>
    </w:p>
    <w:p w:rsidR="005104D3" w:rsidRPr="009B11E1" w:rsidRDefault="005104D3" w:rsidP="00DD12DB">
      <w:pPr>
        <w:spacing w:line="240" w:lineRule="auto"/>
        <w:ind w:left="708"/>
        <w:jc w:val="both"/>
        <w:rPr>
          <w:rFonts w:ascii="Nyala" w:hAnsi="Nyala" w:cs="Arial"/>
          <w:color w:val="000000" w:themeColor="text1"/>
        </w:rPr>
      </w:pPr>
      <w:r w:rsidRPr="009B11E1">
        <w:rPr>
          <w:rFonts w:ascii="Nyala" w:hAnsi="Nyala" w:cs="Arial"/>
          <w:color w:val="000000" w:themeColor="text1"/>
        </w:rPr>
        <w:t>En matière d’environnement et de développement durable, les politiques sont bien conçues et pertinentes, mais, certains objectifs sont trop ambitieux eu égard aux capacités de d’investissement et de mise en œuvre du pays, en particulier concernant la récupération des terres et les mises en valeur agricoles. La stratégie de l’i3N a été bien conçue et appropriée par les populations ; mais sa mise en œuvre a comporté des insuffisances importantes dans le ciblage des actions, la gestion des ressources financières, l’exécution des investissements, la coordination de l’ensemble des interventions et le suivi et évaluation.</w:t>
      </w:r>
    </w:p>
    <w:p w:rsidR="005104D3" w:rsidRPr="009B11E1" w:rsidRDefault="005104D3" w:rsidP="00DD12DB">
      <w:pPr>
        <w:spacing w:line="240" w:lineRule="auto"/>
        <w:ind w:left="708"/>
        <w:rPr>
          <w:rFonts w:ascii="Nyala" w:hAnsi="Nyala"/>
          <w:b/>
        </w:rPr>
      </w:pPr>
      <w:r w:rsidRPr="009B11E1">
        <w:rPr>
          <w:rFonts w:ascii="Nyala" w:hAnsi="Nyala"/>
          <w:b/>
        </w:rPr>
        <w:t xml:space="preserve">iv/ </w:t>
      </w:r>
      <w:r w:rsidRPr="009B11E1">
        <w:rPr>
          <w:rFonts w:ascii="Nyala" w:hAnsi="Nyala" w:cs="Arial"/>
          <w:b/>
          <w:color w:val="000000" w:themeColor="text1"/>
        </w:rPr>
        <w:t>Gouvernance</w:t>
      </w:r>
      <w:r w:rsidRPr="009B11E1">
        <w:rPr>
          <w:rFonts w:ascii="Nyala" w:hAnsi="Nyala"/>
          <w:b/>
        </w:rPr>
        <w:t xml:space="preserve"> : </w:t>
      </w:r>
    </w:p>
    <w:p w:rsidR="005104D3" w:rsidRPr="009B11E1" w:rsidRDefault="005104D3" w:rsidP="00DD12DB">
      <w:pPr>
        <w:spacing w:line="240" w:lineRule="auto"/>
        <w:ind w:left="708"/>
        <w:rPr>
          <w:rFonts w:ascii="Nyala" w:hAnsi="Nyala"/>
        </w:rPr>
      </w:pPr>
      <w:r w:rsidRPr="009B11E1">
        <w:rPr>
          <w:rFonts w:ascii="Nyala" w:hAnsi="Nyala"/>
        </w:rPr>
        <w:t>Les constats suivants ont été relevés :</w:t>
      </w:r>
    </w:p>
    <w:p w:rsidR="005104D3" w:rsidRPr="009B11E1" w:rsidRDefault="005104D3" w:rsidP="00DD12DB">
      <w:pPr>
        <w:spacing w:before="0" w:after="0" w:line="240" w:lineRule="auto"/>
        <w:ind w:left="708"/>
        <w:rPr>
          <w:rFonts w:ascii="Nyala" w:hAnsi="Nyala"/>
        </w:rPr>
      </w:pPr>
      <w:r w:rsidRPr="009B11E1">
        <w:rPr>
          <w:rFonts w:ascii="Nyala" w:hAnsi="Nyala"/>
        </w:rPr>
        <w:t>a/ saupoudrage des interventions des différents acteurs, se traduisant par des déséquilibres spacieux en matière d’investissement ;</w:t>
      </w:r>
    </w:p>
    <w:p w:rsidR="005104D3" w:rsidRPr="009B11E1" w:rsidRDefault="005104D3" w:rsidP="00DD12DB">
      <w:pPr>
        <w:spacing w:before="0" w:after="0" w:line="240" w:lineRule="auto"/>
        <w:ind w:left="708"/>
        <w:rPr>
          <w:rFonts w:ascii="Nyala" w:hAnsi="Nyala"/>
        </w:rPr>
      </w:pPr>
      <w:r w:rsidRPr="009B11E1">
        <w:rPr>
          <w:rFonts w:ascii="Nyala" w:hAnsi="Nyala"/>
        </w:rPr>
        <w:t>b)problèmes d’appropriation des réalisations ;</w:t>
      </w:r>
    </w:p>
    <w:p w:rsidR="005104D3" w:rsidRPr="009B11E1" w:rsidRDefault="005104D3" w:rsidP="00DD12DB">
      <w:pPr>
        <w:spacing w:before="0" w:after="0" w:line="240" w:lineRule="auto"/>
        <w:ind w:left="708"/>
        <w:rPr>
          <w:rFonts w:ascii="Nyala" w:hAnsi="Nyala"/>
          <w:color w:val="8AB833" w:themeColor="accent2"/>
        </w:rPr>
      </w:pPr>
      <w:r w:rsidRPr="009B11E1">
        <w:rPr>
          <w:rFonts w:ascii="Nyala" w:hAnsi="Nyala"/>
        </w:rPr>
        <w:t>c/ réticence pour le changement des mentalités ;</w:t>
      </w:r>
    </w:p>
    <w:p w:rsidR="005104D3" w:rsidRPr="009B11E1" w:rsidRDefault="005104D3" w:rsidP="00DD12DB">
      <w:pPr>
        <w:spacing w:before="0" w:after="0" w:line="240" w:lineRule="auto"/>
        <w:ind w:left="708"/>
        <w:rPr>
          <w:rFonts w:ascii="Nyala" w:hAnsi="Nyala"/>
        </w:rPr>
      </w:pPr>
      <w:r w:rsidRPr="009B11E1">
        <w:rPr>
          <w:rFonts w:ascii="Nyala" w:hAnsi="Nyala"/>
        </w:rPr>
        <w:t>d/ impunité des fauteurs en matière de gestion des ressources publiques ;</w:t>
      </w:r>
    </w:p>
    <w:p w:rsidR="005104D3" w:rsidRPr="009B11E1" w:rsidRDefault="005104D3" w:rsidP="00DD12DB">
      <w:pPr>
        <w:spacing w:before="0" w:after="0" w:line="240" w:lineRule="auto"/>
        <w:ind w:left="708"/>
        <w:rPr>
          <w:rFonts w:ascii="Nyala" w:hAnsi="Nyala"/>
        </w:rPr>
      </w:pPr>
      <w:r w:rsidRPr="009B11E1">
        <w:rPr>
          <w:rFonts w:ascii="Nyala" w:hAnsi="Nyala"/>
        </w:rPr>
        <w:t>e/ mauvaise gestion des revenus des matières premières ;</w:t>
      </w:r>
    </w:p>
    <w:p w:rsidR="005104D3" w:rsidRPr="009B11E1" w:rsidRDefault="005104D3" w:rsidP="00DD12DB">
      <w:pPr>
        <w:spacing w:before="0" w:after="0" w:line="240" w:lineRule="auto"/>
        <w:ind w:left="708"/>
        <w:rPr>
          <w:rFonts w:ascii="Nyala" w:hAnsi="Nyala"/>
        </w:rPr>
      </w:pPr>
      <w:r w:rsidRPr="009B11E1">
        <w:rPr>
          <w:rFonts w:ascii="Nyala" w:hAnsi="Nyala"/>
        </w:rPr>
        <w:t>f/ insuffisance de coordination, de concertation et de suivi-évaluation ;</w:t>
      </w:r>
    </w:p>
    <w:p w:rsidR="005104D3" w:rsidRPr="009B11E1" w:rsidRDefault="005104D3" w:rsidP="00DD12DB">
      <w:pPr>
        <w:spacing w:before="0" w:after="0" w:line="240" w:lineRule="auto"/>
        <w:ind w:left="708"/>
        <w:jc w:val="both"/>
        <w:rPr>
          <w:rFonts w:ascii="Nyala" w:hAnsi="Nyala"/>
        </w:rPr>
      </w:pPr>
      <w:r w:rsidRPr="009B11E1">
        <w:rPr>
          <w:rFonts w:ascii="Nyala" w:hAnsi="Nyala"/>
        </w:rPr>
        <w:t>g/ problèmes de leadership pour assurer la convergence des actions de développement ;</w:t>
      </w:r>
    </w:p>
    <w:p w:rsidR="005104D3" w:rsidRPr="009B11E1" w:rsidRDefault="005104D3" w:rsidP="00DD12DB">
      <w:pPr>
        <w:spacing w:before="0" w:after="0" w:line="240" w:lineRule="auto"/>
        <w:ind w:left="708"/>
        <w:jc w:val="both"/>
        <w:rPr>
          <w:rFonts w:ascii="Nyala" w:hAnsi="Nyala"/>
        </w:rPr>
      </w:pPr>
      <w:r w:rsidRPr="009B11E1">
        <w:rPr>
          <w:rFonts w:ascii="Nyala" w:hAnsi="Nyala"/>
        </w:rPr>
        <w:t>h/ Détournement des ressources communautaires (COGES);</w:t>
      </w:r>
    </w:p>
    <w:p w:rsidR="005104D3" w:rsidRPr="009B11E1" w:rsidRDefault="005104D3" w:rsidP="00DD12DB">
      <w:pPr>
        <w:spacing w:before="0" w:after="0" w:line="240" w:lineRule="auto"/>
        <w:ind w:left="708"/>
        <w:jc w:val="both"/>
        <w:rPr>
          <w:rFonts w:ascii="Nyala" w:hAnsi="Nyala"/>
        </w:rPr>
      </w:pPr>
      <w:r w:rsidRPr="009B11E1">
        <w:rPr>
          <w:rFonts w:ascii="Nyala" w:hAnsi="Nyala"/>
        </w:rPr>
        <w:t>i/ faible opérationnalité des cadres de concertation à tous les niveaux, faute de moyens et d’exercice réel de pouvoir de gestion socio-institutionnelle ;</w:t>
      </w:r>
    </w:p>
    <w:p w:rsidR="005104D3" w:rsidRPr="009B11E1" w:rsidRDefault="005104D3" w:rsidP="00DD12DB">
      <w:pPr>
        <w:spacing w:before="0" w:after="0" w:line="240" w:lineRule="auto"/>
        <w:ind w:left="708"/>
        <w:jc w:val="both"/>
        <w:rPr>
          <w:rFonts w:ascii="Nyala" w:hAnsi="Nyala"/>
        </w:rPr>
      </w:pPr>
      <w:r w:rsidRPr="009B11E1">
        <w:rPr>
          <w:rFonts w:ascii="Nyala" w:hAnsi="Nyala"/>
        </w:rPr>
        <w:t>j/ absence de bilan qualitatif ; placage des réalisations sans référence au préalable aux besoins des populations ;</w:t>
      </w:r>
    </w:p>
    <w:p w:rsidR="005104D3" w:rsidRPr="009B11E1" w:rsidRDefault="005104D3" w:rsidP="00DD12DB">
      <w:pPr>
        <w:spacing w:before="0" w:after="0" w:line="240" w:lineRule="auto"/>
        <w:ind w:left="708"/>
        <w:rPr>
          <w:rFonts w:ascii="Nyala" w:hAnsi="Nyala"/>
        </w:rPr>
      </w:pPr>
      <w:r w:rsidRPr="009B11E1">
        <w:rPr>
          <w:rFonts w:ascii="Nyala" w:hAnsi="Nyala"/>
        </w:rPr>
        <w:t>k/ problèmes d’organisation et de défense du monde rural ;</w:t>
      </w:r>
    </w:p>
    <w:p w:rsidR="005104D3" w:rsidRPr="009B11E1" w:rsidRDefault="005104D3" w:rsidP="00DD12DB">
      <w:pPr>
        <w:spacing w:before="0" w:after="0" w:line="240" w:lineRule="auto"/>
        <w:ind w:left="708"/>
        <w:rPr>
          <w:rFonts w:ascii="Nyala" w:hAnsi="Nyala"/>
        </w:rPr>
      </w:pPr>
      <w:r w:rsidRPr="009B11E1">
        <w:rPr>
          <w:rFonts w:ascii="Nyala" w:hAnsi="Nyala"/>
        </w:rPr>
        <w:t>l/ les jeunes abandonnent la terre parce qu’elle ne nourrit plus;</w:t>
      </w:r>
    </w:p>
    <w:p w:rsidR="005104D3" w:rsidRPr="009B11E1" w:rsidRDefault="005104D3" w:rsidP="00DD12DB">
      <w:pPr>
        <w:spacing w:before="0" w:after="0" w:line="240" w:lineRule="auto"/>
        <w:ind w:left="708"/>
        <w:rPr>
          <w:rFonts w:ascii="Nyala" w:hAnsi="Nyala"/>
        </w:rPr>
      </w:pPr>
      <w:r w:rsidRPr="009B11E1">
        <w:rPr>
          <w:rFonts w:ascii="Nyala" w:hAnsi="Nyala"/>
        </w:rPr>
        <w:t>m/ au Niger on fait beaucoup de discours mais les actes ne suivent pas ;</w:t>
      </w:r>
    </w:p>
    <w:p w:rsidR="005104D3" w:rsidRPr="009B11E1" w:rsidRDefault="005104D3" w:rsidP="00DD12DB">
      <w:pPr>
        <w:spacing w:before="0" w:after="0" w:line="240" w:lineRule="auto"/>
        <w:ind w:left="708"/>
        <w:rPr>
          <w:rFonts w:ascii="Nyala" w:hAnsi="Nyala"/>
        </w:rPr>
      </w:pPr>
      <w:r w:rsidRPr="009B11E1">
        <w:rPr>
          <w:rFonts w:ascii="Nyala" w:hAnsi="Nyala"/>
        </w:rPr>
        <w:t>n/ le déficit de sécurité, de paix et de justice aggrave la situation.</w:t>
      </w:r>
    </w:p>
    <w:p w:rsidR="005104D3" w:rsidRPr="009B11E1" w:rsidRDefault="005104D3" w:rsidP="005104D3">
      <w:pPr>
        <w:spacing w:line="240" w:lineRule="auto"/>
        <w:rPr>
          <w:rFonts w:ascii="Nyala" w:hAnsi="Nyala" w:cs="Arial"/>
          <w:b/>
          <w:color w:val="000000" w:themeColor="text1"/>
        </w:rPr>
      </w:pPr>
      <w:r w:rsidRPr="009B11E1">
        <w:rPr>
          <w:rFonts w:ascii="Nyala" w:hAnsi="Nyala" w:cs="Arial"/>
          <w:b/>
          <w:color w:val="000000" w:themeColor="text1"/>
        </w:rPr>
        <w:t>Recommandations :</w:t>
      </w:r>
    </w:p>
    <w:p w:rsidR="005104D3" w:rsidRPr="009B11E1" w:rsidRDefault="005104D3" w:rsidP="00DD12DB">
      <w:pPr>
        <w:spacing w:before="0" w:after="0" w:line="240" w:lineRule="auto"/>
        <w:ind w:left="708"/>
        <w:rPr>
          <w:rFonts w:ascii="Nyala" w:hAnsi="Nyala" w:cs="Arial"/>
          <w:color w:val="000000" w:themeColor="text1"/>
        </w:rPr>
      </w:pPr>
      <w:r w:rsidRPr="009B11E1">
        <w:rPr>
          <w:rFonts w:ascii="Nyala" w:hAnsi="Nyala" w:cs="Arial"/>
          <w:color w:val="000000" w:themeColor="text1"/>
        </w:rPr>
        <w:t>a/ encourager la production agro-sylvo-pastorale et halieutique, les productions nationales sont actuellement évincées du marché national par elles du Nigeria et des autres pays membres de la CEDEAO ; la concurrence des pays de la CEDEAO est ruineuse pour le Niger ;</w:t>
      </w:r>
    </w:p>
    <w:p w:rsidR="005104D3" w:rsidRPr="009B11E1" w:rsidRDefault="005104D3" w:rsidP="00DD12DB">
      <w:pPr>
        <w:spacing w:before="0" w:after="0" w:line="240" w:lineRule="auto"/>
        <w:ind w:left="708"/>
        <w:rPr>
          <w:rFonts w:ascii="Nyala" w:hAnsi="Nyala" w:cs="Arial"/>
          <w:color w:val="000000" w:themeColor="text1"/>
        </w:rPr>
      </w:pPr>
      <w:r w:rsidRPr="009B11E1">
        <w:rPr>
          <w:rFonts w:ascii="Nyala" w:hAnsi="Nyala" w:cs="Arial"/>
          <w:color w:val="000000" w:themeColor="text1"/>
        </w:rPr>
        <w:t>b/ engager les Nigériens ayant des possibilité d’investir dans les productions rurales en les convaincant par des projets pilotes ;</w:t>
      </w:r>
    </w:p>
    <w:p w:rsidR="005104D3" w:rsidRPr="009B11E1" w:rsidRDefault="005104D3" w:rsidP="00DD12DB">
      <w:pPr>
        <w:spacing w:before="0" w:after="0" w:line="240" w:lineRule="auto"/>
        <w:ind w:left="708"/>
        <w:rPr>
          <w:rFonts w:ascii="Nyala" w:hAnsi="Nyala" w:cs="Arial"/>
          <w:color w:val="000000" w:themeColor="text1"/>
        </w:rPr>
      </w:pPr>
      <w:r w:rsidRPr="009B11E1">
        <w:rPr>
          <w:rFonts w:ascii="Nyala" w:hAnsi="Nyala" w:cs="Arial"/>
          <w:color w:val="000000" w:themeColor="text1"/>
        </w:rPr>
        <w:t>c/ dépolitiser les appuis de l’Etat au secteur rural (intrants, équipements, investissements, …) ;</w:t>
      </w:r>
    </w:p>
    <w:p w:rsidR="005104D3" w:rsidRPr="009B11E1" w:rsidRDefault="005104D3" w:rsidP="00DD12DB">
      <w:pPr>
        <w:spacing w:before="0" w:after="0" w:line="240" w:lineRule="auto"/>
        <w:ind w:left="708"/>
        <w:rPr>
          <w:rFonts w:ascii="Nyala" w:hAnsi="Nyala" w:cs="Arial"/>
          <w:color w:val="000000" w:themeColor="text1"/>
        </w:rPr>
      </w:pPr>
      <w:r w:rsidRPr="009B11E1">
        <w:rPr>
          <w:rFonts w:ascii="Nyala" w:hAnsi="Nyala" w:cs="Arial"/>
          <w:color w:val="000000" w:themeColor="text1"/>
        </w:rPr>
        <w:t>d/ mettre l’accent sur les cultures irriguées pour réduire les aléas sur les disponibilités alimentaires;</w:t>
      </w:r>
    </w:p>
    <w:p w:rsidR="005104D3" w:rsidRPr="009B11E1" w:rsidRDefault="005104D3" w:rsidP="00DD12DB">
      <w:pPr>
        <w:spacing w:before="0" w:after="0" w:line="240" w:lineRule="auto"/>
        <w:ind w:left="708"/>
        <w:rPr>
          <w:rFonts w:ascii="Nyala" w:hAnsi="Nyala" w:cs="Arial"/>
          <w:color w:val="000000" w:themeColor="text1"/>
        </w:rPr>
      </w:pPr>
      <w:r w:rsidRPr="009B11E1">
        <w:rPr>
          <w:rFonts w:ascii="Nyala" w:hAnsi="Nyala" w:cs="Arial"/>
          <w:color w:val="000000" w:themeColor="text1"/>
        </w:rPr>
        <w:t>e/ développer l’agriculture commerciale pour permettre l’accès aux revenus monétaires et pouvoir investir ;</w:t>
      </w:r>
    </w:p>
    <w:p w:rsidR="005104D3" w:rsidRPr="009B11E1" w:rsidRDefault="005104D3" w:rsidP="00DD12DB">
      <w:pPr>
        <w:spacing w:before="0" w:after="0" w:line="240" w:lineRule="auto"/>
        <w:ind w:left="708"/>
        <w:rPr>
          <w:rFonts w:ascii="Nyala" w:hAnsi="Nyala" w:cs="Arial"/>
          <w:color w:val="000000" w:themeColor="text1"/>
        </w:rPr>
      </w:pPr>
      <w:r w:rsidRPr="009B11E1">
        <w:rPr>
          <w:rFonts w:ascii="Nyala" w:hAnsi="Nyala" w:cs="Arial"/>
          <w:color w:val="000000" w:themeColor="text1"/>
        </w:rPr>
        <w:t>f/ mettre en place un comité régional de suivi de la mise en œuvre des recommandation de la revue « Faim Zéro » ;</w:t>
      </w:r>
    </w:p>
    <w:p w:rsidR="005104D3" w:rsidRPr="009B11E1" w:rsidRDefault="005104D3" w:rsidP="00DD12DB">
      <w:pPr>
        <w:spacing w:before="0" w:after="0" w:line="240" w:lineRule="auto"/>
        <w:ind w:left="708"/>
        <w:rPr>
          <w:rFonts w:ascii="Nyala" w:hAnsi="Nyala" w:cs="Arial"/>
          <w:color w:val="000000" w:themeColor="text1"/>
        </w:rPr>
      </w:pPr>
      <w:r w:rsidRPr="009B11E1">
        <w:rPr>
          <w:rFonts w:ascii="Nyala" w:hAnsi="Nyala" w:cs="Arial"/>
          <w:color w:val="000000" w:themeColor="text1"/>
        </w:rPr>
        <w:t>g/ renforcer le personnel et la logistique du secteur de l’élevage au niveau de la région ;</w:t>
      </w:r>
    </w:p>
    <w:p w:rsidR="005104D3" w:rsidRPr="009B11E1" w:rsidRDefault="005104D3" w:rsidP="00DD12DB">
      <w:pPr>
        <w:spacing w:before="0" w:after="0" w:line="240" w:lineRule="auto"/>
        <w:ind w:left="708"/>
        <w:rPr>
          <w:rFonts w:ascii="Nyala" w:hAnsi="Nyala" w:cs="Arial"/>
          <w:color w:val="000000" w:themeColor="text1"/>
        </w:rPr>
      </w:pPr>
      <w:r w:rsidRPr="009B11E1">
        <w:rPr>
          <w:rFonts w:ascii="Nyala" w:hAnsi="Nyala" w:cs="Arial"/>
          <w:color w:val="000000" w:themeColor="text1"/>
        </w:rPr>
        <w:t>h/ renforcer le leadership, la coordination, le suivi et l’évaluation des interventions au niveau de la région ;</w:t>
      </w:r>
    </w:p>
    <w:p w:rsidR="005104D3" w:rsidRPr="009B11E1" w:rsidRDefault="005104D3" w:rsidP="00DD12DB">
      <w:pPr>
        <w:spacing w:before="0" w:after="0" w:line="240" w:lineRule="auto"/>
        <w:ind w:left="708"/>
        <w:rPr>
          <w:rFonts w:ascii="Nyala" w:hAnsi="Nyala" w:cs="Arial"/>
        </w:rPr>
      </w:pPr>
      <w:r w:rsidRPr="009B11E1">
        <w:rPr>
          <w:rFonts w:ascii="Nyala" w:hAnsi="Nyala" w:cs="Arial"/>
          <w:color w:val="000000" w:themeColor="text1"/>
        </w:rPr>
        <w:t xml:space="preserve">i/ soutenir la </w:t>
      </w:r>
      <w:r w:rsidRPr="009B11E1">
        <w:rPr>
          <w:rFonts w:ascii="Nyala" w:hAnsi="Nyala" w:cs="Arial"/>
        </w:rPr>
        <w:t>mise en place d’une société civile rurale capable de défendre les intérêts des ruraux ;</w:t>
      </w:r>
    </w:p>
    <w:p w:rsidR="005104D3" w:rsidRPr="009B11E1" w:rsidRDefault="005104D3" w:rsidP="00DD12DB">
      <w:pPr>
        <w:spacing w:before="0" w:after="0" w:line="240" w:lineRule="auto"/>
        <w:ind w:left="708"/>
        <w:rPr>
          <w:rFonts w:ascii="Nyala" w:hAnsi="Nyala" w:cs="Arial"/>
        </w:rPr>
      </w:pPr>
      <w:r w:rsidRPr="009B11E1">
        <w:rPr>
          <w:rFonts w:ascii="Nyala" w:hAnsi="Nyala" w:cs="Arial"/>
        </w:rPr>
        <w:t>j/ concilier les piliers suivants : paix, justice, sécurité et développement ;</w:t>
      </w:r>
    </w:p>
    <w:p w:rsidR="005104D3" w:rsidRPr="009B11E1" w:rsidRDefault="005104D3" w:rsidP="00DD12DB">
      <w:pPr>
        <w:spacing w:before="0" w:after="0" w:line="240" w:lineRule="auto"/>
        <w:ind w:left="708"/>
        <w:rPr>
          <w:rFonts w:ascii="Nyala" w:hAnsi="Nyala" w:cs="Arial"/>
        </w:rPr>
      </w:pPr>
      <w:r w:rsidRPr="009B11E1">
        <w:rPr>
          <w:rFonts w:ascii="Nyala" w:hAnsi="Nyala" w:cs="Arial"/>
        </w:rPr>
        <w:t>k/ promouvoir la transformation du lait local en produits dérivés ;</w:t>
      </w:r>
    </w:p>
    <w:p w:rsidR="005104D3" w:rsidRPr="009B11E1" w:rsidRDefault="005104D3" w:rsidP="00DD12DB">
      <w:pPr>
        <w:spacing w:before="0" w:after="0" w:line="240" w:lineRule="auto"/>
        <w:ind w:left="708"/>
        <w:rPr>
          <w:rFonts w:ascii="Nyala" w:hAnsi="Nyala" w:cs="Arial"/>
        </w:rPr>
      </w:pPr>
      <w:r w:rsidRPr="009B11E1">
        <w:rPr>
          <w:rFonts w:ascii="Nyala" w:hAnsi="Nyala" w:cs="Arial"/>
        </w:rPr>
        <w:t>l/ réhabiliter et valoriser certaines pratiques empiriques très utiles ;</w:t>
      </w:r>
    </w:p>
    <w:p w:rsidR="005104D3" w:rsidRPr="009B11E1" w:rsidRDefault="005104D3" w:rsidP="00DD12DB">
      <w:pPr>
        <w:spacing w:before="0" w:after="0" w:line="240" w:lineRule="auto"/>
        <w:ind w:left="708"/>
        <w:rPr>
          <w:rFonts w:ascii="Nyala" w:hAnsi="Nyala" w:cs="Arial"/>
        </w:rPr>
      </w:pPr>
      <w:r w:rsidRPr="009B11E1">
        <w:rPr>
          <w:rFonts w:ascii="Nyala" w:hAnsi="Nyala" w:cs="Arial"/>
        </w:rPr>
        <w:t>m/ réhabiliter et développer les espèces végétales en voie de disparition ;</w:t>
      </w:r>
    </w:p>
    <w:p w:rsidR="005104D3" w:rsidRPr="009B11E1" w:rsidRDefault="005104D3" w:rsidP="00DD12DB">
      <w:pPr>
        <w:spacing w:before="0" w:after="0" w:line="240" w:lineRule="auto"/>
        <w:ind w:left="708"/>
        <w:rPr>
          <w:rFonts w:ascii="Nyala" w:hAnsi="Nyala" w:cs="Arial"/>
        </w:rPr>
      </w:pPr>
      <w:r w:rsidRPr="009B11E1">
        <w:rPr>
          <w:rFonts w:ascii="Nyala" w:hAnsi="Nyala" w:cs="Arial"/>
        </w:rPr>
        <w:t>n/ améliorer la communication, la capitalisation de l’information et la coordination en matière environnementale ;</w:t>
      </w:r>
    </w:p>
    <w:p w:rsidR="005104D3" w:rsidRPr="009B11E1" w:rsidRDefault="005104D3" w:rsidP="00DD12DB">
      <w:pPr>
        <w:spacing w:before="0" w:after="0" w:line="240" w:lineRule="auto"/>
        <w:ind w:left="708"/>
        <w:rPr>
          <w:rFonts w:ascii="Nyala" w:hAnsi="Nyala" w:cs="Arial"/>
        </w:rPr>
      </w:pPr>
      <w:r w:rsidRPr="009B11E1">
        <w:rPr>
          <w:rFonts w:ascii="Nyala" w:hAnsi="Nyala" w:cs="Arial"/>
        </w:rPr>
        <w:t>o/ accroitre les investissements à haute intensité de main d’œuvre dans le domaine environnemental ;</w:t>
      </w:r>
    </w:p>
    <w:p w:rsidR="005104D3" w:rsidRPr="009B11E1" w:rsidRDefault="005104D3" w:rsidP="00DD12DB">
      <w:pPr>
        <w:spacing w:before="0" w:after="0" w:line="240" w:lineRule="auto"/>
        <w:ind w:left="708"/>
        <w:rPr>
          <w:rFonts w:ascii="Nyala" w:hAnsi="Nyala" w:cs="Arial"/>
          <w:color w:val="000000" w:themeColor="text1"/>
        </w:rPr>
      </w:pPr>
      <w:r w:rsidRPr="009B11E1">
        <w:rPr>
          <w:rFonts w:ascii="Nyala" w:hAnsi="Nyala" w:cs="Arial"/>
        </w:rPr>
        <w:t>p/ mettre l’accent sur la formation professionnelle, en partant des besoins constatés au niveau de la région.</w:t>
      </w:r>
    </w:p>
    <w:p w:rsidR="005104D3" w:rsidRPr="009B11E1" w:rsidRDefault="005104D3" w:rsidP="005104D3">
      <w:pPr>
        <w:spacing w:line="240" w:lineRule="auto"/>
        <w:rPr>
          <w:rFonts w:ascii="Nyala" w:hAnsi="Nyala" w:cs="Arial"/>
          <w:b/>
          <w:color w:val="000000" w:themeColor="text1"/>
        </w:rPr>
      </w:pPr>
      <w:r w:rsidRPr="009B11E1">
        <w:rPr>
          <w:rFonts w:ascii="Nyala" w:hAnsi="Nyala" w:cs="Arial"/>
          <w:b/>
          <w:color w:val="000000" w:themeColor="text1"/>
        </w:rPr>
        <w:br w:type="page"/>
      </w:r>
    </w:p>
    <w:p w:rsidR="005104D3" w:rsidRPr="009B11E1" w:rsidRDefault="005104D3" w:rsidP="00141D20">
      <w:pPr>
        <w:pStyle w:val="Paragraphedeliste"/>
        <w:numPr>
          <w:ilvl w:val="0"/>
          <w:numId w:val="35"/>
        </w:numPr>
        <w:spacing w:after="160" w:line="240" w:lineRule="auto"/>
        <w:jc w:val="both"/>
        <w:rPr>
          <w:rFonts w:ascii="Nyala" w:hAnsi="Nyala" w:cs="Arial"/>
          <w:b/>
          <w:color w:val="000000" w:themeColor="text1"/>
        </w:rPr>
      </w:pPr>
      <w:r w:rsidRPr="009B11E1">
        <w:rPr>
          <w:rFonts w:ascii="Nyala" w:hAnsi="Nyala" w:cs="Arial"/>
          <w:b/>
          <w:color w:val="000000" w:themeColor="text1"/>
        </w:rPr>
        <w:t>Etape Région d’Agadez</w:t>
      </w:r>
    </w:p>
    <w:p w:rsidR="005104D3" w:rsidRPr="009B11E1" w:rsidRDefault="005104D3" w:rsidP="005104D3">
      <w:pPr>
        <w:pStyle w:val="Paragraphedeliste"/>
        <w:spacing w:line="240" w:lineRule="auto"/>
        <w:ind w:left="1080"/>
        <w:jc w:val="both"/>
        <w:rPr>
          <w:rFonts w:ascii="Nyala" w:hAnsi="Nyala" w:cs="Arial"/>
          <w:b/>
          <w:color w:val="000000" w:themeColor="text1"/>
        </w:rPr>
      </w:pPr>
    </w:p>
    <w:p w:rsidR="005104D3" w:rsidRPr="009B11E1" w:rsidRDefault="005104D3" w:rsidP="005104D3">
      <w:pPr>
        <w:spacing w:line="240" w:lineRule="auto"/>
        <w:jc w:val="both"/>
        <w:rPr>
          <w:rFonts w:ascii="Nyala" w:hAnsi="Nyala" w:cs="Arial"/>
          <w:color w:val="000000" w:themeColor="text1"/>
        </w:rPr>
      </w:pPr>
      <w:r w:rsidRPr="009B11E1">
        <w:rPr>
          <w:rFonts w:ascii="Nyala" w:hAnsi="Nyala" w:cs="Arial"/>
          <w:color w:val="000000" w:themeColor="text1"/>
        </w:rPr>
        <w:t>La mission était arrivée à Agadez le mardi 24 juillet 2018, dans l’après midi (16 heures 30). Elle a immédiatement pris attache avec le Directeur régional de l’Agriculture. Après un bref échange sur l’état de préparation de la consultation, l’équipe a été conduite au secrétariat général du Gouvernorat où elle a rencontré le Secrétaire Général. La réunion a été effectivement bien préparée par les services déconcentrés des secteurs concernés.</w:t>
      </w:r>
    </w:p>
    <w:p w:rsidR="005104D3" w:rsidRPr="009B11E1" w:rsidRDefault="005104D3" w:rsidP="005104D3">
      <w:pPr>
        <w:spacing w:line="240" w:lineRule="auto"/>
        <w:jc w:val="both"/>
        <w:rPr>
          <w:rFonts w:ascii="Nyala" w:hAnsi="Nyala" w:cs="Arial"/>
          <w:color w:val="000000" w:themeColor="text1"/>
        </w:rPr>
      </w:pPr>
      <w:r w:rsidRPr="009B11E1">
        <w:rPr>
          <w:rFonts w:ascii="Nyala" w:hAnsi="Nyala" w:cs="Arial"/>
          <w:color w:val="000000" w:themeColor="text1"/>
        </w:rPr>
        <w:t xml:space="preserve">La réunion de consultation a eu lieu dans la salle de réunion du gouvernorat, le mercredi 25 juillet 2018 à 9 heures, sous la présidence du Secrétaire général du Gouvernorat. </w:t>
      </w:r>
      <w:r w:rsidRPr="009B11E1">
        <w:rPr>
          <w:rFonts w:ascii="Nyala" w:hAnsi="Nyala" w:cs="Arial"/>
        </w:rPr>
        <w:t>Elle a regroupé 34 participants</w:t>
      </w:r>
      <w:r w:rsidRPr="009B11E1">
        <w:rPr>
          <w:rFonts w:ascii="Nyala" w:hAnsi="Nyala" w:cs="Arial"/>
          <w:color w:val="000000" w:themeColor="text1"/>
        </w:rPr>
        <w:t>. Après la Fatiha prononcée par le représentant de l’association islamique d’Agadez, un tour de table a été fait pour permettre aux participants de se présenter. Ensuite la parole a été donnée aux membres de la mission pour introduire le sujet et expliquer l’ordre du jour, ce qui fut fait. Après quoi le Secrétaire général du gouvernorat a prononcé son discours d’ouverture. Une pause-café s’en est suivie pour permettre aux Autorités de se retirer. La réunion plénière a commencé après la pause-café.</w:t>
      </w:r>
    </w:p>
    <w:p w:rsidR="005104D3" w:rsidRPr="009B11E1" w:rsidRDefault="005104D3" w:rsidP="00DD12DB">
      <w:pPr>
        <w:spacing w:before="0" w:line="240" w:lineRule="auto"/>
        <w:jc w:val="both"/>
        <w:rPr>
          <w:rFonts w:ascii="Nyala" w:hAnsi="Nyala" w:cs="Arial"/>
          <w:b/>
          <w:color w:val="000000" w:themeColor="text1"/>
        </w:rPr>
      </w:pPr>
      <w:r w:rsidRPr="009B11E1">
        <w:rPr>
          <w:rFonts w:ascii="Nyala" w:hAnsi="Nyala" w:cs="Arial"/>
          <w:b/>
          <w:color w:val="000000" w:themeColor="text1"/>
        </w:rPr>
        <w:t>Contenu des échanges et débats</w:t>
      </w:r>
    </w:p>
    <w:p w:rsidR="005104D3" w:rsidRPr="009B11E1" w:rsidRDefault="005104D3" w:rsidP="005104D3">
      <w:pPr>
        <w:spacing w:line="240" w:lineRule="auto"/>
        <w:jc w:val="both"/>
        <w:rPr>
          <w:rFonts w:ascii="Nyala" w:hAnsi="Nyala" w:cs="Arial"/>
          <w:b/>
          <w:color w:val="000000" w:themeColor="text1"/>
        </w:rPr>
      </w:pPr>
      <w:r w:rsidRPr="009B11E1">
        <w:rPr>
          <w:rFonts w:ascii="Nyala" w:hAnsi="Nyala" w:cs="Arial"/>
          <w:b/>
          <w:color w:val="000000" w:themeColor="text1"/>
          <w:u w:val="single"/>
        </w:rPr>
        <w:t>Etat des lieux</w:t>
      </w:r>
      <w:r w:rsidRPr="009B11E1">
        <w:rPr>
          <w:rFonts w:ascii="Nyala" w:hAnsi="Nyala" w:cs="Arial"/>
          <w:b/>
          <w:color w:val="000000" w:themeColor="text1"/>
        </w:rPr>
        <w:t> :</w:t>
      </w:r>
    </w:p>
    <w:p w:rsidR="005104D3" w:rsidRPr="009B11E1" w:rsidRDefault="005104D3" w:rsidP="00DD12DB">
      <w:pPr>
        <w:spacing w:line="240" w:lineRule="auto"/>
        <w:ind w:left="708"/>
        <w:jc w:val="both"/>
        <w:rPr>
          <w:rFonts w:ascii="Nyala" w:hAnsi="Nyala" w:cs="Arial"/>
          <w:b/>
          <w:color w:val="000000" w:themeColor="text1"/>
        </w:rPr>
      </w:pPr>
      <w:r w:rsidRPr="009B11E1">
        <w:rPr>
          <w:rFonts w:ascii="Nyala" w:hAnsi="Nyala" w:cs="Arial"/>
          <w:b/>
          <w:color w:val="000000" w:themeColor="text1"/>
        </w:rPr>
        <w:t xml:space="preserve">i/ Sécurité alimentaire : </w:t>
      </w:r>
    </w:p>
    <w:p w:rsidR="005104D3" w:rsidRPr="009B11E1" w:rsidRDefault="005104D3" w:rsidP="00DD12DB">
      <w:pPr>
        <w:spacing w:line="240" w:lineRule="auto"/>
        <w:ind w:left="708"/>
        <w:jc w:val="both"/>
        <w:rPr>
          <w:rFonts w:ascii="Nyala" w:hAnsi="Nyala" w:cs="Arial"/>
          <w:color w:val="000000" w:themeColor="text1"/>
        </w:rPr>
      </w:pPr>
      <w:r w:rsidRPr="009B11E1">
        <w:rPr>
          <w:rFonts w:ascii="Nyala" w:hAnsi="Nyala" w:cs="Arial"/>
          <w:color w:val="000000" w:themeColor="text1"/>
        </w:rPr>
        <w:t>Malgré les aides importantes de l’Etat et des PTF, l’insécurité alimentaire persiste. La mendicité s’est développée, elle se professionnalise progressivement. Elle est devenue menaçante pour l’honneur et la dignité humaine. Les aides sont des appoints, elles ne sont pas une panacée, la région devrait pourvoir s’en passer, eu égard à son fort potentiel de production alimentaire (maraichage, élevage, commerce, mines, …) ; or la tendance est plutôt à la persistance des besoins en aides alimentaires, on en a pris l’habitude. La dépendance alimentaire de la région est forte. On importe du Maghreb, du Nigeria, et des autres pays de la CEDEAO. On complète avec les aides alimentaires de l’Etat et des PTF. La région doit fixer une échéance à partir de laquelle elle doit se passer de l’aide alimentaire et réduire sa dépendance alimentaire.</w:t>
      </w:r>
    </w:p>
    <w:p w:rsidR="005104D3" w:rsidRPr="009B11E1" w:rsidRDefault="005104D3" w:rsidP="00DD12DB">
      <w:pPr>
        <w:spacing w:line="240" w:lineRule="auto"/>
        <w:ind w:left="708"/>
        <w:jc w:val="both"/>
        <w:rPr>
          <w:rFonts w:ascii="Nyala" w:hAnsi="Nyala" w:cs="Arial"/>
          <w:color w:val="000000" w:themeColor="text1"/>
        </w:rPr>
      </w:pPr>
      <w:r w:rsidRPr="009B11E1">
        <w:rPr>
          <w:rFonts w:ascii="Nyala" w:hAnsi="Nyala" w:cs="Arial"/>
          <w:color w:val="000000" w:themeColor="text1"/>
        </w:rPr>
        <w:t>La région a un très fort potentiel en maraichage, en élevage, en arboriculture, en transformation des produits agro-pastoraux, en minerais, en ressources humaines, …. Mais il y a des blocages en termes d’accès à l’eau pour l’irrigation, d’exploitation juste et équitable des terres culturales et pastorales, de transformation de certains produits locaux, de désenclavement des sites de production, de capitalisation des expériences acquises de production et de transformation, d’utilisation des ressources humaines disponibles et bon marché, …. En somme, il y a un besoin important d’investissement en infrastructures hydrauliques, en routes ou pistes rurales, en appui à la transformation des produits de la région (sel, lait, oignon, ail, blé, cuirs et peaux, …).</w:t>
      </w:r>
    </w:p>
    <w:p w:rsidR="005104D3" w:rsidRPr="009B11E1" w:rsidRDefault="005104D3" w:rsidP="00DD12DB">
      <w:pPr>
        <w:spacing w:line="240" w:lineRule="auto"/>
        <w:ind w:left="708"/>
        <w:jc w:val="both"/>
        <w:rPr>
          <w:rFonts w:ascii="Nyala" w:hAnsi="Nyala" w:cs="Arial"/>
          <w:b/>
          <w:color w:val="000000" w:themeColor="text1"/>
        </w:rPr>
      </w:pPr>
      <w:r w:rsidRPr="009B11E1">
        <w:rPr>
          <w:rFonts w:ascii="Nyala" w:hAnsi="Nyala" w:cs="Arial"/>
          <w:b/>
          <w:color w:val="000000" w:themeColor="text1"/>
        </w:rPr>
        <w:t xml:space="preserve">ii/ Nutrition : </w:t>
      </w:r>
    </w:p>
    <w:p w:rsidR="005104D3" w:rsidRPr="009B11E1" w:rsidRDefault="005104D3" w:rsidP="00DD12DB">
      <w:pPr>
        <w:spacing w:line="240" w:lineRule="auto"/>
        <w:ind w:left="708"/>
        <w:jc w:val="both"/>
        <w:rPr>
          <w:rFonts w:ascii="Nyala" w:hAnsi="Nyala" w:cs="Arial"/>
          <w:color w:val="000000" w:themeColor="text1"/>
        </w:rPr>
      </w:pPr>
      <w:r w:rsidRPr="009B11E1">
        <w:rPr>
          <w:rFonts w:ascii="Nyala" w:hAnsi="Nyala" w:cs="Arial"/>
          <w:color w:val="000000" w:themeColor="text1"/>
        </w:rPr>
        <w:t>Grâce aux soutiens des partenaires en intrants (dont UNICEF et PAM), la situation de la malnutrition est contenue. On enregistre même une relative amélioration, quoique modeste. Les aides d’urgence et les aides à la résorption des crises dominent le soutien aux solutions structurelles. Il y a des progrès dans les activités de prise en charge de la malnutrition. Il y a aussi une intensification relative des activités préventives de la malnutrition. La région dispose d’un maillage satisfaisant en infrastructures sanitaires. La coordination en matière de nutrition est bonne. Le système de prise en charge est bien hiérarchisé et est fonctionnel. Tous les cas de malnutrition sont pris en charge à des niveaux correspondants appropriés. Les problèmes les plus importants sont les suivants :</w:t>
      </w:r>
    </w:p>
    <w:p w:rsidR="005104D3" w:rsidRPr="009B11E1" w:rsidRDefault="005104D3" w:rsidP="00DD12DB">
      <w:pPr>
        <w:spacing w:line="240" w:lineRule="auto"/>
        <w:ind w:left="1416"/>
        <w:jc w:val="both"/>
        <w:rPr>
          <w:rFonts w:ascii="Nyala" w:hAnsi="Nyala" w:cs="Arial"/>
          <w:color w:val="000000" w:themeColor="text1"/>
        </w:rPr>
      </w:pPr>
      <w:r w:rsidRPr="009B11E1">
        <w:rPr>
          <w:rFonts w:ascii="Nyala" w:hAnsi="Nyala" w:cs="Arial"/>
          <w:color w:val="000000" w:themeColor="text1"/>
        </w:rPr>
        <w:t>a/ insuffisance de coordination et d’harmonisation des actions des différents acteurs intervenants dans le domaine de la nutrition (ONG et dispositif national) ;</w:t>
      </w:r>
    </w:p>
    <w:p w:rsidR="005104D3" w:rsidRPr="009B11E1" w:rsidRDefault="005104D3" w:rsidP="00DD12DB">
      <w:pPr>
        <w:spacing w:line="240" w:lineRule="auto"/>
        <w:ind w:left="1416"/>
        <w:jc w:val="both"/>
        <w:rPr>
          <w:rFonts w:ascii="Nyala" w:hAnsi="Nyala" w:cs="Arial"/>
          <w:color w:val="000000" w:themeColor="text1"/>
        </w:rPr>
      </w:pPr>
      <w:r w:rsidRPr="009B11E1">
        <w:rPr>
          <w:rFonts w:ascii="Nyala" w:hAnsi="Nyala" w:cs="Arial"/>
          <w:color w:val="000000" w:themeColor="text1"/>
        </w:rPr>
        <w:t>b/ insuffisance des moyens logistiques de transport pour couvrir une région très vaste et enclavée ; ceci oblige à déployer plus de personnel qu’il ne faut normalement, pour couvrir les populations (un infirmier pour 1500 personnes au lieu de un infirmier pour 5000 personne qui est la norme OMS).</w:t>
      </w:r>
    </w:p>
    <w:p w:rsidR="005104D3" w:rsidRPr="009B11E1" w:rsidRDefault="005104D3" w:rsidP="00DD12DB">
      <w:pPr>
        <w:spacing w:line="240" w:lineRule="auto"/>
        <w:ind w:left="708"/>
        <w:jc w:val="both"/>
        <w:rPr>
          <w:rFonts w:ascii="Nyala" w:hAnsi="Nyala" w:cs="Arial"/>
          <w:b/>
          <w:color w:val="000000" w:themeColor="text1"/>
        </w:rPr>
      </w:pPr>
      <w:r w:rsidRPr="009B11E1">
        <w:rPr>
          <w:rFonts w:ascii="Nyala" w:hAnsi="Nyala" w:cs="Arial"/>
          <w:b/>
          <w:color w:val="000000" w:themeColor="text1"/>
        </w:rPr>
        <w:t>iii/ Développement durable :</w:t>
      </w:r>
    </w:p>
    <w:p w:rsidR="005104D3" w:rsidRPr="009B11E1" w:rsidRDefault="005104D3" w:rsidP="00DD12DB">
      <w:pPr>
        <w:spacing w:after="0" w:line="240" w:lineRule="auto"/>
        <w:ind w:left="708"/>
        <w:jc w:val="both"/>
        <w:rPr>
          <w:rFonts w:ascii="Nyala" w:hAnsi="Nyala" w:cs="Arial"/>
        </w:rPr>
      </w:pPr>
      <w:r w:rsidRPr="009B11E1">
        <w:rPr>
          <w:rFonts w:ascii="Nyala" w:hAnsi="Nyala" w:cs="Arial"/>
        </w:rPr>
        <w:t>Il y a eu une mobilisation générale à la base pour développer la production de luzerne à Bilma, sur l’initiative et avec les moyens propres des populations ; c’est un bon exemple qui doit inspirer et  faire tache d’huile. A côté, on constate que certaines espèces fruitières locales sont en voie de disparition, du fait de l’action humaine. Dans certaines zones, les mentalités sont restées rétrogrades. Il y a des résistances aux changements ; par exemple, certains paysan maintiennent des variétés locales peu productives et peu performantes. Il existe des problèmes fonciers dans la région, qui font obstacle aux initiatives privées d’investissement. Il y a des besoins de formation sur le tas, à la base. Il y a aussi besoin d’expériences pilotes pertinentes pour convaincre les paysans et les engager sur la voie du progrès.</w:t>
      </w:r>
    </w:p>
    <w:p w:rsidR="005104D3" w:rsidRPr="009B11E1" w:rsidRDefault="005104D3" w:rsidP="00DD12DB">
      <w:pPr>
        <w:spacing w:after="0" w:line="240" w:lineRule="auto"/>
        <w:ind w:left="708"/>
        <w:jc w:val="both"/>
        <w:rPr>
          <w:rFonts w:ascii="Nyala" w:hAnsi="Nyala" w:cs="Arial"/>
          <w:color w:val="000000" w:themeColor="text1"/>
        </w:rPr>
      </w:pPr>
      <w:r w:rsidRPr="009B11E1">
        <w:rPr>
          <w:rFonts w:ascii="Nyala" w:hAnsi="Nyala" w:cs="Arial"/>
        </w:rPr>
        <w:t xml:space="preserve">L’Aïr regorge des potentialités en matière d’irrigation. Le potentiel en ressources naturelles, humaines et technologiques est important. L’Irhazer est un patrimoine précieux de la région, mais les investissements structurants promis restent pour l’essentiel attendus. La valorisation rationnelle de cette vallée peut constituer un véritable pôle de développement pour la région. Le coût de l’eau pour la production est exorbitant. L’eau n’est pas maitrisée. Les réalisations en matière d’investissement à travers les projets de développement, ne sont pas conformes aux aspirations profondes des populations. Parfois, les efforts personnels des paysans ne sont pas bien </w:t>
      </w:r>
      <w:r w:rsidR="00DD12DB" w:rsidRPr="009B11E1">
        <w:rPr>
          <w:rFonts w:ascii="Nyala" w:hAnsi="Nyala" w:cs="Arial"/>
        </w:rPr>
        <w:t>récompensées</w:t>
      </w:r>
      <w:r w:rsidRPr="009B11E1">
        <w:rPr>
          <w:rFonts w:ascii="Nyala" w:hAnsi="Nyala" w:cs="Arial"/>
        </w:rPr>
        <w:t xml:space="preserve"> ; même quand il arrive qu’ils produisent suffisamment, les récoltes sont gaspillées ou ne trouvent pas de débouchés. </w:t>
      </w:r>
      <w:r w:rsidRPr="009B11E1">
        <w:rPr>
          <w:rFonts w:ascii="Nyala" w:hAnsi="Nyala" w:cs="Arial"/>
          <w:color w:val="000000" w:themeColor="text1"/>
        </w:rPr>
        <w:t>La stratégie de l’i3N a été bien conçue et appropriée par les populations ; mais sa mise en œuvre a comporté des insuffisances importantes dans le ciblage des actions, la gestion des ressources financières, l’exécution des investissements, la coordination de l’ensemble des interventions et le suivi et évaluation. Tout ceci est dû au fait que le dispositif pertinent de mise en œuvre qui a été conçu et mis en place, n’a pas pu fonctionne comme prévu.</w:t>
      </w:r>
    </w:p>
    <w:p w:rsidR="005104D3" w:rsidRPr="009B11E1" w:rsidRDefault="005104D3" w:rsidP="00DD12DB">
      <w:pPr>
        <w:spacing w:line="240" w:lineRule="auto"/>
        <w:ind w:left="708"/>
        <w:jc w:val="both"/>
        <w:rPr>
          <w:rFonts w:ascii="Nyala" w:hAnsi="Nyala" w:cs="Arial"/>
          <w:b/>
          <w:color w:val="000000" w:themeColor="text1"/>
        </w:rPr>
      </w:pPr>
      <w:r w:rsidRPr="009B11E1">
        <w:rPr>
          <w:rFonts w:ascii="Nyala" w:hAnsi="Nyala" w:cs="Arial"/>
          <w:b/>
          <w:color w:val="000000" w:themeColor="text1"/>
        </w:rPr>
        <w:t xml:space="preserve">iv/  Gouvernance </w:t>
      </w:r>
    </w:p>
    <w:p w:rsidR="005104D3" w:rsidRPr="009B11E1" w:rsidRDefault="005104D3" w:rsidP="00DD12DB">
      <w:pPr>
        <w:spacing w:after="0" w:line="240" w:lineRule="auto"/>
        <w:ind w:left="708"/>
        <w:jc w:val="both"/>
        <w:rPr>
          <w:rFonts w:ascii="Nyala" w:hAnsi="Nyala" w:cs="Arial"/>
        </w:rPr>
      </w:pPr>
      <w:r w:rsidRPr="009B11E1">
        <w:rPr>
          <w:rFonts w:ascii="Nyala" w:hAnsi="Nyala" w:cs="Arial"/>
        </w:rPr>
        <w:t>« Après 58 ans d’indépendance politique on en est encore dans les tâtonnements, le recours de plus en plus fort aux aides extérieures, avec tout ce qu’elles comportent comme conditionnalités et influence dans les choix des orientations de ce que nous voulons faire. Parfois on sent qu’on n’est même pas souverains ». Au stade où on en est, les aides deviennent indispensables pour les populations vulnérables et pour la survie économique de notre pays. Pourtant nous étions partis pour que l’aide nous permette de nous passer de l’aide!!! Mais que s’est-il passé ? Eh bien nous avons simplement mal négocié, mal géré, mal planifié, mal évalué, donc mal gouverné les ressources mises à notre disposition. Les exemples de mauvaise gestion ou de mal gouvernance ne manquent pas:</w:t>
      </w:r>
    </w:p>
    <w:p w:rsidR="005104D3" w:rsidRPr="009B11E1" w:rsidRDefault="005104D3" w:rsidP="00DD12DB">
      <w:pPr>
        <w:spacing w:before="0" w:after="0" w:line="240" w:lineRule="auto"/>
        <w:ind w:left="1416"/>
        <w:jc w:val="both"/>
        <w:rPr>
          <w:rFonts w:ascii="Nyala" w:hAnsi="Nyala" w:cs="Arial"/>
        </w:rPr>
      </w:pPr>
    </w:p>
    <w:p w:rsidR="005104D3" w:rsidRPr="009B11E1" w:rsidRDefault="005104D3" w:rsidP="00DD12DB">
      <w:pPr>
        <w:spacing w:before="0" w:after="0" w:line="240" w:lineRule="auto"/>
        <w:ind w:left="1416"/>
        <w:jc w:val="both"/>
        <w:rPr>
          <w:rFonts w:ascii="Nyala" w:hAnsi="Nyala" w:cs="Arial"/>
        </w:rPr>
      </w:pPr>
      <w:r w:rsidRPr="009B11E1">
        <w:rPr>
          <w:rFonts w:ascii="Nyala" w:hAnsi="Nyala" w:cs="Arial"/>
        </w:rPr>
        <w:t>a/ le crédit agricole a été toujours mal géré, depuis la Caisse Nationale de Crédit Agricole (CNCA), en passant par les lignes de crédit à travers les projets, les institutions de micro finance, la BAGRI, jusqu’aux pratiques actuelles. Les mauvais ciblages, les détournements des ressources de leur objectif originel, la cherté des crédits et les difficultés de recouvrement sont entre autres les raisons de l’échec du crédit agricole. Le FISAN n’est pas aussi promettant qu’on le pense, car il est complexe et rigide.</w:t>
      </w:r>
    </w:p>
    <w:p w:rsidR="005104D3" w:rsidRPr="009B11E1" w:rsidRDefault="005104D3" w:rsidP="00DD12DB">
      <w:pPr>
        <w:spacing w:before="0" w:after="0" w:line="240" w:lineRule="auto"/>
        <w:ind w:left="1416"/>
        <w:jc w:val="both"/>
        <w:rPr>
          <w:rFonts w:ascii="Nyala" w:hAnsi="Nyala" w:cs="Arial"/>
        </w:rPr>
      </w:pPr>
    </w:p>
    <w:p w:rsidR="005104D3" w:rsidRPr="009B11E1" w:rsidRDefault="005104D3" w:rsidP="00DD12DB">
      <w:pPr>
        <w:spacing w:before="0" w:after="0" w:line="240" w:lineRule="auto"/>
        <w:ind w:left="1416"/>
        <w:jc w:val="both"/>
        <w:rPr>
          <w:rFonts w:ascii="Nyala" w:hAnsi="Nyala" w:cs="Arial"/>
        </w:rPr>
      </w:pPr>
      <w:r w:rsidRPr="009B11E1">
        <w:rPr>
          <w:rFonts w:ascii="Nyala" w:hAnsi="Nyala" w:cs="Arial"/>
        </w:rPr>
        <w:t>b/ des projets de développement financés à plusieurs milliards de FCFA ont clôturé leur cycle sans avoir atteint leurs objectifs, ou tout au plus les quelques acquis enregistrés ne sont pas consolidés et capitalisés ;</w:t>
      </w:r>
    </w:p>
    <w:p w:rsidR="005104D3" w:rsidRPr="009B11E1" w:rsidRDefault="005104D3" w:rsidP="00DD12DB">
      <w:pPr>
        <w:spacing w:before="0" w:after="0" w:line="240" w:lineRule="auto"/>
        <w:ind w:left="1416"/>
        <w:jc w:val="both"/>
        <w:rPr>
          <w:rFonts w:ascii="Nyala" w:hAnsi="Nyala" w:cs="Arial"/>
        </w:rPr>
      </w:pPr>
    </w:p>
    <w:p w:rsidR="005104D3" w:rsidRPr="009B11E1" w:rsidRDefault="005104D3" w:rsidP="00DD12DB">
      <w:pPr>
        <w:spacing w:before="0" w:after="0" w:line="240" w:lineRule="auto"/>
        <w:ind w:left="1416"/>
        <w:jc w:val="both"/>
        <w:rPr>
          <w:rFonts w:ascii="Nyala" w:hAnsi="Nyala" w:cs="Arial"/>
        </w:rPr>
      </w:pPr>
      <w:r w:rsidRPr="009B11E1">
        <w:rPr>
          <w:rFonts w:ascii="Nyala" w:hAnsi="Nyala" w:cs="Arial"/>
        </w:rPr>
        <w:t>c/ certains responsables travaillent plutôt pour leurs poches que pour l’intérêt général, il n’y a pas de patriotisme ; on les connait mais on les maintient à leurs postes ; d’autres sont incompétents mais on fait leurs promotions au détriment des cadres ayant des profils plus appropriés ;</w:t>
      </w:r>
    </w:p>
    <w:p w:rsidR="005104D3" w:rsidRPr="009B11E1" w:rsidRDefault="005104D3" w:rsidP="00DD12DB">
      <w:pPr>
        <w:spacing w:before="0" w:after="0" w:line="240" w:lineRule="auto"/>
        <w:ind w:left="1416"/>
        <w:jc w:val="both"/>
        <w:rPr>
          <w:rFonts w:ascii="Nyala" w:hAnsi="Nyala" w:cs="Arial"/>
        </w:rPr>
      </w:pPr>
      <w:r w:rsidRPr="009B11E1">
        <w:rPr>
          <w:rFonts w:ascii="Nyala" w:hAnsi="Nyala" w:cs="Arial"/>
        </w:rPr>
        <w:t>iv/ on note des insuffisances importantes d’harmonisation et de mise en cohérence des politiques publiques (sectorielles, thématiques, macroéconomiques); il y a trop de documents de politiques nationales. Ceci cause : a) des difficultés de programmation des investissements et de mobilisation des financements ; b) des conflits de compétence ; problème de leadership global et de mobilisation des capacités techniques requises pour la mise en œuvre;</w:t>
      </w:r>
    </w:p>
    <w:p w:rsidR="005104D3" w:rsidRPr="009B11E1" w:rsidRDefault="005104D3" w:rsidP="00DD12DB">
      <w:pPr>
        <w:spacing w:before="0" w:after="0" w:line="240" w:lineRule="auto"/>
        <w:ind w:left="1416"/>
        <w:jc w:val="both"/>
        <w:rPr>
          <w:rFonts w:ascii="Nyala" w:hAnsi="Nyala" w:cs="Arial"/>
        </w:rPr>
      </w:pPr>
    </w:p>
    <w:p w:rsidR="005104D3" w:rsidRPr="009B11E1" w:rsidRDefault="005104D3" w:rsidP="00DD12DB">
      <w:pPr>
        <w:spacing w:before="0" w:after="0" w:line="240" w:lineRule="auto"/>
        <w:ind w:left="1416"/>
        <w:jc w:val="both"/>
        <w:rPr>
          <w:rFonts w:ascii="Nyala" w:hAnsi="Nyala" w:cs="Arial"/>
        </w:rPr>
      </w:pPr>
      <w:r w:rsidRPr="009B11E1">
        <w:rPr>
          <w:rFonts w:ascii="Nyala" w:hAnsi="Nyala" w:cs="Arial"/>
        </w:rPr>
        <w:t>d/ insuffisances de coordination et de suivi-évaluation de l’ensemble des interventions des acteurs sur le territoire national ; ceci pose un problème de convergence globale des actions des différents intervenants vers les orientations générales fixées par  le Gouvernement (PDES, SDDCI) et crée des difficultés d’accès à l’information sur ce qui se fait dans le pays pour avoir une vue globale.</w:t>
      </w:r>
    </w:p>
    <w:p w:rsidR="005104D3" w:rsidRPr="009B11E1" w:rsidRDefault="005104D3" w:rsidP="00DD12DB">
      <w:pPr>
        <w:spacing w:before="0" w:after="0" w:line="240" w:lineRule="auto"/>
        <w:ind w:left="708"/>
        <w:jc w:val="both"/>
        <w:rPr>
          <w:rFonts w:ascii="Nyala" w:hAnsi="Nyala" w:cs="Arial"/>
        </w:rPr>
      </w:pPr>
    </w:p>
    <w:p w:rsidR="005104D3" w:rsidRPr="009B11E1" w:rsidRDefault="005104D3" w:rsidP="00DD12DB">
      <w:pPr>
        <w:spacing w:before="0" w:line="240" w:lineRule="auto"/>
        <w:jc w:val="both"/>
        <w:rPr>
          <w:rFonts w:ascii="Nyala" w:hAnsi="Nyala" w:cs="Arial"/>
          <w:b/>
          <w:color w:val="000000" w:themeColor="text1"/>
        </w:rPr>
      </w:pPr>
      <w:r w:rsidRPr="009B11E1">
        <w:rPr>
          <w:rFonts w:ascii="Nyala" w:hAnsi="Nyala" w:cs="Arial"/>
          <w:b/>
          <w:color w:val="000000" w:themeColor="text1"/>
        </w:rPr>
        <w:t>Recommandations</w:t>
      </w:r>
      <w:r w:rsidR="00E32BCC" w:rsidRPr="009B11E1">
        <w:rPr>
          <w:rFonts w:ascii="Nyala" w:hAnsi="Nyala" w:cs="Arial"/>
          <w:b/>
          <w:color w:val="000000" w:themeColor="text1"/>
        </w:rPr>
        <w:t xml:space="preserve"> Agadez</w:t>
      </w:r>
    </w:p>
    <w:p w:rsidR="005104D3" w:rsidRPr="009B11E1" w:rsidRDefault="005104D3" w:rsidP="00DD12DB">
      <w:pPr>
        <w:spacing w:before="0" w:after="0" w:line="240" w:lineRule="auto"/>
        <w:ind w:left="708"/>
        <w:jc w:val="both"/>
        <w:rPr>
          <w:rFonts w:ascii="Nyala" w:hAnsi="Nyala" w:cs="Arial"/>
          <w:color w:val="000000" w:themeColor="text1"/>
        </w:rPr>
      </w:pPr>
      <w:r w:rsidRPr="009B11E1">
        <w:rPr>
          <w:rFonts w:ascii="Nyala" w:hAnsi="Nyala" w:cs="Arial"/>
          <w:color w:val="000000" w:themeColor="text1"/>
        </w:rPr>
        <w:t>a/ renforcer les capacités matérielles, financières et humaines des centres de formation aux métiers, en liaison avec les besoins du secteur rural (y compris la transformation et l’électrification rurale au solaire)</w:t>
      </w:r>
    </w:p>
    <w:p w:rsidR="005104D3" w:rsidRPr="009B11E1" w:rsidRDefault="005104D3" w:rsidP="00DD12DB">
      <w:pPr>
        <w:spacing w:before="0" w:after="0" w:line="240" w:lineRule="auto"/>
        <w:ind w:left="708"/>
        <w:jc w:val="both"/>
        <w:rPr>
          <w:rFonts w:ascii="Nyala" w:hAnsi="Nyala" w:cs="Arial"/>
          <w:color w:val="000000" w:themeColor="text1"/>
        </w:rPr>
      </w:pPr>
      <w:r w:rsidRPr="009B11E1">
        <w:rPr>
          <w:rFonts w:ascii="Nyala" w:hAnsi="Nyala" w:cs="Arial"/>
          <w:color w:val="000000" w:themeColor="text1"/>
        </w:rPr>
        <w:t>b/ adapter les programmes d’enseignement des cycles secondaires aux besoins de l’économie et de la société ; au besoin, on pourrait revenir aux activités pratiques et productives (APP) des années 80 et 90, en les améliorant ;</w:t>
      </w:r>
    </w:p>
    <w:p w:rsidR="005104D3" w:rsidRPr="009B11E1" w:rsidRDefault="005104D3" w:rsidP="00DD12DB">
      <w:pPr>
        <w:spacing w:before="0" w:after="0" w:line="240" w:lineRule="auto"/>
        <w:ind w:left="708"/>
        <w:jc w:val="both"/>
        <w:rPr>
          <w:rFonts w:ascii="Nyala" w:hAnsi="Nyala" w:cs="Arial"/>
          <w:color w:val="000000" w:themeColor="text1"/>
        </w:rPr>
      </w:pPr>
      <w:r w:rsidRPr="009B11E1">
        <w:rPr>
          <w:rFonts w:ascii="Nyala" w:hAnsi="Nyala" w:cs="Arial"/>
          <w:color w:val="000000" w:themeColor="text1"/>
        </w:rPr>
        <w:t>c/ concevoir un réelle politique environnementale en milieu scolaire</w:t>
      </w:r>
    </w:p>
    <w:p w:rsidR="005104D3" w:rsidRPr="009B11E1" w:rsidRDefault="005104D3" w:rsidP="00DD12DB">
      <w:pPr>
        <w:spacing w:before="0" w:after="0" w:line="240" w:lineRule="auto"/>
        <w:ind w:left="708"/>
        <w:jc w:val="both"/>
        <w:rPr>
          <w:rFonts w:ascii="Nyala" w:hAnsi="Nyala" w:cs="Arial"/>
          <w:color w:val="000000" w:themeColor="text1"/>
        </w:rPr>
      </w:pPr>
      <w:r w:rsidRPr="009B11E1">
        <w:rPr>
          <w:rFonts w:ascii="Nyala" w:hAnsi="Nyala" w:cs="Arial"/>
          <w:color w:val="000000" w:themeColor="text1"/>
        </w:rPr>
        <w:t>d/ désenclaver les sites de production de la région pour permettre l’acheminement des produits alimentaires dans les centres urbains ;</w:t>
      </w:r>
    </w:p>
    <w:p w:rsidR="005104D3" w:rsidRPr="009B11E1" w:rsidRDefault="005104D3" w:rsidP="00DD12DB">
      <w:pPr>
        <w:spacing w:before="0" w:after="0" w:line="240" w:lineRule="auto"/>
        <w:ind w:left="708"/>
        <w:jc w:val="both"/>
        <w:rPr>
          <w:rFonts w:ascii="Nyala" w:hAnsi="Nyala" w:cs="Arial"/>
          <w:color w:val="000000" w:themeColor="text1"/>
        </w:rPr>
      </w:pPr>
      <w:r w:rsidRPr="009B11E1">
        <w:rPr>
          <w:rFonts w:ascii="Nyala" w:hAnsi="Nyala" w:cs="Arial"/>
          <w:color w:val="000000" w:themeColor="text1"/>
        </w:rPr>
        <w:t>e/ trouver une approche régionale qui permette aux différents intervenant dans la région de communiquer suffisamment entre eux et de faire la mise en commun en matière d’information sur ce que chacun fait ;</w:t>
      </w:r>
    </w:p>
    <w:p w:rsidR="005104D3" w:rsidRPr="009B11E1" w:rsidRDefault="005104D3" w:rsidP="00DD12DB">
      <w:pPr>
        <w:spacing w:before="0" w:after="0" w:line="240" w:lineRule="auto"/>
        <w:ind w:left="708"/>
        <w:jc w:val="both"/>
        <w:rPr>
          <w:rFonts w:ascii="Nyala" w:hAnsi="Nyala" w:cs="Arial"/>
          <w:color w:val="000000" w:themeColor="text1"/>
        </w:rPr>
      </w:pPr>
      <w:r w:rsidRPr="009B11E1">
        <w:rPr>
          <w:rFonts w:ascii="Nyala" w:hAnsi="Nyala" w:cs="Arial"/>
          <w:color w:val="000000" w:themeColor="text1"/>
        </w:rPr>
        <w:t>f/ améliorer les relations entre les services de la douane et les commerçants, pour résorber l’incompréhension actuelle ;</w:t>
      </w:r>
    </w:p>
    <w:p w:rsidR="005104D3" w:rsidRPr="009B11E1" w:rsidRDefault="005104D3" w:rsidP="00DD12DB">
      <w:pPr>
        <w:spacing w:before="0" w:after="0" w:line="240" w:lineRule="auto"/>
        <w:ind w:left="708"/>
        <w:jc w:val="both"/>
        <w:rPr>
          <w:rFonts w:ascii="Nyala" w:hAnsi="Nyala" w:cs="Arial"/>
          <w:color w:val="000000" w:themeColor="text1"/>
        </w:rPr>
      </w:pPr>
      <w:r w:rsidRPr="009B11E1">
        <w:rPr>
          <w:rFonts w:ascii="Nyala" w:hAnsi="Nyala" w:cs="Arial"/>
          <w:color w:val="000000" w:themeColor="text1"/>
        </w:rPr>
        <w:t>g/ améliorer la gestion des investissements affectés à la région et combattre les détournements déguisés des ressources destinées aux populations ;</w:t>
      </w:r>
    </w:p>
    <w:p w:rsidR="005104D3" w:rsidRPr="009B11E1" w:rsidRDefault="005104D3" w:rsidP="00DD12DB">
      <w:pPr>
        <w:spacing w:before="0" w:after="0" w:line="240" w:lineRule="auto"/>
        <w:ind w:left="708"/>
        <w:jc w:val="both"/>
        <w:rPr>
          <w:rFonts w:ascii="Nyala" w:hAnsi="Nyala" w:cs="Arial"/>
          <w:color w:val="000000" w:themeColor="text1"/>
        </w:rPr>
      </w:pPr>
      <w:r w:rsidRPr="009B11E1">
        <w:rPr>
          <w:rFonts w:ascii="Nyala" w:hAnsi="Nyala" w:cs="Arial"/>
          <w:color w:val="000000" w:themeColor="text1"/>
        </w:rPr>
        <w:t>h/ satisfaire les besoins des producteurs en eau pour l’irrigation ;</w:t>
      </w:r>
    </w:p>
    <w:p w:rsidR="005104D3" w:rsidRPr="009B11E1" w:rsidRDefault="005104D3" w:rsidP="00DD12DB">
      <w:pPr>
        <w:spacing w:before="0" w:after="0" w:line="240" w:lineRule="auto"/>
        <w:ind w:left="708"/>
        <w:rPr>
          <w:rFonts w:ascii="Nyala" w:hAnsi="Nyala" w:cs="Arial"/>
          <w:color w:val="000000" w:themeColor="text1"/>
        </w:rPr>
      </w:pPr>
      <w:r w:rsidRPr="009B11E1">
        <w:rPr>
          <w:rFonts w:ascii="Nyala" w:hAnsi="Nyala" w:cs="Arial"/>
          <w:color w:val="000000" w:themeColor="text1"/>
        </w:rPr>
        <w:t xml:space="preserve">i/ concrétiser davantage le projet </w:t>
      </w:r>
      <w:r w:rsidRPr="009B11E1">
        <w:rPr>
          <w:rFonts w:ascii="Nyala" w:hAnsi="Nyala" w:cs="Arial"/>
          <w:b/>
          <w:color w:val="000000" w:themeColor="text1"/>
        </w:rPr>
        <w:t>Irhazer</w:t>
      </w:r>
      <w:r w:rsidRPr="009B11E1">
        <w:rPr>
          <w:rFonts w:ascii="Nyala" w:hAnsi="Nyala" w:cs="Arial"/>
          <w:color w:val="000000" w:themeColor="text1"/>
        </w:rPr>
        <w:t>;</w:t>
      </w:r>
    </w:p>
    <w:p w:rsidR="005104D3" w:rsidRPr="009B11E1" w:rsidRDefault="005104D3" w:rsidP="00DD12DB">
      <w:pPr>
        <w:spacing w:before="0" w:after="0" w:line="240" w:lineRule="auto"/>
        <w:ind w:left="708"/>
        <w:rPr>
          <w:rFonts w:ascii="Nyala" w:hAnsi="Nyala" w:cs="Arial"/>
          <w:color w:val="000000" w:themeColor="text1"/>
        </w:rPr>
      </w:pPr>
      <w:r w:rsidRPr="009B11E1">
        <w:rPr>
          <w:rFonts w:ascii="Nyala" w:hAnsi="Nyala" w:cs="Arial"/>
          <w:color w:val="000000" w:themeColor="text1"/>
        </w:rPr>
        <w:t>j/ créer des emplois pour les jeunes, car le blocage de l’accès au Djado pour l’exploitation de l’or leur a causé des sérieuses difficultés ;</w:t>
      </w:r>
    </w:p>
    <w:p w:rsidR="005104D3" w:rsidRPr="009B11E1" w:rsidRDefault="005104D3" w:rsidP="005104D3">
      <w:pPr>
        <w:spacing w:line="240" w:lineRule="auto"/>
        <w:rPr>
          <w:rFonts w:ascii="Nyala" w:hAnsi="Nyala" w:cs="Arial"/>
          <w:b/>
          <w:color w:val="000000" w:themeColor="text1"/>
        </w:rPr>
      </w:pPr>
    </w:p>
    <w:p w:rsidR="005104D3" w:rsidRPr="009B11E1" w:rsidRDefault="005104D3" w:rsidP="005104D3">
      <w:pPr>
        <w:spacing w:line="240" w:lineRule="auto"/>
        <w:rPr>
          <w:rFonts w:ascii="Nyala" w:hAnsi="Nyala" w:cs="Arial"/>
          <w:b/>
          <w:color w:val="000000" w:themeColor="text1"/>
        </w:rPr>
      </w:pPr>
      <w:r w:rsidRPr="009B11E1">
        <w:rPr>
          <w:rFonts w:ascii="Nyala" w:hAnsi="Nyala" w:cs="Arial"/>
          <w:b/>
          <w:color w:val="000000" w:themeColor="text1"/>
        </w:rPr>
        <w:t>Eléments de Conclusions</w:t>
      </w:r>
    </w:p>
    <w:p w:rsidR="005104D3" w:rsidRPr="009B11E1" w:rsidRDefault="005104D3" w:rsidP="005104D3">
      <w:pPr>
        <w:spacing w:line="240" w:lineRule="auto"/>
        <w:rPr>
          <w:rFonts w:ascii="Nyala" w:hAnsi="Nyala" w:cs="Arial"/>
          <w:color w:val="000000" w:themeColor="text1"/>
        </w:rPr>
      </w:pPr>
      <w:r w:rsidRPr="009B11E1">
        <w:rPr>
          <w:rFonts w:ascii="Nyala" w:hAnsi="Nyala" w:cs="Arial"/>
          <w:color w:val="000000" w:themeColor="text1"/>
        </w:rPr>
        <w:t>i/ les acteurs ne se gênent pas du tout de s’exprimer librement et de dire ce qu’ils pensent, même en présence des Responsables régionaux ; c’est un  signe que la démocratie est en train de devenir une réalité, au Niger ;</w:t>
      </w:r>
    </w:p>
    <w:p w:rsidR="005104D3" w:rsidRPr="009B11E1" w:rsidRDefault="005104D3" w:rsidP="005104D3">
      <w:pPr>
        <w:spacing w:line="240" w:lineRule="auto"/>
        <w:rPr>
          <w:rFonts w:ascii="Nyala" w:hAnsi="Nyala" w:cs="Arial"/>
          <w:color w:val="000000" w:themeColor="text1"/>
        </w:rPr>
      </w:pPr>
      <w:r w:rsidRPr="009B11E1">
        <w:rPr>
          <w:rFonts w:ascii="Nyala" w:hAnsi="Nyala" w:cs="Arial"/>
          <w:color w:val="000000" w:themeColor="text1"/>
        </w:rPr>
        <w:t>ii/ on sent une certaine nervosité des acteurs, sur fond de déception, par rapport à leurs attentes du côté de l’Etat et des PTF; les critiques sont un peu sévères, voire exagérées quelques fois ;</w:t>
      </w:r>
    </w:p>
    <w:p w:rsidR="005104D3" w:rsidRPr="009B11E1" w:rsidRDefault="005104D3" w:rsidP="005104D3">
      <w:pPr>
        <w:spacing w:line="240" w:lineRule="auto"/>
        <w:rPr>
          <w:rFonts w:ascii="Nyala" w:hAnsi="Nyala" w:cs="Arial"/>
          <w:color w:val="000000" w:themeColor="text1"/>
        </w:rPr>
      </w:pPr>
      <w:r w:rsidRPr="009B11E1">
        <w:rPr>
          <w:rFonts w:ascii="Nyala" w:hAnsi="Nyala" w:cs="Arial"/>
          <w:color w:val="000000" w:themeColor="text1"/>
        </w:rPr>
        <w:t>iii/ les acteurs font aussi leur propre autocritique, en dénonçant ceux parmi eux qui créent des problèmes (dégradation de l’environnement, occupation illégale des espaces ruraux);</w:t>
      </w:r>
    </w:p>
    <w:p w:rsidR="005104D3" w:rsidRPr="009B11E1" w:rsidRDefault="005104D3" w:rsidP="005104D3">
      <w:pPr>
        <w:spacing w:line="240" w:lineRule="auto"/>
        <w:rPr>
          <w:rFonts w:ascii="Nyala" w:hAnsi="Nyala" w:cs="Arial"/>
          <w:color w:val="000000" w:themeColor="text1"/>
        </w:rPr>
      </w:pPr>
      <w:r w:rsidRPr="009B11E1">
        <w:rPr>
          <w:rFonts w:ascii="Nyala" w:hAnsi="Nyala" w:cs="Arial"/>
          <w:color w:val="000000" w:themeColor="text1"/>
        </w:rPr>
        <w:t>iv/ les acteurs ont une bonne culture du développement et veulent bien jouer leurs rôles respectifs et assumer leur responsabilité ;</w:t>
      </w:r>
    </w:p>
    <w:p w:rsidR="005104D3" w:rsidRPr="009B11E1" w:rsidRDefault="005104D3" w:rsidP="005104D3">
      <w:pPr>
        <w:spacing w:line="240" w:lineRule="auto"/>
        <w:jc w:val="both"/>
        <w:rPr>
          <w:rFonts w:ascii="Nyala" w:hAnsi="Nyala" w:cs="Arial"/>
          <w:color w:val="000000" w:themeColor="text1"/>
        </w:rPr>
      </w:pPr>
      <w:r w:rsidRPr="009B11E1">
        <w:rPr>
          <w:rFonts w:ascii="Nyala" w:hAnsi="Nyala" w:cs="Arial"/>
          <w:color w:val="000000" w:themeColor="text1"/>
        </w:rPr>
        <w:t>v/ certains acteurs ont affirmé disposer des capacités d’investissement propres, mais qu’ils ont un besoin d’accompagnement, notamment en ce qui concerne les infrastructures hydrauliques pour l’irrigation et les voie de communication, pour améliorer la déserte en produits agricoles ;</w:t>
      </w:r>
    </w:p>
    <w:p w:rsidR="005104D3" w:rsidRPr="009B11E1" w:rsidRDefault="005104D3" w:rsidP="005104D3">
      <w:pPr>
        <w:spacing w:line="240" w:lineRule="auto"/>
        <w:jc w:val="both"/>
        <w:rPr>
          <w:rFonts w:ascii="Nyala" w:hAnsi="Nyala" w:cs="Arial"/>
          <w:color w:val="000000" w:themeColor="text1"/>
        </w:rPr>
      </w:pPr>
      <w:r w:rsidRPr="009B11E1">
        <w:rPr>
          <w:rFonts w:ascii="Nyala" w:hAnsi="Nyala" w:cs="Arial"/>
          <w:color w:val="000000" w:themeColor="text1"/>
        </w:rPr>
        <w:t>vi/ les femmes de la région d’Agadez se plaignent de discrimination à leur égard, en ce qui concerne les avantages des projets de développement et la distribution des responsabilités au niveau des structures régionales de développement ou de gestion économique.</w:t>
      </w:r>
    </w:p>
    <w:p w:rsidR="00B56E1F" w:rsidRPr="009B11E1" w:rsidRDefault="00B56E1F" w:rsidP="0024399D">
      <w:pPr>
        <w:rPr>
          <w:rFonts w:ascii="Nyala" w:hAnsi="Nyala"/>
        </w:rPr>
      </w:pPr>
    </w:p>
    <w:p w:rsidR="009B11E1" w:rsidRDefault="009B11E1">
      <w:pPr>
        <w:rPr>
          <w:rFonts w:ascii="Nyala" w:hAnsi="Nyala"/>
          <w:sz w:val="28"/>
          <w:szCs w:val="28"/>
        </w:rPr>
      </w:pPr>
      <w:r>
        <w:rPr>
          <w:rFonts w:ascii="Nyala" w:hAnsi="Nyala"/>
          <w:sz w:val="28"/>
          <w:szCs w:val="28"/>
        </w:rPr>
        <w:br w:type="page"/>
      </w:r>
    </w:p>
    <w:p w:rsidR="004F5315" w:rsidRPr="009B11E1" w:rsidRDefault="004F5315" w:rsidP="009B11E1">
      <w:pPr>
        <w:pStyle w:val="Titre2"/>
        <w:rPr>
          <w:sz w:val="28"/>
          <w:szCs w:val="28"/>
        </w:rPr>
      </w:pPr>
      <w:bookmarkStart w:id="595" w:name="_Toc526120004"/>
      <w:r w:rsidRPr="009B11E1">
        <w:rPr>
          <w:sz w:val="28"/>
          <w:szCs w:val="28"/>
        </w:rPr>
        <w:t>T</w:t>
      </w:r>
      <w:r w:rsidR="00C97A1A">
        <w:rPr>
          <w:sz w:val="28"/>
          <w:szCs w:val="28"/>
        </w:rPr>
        <w:t>ermes défissiant l’état nutritionnel</w:t>
      </w:r>
      <w:bookmarkEnd w:id="595"/>
    </w:p>
    <w:p w:rsidR="004F5315" w:rsidRPr="006866D3" w:rsidRDefault="004F5315" w:rsidP="004F5315">
      <w:pPr>
        <w:shd w:val="clear" w:color="auto" w:fill="FFFFFF" w:themeFill="background1"/>
        <w:ind w:firstLine="708"/>
        <w:rPr>
          <w:rFonts w:ascii="Arial Narrow" w:hAnsi="Arial Narrow" w:cstheme="minorHAnsi"/>
          <w:b/>
          <w:color w:val="FF0000"/>
          <w:sz w:val="28"/>
          <w:szCs w:val="28"/>
        </w:rPr>
      </w:pPr>
      <w:r w:rsidRPr="006866D3">
        <w:rPr>
          <w:rFonts w:ascii="Arial Narrow" w:hAnsi="Arial Narrow" w:cstheme="minorHAnsi"/>
          <w:b/>
          <w:color w:val="FF0000"/>
          <w:sz w:val="28"/>
          <w:szCs w:val="28"/>
        </w:rPr>
        <w:tab/>
      </w:r>
      <w:r w:rsidRPr="006866D3">
        <w:rPr>
          <w:rFonts w:ascii="Arial Narrow" w:hAnsi="Arial Narrow" w:cstheme="minorHAnsi"/>
          <w:b/>
          <w:color w:val="FF0000"/>
          <w:sz w:val="28"/>
          <w:szCs w:val="28"/>
        </w:rPr>
        <w:tab/>
      </w:r>
      <w:r w:rsidRPr="006866D3">
        <w:rPr>
          <w:rFonts w:ascii="Arial Narrow" w:hAnsi="Arial Narrow" w:cstheme="minorHAnsi"/>
          <w:b/>
          <w:color w:val="FF0000"/>
          <w:sz w:val="28"/>
          <w:szCs w:val="28"/>
        </w:rPr>
        <w:tab/>
      </w:r>
      <w:r w:rsidRPr="006866D3">
        <w:rPr>
          <w:rFonts w:ascii="Arial Narrow" w:hAnsi="Arial Narrow" w:cstheme="minorHAnsi"/>
          <w:b/>
          <w:color w:val="FF0000"/>
          <w:sz w:val="28"/>
          <w:szCs w:val="28"/>
        </w:rPr>
        <w:tab/>
      </w:r>
      <w:r w:rsidRPr="006866D3">
        <w:rPr>
          <w:rFonts w:ascii="Arial Narrow" w:hAnsi="Arial Narrow" w:cstheme="minorHAnsi"/>
          <w:b/>
          <w:color w:val="FF0000"/>
          <w:sz w:val="28"/>
          <w:szCs w:val="28"/>
        </w:rPr>
        <w:tab/>
      </w:r>
    </w:p>
    <w:tbl>
      <w:tblPr>
        <w:tblStyle w:val="Grilledutableau"/>
        <w:tblW w:w="9351" w:type="dxa"/>
        <w:tblLook w:val="04A0" w:firstRow="1" w:lastRow="0" w:firstColumn="1" w:lastColumn="0" w:noHBand="0" w:noVBand="1"/>
      </w:tblPr>
      <w:tblGrid>
        <w:gridCol w:w="279"/>
        <w:gridCol w:w="1417"/>
        <w:gridCol w:w="7655"/>
      </w:tblGrid>
      <w:tr w:rsidR="004F5315" w:rsidRPr="006866D3" w:rsidTr="009B11E1">
        <w:tc>
          <w:tcPr>
            <w:tcW w:w="279" w:type="dxa"/>
            <w:shd w:val="clear" w:color="auto" w:fill="E8F3D3" w:themeFill="accent2" w:themeFillTint="33"/>
          </w:tcPr>
          <w:p w:rsidR="004F5315" w:rsidRPr="009B11E1" w:rsidRDefault="004F5315" w:rsidP="00F74B2A">
            <w:pPr>
              <w:rPr>
                <w:rFonts w:ascii="Nyala" w:hAnsi="Nyala" w:cstheme="minorHAnsi"/>
                <w:b/>
                <w:sz w:val="18"/>
                <w:szCs w:val="18"/>
              </w:rPr>
            </w:pPr>
          </w:p>
        </w:tc>
        <w:tc>
          <w:tcPr>
            <w:tcW w:w="1417" w:type="dxa"/>
            <w:shd w:val="clear" w:color="auto" w:fill="E8F3D3" w:themeFill="accent2" w:themeFillTint="33"/>
          </w:tcPr>
          <w:p w:rsidR="004F5315" w:rsidRPr="009B11E1" w:rsidRDefault="004F5315" w:rsidP="00F74B2A">
            <w:pPr>
              <w:rPr>
                <w:rFonts w:ascii="Nyala" w:hAnsi="Nyala" w:cstheme="minorHAnsi"/>
                <w:b/>
                <w:sz w:val="18"/>
                <w:szCs w:val="18"/>
              </w:rPr>
            </w:pPr>
            <w:r w:rsidRPr="009B11E1">
              <w:rPr>
                <w:rFonts w:ascii="Nyala" w:hAnsi="Nyala" w:cstheme="minorHAnsi"/>
                <w:b/>
                <w:sz w:val="18"/>
                <w:szCs w:val="18"/>
              </w:rPr>
              <w:t>Terme</w:t>
            </w:r>
          </w:p>
        </w:tc>
        <w:tc>
          <w:tcPr>
            <w:tcW w:w="7655" w:type="dxa"/>
            <w:shd w:val="clear" w:color="auto" w:fill="E8F3D3" w:themeFill="accent2" w:themeFillTint="33"/>
          </w:tcPr>
          <w:p w:rsidR="004F5315" w:rsidRPr="009B11E1" w:rsidRDefault="004F5315" w:rsidP="00F74B2A">
            <w:pPr>
              <w:rPr>
                <w:rFonts w:ascii="Nyala" w:hAnsi="Nyala" w:cstheme="minorHAnsi"/>
                <w:b/>
                <w:sz w:val="18"/>
                <w:szCs w:val="18"/>
              </w:rPr>
            </w:pPr>
            <w:r w:rsidRPr="009B11E1">
              <w:rPr>
                <w:rFonts w:ascii="Nyala" w:hAnsi="Nyala" w:cstheme="minorHAnsi"/>
                <w:b/>
                <w:sz w:val="18"/>
                <w:szCs w:val="18"/>
              </w:rPr>
              <w:t>Définition</w:t>
            </w:r>
          </w:p>
        </w:tc>
      </w:tr>
      <w:tr w:rsidR="004F5315" w:rsidRPr="006866D3" w:rsidTr="009B11E1">
        <w:tc>
          <w:tcPr>
            <w:tcW w:w="279" w:type="dxa"/>
            <w:shd w:val="clear" w:color="auto" w:fill="FFFFFF" w:themeFill="background1"/>
          </w:tcPr>
          <w:p w:rsidR="004F5315" w:rsidRPr="009B11E1" w:rsidRDefault="004F5315" w:rsidP="00F74B2A">
            <w:pPr>
              <w:rPr>
                <w:rFonts w:ascii="Nyala" w:hAnsi="Nyala" w:cstheme="minorHAnsi"/>
                <w:b/>
                <w:sz w:val="18"/>
                <w:szCs w:val="18"/>
              </w:rPr>
            </w:pPr>
          </w:p>
        </w:tc>
        <w:tc>
          <w:tcPr>
            <w:tcW w:w="1417" w:type="dxa"/>
            <w:shd w:val="clear" w:color="auto" w:fill="FFFFFF" w:themeFill="background1"/>
          </w:tcPr>
          <w:p w:rsidR="004F5315" w:rsidRPr="009B11E1" w:rsidRDefault="004F5315" w:rsidP="00F74B2A">
            <w:pPr>
              <w:rPr>
                <w:rFonts w:ascii="Nyala" w:hAnsi="Nyala" w:cstheme="minorHAnsi"/>
                <w:b/>
                <w:sz w:val="18"/>
                <w:szCs w:val="18"/>
              </w:rPr>
            </w:pPr>
            <w:r w:rsidRPr="009B11E1">
              <w:rPr>
                <w:rFonts w:ascii="Nyala" w:hAnsi="Nyala" w:cstheme="minorHAnsi"/>
                <w:b/>
                <w:sz w:val="18"/>
                <w:szCs w:val="18"/>
              </w:rPr>
              <w:t>Emaciation</w:t>
            </w:r>
          </w:p>
        </w:tc>
        <w:tc>
          <w:tcPr>
            <w:tcW w:w="7655" w:type="dxa"/>
            <w:shd w:val="clear" w:color="auto" w:fill="FFFFFF" w:themeFill="background1"/>
          </w:tcPr>
          <w:p w:rsidR="004F5315" w:rsidRPr="009B11E1" w:rsidRDefault="004F5315" w:rsidP="00F74B2A">
            <w:pPr>
              <w:jc w:val="both"/>
              <w:rPr>
                <w:rFonts w:ascii="Nyala" w:hAnsi="Nyala" w:cs="Arial"/>
                <w:sz w:val="18"/>
                <w:szCs w:val="18"/>
                <w:shd w:val="clear" w:color="auto" w:fill="FFFFFF"/>
              </w:rPr>
            </w:pPr>
            <w:r w:rsidRPr="009B11E1">
              <w:rPr>
                <w:rFonts w:ascii="Nyala" w:hAnsi="Nyala" w:cstheme="minorHAnsi"/>
                <w:sz w:val="18"/>
                <w:szCs w:val="18"/>
              </w:rPr>
              <w:t xml:space="preserve">Etat de </w:t>
            </w:r>
            <w:r w:rsidRPr="009B11E1">
              <w:rPr>
                <w:rFonts w:ascii="Nyala" w:hAnsi="Nyala" w:cstheme="minorHAnsi"/>
                <w:b/>
                <w:sz w:val="18"/>
                <w:szCs w:val="18"/>
              </w:rPr>
              <w:t>sous nutrition</w:t>
            </w:r>
            <w:r w:rsidRPr="009B11E1">
              <w:rPr>
                <w:rFonts w:ascii="Nyala" w:hAnsi="Nyala" w:cstheme="minorHAnsi"/>
                <w:sz w:val="18"/>
                <w:szCs w:val="18"/>
              </w:rPr>
              <w:t xml:space="preserve"> aigue, caractérisé par ’une perte de poids récente et grave due au fait qu’une personne n’a pas ingéré assez d’aliments et/ou qu’elle a été atteinte d’une maladie infectieuse (faible rapport </w:t>
            </w:r>
            <w:r w:rsidRPr="009B11E1">
              <w:rPr>
                <w:rFonts w:ascii="Nyala" w:hAnsi="Nyala" w:cstheme="minorHAnsi"/>
                <w:b/>
                <w:sz w:val="18"/>
                <w:szCs w:val="18"/>
              </w:rPr>
              <w:t>poids/taille</w:t>
            </w:r>
            <w:r w:rsidRPr="009B11E1">
              <w:rPr>
                <w:rFonts w:ascii="Nyala" w:hAnsi="Nyala" w:cstheme="minorHAnsi"/>
                <w:sz w:val="18"/>
                <w:szCs w:val="18"/>
              </w:rPr>
              <w:t>)</w:t>
            </w:r>
          </w:p>
        </w:tc>
      </w:tr>
      <w:tr w:rsidR="004F5315" w:rsidRPr="006866D3" w:rsidTr="009B11E1">
        <w:tc>
          <w:tcPr>
            <w:tcW w:w="279" w:type="dxa"/>
            <w:shd w:val="clear" w:color="auto" w:fill="FFFFFF" w:themeFill="background1"/>
          </w:tcPr>
          <w:p w:rsidR="004F5315" w:rsidRPr="009B11E1" w:rsidRDefault="004F5315" w:rsidP="00F74B2A">
            <w:pPr>
              <w:rPr>
                <w:rFonts w:ascii="Nyala" w:hAnsi="Nyala" w:cstheme="minorHAnsi"/>
                <w:b/>
                <w:sz w:val="18"/>
                <w:szCs w:val="18"/>
              </w:rPr>
            </w:pPr>
          </w:p>
        </w:tc>
        <w:tc>
          <w:tcPr>
            <w:tcW w:w="1417" w:type="dxa"/>
            <w:shd w:val="clear" w:color="auto" w:fill="FFFFFF" w:themeFill="background1"/>
          </w:tcPr>
          <w:p w:rsidR="004F5315" w:rsidRPr="009B11E1" w:rsidRDefault="004F5315" w:rsidP="00F74B2A">
            <w:pPr>
              <w:pStyle w:val="Notedebasdepage"/>
              <w:rPr>
                <w:rFonts w:ascii="Nyala" w:hAnsi="Nyala" w:cstheme="minorHAnsi"/>
                <w:b/>
                <w:sz w:val="18"/>
                <w:szCs w:val="18"/>
              </w:rPr>
            </w:pPr>
            <w:r w:rsidRPr="009B11E1">
              <w:rPr>
                <w:rFonts w:ascii="Nyala" w:hAnsi="Nyala" w:cstheme="minorHAnsi"/>
                <w:b/>
                <w:sz w:val="18"/>
                <w:szCs w:val="18"/>
              </w:rPr>
              <w:t xml:space="preserve"> «Filet social » </w:t>
            </w:r>
          </w:p>
          <w:p w:rsidR="004F5315" w:rsidRPr="009B11E1" w:rsidRDefault="004F5315" w:rsidP="00F74B2A">
            <w:pPr>
              <w:rPr>
                <w:rFonts w:ascii="Nyala" w:hAnsi="Nyala" w:cstheme="minorHAnsi"/>
                <w:b/>
                <w:sz w:val="18"/>
                <w:szCs w:val="18"/>
              </w:rPr>
            </w:pPr>
          </w:p>
        </w:tc>
        <w:tc>
          <w:tcPr>
            <w:tcW w:w="7655" w:type="dxa"/>
            <w:shd w:val="clear" w:color="auto" w:fill="FFFFFF" w:themeFill="background1"/>
          </w:tcPr>
          <w:p w:rsidR="004F5315" w:rsidRPr="009B11E1" w:rsidRDefault="004F5315" w:rsidP="00F74B2A">
            <w:pPr>
              <w:pStyle w:val="Notedebasdepage"/>
              <w:rPr>
                <w:rFonts w:ascii="Nyala" w:hAnsi="Nyala"/>
                <w:sz w:val="18"/>
                <w:szCs w:val="18"/>
              </w:rPr>
            </w:pPr>
            <w:r w:rsidRPr="009B11E1">
              <w:rPr>
                <w:rFonts w:ascii="Nyala" w:hAnsi="Nyala"/>
                <w:sz w:val="18"/>
                <w:szCs w:val="18"/>
              </w:rPr>
              <w:t>Forme de protection sociale qui  fait référence à des programmes de transfert non contributifs ciblant d’une manière ou d’une autre les pauvres ou les personnes vulnérables, tels que :</w:t>
            </w:r>
          </w:p>
          <w:p w:rsidR="004F5315" w:rsidRPr="009B11E1" w:rsidRDefault="004F5315" w:rsidP="0059103A">
            <w:pPr>
              <w:pStyle w:val="Notedebasdepage"/>
              <w:numPr>
                <w:ilvl w:val="0"/>
                <w:numId w:val="1"/>
              </w:numPr>
              <w:rPr>
                <w:rFonts w:ascii="Nyala" w:hAnsi="Nyala"/>
                <w:sz w:val="18"/>
                <w:szCs w:val="18"/>
              </w:rPr>
            </w:pPr>
            <w:r w:rsidRPr="009B11E1">
              <w:rPr>
                <w:rFonts w:ascii="Nyala" w:hAnsi="Nyala"/>
                <w:sz w:val="18"/>
                <w:szCs w:val="18"/>
              </w:rPr>
              <w:t>Les transferts en espèces ou les bons d’alimentation, catégoriels ou soumis à des conditions de ressources, comme les allocations familiales ou les pensions sociales,</w:t>
            </w:r>
          </w:p>
          <w:p w:rsidR="004F5315" w:rsidRPr="009B11E1" w:rsidRDefault="004F5315" w:rsidP="0059103A">
            <w:pPr>
              <w:pStyle w:val="Notedebasdepage"/>
              <w:numPr>
                <w:ilvl w:val="0"/>
                <w:numId w:val="1"/>
              </w:numPr>
              <w:rPr>
                <w:rFonts w:ascii="Nyala" w:hAnsi="Nyala"/>
                <w:sz w:val="18"/>
                <w:szCs w:val="18"/>
              </w:rPr>
            </w:pPr>
            <w:r w:rsidRPr="009B11E1">
              <w:rPr>
                <w:rFonts w:ascii="Nyala" w:hAnsi="Nyala"/>
                <w:sz w:val="18"/>
                <w:szCs w:val="18"/>
              </w:rPr>
              <w:t>Les transferts en nature, les programmes de repas scolaires ou de supplémentation destinés aux mères et enfants, mais également les distributions fournitures scolaires, d’uniformes, etc.</w:t>
            </w:r>
          </w:p>
          <w:p w:rsidR="004F5315" w:rsidRPr="009B11E1" w:rsidRDefault="004F5315" w:rsidP="0059103A">
            <w:pPr>
              <w:pStyle w:val="Notedebasdepage"/>
              <w:numPr>
                <w:ilvl w:val="0"/>
                <w:numId w:val="1"/>
              </w:numPr>
              <w:rPr>
                <w:rFonts w:ascii="Nyala" w:hAnsi="Nyala"/>
                <w:sz w:val="18"/>
                <w:szCs w:val="18"/>
              </w:rPr>
            </w:pPr>
            <w:r w:rsidRPr="009B11E1">
              <w:rPr>
                <w:rFonts w:ascii="Nyala" w:hAnsi="Nyala"/>
                <w:sz w:val="18"/>
                <w:szCs w:val="18"/>
              </w:rPr>
              <w:t>La subvention des prix, souvent de la nourriture ou de l’énergie, au profit des ménages</w:t>
            </w:r>
          </w:p>
          <w:p w:rsidR="004F5315" w:rsidRPr="009B11E1" w:rsidRDefault="004F5315" w:rsidP="0059103A">
            <w:pPr>
              <w:pStyle w:val="Notedebasdepage"/>
              <w:numPr>
                <w:ilvl w:val="0"/>
                <w:numId w:val="1"/>
              </w:numPr>
              <w:rPr>
                <w:rFonts w:ascii="Nyala" w:hAnsi="Nyala"/>
                <w:sz w:val="18"/>
                <w:szCs w:val="18"/>
              </w:rPr>
            </w:pPr>
            <w:r w:rsidRPr="009B11E1">
              <w:rPr>
                <w:rFonts w:ascii="Nyala" w:hAnsi="Nyala"/>
                <w:sz w:val="18"/>
                <w:szCs w:val="18"/>
              </w:rPr>
              <w:t>L’emploi dans le cadre de programmes de travaux publics à forte intensité de main d’œuvre, parfois dénommé « allocations conditionnelles »,</w:t>
            </w:r>
          </w:p>
          <w:p w:rsidR="004F5315" w:rsidRPr="009B11E1" w:rsidRDefault="004F5315" w:rsidP="0059103A">
            <w:pPr>
              <w:pStyle w:val="Notedebasdepage"/>
              <w:numPr>
                <w:ilvl w:val="0"/>
                <w:numId w:val="1"/>
              </w:numPr>
              <w:rPr>
                <w:rFonts w:ascii="Nyala" w:hAnsi="Nyala"/>
                <w:sz w:val="18"/>
                <w:szCs w:val="18"/>
              </w:rPr>
            </w:pPr>
            <w:r w:rsidRPr="009B11E1">
              <w:rPr>
                <w:rFonts w:ascii="Nyala" w:hAnsi="Nyala"/>
                <w:sz w:val="18"/>
                <w:szCs w:val="18"/>
              </w:rPr>
              <w:t xml:space="preserve">Les transferts monétaires ou en nature destinés aux ménages pauvres et soumis aux respects de conditions de rations alimentaires à emporter, de </w:t>
            </w:r>
          </w:p>
          <w:p w:rsidR="004F5315" w:rsidRPr="009B11E1" w:rsidRDefault="004F5315" w:rsidP="0059103A">
            <w:pPr>
              <w:pStyle w:val="Notedebasdepage"/>
              <w:numPr>
                <w:ilvl w:val="0"/>
                <w:numId w:val="1"/>
              </w:numPr>
              <w:rPr>
                <w:rFonts w:ascii="Nyala" w:hAnsi="Nyala"/>
                <w:sz w:val="18"/>
                <w:szCs w:val="18"/>
              </w:rPr>
            </w:pPr>
            <w:r w:rsidRPr="009B11E1">
              <w:rPr>
                <w:rFonts w:ascii="Nyala" w:hAnsi="Nyala"/>
                <w:sz w:val="18"/>
                <w:szCs w:val="18"/>
              </w:rPr>
              <w:t>spécifiques imposées en matière d’éducation ou de santé,</w:t>
            </w:r>
          </w:p>
          <w:p w:rsidR="004F5315" w:rsidRPr="009B11E1" w:rsidRDefault="004F5315" w:rsidP="00F74B2A">
            <w:pPr>
              <w:jc w:val="both"/>
              <w:rPr>
                <w:rFonts w:ascii="Nyala" w:hAnsi="Nyala" w:cstheme="minorHAnsi"/>
                <w:sz w:val="18"/>
                <w:szCs w:val="18"/>
              </w:rPr>
            </w:pPr>
            <w:r w:rsidRPr="009B11E1">
              <w:rPr>
                <w:rFonts w:ascii="Nyala" w:hAnsi="Nyala"/>
                <w:sz w:val="18"/>
                <w:szCs w:val="18"/>
              </w:rPr>
              <w:t>L’exemption de droits pour les services de base, les soins de santé, la scolarisation, les services publics ou les transports.</w:t>
            </w:r>
          </w:p>
        </w:tc>
      </w:tr>
      <w:tr w:rsidR="004F5315" w:rsidRPr="006866D3" w:rsidTr="009B11E1">
        <w:tc>
          <w:tcPr>
            <w:tcW w:w="279" w:type="dxa"/>
            <w:shd w:val="clear" w:color="auto" w:fill="FFFFFF" w:themeFill="background1"/>
          </w:tcPr>
          <w:p w:rsidR="004F5315" w:rsidRPr="009B11E1" w:rsidRDefault="004F5315" w:rsidP="00F74B2A">
            <w:pPr>
              <w:rPr>
                <w:rFonts w:ascii="Nyala" w:hAnsi="Nyala" w:cstheme="minorHAnsi"/>
                <w:b/>
                <w:sz w:val="18"/>
                <w:szCs w:val="18"/>
              </w:rPr>
            </w:pPr>
          </w:p>
        </w:tc>
        <w:tc>
          <w:tcPr>
            <w:tcW w:w="1417" w:type="dxa"/>
            <w:shd w:val="clear" w:color="auto" w:fill="FFFFFF" w:themeFill="background1"/>
          </w:tcPr>
          <w:p w:rsidR="004F5315" w:rsidRPr="009B11E1" w:rsidRDefault="004F5315" w:rsidP="00F74B2A">
            <w:pPr>
              <w:rPr>
                <w:rFonts w:ascii="Nyala" w:hAnsi="Nyala" w:cstheme="minorHAnsi"/>
                <w:b/>
                <w:sz w:val="18"/>
                <w:szCs w:val="18"/>
              </w:rPr>
            </w:pPr>
            <w:r w:rsidRPr="009B11E1">
              <w:rPr>
                <w:rFonts w:ascii="Nyala" w:hAnsi="Nyala" w:cstheme="minorHAnsi"/>
                <w:b/>
                <w:sz w:val="18"/>
                <w:szCs w:val="18"/>
              </w:rPr>
              <w:t>Indice de masse corporelle (IMC)</w:t>
            </w:r>
          </w:p>
        </w:tc>
        <w:tc>
          <w:tcPr>
            <w:tcW w:w="7655" w:type="dxa"/>
            <w:shd w:val="clear" w:color="auto" w:fill="FFFFFF" w:themeFill="background1"/>
          </w:tcPr>
          <w:p w:rsidR="004F5315" w:rsidRPr="009B11E1" w:rsidRDefault="004F5315" w:rsidP="00F74B2A">
            <w:pPr>
              <w:jc w:val="both"/>
              <w:rPr>
                <w:rFonts w:ascii="Nyala" w:hAnsi="Nyala" w:cstheme="minorHAnsi"/>
                <w:b/>
                <w:sz w:val="18"/>
                <w:szCs w:val="18"/>
              </w:rPr>
            </w:pPr>
            <w:r w:rsidRPr="009B11E1">
              <w:rPr>
                <w:rFonts w:ascii="Nyala" w:hAnsi="Nyala" w:cstheme="minorHAnsi"/>
                <w:sz w:val="18"/>
                <w:szCs w:val="18"/>
              </w:rPr>
              <w:t>Rapport du poids (kg) et la taille (m</w:t>
            </w:r>
            <w:r w:rsidRPr="009B11E1">
              <w:rPr>
                <w:rFonts w:ascii="Nyala" w:hAnsi="Nyala" w:cstheme="minorHAnsi"/>
                <w:sz w:val="18"/>
                <w:szCs w:val="18"/>
                <w:vertAlign w:val="superscript"/>
              </w:rPr>
              <w:t>2</w:t>
            </w:r>
            <w:r w:rsidRPr="009B11E1">
              <w:rPr>
                <w:rFonts w:ascii="Nyala" w:hAnsi="Nyala" w:cstheme="minorHAnsi"/>
                <w:sz w:val="18"/>
                <w:szCs w:val="18"/>
              </w:rPr>
              <w:t xml:space="preserve">) d’une personne, habituellement utilisé pour déterminer le surpoids et l’obésité. chez les adultes.  un </w:t>
            </w:r>
            <w:r w:rsidRPr="009B11E1">
              <w:rPr>
                <w:rFonts w:ascii="Nyala" w:hAnsi="Nyala" w:cstheme="minorHAnsi"/>
                <w:b/>
                <w:sz w:val="18"/>
                <w:szCs w:val="18"/>
              </w:rPr>
              <w:t>IMC supérieur ou égal à 25</w:t>
            </w:r>
            <w:r w:rsidRPr="009B11E1">
              <w:rPr>
                <w:rFonts w:ascii="Nyala" w:hAnsi="Nyala" w:cstheme="minorHAnsi"/>
                <w:sz w:val="18"/>
                <w:szCs w:val="18"/>
              </w:rPr>
              <w:t xml:space="preserve"> alors que </w:t>
            </w:r>
            <w:r w:rsidRPr="009B11E1">
              <w:rPr>
                <w:rFonts w:ascii="Nyala" w:hAnsi="Nyala" w:cstheme="minorHAnsi"/>
                <w:b/>
                <w:sz w:val="18"/>
                <w:szCs w:val="18"/>
              </w:rPr>
              <w:t>l’obésité intervient à partir d’un IMC à 30.</w:t>
            </w:r>
          </w:p>
        </w:tc>
      </w:tr>
      <w:tr w:rsidR="004F5315" w:rsidRPr="006866D3" w:rsidTr="009B11E1">
        <w:tc>
          <w:tcPr>
            <w:tcW w:w="279" w:type="dxa"/>
            <w:shd w:val="clear" w:color="auto" w:fill="FFFFFF" w:themeFill="background1"/>
          </w:tcPr>
          <w:p w:rsidR="004F5315" w:rsidRPr="009B11E1" w:rsidRDefault="004F5315" w:rsidP="00F74B2A">
            <w:pPr>
              <w:rPr>
                <w:rFonts w:ascii="Nyala" w:hAnsi="Nyala" w:cstheme="minorHAnsi"/>
                <w:b/>
                <w:sz w:val="18"/>
                <w:szCs w:val="18"/>
              </w:rPr>
            </w:pPr>
          </w:p>
        </w:tc>
        <w:tc>
          <w:tcPr>
            <w:tcW w:w="1417" w:type="dxa"/>
            <w:shd w:val="clear" w:color="auto" w:fill="FFFFFF" w:themeFill="background1"/>
          </w:tcPr>
          <w:p w:rsidR="004F5315" w:rsidRPr="009B11E1" w:rsidRDefault="004F5315" w:rsidP="00F74B2A">
            <w:pPr>
              <w:rPr>
                <w:rFonts w:ascii="Nyala" w:hAnsi="Nyala" w:cstheme="minorHAnsi"/>
                <w:b/>
                <w:sz w:val="18"/>
                <w:szCs w:val="18"/>
              </w:rPr>
            </w:pPr>
            <w:r w:rsidRPr="009B11E1">
              <w:rPr>
                <w:rFonts w:ascii="Nyala" w:hAnsi="Nyala" w:cstheme="minorHAnsi"/>
                <w:b/>
                <w:sz w:val="18"/>
                <w:szCs w:val="18"/>
              </w:rPr>
              <w:t xml:space="preserve">Insécurité alimentaire </w:t>
            </w:r>
          </w:p>
        </w:tc>
        <w:tc>
          <w:tcPr>
            <w:tcW w:w="7655" w:type="dxa"/>
            <w:shd w:val="clear" w:color="auto" w:fill="FFFFFF" w:themeFill="background1"/>
          </w:tcPr>
          <w:p w:rsidR="004F5315" w:rsidRPr="009B11E1" w:rsidRDefault="004F5315" w:rsidP="00F74B2A">
            <w:pPr>
              <w:jc w:val="both"/>
              <w:rPr>
                <w:rFonts w:ascii="Nyala" w:hAnsi="Nyala" w:cs="Arial"/>
                <w:b/>
                <w:sz w:val="18"/>
                <w:szCs w:val="18"/>
                <w:shd w:val="clear" w:color="auto" w:fill="FFFFFF"/>
              </w:rPr>
            </w:pPr>
            <w:r w:rsidRPr="009B11E1">
              <w:rPr>
                <w:rFonts w:ascii="Nyala" w:hAnsi="Nyala" w:cstheme="minorHAnsi"/>
                <w:sz w:val="18"/>
                <w:szCs w:val="18"/>
              </w:rPr>
              <w:t>Etat de pénurie alimentaire (</w:t>
            </w:r>
            <w:r w:rsidRPr="009B11E1">
              <w:rPr>
                <w:rFonts w:ascii="Nyala" w:hAnsi="Nyala" w:cstheme="minorHAnsi"/>
                <w:i/>
                <w:sz w:val="18"/>
                <w:szCs w:val="18"/>
              </w:rPr>
              <w:t>modérée ou grave</w:t>
            </w:r>
            <w:r w:rsidRPr="009B11E1">
              <w:rPr>
                <w:rFonts w:ascii="Nyala" w:hAnsi="Nyala" w:cstheme="minorHAnsi"/>
                <w:b/>
                <w:sz w:val="18"/>
                <w:szCs w:val="18"/>
              </w:rPr>
              <w:t>)</w:t>
            </w:r>
            <w:r w:rsidRPr="009B11E1">
              <w:rPr>
                <w:rFonts w:ascii="Nyala" w:hAnsi="Nyala" w:cstheme="minorHAnsi"/>
                <w:sz w:val="18"/>
                <w:szCs w:val="18"/>
              </w:rPr>
              <w:t>due à une limite ou une incertitude dans la capacité à acquérir des aliments</w:t>
            </w:r>
          </w:p>
        </w:tc>
      </w:tr>
      <w:tr w:rsidR="004F5315" w:rsidRPr="006866D3" w:rsidTr="009B11E1">
        <w:tc>
          <w:tcPr>
            <w:tcW w:w="279" w:type="dxa"/>
            <w:shd w:val="clear" w:color="auto" w:fill="FFFFFF" w:themeFill="background1"/>
          </w:tcPr>
          <w:p w:rsidR="004F5315" w:rsidRPr="009B11E1" w:rsidRDefault="004F5315" w:rsidP="00F74B2A">
            <w:pPr>
              <w:rPr>
                <w:rFonts w:ascii="Nyala" w:hAnsi="Nyala" w:cstheme="minorHAnsi"/>
                <w:b/>
                <w:sz w:val="18"/>
                <w:szCs w:val="18"/>
              </w:rPr>
            </w:pPr>
          </w:p>
        </w:tc>
        <w:tc>
          <w:tcPr>
            <w:tcW w:w="1417" w:type="dxa"/>
            <w:shd w:val="clear" w:color="auto" w:fill="FFFFFF" w:themeFill="background1"/>
          </w:tcPr>
          <w:p w:rsidR="004F5315" w:rsidRPr="009B11E1" w:rsidRDefault="004F5315" w:rsidP="00F74B2A">
            <w:pPr>
              <w:rPr>
                <w:rFonts w:ascii="Nyala" w:hAnsi="Nyala" w:cstheme="minorHAnsi"/>
                <w:b/>
                <w:sz w:val="18"/>
                <w:szCs w:val="18"/>
              </w:rPr>
            </w:pPr>
            <w:r w:rsidRPr="009B11E1">
              <w:rPr>
                <w:rFonts w:ascii="Nyala" w:hAnsi="Nyala"/>
                <w:b/>
                <w:sz w:val="18"/>
                <w:szCs w:val="18"/>
              </w:rPr>
              <w:t>Interventions sensibles à la nutrition</w:t>
            </w:r>
            <w:r w:rsidRPr="009B11E1">
              <w:rPr>
                <w:rFonts w:ascii="Nyala" w:hAnsi="Nyala"/>
                <w:sz w:val="18"/>
                <w:szCs w:val="18"/>
              </w:rPr>
              <w:t xml:space="preserve"> :</w:t>
            </w:r>
          </w:p>
        </w:tc>
        <w:tc>
          <w:tcPr>
            <w:tcW w:w="7655" w:type="dxa"/>
            <w:shd w:val="clear" w:color="auto" w:fill="FFFFFF" w:themeFill="background1"/>
          </w:tcPr>
          <w:p w:rsidR="004F5315" w:rsidRPr="009B11E1" w:rsidRDefault="004F5315" w:rsidP="00F74B2A">
            <w:pPr>
              <w:jc w:val="both"/>
              <w:rPr>
                <w:rFonts w:ascii="Nyala" w:hAnsi="Nyala" w:cstheme="minorHAnsi"/>
                <w:sz w:val="18"/>
                <w:szCs w:val="18"/>
              </w:rPr>
            </w:pPr>
            <w:r w:rsidRPr="009B11E1">
              <w:rPr>
                <w:rFonts w:ascii="Nyala" w:hAnsi="Nyala"/>
                <w:sz w:val="18"/>
                <w:szCs w:val="18"/>
              </w:rPr>
              <w:t xml:space="preserve">Visent à influer sur les déterminants sous-jacents et structurels de la nutrition comme la sécurité alimentaire; la disponibilité de ressources; l'accès aux services sociaux de base (dont la santé, l’eau et l’école), les pratiques de soins et d’éducation adéquates, et un environnement salubre. Ces interventions sensibles à la  nutrition (comme la micro irrigation familiale, les transferts sociaux, l’autonomisation des femmes, le planning familial, la scolarisation de la jeune fille, etc.) peuvent  amplifier et accroitre  l’efficacité et l’impact des  interventions </w:t>
            </w:r>
            <w:r w:rsidR="00F93D68" w:rsidRPr="009B11E1">
              <w:rPr>
                <w:rFonts w:ascii="Nyala" w:hAnsi="Nyala"/>
                <w:sz w:val="18"/>
                <w:szCs w:val="18"/>
              </w:rPr>
              <w:t>spécifiques (</w:t>
            </w:r>
            <w:r w:rsidRPr="009B11E1">
              <w:rPr>
                <w:rFonts w:ascii="Nyala" w:hAnsi="Nyala"/>
                <w:sz w:val="18"/>
                <w:szCs w:val="18"/>
              </w:rPr>
              <w:t>PNSN, 2016)</w:t>
            </w:r>
          </w:p>
        </w:tc>
      </w:tr>
      <w:tr w:rsidR="004F5315" w:rsidRPr="006866D3" w:rsidTr="009B11E1">
        <w:tc>
          <w:tcPr>
            <w:tcW w:w="279" w:type="dxa"/>
            <w:shd w:val="clear" w:color="auto" w:fill="FFFFFF" w:themeFill="background1"/>
          </w:tcPr>
          <w:p w:rsidR="004F5315" w:rsidRPr="009B11E1" w:rsidRDefault="004F5315" w:rsidP="00F74B2A">
            <w:pPr>
              <w:rPr>
                <w:rFonts w:ascii="Nyala" w:hAnsi="Nyala" w:cstheme="minorHAnsi"/>
                <w:b/>
                <w:sz w:val="18"/>
                <w:szCs w:val="18"/>
              </w:rPr>
            </w:pPr>
          </w:p>
        </w:tc>
        <w:tc>
          <w:tcPr>
            <w:tcW w:w="1417" w:type="dxa"/>
            <w:shd w:val="clear" w:color="auto" w:fill="FFFFFF" w:themeFill="background1"/>
          </w:tcPr>
          <w:p w:rsidR="004F5315" w:rsidRPr="009B11E1" w:rsidRDefault="004F5315" w:rsidP="00F74B2A">
            <w:pPr>
              <w:rPr>
                <w:rFonts w:ascii="Nyala" w:hAnsi="Nyala" w:cstheme="minorHAnsi"/>
                <w:b/>
                <w:sz w:val="18"/>
                <w:szCs w:val="18"/>
              </w:rPr>
            </w:pPr>
            <w:r w:rsidRPr="009B11E1">
              <w:rPr>
                <w:rFonts w:ascii="Nyala" w:hAnsi="Nyala"/>
                <w:b/>
                <w:sz w:val="18"/>
                <w:szCs w:val="18"/>
              </w:rPr>
              <w:t>Interventions spécifiques à la nutrition</w:t>
            </w:r>
          </w:p>
        </w:tc>
        <w:tc>
          <w:tcPr>
            <w:tcW w:w="7655" w:type="dxa"/>
            <w:shd w:val="clear" w:color="auto" w:fill="FFFFFF" w:themeFill="background1"/>
          </w:tcPr>
          <w:p w:rsidR="004F5315" w:rsidRPr="009B11E1" w:rsidRDefault="004F5315" w:rsidP="00F74B2A">
            <w:pPr>
              <w:jc w:val="both"/>
              <w:rPr>
                <w:rFonts w:ascii="Nyala" w:hAnsi="Nyala" w:cstheme="minorHAnsi"/>
                <w:sz w:val="18"/>
                <w:szCs w:val="18"/>
              </w:rPr>
            </w:pPr>
            <w:r w:rsidRPr="009B11E1">
              <w:rPr>
                <w:rFonts w:ascii="Nyala" w:hAnsi="Nyala"/>
                <w:sz w:val="18"/>
                <w:szCs w:val="18"/>
              </w:rPr>
              <w:t>Visent à influer sur les déterminants immédiats de la nutrition et le développement fœtal et infantile, notamment par un apport nutritionnel adéquat, et le contrôle des maladies infectieuses. Exemples : apport de micro nutriments à la mère et à l’enfant, promotion d'un allaitement optimal, traitement de la malnutrition aiguë sévère, prévention et prise en charge des maladies, et nutrition en situation d'urgence. (PNSN, 2016)</w:t>
            </w:r>
          </w:p>
        </w:tc>
      </w:tr>
      <w:tr w:rsidR="004F5315" w:rsidRPr="006866D3" w:rsidTr="009B11E1">
        <w:tc>
          <w:tcPr>
            <w:tcW w:w="279" w:type="dxa"/>
            <w:shd w:val="clear" w:color="auto" w:fill="FFFFFF" w:themeFill="background1"/>
          </w:tcPr>
          <w:p w:rsidR="004F5315" w:rsidRPr="009B11E1" w:rsidRDefault="004F5315" w:rsidP="00F74B2A">
            <w:pPr>
              <w:rPr>
                <w:rFonts w:ascii="Nyala" w:hAnsi="Nyala" w:cstheme="minorHAnsi"/>
                <w:b/>
                <w:sz w:val="18"/>
                <w:szCs w:val="18"/>
              </w:rPr>
            </w:pPr>
          </w:p>
        </w:tc>
        <w:tc>
          <w:tcPr>
            <w:tcW w:w="1417" w:type="dxa"/>
            <w:shd w:val="clear" w:color="auto" w:fill="FFFFFF" w:themeFill="background1"/>
          </w:tcPr>
          <w:p w:rsidR="004F5315" w:rsidRPr="009B11E1" w:rsidRDefault="004F5315" w:rsidP="00F74B2A">
            <w:pPr>
              <w:rPr>
                <w:rFonts w:ascii="Nyala" w:hAnsi="Nyala" w:cs="Arial"/>
                <w:b/>
                <w:bCs/>
                <w:sz w:val="18"/>
                <w:szCs w:val="18"/>
                <w:shd w:val="clear" w:color="auto" w:fill="FFFFFF"/>
              </w:rPr>
            </w:pPr>
            <w:r w:rsidRPr="009B11E1">
              <w:rPr>
                <w:rFonts w:ascii="Nyala" w:hAnsi="Nyala" w:cstheme="minorHAnsi"/>
                <w:b/>
                <w:sz w:val="18"/>
                <w:szCs w:val="18"/>
              </w:rPr>
              <w:t>Malnutrition</w:t>
            </w:r>
          </w:p>
        </w:tc>
        <w:tc>
          <w:tcPr>
            <w:tcW w:w="7655" w:type="dxa"/>
            <w:shd w:val="clear" w:color="auto" w:fill="FFFFFF" w:themeFill="background1"/>
          </w:tcPr>
          <w:p w:rsidR="004F5315" w:rsidRPr="009B11E1" w:rsidRDefault="004F5315" w:rsidP="00F74B2A">
            <w:pPr>
              <w:jc w:val="both"/>
              <w:rPr>
                <w:rFonts w:ascii="Nyala" w:hAnsi="Nyala" w:cs="Arial"/>
                <w:b/>
                <w:sz w:val="18"/>
                <w:szCs w:val="18"/>
                <w:shd w:val="clear" w:color="auto" w:fill="FFFFFF"/>
              </w:rPr>
            </w:pPr>
            <w:r w:rsidRPr="009B11E1">
              <w:rPr>
                <w:rFonts w:ascii="Nyala" w:hAnsi="Nyala" w:cs="Arial"/>
                <w:b/>
                <w:sz w:val="18"/>
                <w:szCs w:val="18"/>
                <w:shd w:val="clear" w:color="auto" w:fill="FFFFFF"/>
              </w:rPr>
              <w:t>Englobe</w:t>
            </w:r>
          </w:p>
          <w:p w:rsidR="004F5315" w:rsidRPr="009B11E1" w:rsidRDefault="004F5315" w:rsidP="00F74B2A">
            <w:pPr>
              <w:jc w:val="both"/>
              <w:rPr>
                <w:rFonts w:ascii="Nyala" w:hAnsi="Nyala" w:cs="Arial"/>
                <w:sz w:val="18"/>
                <w:szCs w:val="18"/>
                <w:shd w:val="clear" w:color="auto" w:fill="FFFFFF"/>
              </w:rPr>
            </w:pPr>
            <w:r w:rsidRPr="009B11E1">
              <w:rPr>
                <w:rFonts w:ascii="Nyala" w:hAnsi="Nyala" w:cs="Arial"/>
                <w:b/>
                <w:sz w:val="18"/>
                <w:szCs w:val="18"/>
                <w:shd w:val="clear" w:color="auto" w:fill="FFFFFF"/>
              </w:rPr>
              <w:t xml:space="preserve"> -  la dénutrition</w:t>
            </w:r>
            <w:r w:rsidRPr="009B11E1">
              <w:rPr>
                <w:rFonts w:ascii="Nyala" w:hAnsi="Nyala" w:cs="Arial"/>
                <w:sz w:val="18"/>
                <w:szCs w:val="18"/>
                <w:shd w:val="clear" w:color="auto" w:fill="FFFFFF"/>
              </w:rPr>
              <w:t>, état pathologique résultant d'apports nutritionnels insuffisants en regard des dépenses énergétiques de l'organisme ;</w:t>
            </w:r>
          </w:p>
          <w:p w:rsidR="004F5315" w:rsidRPr="009B11E1" w:rsidRDefault="004F5315" w:rsidP="00F74B2A">
            <w:pPr>
              <w:jc w:val="both"/>
              <w:rPr>
                <w:rFonts w:ascii="Nyala" w:hAnsi="Nyala" w:cs="Arial"/>
                <w:sz w:val="18"/>
                <w:szCs w:val="18"/>
                <w:shd w:val="clear" w:color="auto" w:fill="FFFFFF"/>
              </w:rPr>
            </w:pPr>
            <w:r w:rsidRPr="009B11E1">
              <w:rPr>
                <w:rFonts w:ascii="Nyala" w:hAnsi="Nyala" w:cs="Arial"/>
                <w:sz w:val="18"/>
                <w:szCs w:val="18"/>
                <w:shd w:val="clear" w:color="auto" w:fill="FFFFFF"/>
              </w:rPr>
              <w:t xml:space="preserve">- la  </w:t>
            </w:r>
            <w:r w:rsidRPr="009B11E1">
              <w:rPr>
                <w:rFonts w:ascii="Nyala" w:hAnsi="Nyala" w:cs="Arial"/>
                <w:b/>
                <w:sz w:val="18"/>
                <w:szCs w:val="18"/>
                <w:shd w:val="clear" w:color="auto" w:fill="FFFFFF"/>
              </w:rPr>
              <w:t>sous nutrition</w:t>
            </w:r>
            <w:r w:rsidRPr="009B11E1">
              <w:rPr>
                <w:rFonts w:ascii="Nyala" w:hAnsi="Nyala" w:cs="Arial"/>
                <w:sz w:val="18"/>
                <w:szCs w:val="18"/>
                <w:shd w:val="clear" w:color="auto" w:fill="FFFFFF"/>
              </w:rPr>
              <w:t xml:space="preserve"> lorsque les apports sont insuffisants </w:t>
            </w:r>
          </w:p>
          <w:p w:rsidR="004F5315" w:rsidRPr="009B11E1" w:rsidRDefault="004F5315" w:rsidP="00F74B2A">
            <w:pPr>
              <w:jc w:val="both"/>
              <w:rPr>
                <w:rFonts w:ascii="Nyala" w:hAnsi="Nyala" w:cs="Arial"/>
                <w:sz w:val="18"/>
                <w:szCs w:val="18"/>
                <w:shd w:val="clear" w:color="auto" w:fill="FFFFFF"/>
              </w:rPr>
            </w:pPr>
            <w:r w:rsidRPr="009B11E1">
              <w:rPr>
                <w:rFonts w:ascii="Nyala" w:hAnsi="Nyala" w:cs="Arial"/>
                <w:sz w:val="18"/>
                <w:szCs w:val="18"/>
                <w:shd w:val="clear" w:color="auto" w:fill="FFFFFF"/>
              </w:rPr>
              <w:t xml:space="preserve"> - la </w:t>
            </w:r>
            <w:r w:rsidRPr="009B11E1">
              <w:rPr>
                <w:rFonts w:ascii="Nyala" w:hAnsi="Nyala" w:cs="Arial"/>
                <w:b/>
                <w:sz w:val="18"/>
                <w:szCs w:val="18"/>
                <w:shd w:val="clear" w:color="auto" w:fill="FFFFFF"/>
              </w:rPr>
              <w:t>malnutrition</w:t>
            </w:r>
            <w:r w:rsidRPr="009B11E1">
              <w:rPr>
                <w:rFonts w:ascii="Nyala" w:hAnsi="Nyala" w:cs="Arial"/>
                <w:sz w:val="18"/>
                <w:szCs w:val="18"/>
                <w:shd w:val="clear" w:color="auto" w:fill="FFFFFF"/>
              </w:rPr>
              <w:t xml:space="preserve">. lorsque les apports sont inadaptés en plus d'être insuffisants, </w:t>
            </w:r>
          </w:p>
          <w:p w:rsidR="004F5315" w:rsidRPr="009B11E1" w:rsidRDefault="004F5315" w:rsidP="00F74B2A">
            <w:pPr>
              <w:jc w:val="both"/>
              <w:rPr>
                <w:rFonts w:ascii="Nyala" w:hAnsi="Nyala" w:cs="Arial"/>
                <w:sz w:val="18"/>
                <w:szCs w:val="18"/>
                <w:shd w:val="clear" w:color="auto" w:fill="FFFFFF"/>
              </w:rPr>
            </w:pPr>
            <w:r w:rsidRPr="009B11E1">
              <w:rPr>
                <w:rFonts w:ascii="Nyala" w:hAnsi="Nyala" w:cs="Arial"/>
                <w:b/>
                <w:sz w:val="18"/>
                <w:szCs w:val="18"/>
                <w:shd w:val="clear" w:color="auto" w:fill="FFFFFF"/>
              </w:rPr>
              <w:t xml:space="preserve">Différentes formes de malnutrition = </w:t>
            </w:r>
            <w:r w:rsidRPr="009B11E1">
              <w:rPr>
                <w:rFonts w:ascii="Nyala" w:hAnsi="Nyala" w:cs="Arial"/>
                <w:b/>
                <w:bCs/>
                <w:sz w:val="18"/>
                <w:szCs w:val="18"/>
                <w:shd w:val="clear" w:color="auto" w:fill="FFFFFF"/>
              </w:rPr>
              <w:t xml:space="preserve">Sous nutrition </w:t>
            </w:r>
            <w:r w:rsidRPr="009B11E1">
              <w:rPr>
                <w:rFonts w:ascii="Nyala" w:hAnsi="Nyala" w:cs="Arial"/>
                <w:sz w:val="18"/>
                <w:szCs w:val="18"/>
                <w:shd w:val="clear" w:color="auto" w:fill="FFFFFF"/>
              </w:rPr>
              <w:t>(malnutrition aigüe, malnutrition chronique, insuffisance pondérale)</w:t>
            </w:r>
            <w:r w:rsidR="009B11E1">
              <w:rPr>
                <w:rFonts w:ascii="Nyala" w:hAnsi="Nyala" w:cs="Arial"/>
                <w:sz w:val="18"/>
                <w:szCs w:val="18"/>
                <w:shd w:val="clear" w:color="auto" w:fill="FFFFFF"/>
              </w:rPr>
              <w:t xml:space="preserve"> ; </w:t>
            </w:r>
            <w:r w:rsidRPr="009B11E1">
              <w:rPr>
                <w:rFonts w:ascii="Nyala" w:hAnsi="Nyala" w:cs="Arial"/>
                <w:b/>
                <w:bCs/>
                <w:sz w:val="18"/>
                <w:szCs w:val="18"/>
                <w:shd w:val="clear" w:color="auto" w:fill="FFFFFF"/>
              </w:rPr>
              <w:t xml:space="preserve">Surnutrition </w:t>
            </w:r>
            <w:r w:rsidRPr="009B11E1">
              <w:rPr>
                <w:rFonts w:ascii="Nyala" w:hAnsi="Nyala" w:cs="Arial"/>
                <w:sz w:val="18"/>
                <w:szCs w:val="18"/>
                <w:shd w:val="clear" w:color="auto" w:fill="FFFFFF"/>
              </w:rPr>
              <w:t>(surpoids, obésité, maladies non transmissibles)</w:t>
            </w:r>
          </w:p>
          <w:p w:rsidR="004F5315" w:rsidRPr="009B11E1" w:rsidRDefault="004F5315" w:rsidP="00F74B2A">
            <w:pPr>
              <w:jc w:val="both"/>
              <w:rPr>
                <w:rFonts w:ascii="Nyala" w:hAnsi="Nyala" w:cs="Arial"/>
                <w:sz w:val="18"/>
                <w:szCs w:val="18"/>
                <w:shd w:val="clear" w:color="auto" w:fill="FFFFFF"/>
              </w:rPr>
            </w:pPr>
            <w:r w:rsidRPr="009B11E1">
              <w:rPr>
                <w:rFonts w:ascii="Nyala" w:hAnsi="Nyala" w:cs="Arial"/>
                <w:b/>
                <w:bCs/>
                <w:sz w:val="18"/>
                <w:szCs w:val="18"/>
                <w:shd w:val="clear" w:color="auto" w:fill="FFFFFF"/>
              </w:rPr>
              <w:t xml:space="preserve">Carences en micronutriments </w:t>
            </w:r>
            <w:r w:rsidRPr="009B11E1">
              <w:rPr>
                <w:rFonts w:ascii="Nyala" w:hAnsi="Nyala" w:cs="Arial"/>
                <w:sz w:val="18"/>
                <w:szCs w:val="18"/>
                <w:shd w:val="clear" w:color="auto" w:fill="FFFFFF"/>
              </w:rPr>
              <w:t>(anémie, avitaminoses, carences en minéraux)</w:t>
            </w:r>
          </w:p>
        </w:tc>
      </w:tr>
      <w:tr w:rsidR="004F5315" w:rsidRPr="006866D3" w:rsidTr="009B11E1">
        <w:tc>
          <w:tcPr>
            <w:tcW w:w="279" w:type="dxa"/>
            <w:shd w:val="clear" w:color="auto" w:fill="FFFFFF" w:themeFill="background1"/>
          </w:tcPr>
          <w:p w:rsidR="004F5315" w:rsidRPr="009B11E1" w:rsidRDefault="004F5315" w:rsidP="00F74B2A">
            <w:pPr>
              <w:rPr>
                <w:rFonts w:ascii="Nyala" w:hAnsi="Nyala" w:cstheme="minorHAnsi"/>
                <w:b/>
                <w:sz w:val="18"/>
                <w:szCs w:val="18"/>
              </w:rPr>
            </w:pPr>
          </w:p>
        </w:tc>
        <w:tc>
          <w:tcPr>
            <w:tcW w:w="1417" w:type="dxa"/>
            <w:shd w:val="clear" w:color="auto" w:fill="FFFFFF" w:themeFill="background1"/>
          </w:tcPr>
          <w:p w:rsidR="004F5315" w:rsidRPr="009B11E1" w:rsidRDefault="004F5315" w:rsidP="00F74B2A">
            <w:pPr>
              <w:rPr>
                <w:rFonts w:ascii="Nyala" w:hAnsi="Nyala" w:cstheme="minorHAnsi"/>
                <w:b/>
                <w:sz w:val="18"/>
                <w:szCs w:val="18"/>
              </w:rPr>
            </w:pPr>
            <w:r w:rsidRPr="009B11E1">
              <w:rPr>
                <w:rFonts w:ascii="Nyala" w:hAnsi="Nyala" w:cstheme="minorHAnsi"/>
                <w:b/>
                <w:sz w:val="18"/>
                <w:szCs w:val="18"/>
              </w:rPr>
              <w:t xml:space="preserve">Malnutrition Aigüe, </w:t>
            </w:r>
            <w:r w:rsidRPr="009B11E1">
              <w:rPr>
                <w:rFonts w:ascii="Nyala" w:hAnsi="Nyala" w:cstheme="minorHAnsi"/>
                <w:i/>
                <w:sz w:val="18"/>
                <w:szCs w:val="18"/>
              </w:rPr>
              <w:t xml:space="preserve">(Global,  modérée ; sévères) </w:t>
            </w:r>
          </w:p>
        </w:tc>
        <w:tc>
          <w:tcPr>
            <w:tcW w:w="7655" w:type="dxa"/>
            <w:shd w:val="clear" w:color="auto" w:fill="FFFFFF" w:themeFill="background1"/>
          </w:tcPr>
          <w:p w:rsidR="004F5315" w:rsidRPr="009B11E1" w:rsidRDefault="004F5315" w:rsidP="00F74B2A">
            <w:pPr>
              <w:jc w:val="both"/>
              <w:rPr>
                <w:rFonts w:ascii="Nyala" w:hAnsi="Nyala" w:cstheme="minorHAnsi"/>
                <w:b/>
                <w:sz w:val="18"/>
                <w:szCs w:val="18"/>
              </w:rPr>
            </w:pPr>
            <w:r w:rsidRPr="009B11E1">
              <w:rPr>
                <w:rFonts w:ascii="Nyala" w:hAnsi="Nyala" w:cstheme="minorHAnsi"/>
                <w:b/>
                <w:sz w:val="18"/>
                <w:szCs w:val="18"/>
              </w:rPr>
              <w:t>Traduit un état d’émaciation qui est évalué par l’indice  le Poids rapporté à l’Age.</w:t>
            </w:r>
          </w:p>
          <w:p w:rsidR="004F5315" w:rsidRPr="009B11E1" w:rsidRDefault="004F5315" w:rsidP="00F74B2A">
            <w:pPr>
              <w:jc w:val="both"/>
              <w:rPr>
                <w:rFonts w:ascii="Nyala" w:hAnsi="Nyala" w:cstheme="minorHAnsi"/>
                <w:b/>
                <w:sz w:val="18"/>
                <w:szCs w:val="18"/>
              </w:rPr>
            </w:pPr>
            <w:r w:rsidRPr="009B11E1">
              <w:rPr>
                <w:rFonts w:ascii="Nyala" w:hAnsi="Nyala" w:cstheme="minorHAnsi"/>
                <w:b/>
                <w:sz w:val="18"/>
                <w:szCs w:val="18"/>
              </w:rPr>
              <w:t xml:space="preserve">Si Indice  poids/taille inferieur </w:t>
            </w:r>
            <w:r w:rsidRPr="009B11E1">
              <w:rPr>
                <w:rFonts w:ascii="Nyala" w:hAnsi="Nyala" w:cstheme="minorHAnsi"/>
                <w:sz w:val="18"/>
                <w:szCs w:val="18"/>
              </w:rPr>
              <w:t xml:space="preserve"> à (&lt;) -3 Z scores des Nouvelles Courbes de Croissance de l’OMS et ou présence des œdèmes nutritionnels +++ On parle de Malnutrition Aigüe Sévère (MAS).</w:t>
            </w:r>
          </w:p>
          <w:p w:rsidR="004F5315" w:rsidRPr="009B11E1" w:rsidRDefault="004F5315" w:rsidP="00F74B2A">
            <w:pPr>
              <w:jc w:val="both"/>
              <w:rPr>
                <w:rFonts w:ascii="Nyala" w:hAnsi="Nyala" w:cstheme="minorHAnsi"/>
                <w:sz w:val="18"/>
                <w:szCs w:val="18"/>
              </w:rPr>
            </w:pPr>
            <w:r w:rsidRPr="009B11E1">
              <w:rPr>
                <w:rFonts w:ascii="Nyala" w:hAnsi="Nyala" w:cstheme="minorHAnsi"/>
                <w:b/>
                <w:sz w:val="18"/>
                <w:szCs w:val="18"/>
              </w:rPr>
              <w:t>Si Indice  poids/taille est Supérieur ou égal (</w:t>
            </w:r>
            <w:r w:rsidRPr="009B11E1">
              <w:rPr>
                <w:rFonts w:ascii="Times New Roman" w:hAnsi="Times New Roman" w:cs="Times New Roman"/>
                <w:b/>
                <w:sz w:val="18"/>
                <w:szCs w:val="18"/>
              </w:rPr>
              <w:t>≥</w:t>
            </w:r>
            <w:r w:rsidRPr="009B11E1">
              <w:rPr>
                <w:rFonts w:ascii="Nyala" w:hAnsi="Nyala" w:cstheme="minorHAnsi"/>
                <w:b/>
                <w:sz w:val="18"/>
                <w:szCs w:val="18"/>
              </w:rPr>
              <w:t>) à</w:t>
            </w:r>
            <w:r w:rsidRPr="009B11E1">
              <w:rPr>
                <w:rFonts w:ascii="Nyala" w:hAnsi="Nyala" w:cstheme="minorHAnsi"/>
                <w:sz w:val="18"/>
                <w:szCs w:val="18"/>
              </w:rPr>
              <w:t xml:space="preserve"> – 3 z score et inférieur </w:t>
            </w:r>
            <w:r w:rsidRPr="009B11E1">
              <w:rPr>
                <w:rFonts w:ascii="Nyala" w:hAnsi="Nyala" w:cstheme="minorHAnsi"/>
                <w:b/>
                <w:sz w:val="18"/>
                <w:szCs w:val="18"/>
              </w:rPr>
              <w:t>(&gt;)</w:t>
            </w:r>
            <w:r w:rsidRPr="009B11E1">
              <w:rPr>
                <w:rFonts w:ascii="Nyala" w:hAnsi="Nyala" w:cstheme="minorHAnsi"/>
                <w:sz w:val="18"/>
                <w:szCs w:val="18"/>
              </w:rPr>
              <w:t xml:space="preserve"> à -2 z score des Nouvelles Courbes de Croissance de l’OMS on parle de Malnutrition Aigüe Modéré (MAM).</w:t>
            </w:r>
          </w:p>
          <w:p w:rsidR="004F5315" w:rsidRPr="009B11E1" w:rsidRDefault="004F5315" w:rsidP="009B11E1">
            <w:pPr>
              <w:jc w:val="both"/>
              <w:rPr>
                <w:rFonts w:ascii="Nyala" w:hAnsi="Nyala" w:cs="Arial"/>
                <w:b/>
                <w:sz w:val="18"/>
                <w:szCs w:val="18"/>
                <w:shd w:val="clear" w:color="auto" w:fill="FFFFFF"/>
              </w:rPr>
            </w:pPr>
            <w:r w:rsidRPr="009B11E1">
              <w:rPr>
                <w:rFonts w:ascii="Nyala" w:hAnsi="Nyala" w:cstheme="minorHAnsi"/>
                <w:sz w:val="18"/>
                <w:szCs w:val="18"/>
              </w:rPr>
              <w:t xml:space="preserve">La Malnutrition Aigüe Globale </w:t>
            </w:r>
            <w:r w:rsidRPr="009B11E1">
              <w:rPr>
                <w:rFonts w:ascii="Nyala" w:hAnsi="Nyala" w:cstheme="minorHAnsi"/>
                <w:b/>
                <w:sz w:val="18"/>
                <w:szCs w:val="18"/>
              </w:rPr>
              <w:t>(MAG)</w:t>
            </w:r>
            <w:r w:rsidRPr="009B11E1">
              <w:rPr>
                <w:rFonts w:ascii="Nyala" w:hAnsi="Nyala" w:cstheme="minorHAnsi"/>
                <w:sz w:val="18"/>
                <w:szCs w:val="18"/>
              </w:rPr>
              <w:t xml:space="preserve"> est la somme des MAS et des MAM(</w:t>
            </w:r>
            <w:r w:rsidRPr="009B11E1">
              <w:rPr>
                <w:rFonts w:ascii="Nyala" w:hAnsi="Nyala" w:cstheme="minorHAnsi"/>
                <w:b/>
                <w:sz w:val="18"/>
                <w:szCs w:val="18"/>
              </w:rPr>
              <w:t>MAG=MAS+MAM)</w:t>
            </w:r>
          </w:p>
        </w:tc>
      </w:tr>
      <w:tr w:rsidR="004F5315" w:rsidRPr="006866D3" w:rsidTr="009B11E1">
        <w:tc>
          <w:tcPr>
            <w:tcW w:w="279" w:type="dxa"/>
            <w:shd w:val="clear" w:color="auto" w:fill="FFFFFF" w:themeFill="background1"/>
          </w:tcPr>
          <w:p w:rsidR="004F5315" w:rsidRPr="009B11E1" w:rsidRDefault="004F5315" w:rsidP="00F74B2A">
            <w:pPr>
              <w:rPr>
                <w:rFonts w:ascii="Nyala" w:hAnsi="Nyala" w:cstheme="minorHAnsi"/>
                <w:b/>
                <w:sz w:val="18"/>
                <w:szCs w:val="18"/>
              </w:rPr>
            </w:pPr>
          </w:p>
        </w:tc>
        <w:tc>
          <w:tcPr>
            <w:tcW w:w="1417" w:type="dxa"/>
            <w:shd w:val="clear" w:color="auto" w:fill="FFFFFF" w:themeFill="background1"/>
          </w:tcPr>
          <w:p w:rsidR="004F5315" w:rsidRPr="009B11E1" w:rsidRDefault="004F5315" w:rsidP="00F74B2A">
            <w:pPr>
              <w:rPr>
                <w:rFonts w:ascii="Nyala" w:hAnsi="Nyala" w:cstheme="minorHAnsi"/>
                <w:b/>
                <w:sz w:val="18"/>
                <w:szCs w:val="18"/>
              </w:rPr>
            </w:pPr>
            <w:r w:rsidRPr="009B11E1">
              <w:rPr>
                <w:rFonts w:ascii="Nyala" w:hAnsi="Nyala" w:cs="Arial"/>
                <w:b/>
                <w:bCs/>
                <w:sz w:val="18"/>
                <w:szCs w:val="18"/>
                <w:shd w:val="clear" w:color="auto" w:fill="FFFFFF"/>
              </w:rPr>
              <w:t>Prevalence</w:t>
            </w:r>
          </w:p>
        </w:tc>
        <w:tc>
          <w:tcPr>
            <w:tcW w:w="7655" w:type="dxa"/>
            <w:shd w:val="clear" w:color="auto" w:fill="FFFFFF" w:themeFill="background1"/>
          </w:tcPr>
          <w:p w:rsidR="004F5315" w:rsidRPr="009B11E1" w:rsidRDefault="004F5315" w:rsidP="00F74B2A">
            <w:pPr>
              <w:jc w:val="both"/>
              <w:rPr>
                <w:rFonts w:ascii="Nyala" w:hAnsi="Nyala" w:cstheme="minorHAnsi"/>
                <w:sz w:val="18"/>
                <w:szCs w:val="18"/>
              </w:rPr>
            </w:pPr>
            <w:r w:rsidRPr="009B11E1">
              <w:rPr>
                <w:rFonts w:ascii="Nyala" w:hAnsi="Nyala" w:cs="Arial"/>
                <w:sz w:val="18"/>
                <w:szCs w:val="18"/>
                <w:shd w:val="clear" w:color="auto" w:fill="FFFFFF"/>
              </w:rPr>
              <w:t>Outil de mesure statistique qui renseigne sur le nombre de personnes affectées (par un  évènement) au sein d'une population à un moment donné.</w:t>
            </w:r>
          </w:p>
        </w:tc>
      </w:tr>
      <w:tr w:rsidR="004F5315" w:rsidRPr="006866D3" w:rsidTr="009B11E1">
        <w:tc>
          <w:tcPr>
            <w:tcW w:w="279" w:type="dxa"/>
            <w:shd w:val="clear" w:color="auto" w:fill="FFFFFF" w:themeFill="background1"/>
          </w:tcPr>
          <w:p w:rsidR="004F5315" w:rsidRPr="009B11E1" w:rsidRDefault="004F5315" w:rsidP="00F74B2A">
            <w:pPr>
              <w:rPr>
                <w:rFonts w:ascii="Nyala" w:hAnsi="Nyala" w:cstheme="minorHAnsi"/>
                <w:b/>
                <w:sz w:val="18"/>
                <w:szCs w:val="18"/>
              </w:rPr>
            </w:pPr>
          </w:p>
        </w:tc>
        <w:tc>
          <w:tcPr>
            <w:tcW w:w="1417" w:type="dxa"/>
            <w:shd w:val="clear" w:color="auto" w:fill="FFFFFF" w:themeFill="background1"/>
          </w:tcPr>
          <w:p w:rsidR="004F5315" w:rsidRPr="009B11E1" w:rsidRDefault="004F5315" w:rsidP="00F74B2A">
            <w:pPr>
              <w:rPr>
                <w:rFonts w:ascii="Nyala" w:hAnsi="Nyala" w:cstheme="minorHAnsi"/>
                <w:b/>
                <w:sz w:val="18"/>
                <w:szCs w:val="18"/>
              </w:rPr>
            </w:pPr>
            <w:r w:rsidRPr="009B11E1">
              <w:rPr>
                <w:rFonts w:ascii="Nyala" w:hAnsi="Nyala" w:cstheme="minorHAnsi"/>
                <w:b/>
                <w:sz w:val="18"/>
                <w:szCs w:val="18"/>
              </w:rPr>
              <w:t>Protection sociale</w:t>
            </w:r>
          </w:p>
        </w:tc>
        <w:tc>
          <w:tcPr>
            <w:tcW w:w="7655" w:type="dxa"/>
            <w:shd w:val="clear" w:color="auto" w:fill="FFFFFF" w:themeFill="background1"/>
          </w:tcPr>
          <w:p w:rsidR="004F5315" w:rsidRPr="009B11E1" w:rsidRDefault="004F5315" w:rsidP="00F74B2A">
            <w:pPr>
              <w:jc w:val="both"/>
              <w:rPr>
                <w:rFonts w:ascii="Nyala" w:hAnsi="Nyala"/>
                <w:sz w:val="18"/>
                <w:szCs w:val="18"/>
              </w:rPr>
            </w:pPr>
            <w:r w:rsidRPr="009B11E1">
              <w:rPr>
                <w:rFonts w:ascii="Nyala" w:hAnsi="Nyala" w:cstheme="minorHAnsi"/>
                <w:sz w:val="18"/>
                <w:szCs w:val="18"/>
              </w:rPr>
              <w:t xml:space="preserve">Englobe à la fois les </w:t>
            </w:r>
            <w:r w:rsidRPr="009B11E1">
              <w:rPr>
                <w:rFonts w:ascii="Nyala" w:hAnsi="Nyala" w:cstheme="minorHAnsi"/>
                <w:b/>
                <w:sz w:val="18"/>
                <w:szCs w:val="18"/>
              </w:rPr>
              <w:t xml:space="preserve">régimes contributifs </w:t>
            </w:r>
            <w:r w:rsidRPr="009B11E1">
              <w:rPr>
                <w:rFonts w:ascii="Nyala" w:hAnsi="Nyala" w:cstheme="minorHAnsi"/>
                <w:sz w:val="18"/>
                <w:szCs w:val="18"/>
              </w:rPr>
              <w:t xml:space="preserve">(régimes auxquels les bénéficiaires contribuent en partie, tels que les systèmes de sécurité sociale liés à l’emploi; les systèmes d’assurance sociale et/ou mutuelles de santé); et les </w:t>
            </w:r>
            <w:r w:rsidRPr="009B11E1">
              <w:rPr>
                <w:rFonts w:ascii="Nyala" w:hAnsi="Nyala" w:cstheme="minorHAnsi"/>
                <w:b/>
                <w:sz w:val="18"/>
                <w:szCs w:val="18"/>
              </w:rPr>
              <w:t xml:space="preserve">régimes non contributifs </w:t>
            </w:r>
            <w:r w:rsidRPr="009B11E1">
              <w:rPr>
                <w:rFonts w:ascii="Nyala" w:hAnsi="Nyala" w:cstheme="minorHAnsi"/>
                <w:sz w:val="18"/>
                <w:szCs w:val="18"/>
              </w:rPr>
              <w:t>(à travers lesquels les transferts sociaux, en espèces ou en nature, sont octroyés aux bénéficiaires sans contrepartie de leur part).</w:t>
            </w:r>
          </w:p>
          <w:p w:rsidR="004F5315" w:rsidRPr="009B11E1" w:rsidRDefault="004F5315" w:rsidP="00F74B2A">
            <w:pPr>
              <w:jc w:val="both"/>
              <w:rPr>
                <w:rFonts w:ascii="Nyala" w:hAnsi="Nyala" w:cstheme="minorHAnsi"/>
                <w:b/>
                <w:sz w:val="18"/>
                <w:szCs w:val="18"/>
              </w:rPr>
            </w:pPr>
            <w:r w:rsidRPr="009B11E1">
              <w:rPr>
                <w:rFonts w:ascii="Nyala" w:hAnsi="Nyala" w:cstheme="minorHAnsi"/>
                <w:sz w:val="18"/>
                <w:szCs w:val="18"/>
              </w:rPr>
              <w:t>Au plan opérationnel, la protection sociale comprend </w:t>
            </w:r>
            <w:r w:rsidR="009B11E1" w:rsidRPr="009B11E1">
              <w:rPr>
                <w:rFonts w:ascii="Nyala" w:hAnsi="Nyala" w:cstheme="minorHAnsi"/>
                <w:sz w:val="18"/>
                <w:szCs w:val="18"/>
              </w:rPr>
              <w:t>:</w:t>
            </w:r>
            <w:r w:rsidR="009B11E1" w:rsidRPr="009B11E1">
              <w:rPr>
                <w:rFonts w:ascii="Nyala" w:hAnsi="Nyala"/>
                <w:b/>
                <w:sz w:val="18"/>
                <w:szCs w:val="18"/>
              </w:rPr>
              <w:t xml:space="preserve"> l’assistance</w:t>
            </w:r>
            <w:r w:rsidRPr="009B11E1">
              <w:rPr>
                <w:rFonts w:ascii="Nyala" w:hAnsi="Nyala" w:cstheme="minorHAnsi"/>
                <w:b/>
                <w:sz w:val="18"/>
                <w:szCs w:val="18"/>
              </w:rPr>
              <w:t xml:space="preserve"> sociale</w:t>
            </w:r>
            <w:r w:rsidRPr="009B11E1">
              <w:rPr>
                <w:rFonts w:ascii="Nyala" w:hAnsi="Nyala" w:cstheme="minorHAnsi"/>
                <w:sz w:val="18"/>
                <w:szCs w:val="18"/>
              </w:rPr>
              <w:t xml:space="preserve"> (aide sociale, les </w:t>
            </w:r>
            <w:r w:rsidRPr="009B11E1">
              <w:rPr>
                <w:rFonts w:ascii="Nyala" w:hAnsi="Nyala" w:cstheme="minorHAnsi"/>
                <w:b/>
                <w:sz w:val="18"/>
                <w:szCs w:val="18"/>
              </w:rPr>
              <w:t>services sociaux, l’assurance sociale)</w:t>
            </w:r>
            <w:r w:rsidRPr="009B11E1">
              <w:rPr>
                <w:rFonts w:ascii="Nyala" w:hAnsi="Nyala" w:cstheme="minorHAnsi"/>
                <w:sz w:val="18"/>
                <w:szCs w:val="18"/>
              </w:rPr>
              <w:t>et des</w:t>
            </w:r>
            <w:r w:rsidRPr="009B11E1">
              <w:rPr>
                <w:rFonts w:ascii="Nyala" w:hAnsi="Nyala" w:cstheme="minorHAnsi"/>
                <w:b/>
                <w:sz w:val="18"/>
                <w:szCs w:val="18"/>
              </w:rPr>
              <w:t xml:space="preserve"> mesures d’équité sociale</w:t>
            </w:r>
          </w:p>
        </w:tc>
      </w:tr>
      <w:tr w:rsidR="004F5315" w:rsidRPr="006866D3" w:rsidTr="009B11E1">
        <w:tc>
          <w:tcPr>
            <w:tcW w:w="279" w:type="dxa"/>
            <w:shd w:val="clear" w:color="auto" w:fill="FFFFFF" w:themeFill="background1"/>
          </w:tcPr>
          <w:p w:rsidR="004F5315" w:rsidRPr="009B11E1" w:rsidRDefault="004F5315" w:rsidP="00F74B2A">
            <w:pPr>
              <w:rPr>
                <w:rFonts w:ascii="Nyala" w:hAnsi="Nyala" w:cstheme="minorHAnsi"/>
                <w:b/>
                <w:sz w:val="18"/>
                <w:szCs w:val="18"/>
              </w:rPr>
            </w:pPr>
          </w:p>
        </w:tc>
        <w:tc>
          <w:tcPr>
            <w:tcW w:w="1417" w:type="dxa"/>
            <w:shd w:val="clear" w:color="auto" w:fill="FFFFFF" w:themeFill="background1"/>
          </w:tcPr>
          <w:p w:rsidR="004F5315" w:rsidRPr="009B11E1" w:rsidRDefault="004F5315" w:rsidP="00F74B2A">
            <w:pPr>
              <w:rPr>
                <w:rFonts w:ascii="Nyala" w:hAnsi="Nyala" w:cs="Arial"/>
                <w:b/>
                <w:bCs/>
                <w:sz w:val="18"/>
                <w:szCs w:val="18"/>
                <w:shd w:val="clear" w:color="auto" w:fill="FFFFFF"/>
              </w:rPr>
            </w:pPr>
            <w:r w:rsidRPr="009B11E1">
              <w:rPr>
                <w:rFonts w:ascii="Nyala" w:hAnsi="Nyala" w:cs="Arial"/>
                <w:b/>
                <w:bCs/>
                <w:sz w:val="18"/>
                <w:szCs w:val="18"/>
                <w:shd w:val="clear" w:color="auto" w:fill="FFFFFF"/>
              </w:rPr>
              <w:t>Resilience :</w:t>
            </w:r>
          </w:p>
        </w:tc>
        <w:tc>
          <w:tcPr>
            <w:tcW w:w="7655" w:type="dxa"/>
            <w:shd w:val="clear" w:color="auto" w:fill="FFFFFF" w:themeFill="background1"/>
          </w:tcPr>
          <w:p w:rsidR="004F5315" w:rsidRPr="009B11E1" w:rsidRDefault="004F5315" w:rsidP="00F74B2A">
            <w:pPr>
              <w:jc w:val="both"/>
              <w:rPr>
                <w:rFonts w:ascii="Nyala" w:hAnsi="Nyala" w:cs="Arial"/>
                <w:sz w:val="18"/>
                <w:szCs w:val="18"/>
                <w:shd w:val="clear" w:color="auto" w:fill="FFFFFF"/>
              </w:rPr>
            </w:pPr>
            <w:r w:rsidRPr="009B11E1">
              <w:rPr>
                <w:rFonts w:ascii="Nyala" w:hAnsi="Nyala" w:cs="Arial"/>
                <w:sz w:val="18"/>
                <w:szCs w:val="18"/>
                <w:shd w:val="clear" w:color="auto" w:fill="FFFFFF"/>
              </w:rPr>
              <w:t>Capacité d’un système à absorber une perturbation, à se réorganiser, et à continuer de fonctionner de la même manière qu’avant la survenance de cette perturbation.</w:t>
            </w:r>
          </w:p>
        </w:tc>
      </w:tr>
      <w:tr w:rsidR="004F5315" w:rsidRPr="006866D3" w:rsidTr="009B11E1">
        <w:tc>
          <w:tcPr>
            <w:tcW w:w="279" w:type="dxa"/>
            <w:shd w:val="clear" w:color="auto" w:fill="FFFFFF" w:themeFill="background1"/>
          </w:tcPr>
          <w:p w:rsidR="004F5315" w:rsidRPr="009B11E1" w:rsidRDefault="004F5315" w:rsidP="00F74B2A">
            <w:pPr>
              <w:rPr>
                <w:rFonts w:ascii="Nyala" w:hAnsi="Nyala" w:cstheme="minorHAnsi"/>
                <w:b/>
                <w:sz w:val="18"/>
                <w:szCs w:val="18"/>
              </w:rPr>
            </w:pPr>
          </w:p>
        </w:tc>
        <w:tc>
          <w:tcPr>
            <w:tcW w:w="1417" w:type="dxa"/>
            <w:shd w:val="clear" w:color="auto" w:fill="FFFFFF" w:themeFill="background1"/>
          </w:tcPr>
          <w:p w:rsidR="004F5315" w:rsidRPr="009B11E1" w:rsidRDefault="004F5315" w:rsidP="00F74B2A">
            <w:pPr>
              <w:rPr>
                <w:rFonts w:ascii="Nyala" w:hAnsi="Nyala" w:cstheme="minorHAnsi"/>
                <w:b/>
                <w:sz w:val="18"/>
                <w:szCs w:val="18"/>
              </w:rPr>
            </w:pPr>
            <w:r w:rsidRPr="009B11E1">
              <w:rPr>
                <w:rFonts w:ascii="Nyala" w:hAnsi="Nyala" w:cs="Arial"/>
                <w:b/>
                <w:bCs/>
                <w:sz w:val="18"/>
                <w:szCs w:val="18"/>
                <w:shd w:val="clear" w:color="auto" w:fill="FFFFFF"/>
              </w:rPr>
              <w:t>Retard de croissance</w:t>
            </w:r>
          </w:p>
        </w:tc>
        <w:tc>
          <w:tcPr>
            <w:tcW w:w="7655" w:type="dxa"/>
            <w:shd w:val="clear" w:color="auto" w:fill="FFFFFF" w:themeFill="background1"/>
          </w:tcPr>
          <w:p w:rsidR="004F5315" w:rsidRPr="009B11E1" w:rsidRDefault="004F5315" w:rsidP="00F74B2A">
            <w:pPr>
              <w:jc w:val="both"/>
              <w:rPr>
                <w:rFonts w:ascii="Nyala" w:hAnsi="Nyala" w:cs="Arial"/>
                <w:sz w:val="18"/>
                <w:szCs w:val="18"/>
                <w:shd w:val="clear" w:color="auto" w:fill="FFFFFF"/>
              </w:rPr>
            </w:pPr>
            <w:r w:rsidRPr="009B11E1">
              <w:rPr>
                <w:rFonts w:ascii="Nyala" w:hAnsi="Nyala" w:cs="Arial"/>
                <w:sz w:val="18"/>
                <w:szCs w:val="18"/>
                <w:shd w:val="clear" w:color="auto" w:fill="FFFFFF"/>
              </w:rPr>
              <w:t xml:space="preserve">Traduction de la  </w:t>
            </w:r>
            <w:r w:rsidRPr="009B11E1">
              <w:rPr>
                <w:rFonts w:ascii="Nyala" w:hAnsi="Nyala" w:cs="Arial"/>
                <w:b/>
                <w:sz w:val="18"/>
                <w:szCs w:val="18"/>
                <w:shd w:val="clear" w:color="auto" w:fill="FFFFFF"/>
              </w:rPr>
              <w:t>Malnutrition chronique</w:t>
            </w:r>
            <w:r w:rsidRPr="009B11E1">
              <w:rPr>
                <w:rFonts w:ascii="Nyala" w:hAnsi="Nyala" w:cs="Arial"/>
                <w:sz w:val="18"/>
                <w:szCs w:val="18"/>
                <w:shd w:val="clear" w:color="auto" w:fill="FFFFFF"/>
              </w:rPr>
              <w:t xml:space="preserve"> ou </w:t>
            </w:r>
            <w:r w:rsidRPr="009B11E1">
              <w:rPr>
                <w:rFonts w:ascii="Nyala" w:hAnsi="Nyala" w:cs="Arial"/>
                <w:b/>
                <w:sz w:val="18"/>
                <w:szCs w:val="18"/>
                <w:shd w:val="clear" w:color="auto" w:fill="FFFFFF"/>
              </w:rPr>
              <w:t>récurrente</w:t>
            </w:r>
            <w:r w:rsidRPr="009B11E1">
              <w:rPr>
                <w:rFonts w:ascii="Nyala" w:hAnsi="Nyala" w:cs="Arial"/>
                <w:sz w:val="18"/>
                <w:szCs w:val="18"/>
                <w:shd w:val="clear" w:color="auto" w:fill="FFFFFF"/>
              </w:rPr>
              <w:t xml:space="preserve"> à laquelle sont habituellement associés plusieurs facteurs: des conditions socioéconomiques défavorisées, un mauvais état de santé et une mauvaise nutrition de la mère, des maladies fréquentes, et/ou une alimentation et des soins non adaptés du nourrisson et du jeune enfant. (</w:t>
            </w:r>
            <w:r w:rsidRPr="009B11E1">
              <w:rPr>
                <w:rFonts w:ascii="Nyala" w:hAnsi="Nyala" w:cs="Arial"/>
                <w:b/>
                <w:sz w:val="18"/>
                <w:szCs w:val="18"/>
                <w:shd w:val="clear" w:color="auto" w:fill="FFFFFF"/>
              </w:rPr>
              <w:t>Faible rapport taille/âge</w:t>
            </w:r>
            <w:r w:rsidRPr="009B11E1">
              <w:rPr>
                <w:rFonts w:ascii="Nyala" w:hAnsi="Nyala" w:cs="Arial"/>
                <w:sz w:val="18"/>
                <w:szCs w:val="18"/>
                <w:shd w:val="clear" w:color="auto" w:fill="FFFFFF"/>
              </w:rPr>
              <w:t>)</w:t>
            </w:r>
          </w:p>
        </w:tc>
      </w:tr>
      <w:tr w:rsidR="004F5315" w:rsidRPr="006866D3" w:rsidTr="009B11E1">
        <w:tc>
          <w:tcPr>
            <w:tcW w:w="279" w:type="dxa"/>
            <w:shd w:val="clear" w:color="auto" w:fill="FFFFFF" w:themeFill="background1"/>
          </w:tcPr>
          <w:p w:rsidR="004F5315" w:rsidRPr="009B11E1" w:rsidRDefault="004F5315" w:rsidP="00F74B2A">
            <w:pPr>
              <w:rPr>
                <w:rFonts w:ascii="Nyala" w:hAnsi="Nyala" w:cstheme="minorHAnsi"/>
                <w:b/>
                <w:sz w:val="18"/>
                <w:szCs w:val="18"/>
              </w:rPr>
            </w:pPr>
          </w:p>
        </w:tc>
        <w:tc>
          <w:tcPr>
            <w:tcW w:w="1417" w:type="dxa"/>
            <w:shd w:val="clear" w:color="auto" w:fill="FFFFFF" w:themeFill="background1"/>
          </w:tcPr>
          <w:p w:rsidR="004F5315" w:rsidRPr="009B11E1" w:rsidRDefault="004F5315" w:rsidP="00F74B2A">
            <w:pPr>
              <w:rPr>
                <w:rFonts w:ascii="Nyala" w:hAnsi="Nyala" w:cstheme="minorHAnsi"/>
                <w:b/>
                <w:sz w:val="18"/>
                <w:szCs w:val="18"/>
              </w:rPr>
            </w:pPr>
            <w:r w:rsidRPr="009B11E1">
              <w:rPr>
                <w:rFonts w:ascii="Nyala" w:hAnsi="Nyala" w:cstheme="minorHAnsi"/>
                <w:b/>
                <w:sz w:val="18"/>
                <w:szCs w:val="18"/>
              </w:rPr>
              <w:t>Sécurité nutritionnelle</w:t>
            </w:r>
          </w:p>
        </w:tc>
        <w:tc>
          <w:tcPr>
            <w:tcW w:w="7655" w:type="dxa"/>
            <w:shd w:val="clear" w:color="auto" w:fill="FFFFFF" w:themeFill="background1"/>
          </w:tcPr>
          <w:p w:rsidR="004F5315" w:rsidRPr="009B11E1" w:rsidRDefault="004F5315" w:rsidP="00F74B2A">
            <w:pPr>
              <w:jc w:val="both"/>
              <w:rPr>
                <w:rFonts w:ascii="Nyala" w:hAnsi="Nyala" w:cs="Arial"/>
                <w:sz w:val="18"/>
                <w:szCs w:val="18"/>
                <w:shd w:val="clear" w:color="auto" w:fill="FFFFFF"/>
              </w:rPr>
            </w:pPr>
            <w:r w:rsidRPr="009B11E1">
              <w:rPr>
                <w:rFonts w:ascii="Nyala" w:hAnsi="Nyala" w:cstheme="minorHAnsi"/>
                <w:sz w:val="18"/>
                <w:szCs w:val="18"/>
              </w:rPr>
              <w:t>Accès physique, économique et environnemental à une alimentation équilibrée qui inclut les macro et micronutriments nécessaires ainsi qu’à l’eau potable, l’assainissement, l’hygiène environnementale, les soins de santé primaire et l’éducation, afin de vivre une vie saine et productive » (Sommet des académies des sciences, 1996).</w:t>
            </w:r>
          </w:p>
        </w:tc>
      </w:tr>
      <w:tr w:rsidR="004F5315" w:rsidRPr="006866D3" w:rsidTr="009B11E1">
        <w:tc>
          <w:tcPr>
            <w:tcW w:w="279" w:type="dxa"/>
            <w:shd w:val="clear" w:color="auto" w:fill="FFFFFF" w:themeFill="background1"/>
          </w:tcPr>
          <w:p w:rsidR="004F5315" w:rsidRPr="009B11E1" w:rsidRDefault="004F5315" w:rsidP="00F74B2A">
            <w:pPr>
              <w:rPr>
                <w:rFonts w:ascii="Nyala" w:hAnsi="Nyala" w:cstheme="minorHAnsi"/>
                <w:b/>
                <w:sz w:val="18"/>
                <w:szCs w:val="18"/>
              </w:rPr>
            </w:pPr>
          </w:p>
        </w:tc>
        <w:tc>
          <w:tcPr>
            <w:tcW w:w="1417" w:type="dxa"/>
            <w:shd w:val="clear" w:color="auto" w:fill="FFFFFF" w:themeFill="background1"/>
          </w:tcPr>
          <w:p w:rsidR="004F5315" w:rsidRPr="009B11E1" w:rsidRDefault="004F5315" w:rsidP="00F74B2A">
            <w:pPr>
              <w:rPr>
                <w:rFonts w:ascii="Nyala" w:hAnsi="Nyala" w:cstheme="minorHAnsi"/>
                <w:b/>
                <w:sz w:val="18"/>
                <w:szCs w:val="18"/>
              </w:rPr>
            </w:pPr>
            <w:r w:rsidRPr="009B11E1">
              <w:rPr>
                <w:rFonts w:ascii="Nyala" w:hAnsi="Nyala" w:cstheme="minorHAnsi"/>
                <w:b/>
                <w:sz w:val="18"/>
                <w:szCs w:val="18"/>
              </w:rPr>
              <w:t>Vulnérabilité à…. (l’insécurité alimentaire)</w:t>
            </w:r>
          </w:p>
        </w:tc>
        <w:tc>
          <w:tcPr>
            <w:tcW w:w="7655" w:type="dxa"/>
            <w:shd w:val="clear" w:color="auto" w:fill="FFFFFF" w:themeFill="background1"/>
          </w:tcPr>
          <w:p w:rsidR="004F5315" w:rsidRPr="009B11E1" w:rsidRDefault="004F5315" w:rsidP="00F74B2A">
            <w:pPr>
              <w:jc w:val="both"/>
              <w:rPr>
                <w:rFonts w:ascii="Nyala" w:hAnsi="Nyala" w:cstheme="minorHAnsi"/>
                <w:b/>
                <w:sz w:val="18"/>
                <w:szCs w:val="18"/>
              </w:rPr>
            </w:pPr>
            <w:r w:rsidRPr="009B11E1">
              <w:rPr>
                <w:rFonts w:ascii="Nyala" w:hAnsi="Nyala" w:cstheme="minorHAnsi"/>
                <w:sz w:val="18"/>
                <w:szCs w:val="18"/>
              </w:rPr>
              <w:t>Risque que les individus encourent de tomber dans la pauvreté, de faire face à l’insécurité alimentaire, ou de devenir gravement malade (SDRP II)</w:t>
            </w:r>
          </w:p>
        </w:tc>
      </w:tr>
    </w:tbl>
    <w:p w:rsidR="004F5315" w:rsidRPr="006866D3" w:rsidRDefault="004F5315" w:rsidP="004F5315">
      <w:pPr>
        <w:shd w:val="clear" w:color="auto" w:fill="FFFFFF" w:themeFill="background1"/>
        <w:rPr>
          <w:rFonts w:ascii="Arial Narrow" w:hAnsi="Arial Narrow" w:cstheme="minorHAnsi"/>
          <w:b/>
          <w:color w:val="FF0000"/>
          <w:sz w:val="28"/>
          <w:szCs w:val="28"/>
        </w:rPr>
      </w:pPr>
    </w:p>
    <w:p w:rsidR="00D452FF" w:rsidRDefault="00D452FF" w:rsidP="00047805">
      <w:pPr>
        <w:tabs>
          <w:tab w:val="left" w:pos="6127"/>
        </w:tabs>
        <w:rPr>
          <w:rFonts w:ascii="Nyala" w:hAnsi="Nyala"/>
          <w:sz w:val="28"/>
          <w:szCs w:val="28"/>
        </w:rPr>
      </w:pPr>
    </w:p>
    <w:p w:rsidR="00D452FF" w:rsidRDefault="00D452FF">
      <w:pPr>
        <w:rPr>
          <w:rFonts w:ascii="Nyala" w:hAnsi="Nyala"/>
          <w:sz w:val="28"/>
          <w:szCs w:val="28"/>
        </w:rPr>
      </w:pPr>
      <w:r>
        <w:rPr>
          <w:rFonts w:ascii="Nyala" w:hAnsi="Nyala"/>
          <w:sz w:val="28"/>
          <w:szCs w:val="28"/>
        </w:rPr>
        <w:br w:type="page"/>
      </w:r>
    </w:p>
    <w:p w:rsidR="006A1BBA" w:rsidRPr="006866D3" w:rsidRDefault="006A1BBA" w:rsidP="00047805">
      <w:pPr>
        <w:tabs>
          <w:tab w:val="left" w:pos="6127"/>
        </w:tabs>
        <w:rPr>
          <w:sz w:val="28"/>
          <w:szCs w:val="28"/>
        </w:rPr>
      </w:pPr>
    </w:p>
    <w:p w:rsidR="006A1BBA" w:rsidRPr="006866D3" w:rsidRDefault="00B56E1F" w:rsidP="000F30A3">
      <w:pPr>
        <w:pStyle w:val="Titre2"/>
        <w:rPr>
          <w:sz w:val="28"/>
          <w:szCs w:val="28"/>
        </w:rPr>
      </w:pPr>
      <w:bookmarkStart w:id="596" w:name="_Toc526120005"/>
      <w:r w:rsidRPr="006866D3">
        <w:rPr>
          <w:sz w:val="28"/>
          <w:szCs w:val="28"/>
        </w:rPr>
        <w:t>Types d’actions humanitaires</w:t>
      </w:r>
      <w:bookmarkEnd w:id="596"/>
    </w:p>
    <w:p w:rsidR="003C6393" w:rsidRPr="006866D3" w:rsidRDefault="003C6393" w:rsidP="001B7174">
      <w:pPr>
        <w:jc w:val="right"/>
        <w:rPr>
          <w:sz w:val="28"/>
          <w:szCs w:val="28"/>
        </w:rPr>
      </w:pPr>
    </w:p>
    <w:p w:rsidR="007C4BAF" w:rsidRPr="006866D3" w:rsidRDefault="007C4BAF" w:rsidP="007C4BAF">
      <w:pPr>
        <w:pStyle w:val="Paragraphedeliste"/>
        <w:tabs>
          <w:tab w:val="left" w:pos="2895"/>
        </w:tabs>
        <w:jc w:val="both"/>
        <w:rPr>
          <w:rFonts w:ascii="Nyala" w:hAnsi="Nyala"/>
          <w:sz w:val="28"/>
          <w:szCs w:val="28"/>
        </w:rPr>
      </w:pPr>
    </w:p>
    <w:tbl>
      <w:tblPr>
        <w:tblStyle w:val="Grilledutableau"/>
        <w:tblW w:w="9355" w:type="dxa"/>
        <w:tblLook w:val="04A0" w:firstRow="1" w:lastRow="0" w:firstColumn="1" w:lastColumn="0" w:noHBand="0" w:noVBand="1"/>
      </w:tblPr>
      <w:tblGrid>
        <w:gridCol w:w="2465"/>
        <w:gridCol w:w="2405"/>
        <w:gridCol w:w="2646"/>
        <w:gridCol w:w="1839"/>
      </w:tblGrid>
      <w:tr w:rsidR="007C4BAF" w:rsidRPr="006866D3" w:rsidTr="00091DBC">
        <w:trPr>
          <w:trHeight w:val="283"/>
          <w:tblHeader/>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Types d’actions</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Description</w:t>
            </w: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Cibles  et périodes</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Acteurs concernés</w:t>
            </w:r>
          </w:p>
        </w:tc>
      </w:tr>
      <w:tr w:rsidR="007C4BAF" w:rsidRPr="006866D3" w:rsidTr="00091DBC">
        <w:trPr>
          <w:trHeight w:val="283"/>
        </w:trPr>
        <w:tc>
          <w:tcPr>
            <w:tcW w:w="7427" w:type="dxa"/>
            <w:gridSpan w:val="3"/>
            <w:shd w:val="clear" w:color="auto" w:fill="92D050"/>
            <w:vAlign w:val="center"/>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Lutter  contre  la  vulnérabilité  alimentaire,  fixer  les  populations  susceptibles  de partir en exode et protéger les moyens d’existence.</w:t>
            </w:r>
          </w:p>
        </w:tc>
        <w:tc>
          <w:tcPr>
            <w:tcW w:w="1928" w:type="dxa"/>
            <w:shd w:val="clear" w:color="auto" w:fill="92D050"/>
          </w:tcPr>
          <w:p w:rsidR="007C4BAF" w:rsidRPr="006866D3" w:rsidRDefault="007C4BAF" w:rsidP="00091DBC">
            <w:pPr>
              <w:tabs>
                <w:tab w:val="left" w:pos="2895"/>
              </w:tabs>
              <w:jc w:val="both"/>
              <w:rPr>
                <w:rFonts w:ascii="Nyala" w:hAnsi="Nyala"/>
                <w:sz w:val="28"/>
                <w:szCs w:val="28"/>
              </w:rPr>
            </w:pP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Food For Work.</w:t>
            </w:r>
          </w:p>
        </w:tc>
        <w:tc>
          <w:tcPr>
            <w:tcW w:w="2494" w:type="dxa"/>
            <w:vMerge w:val="restart"/>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réalisation de travaux à haute intensité de  main  d’œuvre  (HIMO)  contre  une  distribution  de  ration  alimentaire  équivalent aux besoins d’un ménage pour un mois</w:t>
            </w:r>
          </w:p>
          <w:p w:rsidR="007C4BAF" w:rsidRPr="006866D3" w:rsidRDefault="007C4BAF" w:rsidP="00091DBC">
            <w:pPr>
              <w:tabs>
                <w:tab w:val="left" w:pos="2895"/>
              </w:tabs>
              <w:rPr>
                <w:rFonts w:ascii="Nyala" w:hAnsi="Nyala"/>
                <w:sz w:val="28"/>
                <w:szCs w:val="28"/>
              </w:rPr>
            </w:pPr>
          </w:p>
          <w:p w:rsidR="007C4BAF" w:rsidRPr="006866D3" w:rsidRDefault="007C4BAF" w:rsidP="00091DBC">
            <w:pPr>
              <w:tabs>
                <w:tab w:val="left" w:pos="2895"/>
              </w:tabs>
              <w:rPr>
                <w:rFonts w:ascii="Nyala" w:hAnsi="Nyala"/>
                <w:sz w:val="28"/>
                <w:szCs w:val="28"/>
              </w:rPr>
            </w:pPr>
            <w:r w:rsidRPr="006866D3">
              <w:rPr>
                <w:rFonts w:ascii="Nyala" w:hAnsi="Nyala"/>
                <w:sz w:val="28"/>
                <w:szCs w:val="28"/>
              </w:rPr>
              <w:t xml:space="preserve">Analyse de marché nécessaire ; Prise en compte dans le PDC ou accord écrit de la commune </w:t>
            </w:r>
          </w:p>
          <w:p w:rsidR="007C4BAF" w:rsidRPr="006866D3" w:rsidRDefault="007C4BAF" w:rsidP="00091DBC">
            <w:pPr>
              <w:tabs>
                <w:tab w:val="left" w:pos="2895"/>
              </w:tabs>
              <w:rPr>
                <w:rFonts w:ascii="Nyala" w:hAnsi="Nyala"/>
                <w:sz w:val="28"/>
                <w:szCs w:val="28"/>
              </w:rPr>
            </w:pPr>
          </w:p>
          <w:p w:rsidR="007C4BAF" w:rsidRPr="006866D3" w:rsidRDefault="007C4BAF" w:rsidP="00091DBC">
            <w:pPr>
              <w:tabs>
                <w:tab w:val="left" w:pos="2895"/>
              </w:tabs>
              <w:rPr>
                <w:rFonts w:ascii="Nyala" w:hAnsi="Nyala"/>
                <w:sz w:val="28"/>
                <w:szCs w:val="28"/>
              </w:rPr>
            </w:pPr>
            <w:r w:rsidRPr="006866D3">
              <w:rPr>
                <w:rFonts w:ascii="Nyala" w:hAnsi="Nyala"/>
                <w:sz w:val="28"/>
                <w:szCs w:val="28"/>
              </w:rPr>
              <w:t xml:space="preserve">Association et responsabilisation des concernés, des services techniques  </w:t>
            </w:r>
          </w:p>
          <w:p w:rsidR="007C4BAF" w:rsidRPr="006866D3" w:rsidRDefault="007C4BAF" w:rsidP="00091DBC">
            <w:pPr>
              <w:tabs>
                <w:tab w:val="left" w:pos="2895"/>
              </w:tabs>
              <w:rPr>
                <w:rFonts w:ascii="Nyala" w:hAnsi="Nyala"/>
                <w:sz w:val="28"/>
                <w:szCs w:val="28"/>
              </w:rPr>
            </w:pP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localités  où l’accessibilité est difficile  (faibles approvisionnement,  hausse  des  prix…),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ménages pauvres et très pauvres en  insécurité  alimentaire  sévère  ou Victimes les catastrophes.</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 Janvier–Mai  et  Octobre-Décembre  (période  « hors soudure »</w:t>
            </w:r>
          </w:p>
          <w:p w:rsidR="007C4BAF" w:rsidRPr="006866D3" w:rsidRDefault="007C4BAF" w:rsidP="00091DBC">
            <w:pPr>
              <w:tabs>
                <w:tab w:val="left" w:pos="2895"/>
              </w:tabs>
              <w:jc w:val="both"/>
              <w:rPr>
                <w:rFonts w:ascii="Nyala" w:hAnsi="Nyala"/>
                <w:sz w:val="28"/>
                <w:szCs w:val="28"/>
              </w:rPr>
            </w:pP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et perspectives :, PAM, CFS, ONG et autres.</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 RECA, le Code Rural etc.</w:t>
            </w: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Cash for Work</w:t>
            </w:r>
          </w:p>
        </w:tc>
        <w:tc>
          <w:tcPr>
            <w:tcW w:w="2494" w:type="dxa"/>
            <w:vMerge/>
          </w:tcPr>
          <w:p w:rsidR="007C4BAF" w:rsidRPr="006866D3" w:rsidRDefault="007C4BAF" w:rsidP="00091DBC">
            <w:pPr>
              <w:tabs>
                <w:tab w:val="left" w:pos="2895"/>
              </w:tabs>
              <w:jc w:val="both"/>
              <w:rPr>
                <w:rFonts w:ascii="Nyala" w:hAnsi="Nyala"/>
                <w:sz w:val="28"/>
                <w:szCs w:val="28"/>
              </w:rPr>
            </w:pP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populations  en  insécurité  alimentaire  sévère  ménages très pauvres ou victimes de   catastrophes.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Localisation : zones extrêmement et moyennement vulnérables où l’accès au marché est facile</w:t>
            </w:r>
          </w:p>
          <w:p w:rsidR="007C4BAF" w:rsidRPr="006866D3" w:rsidRDefault="007C4BAF" w:rsidP="00091DBC">
            <w:pPr>
              <w:tabs>
                <w:tab w:val="left" w:pos="2895"/>
              </w:tabs>
              <w:jc w:val="both"/>
              <w:rPr>
                <w:rFonts w:ascii="Nyala" w:hAnsi="Nyala"/>
                <w:sz w:val="28"/>
                <w:szCs w:val="28"/>
              </w:rPr>
            </w:pP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et perspectives : CCA, PAM, CFS, ONG et autres.</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le RECA, le Code Rural etc</w:t>
            </w:r>
          </w:p>
        </w:tc>
      </w:tr>
      <w:tr w:rsidR="007C4BAF" w:rsidRPr="006866D3" w:rsidTr="00091DBC">
        <w:trPr>
          <w:trHeight w:val="283"/>
        </w:trPr>
        <w:tc>
          <w:tcPr>
            <w:tcW w:w="7427" w:type="dxa"/>
            <w:gridSpan w:val="3"/>
            <w:shd w:val="clear" w:color="auto" w:fill="FFC000"/>
            <w:vAlign w:val="center"/>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Lutter  sur  du  plus  long  terme  contre  la  vulnérabilité  alimentaire  chronique,</w:t>
            </w:r>
          </w:p>
        </w:tc>
        <w:tc>
          <w:tcPr>
            <w:tcW w:w="1928" w:type="dxa"/>
            <w:shd w:val="clear" w:color="auto" w:fill="FFC000"/>
          </w:tcPr>
          <w:p w:rsidR="007C4BAF" w:rsidRPr="006866D3" w:rsidRDefault="007C4BAF" w:rsidP="00091DBC">
            <w:pPr>
              <w:tabs>
                <w:tab w:val="left" w:pos="2895"/>
              </w:tabs>
              <w:jc w:val="both"/>
              <w:rPr>
                <w:rFonts w:ascii="Nyala" w:hAnsi="Nyala"/>
                <w:sz w:val="28"/>
                <w:szCs w:val="28"/>
              </w:rPr>
            </w:pP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Transfert d’argent inconditionnel pour la résilience</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Les montants et mécanismes de transferts monétaires varient d’un acteur à un Autre, la durée varie de quelques mois à 24 mois (Cellule Filet Sociaux)</w:t>
            </w:r>
          </w:p>
          <w:p w:rsidR="007C4BAF" w:rsidRPr="006866D3" w:rsidRDefault="007C4BAF" w:rsidP="00091DBC">
            <w:pPr>
              <w:tabs>
                <w:tab w:val="left" w:pos="2895"/>
              </w:tabs>
              <w:jc w:val="both"/>
              <w:rPr>
                <w:rFonts w:ascii="Nyala" w:hAnsi="Nyala"/>
                <w:sz w:val="28"/>
                <w:szCs w:val="28"/>
              </w:rPr>
            </w:pP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Personnes en insécurité alimentaire sévère  qui basculent en insécurité alimentaire modérée par la suite.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Localisation : zones vulnérables ou les marchés sont bien approvisionnés et fonctionnels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Toute l’année</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Cellule  Filets  Sociaux  et ses partenaires de mise en œuvre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(Taanadi, YARDA, AGIYA, Banque Atlantique…), PAM / PRRO, ONG et autres partenaires…</w:t>
            </w:r>
          </w:p>
        </w:tc>
      </w:tr>
      <w:tr w:rsidR="007C4BAF" w:rsidRPr="006866D3" w:rsidTr="00091DBC">
        <w:trPr>
          <w:trHeight w:val="283"/>
        </w:trPr>
        <w:tc>
          <w:tcPr>
            <w:tcW w:w="7427" w:type="dxa"/>
            <w:gridSpan w:val="3"/>
            <w:shd w:val="clear" w:color="auto" w:fill="FFFF00"/>
            <w:vAlign w:val="center"/>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Lutter contre la vulnérabilité alimentaire et protéger les moyens d’existence tout en favorisant l’accès alimentaire aux ménages en insécurité alimentaire sévère, aux réfugiés, aux retournés et aux déplacés internes pendant la période de soudure.</w:t>
            </w:r>
          </w:p>
        </w:tc>
        <w:tc>
          <w:tcPr>
            <w:tcW w:w="1928" w:type="dxa"/>
            <w:shd w:val="clear" w:color="auto" w:fill="FFFF00"/>
          </w:tcPr>
          <w:p w:rsidR="007C4BAF" w:rsidRPr="006866D3" w:rsidRDefault="007C4BAF" w:rsidP="00091DBC">
            <w:pPr>
              <w:tabs>
                <w:tab w:val="left" w:pos="2895"/>
              </w:tabs>
              <w:jc w:val="both"/>
              <w:rPr>
                <w:rFonts w:ascii="Nyala" w:hAnsi="Nyala"/>
                <w:sz w:val="28"/>
                <w:szCs w:val="28"/>
              </w:rPr>
            </w:pP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Distribution gratuite de vivres</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Description : Distribution de ration alimentaire  (différente selon les partenaires)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Il s’agit de favoriser l’accès alimentaire aux ménages en insécurité alimentaire sévère, aux réfugiés, aux retournés et aux déplacés internes pendant la période de soudure</w:t>
            </w:r>
          </w:p>
        </w:tc>
        <w:tc>
          <w:tcPr>
            <w:tcW w:w="2835" w:type="dxa"/>
            <w:vMerge w:val="restart"/>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les personnes en  insécurité alimentaire sévère, les réfugiés, les retournés, les déplacés internes.</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Localisation :  zones  extrêmement  vulnérables  où  les  marchés  peuvent  être  moins  bien approvisionnés  ou  à  des  prix  élevés,  zones  inondées,  zones  accueillant  les  réfugiés,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refoulées, rapatriées et migrants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Durée de l’opération et dates limites : Juin- Aout </w:t>
            </w:r>
          </w:p>
          <w:p w:rsidR="007C4BAF" w:rsidRPr="006866D3" w:rsidRDefault="007C4BAF" w:rsidP="00091DBC">
            <w:pPr>
              <w:tabs>
                <w:tab w:val="left" w:pos="2895"/>
              </w:tabs>
              <w:jc w:val="both"/>
              <w:rPr>
                <w:rFonts w:ascii="Nyala" w:hAnsi="Nyala"/>
                <w:sz w:val="28"/>
                <w:szCs w:val="28"/>
              </w:rPr>
            </w:pPr>
          </w:p>
        </w:tc>
        <w:tc>
          <w:tcPr>
            <w:tcW w:w="1928" w:type="dxa"/>
            <w:vMerge w:val="restart"/>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Partenaires de mise en œuvre : CCA, PAM, CICR, MAH/GC, ONG, autres acteurs.</w:t>
            </w: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Distribution gratuite de cash</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Distribution de 32 500 FCFA/ménage/mois pour une ration complète pendant 3 mois aux ménages ciblés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ciblage des bénéficiaires se fera en étroite collaboration avec les  structures  déconcentrées  </w:t>
            </w:r>
          </w:p>
          <w:p w:rsidR="007C4BAF" w:rsidRPr="006866D3" w:rsidRDefault="007C4BAF" w:rsidP="00091DBC">
            <w:pPr>
              <w:tabs>
                <w:tab w:val="left" w:pos="2895"/>
              </w:tabs>
              <w:jc w:val="both"/>
              <w:rPr>
                <w:rFonts w:ascii="Nyala" w:hAnsi="Nyala"/>
                <w:sz w:val="28"/>
                <w:szCs w:val="28"/>
              </w:rPr>
            </w:pPr>
          </w:p>
        </w:tc>
        <w:tc>
          <w:tcPr>
            <w:tcW w:w="2835" w:type="dxa"/>
            <w:vMerge/>
          </w:tcPr>
          <w:p w:rsidR="007C4BAF" w:rsidRPr="006866D3" w:rsidRDefault="007C4BAF" w:rsidP="00091DBC">
            <w:pPr>
              <w:tabs>
                <w:tab w:val="left" w:pos="2895"/>
              </w:tabs>
              <w:jc w:val="both"/>
              <w:rPr>
                <w:rFonts w:ascii="Nyala" w:hAnsi="Nyala"/>
                <w:sz w:val="28"/>
                <w:szCs w:val="28"/>
              </w:rPr>
            </w:pPr>
          </w:p>
        </w:tc>
        <w:tc>
          <w:tcPr>
            <w:tcW w:w="1928" w:type="dxa"/>
            <w:vMerge/>
          </w:tcPr>
          <w:p w:rsidR="007C4BAF" w:rsidRPr="006866D3" w:rsidRDefault="007C4BAF" w:rsidP="00091DBC">
            <w:pPr>
              <w:tabs>
                <w:tab w:val="left" w:pos="2895"/>
              </w:tabs>
              <w:jc w:val="both"/>
              <w:rPr>
                <w:rFonts w:ascii="Nyala" w:hAnsi="Nyala"/>
                <w:sz w:val="28"/>
                <w:szCs w:val="28"/>
              </w:rPr>
            </w:pPr>
          </w:p>
        </w:tc>
      </w:tr>
      <w:tr w:rsidR="007C4BAF" w:rsidRPr="006866D3" w:rsidTr="00091DBC">
        <w:trPr>
          <w:trHeight w:val="283"/>
        </w:trPr>
        <w:tc>
          <w:tcPr>
            <w:tcW w:w="7427" w:type="dxa"/>
            <w:gridSpan w:val="3"/>
            <w:shd w:val="clear" w:color="auto" w:fill="FFC000"/>
            <w:vAlign w:val="center"/>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Permettre  aux  ménages  en  insécurité  alimentaire  modérés  d’accéder  plus facilement aux céréales.favoriser une régulation des prix sur les marchés</w:t>
            </w:r>
          </w:p>
        </w:tc>
        <w:tc>
          <w:tcPr>
            <w:tcW w:w="1928" w:type="dxa"/>
            <w:shd w:val="clear" w:color="auto" w:fill="FFC000"/>
          </w:tcPr>
          <w:p w:rsidR="007C4BAF" w:rsidRPr="006866D3" w:rsidRDefault="007C4BAF" w:rsidP="00091DBC">
            <w:pPr>
              <w:tabs>
                <w:tab w:val="left" w:pos="2895"/>
              </w:tabs>
              <w:jc w:val="both"/>
              <w:rPr>
                <w:rFonts w:ascii="Nyala" w:hAnsi="Nyala"/>
                <w:sz w:val="28"/>
                <w:szCs w:val="28"/>
              </w:rPr>
            </w:pP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Vente à prix modéré</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Ventes à prix modérés à l’unité de mesure locale (2,5kg)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Les populations en insécurité alimentaire modéré Localisation : zones extrêmement et moyennement vulnérables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Durée de l’opération et dates limites : Février- septembre 2018.</w:t>
            </w:r>
          </w:p>
          <w:p w:rsidR="007C4BAF" w:rsidRPr="006866D3" w:rsidRDefault="007C4BAF" w:rsidP="00091DBC">
            <w:pPr>
              <w:tabs>
                <w:tab w:val="left" w:pos="2895"/>
              </w:tabs>
              <w:jc w:val="both"/>
              <w:rPr>
                <w:rFonts w:ascii="Nyala" w:hAnsi="Nyala"/>
                <w:sz w:val="28"/>
                <w:szCs w:val="28"/>
              </w:rPr>
            </w:pP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Partenaires de mise en œuvre : CCA, OPVN, CR, CSR, Communes.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comités  régionaux  et  sous  régionaux  des  zones  concernées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Des  comités  de  vente  seront  mis  en  place  dans  les  communes  </w:t>
            </w:r>
          </w:p>
        </w:tc>
      </w:tr>
      <w:tr w:rsidR="007C4BAF" w:rsidRPr="006866D3" w:rsidTr="00091DBC">
        <w:trPr>
          <w:trHeight w:val="283"/>
        </w:trPr>
        <w:tc>
          <w:tcPr>
            <w:tcW w:w="7427" w:type="dxa"/>
            <w:gridSpan w:val="3"/>
            <w:shd w:val="clear" w:color="auto" w:fill="92D050"/>
            <w:vAlign w:val="center"/>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permettre  aux  enfants  des  écoles  des  zones  en  insécurité  alimentaire  sévère  de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poursuivre leur cycle scolaire</w:t>
            </w:r>
          </w:p>
        </w:tc>
        <w:tc>
          <w:tcPr>
            <w:tcW w:w="1928" w:type="dxa"/>
            <w:shd w:val="clear" w:color="auto" w:fill="92D050"/>
          </w:tcPr>
          <w:p w:rsidR="007C4BAF" w:rsidRPr="006866D3" w:rsidRDefault="007C4BAF" w:rsidP="00091DBC">
            <w:pPr>
              <w:tabs>
                <w:tab w:val="left" w:pos="2895"/>
              </w:tabs>
              <w:jc w:val="both"/>
              <w:rPr>
                <w:rFonts w:ascii="Nyala" w:hAnsi="Nyala"/>
                <w:sz w:val="28"/>
                <w:szCs w:val="28"/>
              </w:rPr>
            </w:pP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Renforcer les cantines scolaires</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distribution  de  céréales  et  de  denrées  composantes  de  la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ration des élèves (mil, riz, haricot, huile, sel, sucre)  sous forme de rations sèches aux élèves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Localisation : écoles à cantines situées dans les zones extrêmement vulnérables</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Cible qualité : élèves des établissements primaires à cantines dans les zones vulnérables ;  zones pastorales sujettes à la déscolarisation  en  période  de  soudure  pastorale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février- juin</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 CCA, Ministère de l’éducation, ONGs, PAM, MAHGC…</w:t>
            </w:r>
          </w:p>
        </w:tc>
      </w:tr>
      <w:tr w:rsidR="007C4BAF" w:rsidRPr="006866D3" w:rsidTr="00091DBC">
        <w:trPr>
          <w:trHeight w:val="283"/>
        </w:trPr>
        <w:tc>
          <w:tcPr>
            <w:tcW w:w="7427" w:type="dxa"/>
            <w:gridSpan w:val="3"/>
            <w:shd w:val="clear" w:color="auto" w:fill="00B0F0"/>
            <w:vAlign w:val="center"/>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prévenir et prendre en charge la malnutrition aigue</w:t>
            </w:r>
          </w:p>
        </w:tc>
        <w:tc>
          <w:tcPr>
            <w:tcW w:w="1928" w:type="dxa"/>
            <w:shd w:val="clear" w:color="auto" w:fill="00B0F0"/>
          </w:tcPr>
          <w:p w:rsidR="007C4BAF" w:rsidRPr="006866D3" w:rsidRDefault="007C4BAF" w:rsidP="00091DBC">
            <w:pPr>
              <w:tabs>
                <w:tab w:val="left" w:pos="2895"/>
              </w:tabs>
              <w:jc w:val="both"/>
              <w:rPr>
                <w:rFonts w:ascii="Nyala" w:hAnsi="Nyala"/>
                <w:sz w:val="28"/>
                <w:szCs w:val="28"/>
              </w:rPr>
            </w:pPr>
          </w:p>
        </w:tc>
      </w:tr>
      <w:tr w:rsidR="007C4BAF" w:rsidRPr="006866D3" w:rsidTr="00091DBC">
        <w:trPr>
          <w:trHeight w:val="1891"/>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 xml:space="preserve">Prévention  nutritionnelle  auprès  des  enfants  de  6  –  23  mois  vivant  dans  les ménages très pauvres des communes vulnérables ; </w:t>
            </w:r>
          </w:p>
          <w:p w:rsidR="007C4BAF" w:rsidRPr="006866D3" w:rsidRDefault="007C4BAF" w:rsidP="00091DBC">
            <w:pPr>
              <w:tabs>
                <w:tab w:val="left" w:pos="2895"/>
              </w:tabs>
              <w:rPr>
                <w:rFonts w:ascii="Nyala" w:hAnsi="Nyala"/>
                <w:sz w:val="28"/>
                <w:szCs w:val="28"/>
              </w:rPr>
            </w:pPr>
          </w:p>
          <w:p w:rsidR="007C4BAF" w:rsidRPr="006866D3" w:rsidRDefault="007C4BAF" w:rsidP="00091DBC">
            <w:pPr>
              <w:tabs>
                <w:tab w:val="left" w:pos="2895"/>
              </w:tabs>
              <w:rPr>
                <w:rFonts w:ascii="Nyala" w:hAnsi="Nyala"/>
                <w:sz w:val="28"/>
                <w:szCs w:val="28"/>
              </w:rPr>
            </w:pP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Description :  La ration est  de 200 g /enfant / jour de super  céréales    plus (CSB++) pendant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trois mois pour les enfants vivant dans les ménages très pauvres des ménages vulnérables</w:t>
            </w: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Cible qualité : Enfants de 6 à 23 mois de moins de 6 mois de ménages très pauvres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populations réfugiées nigérians de Diffa</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Localisation : zones vulnérables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de Juillet à Septembre</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partenaires de mise en œuvre :  Ministère de la santé en partenariat avec PAM, l’UNICEF, la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CCA et les ONG nationales et internationales</w:t>
            </w: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 xml:space="preserve">Prise  en  charge  nutritionnelle  des  enfants  âgés  de  moins  de  5  ans,  des  femmes </w:t>
            </w:r>
          </w:p>
          <w:p w:rsidR="007C4BAF" w:rsidRPr="006866D3" w:rsidRDefault="007C4BAF" w:rsidP="00091DBC">
            <w:pPr>
              <w:tabs>
                <w:tab w:val="left" w:pos="2895"/>
              </w:tabs>
              <w:rPr>
                <w:rFonts w:ascii="Nyala" w:hAnsi="Nyala"/>
                <w:sz w:val="28"/>
                <w:szCs w:val="28"/>
              </w:rPr>
            </w:pPr>
            <w:r w:rsidRPr="006866D3">
              <w:rPr>
                <w:rFonts w:ascii="Nyala" w:hAnsi="Nyala"/>
                <w:sz w:val="28"/>
                <w:szCs w:val="28"/>
              </w:rPr>
              <w:t>enceintes et allaitantes souffrant de malnutrition aiguë sévère (MAS).</w:t>
            </w:r>
          </w:p>
        </w:tc>
        <w:tc>
          <w:tcPr>
            <w:tcW w:w="2494" w:type="dxa"/>
            <w:vMerge w:val="restart"/>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 dépistage actif et systématique, le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référencement  des  cas,  l’approvisionnement  et  la  distribution  des  intrants  thérapeutiques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activités  de  Communication  (information,  éducation  et  changement  de  comportements  et pratiques) de la promotion des Pratiques Familiales Essentielles (PFE) et de la promotion de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prévention  dans  les  centres  de  prise  en  charge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idem.</w:t>
            </w:r>
          </w:p>
        </w:tc>
        <w:tc>
          <w:tcPr>
            <w:tcW w:w="2835" w:type="dxa"/>
            <w:vMerge w:val="restart"/>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Cible qualité : Enfants de moins de 5 ans, femmes enceintes et allaitantes.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Localisation : structures de santé (hôpitaux, centres de santé intégré et cases de santé).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Durée de l’opération et dates limites : janvier- décembre </w:t>
            </w:r>
          </w:p>
          <w:p w:rsidR="007C4BAF" w:rsidRPr="006866D3" w:rsidRDefault="007C4BAF" w:rsidP="00091DBC">
            <w:pPr>
              <w:tabs>
                <w:tab w:val="left" w:pos="2895"/>
              </w:tabs>
              <w:jc w:val="both"/>
              <w:rPr>
                <w:rFonts w:ascii="Nyala" w:hAnsi="Nyala"/>
                <w:sz w:val="28"/>
                <w:szCs w:val="28"/>
              </w:rPr>
            </w:pPr>
          </w:p>
        </w:tc>
        <w:tc>
          <w:tcPr>
            <w:tcW w:w="1928" w:type="dxa"/>
            <w:vMerge w:val="restart"/>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Partenaires  de  mise  en  œuvre :  Les  entités  responsables  de  la  mise  en  œuvre  de  ces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activités sont la Direction de la Nutrition (DN) du Ministère de la Santé Publique (MSP) avec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l’appui  de  l’UNICEF,  du  PAM,  de  l’UNHCR,  l’OMS,  de  USAID  et  l’ensemble  des  ONGs</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w:t>
            </w: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 xml:space="preserve">Prise  en  charge  nutritionnelle  des  enfants  âgés  de  moins  de  5  ans,  des  femmes </w:t>
            </w:r>
          </w:p>
          <w:p w:rsidR="007C4BAF" w:rsidRPr="006866D3" w:rsidRDefault="007C4BAF" w:rsidP="00091DBC">
            <w:pPr>
              <w:tabs>
                <w:tab w:val="left" w:pos="2895"/>
              </w:tabs>
              <w:rPr>
                <w:rFonts w:ascii="Nyala" w:hAnsi="Nyala"/>
                <w:sz w:val="28"/>
                <w:szCs w:val="28"/>
              </w:rPr>
            </w:pPr>
            <w:r w:rsidRPr="006866D3">
              <w:rPr>
                <w:rFonts w:ascii="Nyala" w:hAnsi="Nyala"/>
                <w:sz w:val="28"/>
                <w:szCs w:val="28"/>
              </w:rPr>
              <w:t>enceintes et allaitantes souffrant de malnutrition aiguë Modérée (MAM).</w:t>
            </w:r>
          </w:p>
        </w:tc>
        <w:tc>
          <w:tcPr>
            <w:tcW w:w="2494" w:type="dxa"/>
            <w:vMerge/>
          </w:tcPr>
          <w:p w:rsidR="007C4BAF" w:rsidRPr="006866D3" w:rsidRDefault="007C4BAF" w:rsidP="00091DBC">
            <w:pPr>
              <w:tabs>
                <w:tab w:val="left" w:pos="2895"/>
              </w:tabs>
              <w:jc w:val="both"/>
              <w:rPr>
                <w:rFonts w:ascii="Nyala" w:hAnsi="Nyala"/>
                <w:sz w:val="28"/>
                <w:szCs w:val="28"/>
              </w:rPr>
            </w:pPr>
          </w:p>
        </w:tc>
        <w:tc>
          <w:tcPr>
            <w:tcW w:w="2835" w:type="dxa"/>
            <w:vMerge/>
          </w:tcPr>
          <w:p w:rsidR="007C4BAF" w:rsidRPr="006866D3" w:rsidRDefault="007C4BAF" w:rsidP="00091DBC">
            <w:pPr>
              <w:tabs>
                <w:tab w:val="left" w:pos="2895"/>
              </w:tabs>
              <w:jc w:val="both"/>
              <w:rPr>
                <w:rFonts w:ascii="Nyala" w:hAnsi="Nyala"/>
                <w:sz w:val="28"/>
                <w:szCs w:val="28"/>
              </w:rPr>
            </w:pPr>
          </w:p>
        </w:tc>
        <w:tc>
          <w:tcPr>
            <w:tcW w:w="1928" w:type="dxa"/>
            <w:vMerge/>
          </w:tcPr>
          <w:p w:rsidR="007C4BAF" w:rsidRPr="006866D3" w:rsidRDefault="007C4BAF" w:rsidP="00091DBC">
            <w:pPr>
              <w:tabs>
                <w:tab w:val="left" w:pos="2895"/>
              </w:tabs>
              <w:jc w:val="both"/>
              <w:rPr>
                <w:rFonts w:ascii="Nyala" w:hAnsi="Nyala"/>
                <w:sz w:val="28"/>
                <w:szCs w:val="28"/>
              </w:rPr>
            </w:pP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 xml:space="preserve">Distribuer des rations alimentaires complémentaires pour les femmes enceintes et </w:t>
            </w:r>
          </w:p>
          <w:p w:rsidR="007C4BAF" w:rsidRPr="006866D3" w:rsidRDefault="007C4BAF" w:rsidP="00091DBC">
            <w:pPr>
              <w:tabs>
                <w:tab w:val="left" w:pos="2895"/>
              </w:tabs>
              <w:rPr>
                <w:rFonts w:ascii="Nyala" w:hAnsi="Nyala"/>
                <w:sz w:val="28"/>
                <w:szCs w:val="28"/>
              </w:rPr>
            </w:pPr>
            <w:r w:rsidRPr="006866D3">
              <w:rPr>
                <w:rFonts w:ascii="Nyala" w:hAnsi="Nyala"/>
                <w:sz w:val="28"/>
                <w:szCs w:val="28"/>
              </w:rPr>
              <w:t>allaitantes (FEFA)</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Appui alimentaire dans les CRENI avec 3 repas journaliers.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réduire de façon significative le taux d’abandon dans les CRENI</w:t>
            </w:r>
          </w:p>
          <w:p w:rsidR="007C4BAF" w:rsidRPr="006866D3" w:rsidRDefault="007C4BAF" w:rsidP="00091DBC">
            <w:pPr>
              <w:tabs>
                <w:tab w:val="left" w:pos="2895"/>
              </w:tabs>
              <w:jc w:val="both"/>
              <w:rPr>
                <w:rFonts w:ascii="Nyala" w:hAnsi="Nyala"/>
                <w:sz w:val="28"/>
                <w:szCs w:val="28"/>
              </w:rPr>
            </w:pP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Cible qualité : Mères accompagnantes dans les CRENI.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Localisation : dans 46 Centres de récupération nutritionnelle Intensive (CRENI)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Durée de l’opération et dates limites : de janvier à décembre 2018.</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 MSP, PAM et ONGs</w:t>
            </w:r>
          </w:p>
        </w:tc>
      </w:tr>
      <w:tr w:rsidR="007C4BAF" w:rsidRPr="006866D3" w:rsidTr="00091DBC">
        <w:trPr>
          <w:trHeight w:val="283"/>
        </w:trPr>
        <w:tc>
          <w:tcPr>
            <w:tcW w:w="7427" w:type="dxa"/>
            <w:gridSpan w:val="3"/>
            <w:shd w:val="clear" w:color="auto" w:fill="92D050"/>
            <w:vAlign w:val="center"/>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Appuyer les agriculteurs et les éleveurs en situation de vulnérabilité</w:t>
            </w:r>
          </w:p>
        </w:tc>
        <w:tc>
          <w:tcPr>
            <w:tcW w:w="1928" w:type="dxa"/>
            <w:shd w:val="clear" w:color="auto" w:fill="92D050"/>
          </w:tcPr>
          <w:p w:rsidR="007C4BAF" w:rsidRPr="006866D3" w:rsidRDefault="007C4BAF" w:rsidP="00091DBC">
            <w:pPr>
              <w:tabs>
                <w:tab w:val="left" w:pos="2895"/>
              </w:tabs>
              <w:jc w:val="both"/>
              <w:rPr>
                <w:rFonts w:ascii="Nyala" w:hAnsi="Nyala"/>
                <w:sz w:val="28"/>
                <w:szCs w:val="28"/>
              </w:rPr>
            </w:pP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 xml:space="preserve">Appuyer  les producteurs de cultures pluviales des zones vulnérables en semences </w:t>
            </w:r>
          </w:p>
          <w:p w:rsidR="007C4BAF" w:rsidRPr="006866D3" w:rsidRDefault="007C4BAF" w:rsidP="00091DBC">
            <w:pPr>
              <w:tabs>
                <w:tab w:val="left" w:pos="2895"/>
              </w:tabs>
              <w:rPr>
                <w:rFonts w:ascii="Nyala" w:hAnsi="Nyala"/>
                <w:sz w:val="28"/>
                <w:szCs w:val="28"/>
              </w:rPr>
            </w:pPr>
            <w:r w:rsidRPr="006866D3">
              <w:rPr>
                <w:rFonts w:ascii="Nyala" w:hAnsi="Nyala"/>
                <w:sz w:val="28"/>
                <w:szCs w:val="28"/>
              </w:rPr>
              <w:t>de qualité de variétés améliorées</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distribuer des kits de semences (10 kg de céréales, 5 kg de niébé soit 15kg/kit)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dans  les  zones  déficitaires  à  plus  de  50%.  </w:t>
            </w:r>
          </w:p>
          <w:p w:rsidR="007C4BAF" w:rsidRPr="006866D3" w:rsidRDefault="007C4BAF" w:rsidP="00091DBC">
            <w:pPr>
              <w:tabs>
                <w:tab w:val="left" w:pos="2895"/>
              </w:tabs>
              <w:jc w:val="both"/>
              <w:rPr>
                <w:rFonts w:ascii="Nyala" w:hAnsi="Nyala"/>
                <w:sz w:val="28"/>
                <w:szCs w:val="28"/>
              </w:rPr>
            </w:pP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Cible  qualité :  1 265 667  ménages  vulnérables  issus  des  villages  déficitaires  (75%  des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ménages ruraux des zones vulnérables).</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Localisation : villages déficitaires à plus 50% situés dans les zones vulnérables</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Durée de l’opération et dates limites : mars–Juin 2018.</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 CCA,  Ministère de l’Agriculture, FAO, et ONGs.</w:t>
            </w:r>
          </w:p>
        </w:tc>
      </w:tr>
      <w:tr w:rsidR="007C4BAF" w:rsidRPr="006866D3" w:rsidTr="00091DBC">
        <w:trPr>
          <w:trHeight w:val="283"/>
        </w:trPr>
        <w:tc>
          <w:tcPr>
            <w:tcW w:w="2098" w:type="dxa"/>
            <w:vAlign w:val="center"/>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Renforcer la disponibilité en aliments pour bétail du cheptel pour protéger les moyens d’existence </w:t>
            </w:r>
          </w:p>
          <w:p w:rsidR="007C4BAF" w:rsidRPr="006866D3" w:rsidRDefault="007C4BAF" w:rsidP="00091DBC">
            <w:pPr>
              <w:tabs>
                <w:tab w:val="left" w:pos="2895"/>
              </w:tabs>
              <w:rPr>
                <w:rFonts w:ascii="Nyala" w:hAnsi="Nyala"/>
                <w:sz w:val="28"/>
                <w:szCs w:val="28"/>
              </w:rPr>
            </w:pPr>
            <w:r w:rsidRPr="006866D3">
              <w:rPr>
                <w:rFonts w:ascii="Nyala" w:hAnsi="Nyala"/>
                <w:sz w:val="28"/>
                <w:szCs w:val="28"/>
              </w:rPr>
              <w:t>des éleveurs</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Description : ventes à prix modérés de 24 000 tonnes d’aliments bétail</w:t>
            </w: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Cible qualité : ménages d’éleveurs vulnérables.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Localisation : Zones de déficit fourrager important</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Durée de l’opération et dates limites : Février- juin 2018</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 CCA, Ministère de l’élevage, FAO, CSR et ONGs.</w:t>
            </w:r>
          </w:p>
        </w:tc>
      </w:tr>
      <w:tr w:rsidR="007C4BAF" w:rsidRPr="006866D3" w:rsidTr="00091DBC">
        <w:trPr>
          <w:trHeight w:val="283"/>
        </w:trPr>
        <w:tc>
          <w:tcPr>
            <w:tcW w:w="2098" w:type="dxa"/>
            <w:vAlign w:val="center"/>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Renforcer la sécurité sanitaire du cheptel au niveau des région Protéger le cheptel contre les maladies parasitaires endémiques et les foyers des </w:t>
            </w:r>
          </w:p>
          <w:p w:rsidR="007C4BAF" w:rsidRPr="006866D3" w:rsidRDefault="007C4BAF" w:rsidP="00091DBC">
            <w:pPr>
              <w:tabs>
                <w:tab w:val="left" w:pos="2895"/>
              </w:tabs>
              <w:rPr>
                <w:rFonts w:ascii="Nyala" w:hAnsi="Nyala"/>
                <w:sz w:val="28"/>
                <w:szCs w:val="28"/>
              </w:rPr>
            </w:pPr>
            <w:r w:rsidRPr="006866D3">
              <w:rPr>
                <w:rFonts w:ascii="Nyala" w:hAnsi="Nyala"/>
                <w:sz w:val="28"/>
                <w:szCs w:val="28"/>
              </w:rPr>
              <w:t>suspicions de certaines épizooties</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Description :  vacciner  et  déparasiter  le  cheptel  grâce  à  l’appui  des  services  vétérinaires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privés de proximités, achat de doses de vaccins.</w:t>
            </w: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Cible qualité : Cheptel concentré dans les zones de foyers de suspicions et d’épizooties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Localisation : Zones à risque sanitaire (de foyers de suspicions et d’épizooties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Durée de l’opération et dates limites : Janvier à Décembre 2018.</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 Ministère de l’élevage, FAO, OPE et ONGs</w:t>
            </w:r>
          </w:p>
        </w:tc>
      </w:tr>
      <w:tr w:rsidR="007C4BAF" w:rsidRPr="006866D3" w:rsidTr="00091DBC">
        <w:trPr>
          <w:trHeight w:val="283"/>
        </w:trPr>
        <w:tc>
          <w:tcPr>
            <w:tcW w:w="7427" w:type="dxa"/>
            <w:gridSpan w:val="3"/>
            <w:shd w:val="clear" w:color="auto" w:fill="FFFF00"/>
            <w:vAlign w:val="center"/>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Soutenir les victimes d’autres chocs</w:t>
            </w:r>
          </w:p>
        </w:tc>
        <w:tc>
          <w:tcPr>
            <w:tcW w:w="1928" w:type="dxa"/>
            <w:shd w:val="clear" w:color="auto" w:fill="FFFF00"/>
          </w:tcPr>
          <w:p w:rsidR="007C4BAF" w:rsidRPr="006866D3" w:rsidRDefault="007C4BAF" w:rsidP="00091DBC">
            <w:pPr>
              <w:tabs>
                <w:tab w:val="left" w:pos="2895"/>
              </w:tabs>
              <w:jc w:val="both"/>
              <w:rPr>
                <w:rFonts w:ascii="Nyala" w:hAnsi="Nyala"/>
                <w:sz w:val="28"/>
                <w:szCs w:val="28"/>
              </w:rPr>
            </w:pP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Appui aux populations victimes des inondations</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distributions gratuites de vivres et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de non vivres.  </w:t>
            </w:r>
          </w:p>
          <w:p w:rsidR="007C4BAF" w:rsidRPr="006866D3" w:rsidRDefault="007C4BAF" w:rsidP="00091DBC">
            <w:pPr>
              <w:tabs>
                <w:tab w:val="left" w:pos="2895"/>
              </w:tabs>
              <w:jc w:val="both"/>
              <w:rPr>
                <w:rFonts w:ascii="Nyala" w:hAnsi="Nyala"/>
                <w:sz w:val="28"/>
                <w:szCs w:val="28"/>
              </w:rPr>
            </w:pP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Cible qualité : populations victimes d’inondation ayant perdu leurs biens et leurs capacités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productives</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Localisation : Zones inondées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Durée de l’opération et dates limites : juin- décembre 2018.</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 MAH/GC, DNPGCA, Ministères techniques et partenaires</w:t>
            </w: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Appui aux populations réfugiées</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prise  en  charge  des  besoins  alimentaires  des  personnes  réfugiées  et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déplacées  sera réalisée à travers la mise en œuvre  </w:t>
            </w:r>
          </w:p>
          <w:p w:rsidR="007C4BAF" w:rsidRPr="006866D3" w:rsidRDefault="007C4BAF" w:rsidP="00091DBC">
            <w:pPr>
              <w:tabs>
                <w:tab w:val="left" w:pos="2895"/>
              </w:tabs>
              <w:jc w:val="both"/>
              <w:rPr>
                <w:rFonts w:ascii="Nyala" w:hAnsi="Nyala"/>
                <w:sz w:val="28"/>
                <w:szCs w:val="28"/>
              </w:rPr>
            </w:pP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Localisation : Zones de conflits, de déplacements de population</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 Durée de l’opération et dates limites : juin- décembre </w:t>
            </w:r>
          </w:p>
          <w:p w:rsidR="007C4BAF" w:rsidRPr="006866D3" w:rsidRDefault="007C4BAF" w:rsidP="00091DBC">
            <w:pPr>
              <w:tabs>
                <w:tab w:val="left" w:pos="2895"/>
              </w:tabs>
              <w:jc w:val="both"/>
              <w:rPr>
                <w:rFonts w:ascii="Nyala" w:hAnsi="Nyala"/>
                <w:sz w:val="28"/>
                <w:szCs w:val="28"/>
              </w:rPr>
            </w:pP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 MAH/GC, DNPGCA, Ministères techniques et partenaires</w:t>
            </w: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Appui aux Populations Déplacées Interne du nord Tillabéri et nord Tahoua</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Déclenchement engagé  sur la base d’évaluations multisectorielles des besoins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Mécanismes de Réponses Rapides </w:t>
            </w: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Localisation : Nord Tillabéri et Nord Tahoua, zone de déplacements de population: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période février  à  décembre 2018  </w:t>
            </w:r>
          </w:p>
          <w:p w:rsidR="007C4BAF" w:rsidRPr="006866D3" w:rsidRDefault="007C4BAF" w:rsidP="00091DBC">
            <w:pPr>
              <w:tabs>
                <w:tab w:val="left" w:pos="2895"/>
              </w:tabs>
              <w:jc w:val="both"/>
              <w:rPr>
                <w:rFonts w:ascii="Nyala" w:hAnsi="Nyala"/>
                <w:sz w:val="28"/>
                <w:szCs w:val="28"/>
              </w:rPr>
            </w:pP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MAH/GC,  DNPGCA,  Ministères  techniques  et  partenaires,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ECHO,  UNICEF,  PAM,  OCHA  et  les  ONG  concernées  (ACTED,  DRC,  IRC  et  ACF)  </w:t>
            </w:r>
          </w:p>
          <w:p w:rsidR="007C4BAF" w:rsidRPr="006866D3" w:rsidRDefault="007C4BAF" w:rsidP="00091DBC">
            <w:pPr>
              <w:tabs>
                <w:tab w:val="left" w:pos="2895"/>
              </w:tabs>
              <w:jc w:val="both"/>
              <w:rPr>
                <w:rFonts w:ascii="Nyala" w:hAnsi="Nyala"/>
                <w:sz w:val="28"/>
                <w:szCs w:val="28"/>
              </w:rPr>
            </w:pP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 xml:space="preserve">Protéger et assister les personnes victimes d’autres chocs (violences </w:t>
            </w:r>
          </w:p>
          <w:p w:rsidR="007C4BAF" w:rsidRPr="006866D3" w:rsidRDefault="007C4BAF" w:rsidP="00091DBC">
            <w:pPr>
              <w:tabs>
                <w:tab w:val="left" w:pos="2895"/>
              </w:tabs>
              <w:rPr>
                <w:rFonts w:ascii="Nyala" w:hAnsi="Nyala"/>
                <w:sz w:val="28"/>
                <w:szCs w:val="28"/>
              </w:rPr>
            </w:pPr>
            <w:r w:rsidRPr="006866D3">
              <w:rPr>
                <w:rFonts w:ascii="Nyala" w:hAnsi="Nyala"/>
                <w:sz w:val="28"/>
                <w:szCs w:val="28"/>
              </w:rPr>
              <w:t>intercommunautaires, incendies, refoulés…)</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Description :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assistance en vivres, non vivres et abris.</w:t>
            </w: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Personnes victimes des violences intercommunautaires et d’incendies,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refoulées</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Divers sites de conflit intercommunautaire et d’occurrences d’incendies, lieux d’accueils des personnes refoulées.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Durée de l’opération et dates limites ; Janvier à décembre 2018</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 MAH/GC, DNPGCA, HCR, OIM, UNICEF, CICR, etc.</w:t>
            </w: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Contribuer à la lutte préventive contre le Criquet pèlerin</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Surveillance régulière des zones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de  grégarisation  et  de  reproduction  des  Criquet  pèlerin,  </w:t>
            </w: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Zones grégarigènes l’Aïr et du Tamesna ainsi que le Sahel despâturages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juillet à décembre </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 CNLA /DGPV / DGA / FAO, ONGs</w:t>
            </w:r>
          </w:p>
        </w:tc>
      </w:tr>
      <w:tr w:rsidR="007C4BAF" w:rsidRPr="006866D3" w:rsidTr="00091DBC">
        <w:trPr>
          <w:trHeight w:val="283"/>
        </w:trPr>
        <w:tc>
          <w:tcPr>
            <w:tcW w:w="7427" w:type="dxa"/>
            <w:gridSpan w:val="3"/>
            <w:shd w:val="clear" w:color="auto" w:fill="FFC000"/>
            <w:vAlign w:val="center"/>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Renforcer les instruments et outils de prévention gestion des CC</w:t>
            </w:r>
          </w:p>
        </w:tc>
        <w:tc>
          <w:tcPr>
            <w:tcW w:w="1928" w:type="dxa"/>
            <w:shd w:val="clear" w:color="auto" w:fill="FFC000"/>
          </w:tcPr>
          <w:p w:rsidR="007C4BAF" w:rsidRPr="006866D3" w:rsidRDefault="007C4BAF" w:rsidP="00091DBC">
            <w:pPr>
              <w:tabs>
                <w:tab w:val="left" w:pos="2895"/>
              </w:tabs>
              <w:jc w:val="both"/>
              <w:rPr>
                <w:rFonts w:ascii="Nyala" w:hAnsi="Nyala"/>
                <w:sz w:val="28"/>
                <w:szCs w:val="28"/>
              </w:rPr>
            </w:pP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 xml:space="preserve">Renforcer les capacités de constitution de réserves en vivres au niveau national </w:t>
            </w:r>
          </w:p>
          <w:p w:rsidR="007C4BAF" w:rsidRPr="006866D3" w:rsidRDefault="007C4BAF" w:rsidP="00091DBC">
            <w:pPr>
              <w:tabs>
                <w:tab w:val="left" w:pos="2895"/>
              </w:tabs>
              <w:rPr>
                <w:rFonts w:ascii="Nyala" w:hAnsi="Nyala"/>
                <w:sz w:val="28"/>
                <w:szCs w:val="28"/>
              </w:rPr>
            </w:pPr>
            <w:r w:rsidRPr="006866D3">
              <w:rPr>
                <w:rFonts w:ascii="Nyala" w:hAnsi="Nyala"/>
                <w:sz w:val="28"/>
                <w:szCs w:val="28"/>
              </w:rPr>
              <w:t>et local (SNS Céréales)</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Application de la stratégie d’achats locaux  auprès des petits producteurs,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Durée de l’opération et dates limites : Janvier - Mai 2018</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CCA, HC3N</w:t>
            </w: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 xml:space="preserve">Renforcer les capacités de constitution de réserves en vivres au niveau national </w:t>
            </w:r>
          </w:p>
          <w:p w:rsidR="007C4BAF" w:rsidRPr="006866D3" w:rsidRDefault="007C4BAF" w:rsidP="00091DBC">
            <w:pPr>
              <w:tabs>
                <w:tab w:val="left" w:pos="2895"/>
              </w:tabs>
              <w:rPr>
                <w:rFonts w:ascii="Nyala" w:hAnsi="Nyala"/>
                <w:sz w:val="28"/>
                <w:szCs w:val="28"/>
              </w:rPr>
            </w:pPr>
            <w:r w:rsidRPr="006866D3">
              <w:rPr>
                <w:rFonts w:ascii="Nyala" w:hAnsi="Nyala"/>
                <w:sz w:val="28"/>
                <w:szCs w:val="28"/>
              </w:rPr>
              <w:t>et local (SNS légumineuses)</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Cette  activité  a  pour  objectif  l’amélioration  énergétique  de  la  ration alimentaire  des  bénéficiaires  dans  une  proportion  équivalente  à  25  kg  de  légumineuses distribuées pour 75kg de céréales distribuées par ménage.</w:t>
            </w: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Durée de l’opération et dates limites : Janvier - Mai 2018</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CCA</w:t>
            </w: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Renforcer  le  stock  de  la  réserve  alimentaire  et  stratégique  (RAS)  par  l’achat  de céréales</w:t>
            </w:r>
          </w:p>
        </w:tc>
        <w:tc>
          <w:tcPr>
            <w:tcW w:w="2494" w:type="dxa"/>
          </w:tcPr>
          <w:p w:rsidR="007C4BAF" w:rsidRPr="006866D3" w:rsidRDefault="007C4BAF" w:rsidP="00091DBC">
            <w:pPr>
              <w:tabs>
                <w:tab w:val="left" w:pos="2895"/>
              </w:tabs>
              <w:jc w:val="both"/>
              <w:rPr>
                <w:rFonts w:ascii="Nyala" w:hAnsi="Nyala"/>
                <w:sz w:val="28"/>
                <w:szCs w:val="28"/>
              </w:rPr>
            </w:pP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Durée de l’opération et dates limites : Janvier - juin 2018</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 OPVN, MC/PSP</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A25.</w:t>
            </w: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Renforcer  les  capacités de  constitution  de  réserves  en  vivres  pour  les  partenaires (période de Soudure et hors soudure)</w:t>
            </w:r>
          </w:p>
          <w:p w:rsidR="007C4BAF" w:rsidRPr="006866D3" w:rsidRDefault="007C4BAF" w:rsidP="00091DBC">
            <w:pPr>
              <w:tabs>
                <w:tab w:val="left" w:pos="2895"/>
              </w:tabs>
              <w:rPr>
                <w:rFonts w:ascii="Nyala" w:hAnsi="Nyala"/>
                <w:sz w:val="28"/>
                <w:szCs w:val="28"/>
              </w:rPr>
            </w:pP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Achats de  de vivres pour la distribution pendant la soudure  et pour  l’assistance  alimentaire  pendant  la  période  hors  soudure  pour  les réfugiés, les retournés et les déplacés internes</w:t>
            </w: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Durée de l’opération et dates limites : Janvier - Mai </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 PAM, CICR, MAH/GC, ONG, autres acteurs</w:t>
            </w: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Contribuer à la lutte préventive contre le Criquet pèlerin</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Surveillance régulière des zones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de  grégarisation  et  de  reproduction  des  Criquet  pèlerin,  </w:t>
            </w: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Zones grégarigènes l’Aïr et du Tamesna (24 200 000 ha) ainsi que le Sahel des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pâturages </w:t>
            </w:r>
          </w:p>
          <w:p w:rsidR="007C4BAF" w:rsidRPr="006866D3" w:rsidRDefault="007C4BAF" w:rsidP="00091DBC">
            <w:pPr>
              <w:tabs>
                <w:tab w:val="left" w:pos="2895"/>
              </w:tabs>
              <w:jc w:val="both"/>
              <w:rPr>
                <w:rFonts w:ascii="Nyala" w:hAnsi="Nyala"/>
                <w:sz w:val="28"/>
                <w:szCs w:val="28"/>
              </w:rPr>
            </w:pP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juillet à décembre </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 CNLA /DGPV / DGA / FAO, ONGs</w:t>
            </w: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 xml:space="preserve">Renforcer les systèmes d’information sur la situation alimentaire, nutritionnelle et </w:t>
            </w:r>
          </w:p>
          <w:p w:rsidR="007C4BAF" w:rsidRPr="006866D3" w:rsidRDefault="007C4BAF" w:rsidP="00091DBC">
            <w:pPr>
              <w:tabs>
                <w:tab w:val="left" w:pos="2895"/>
              </w:tabs>
              <w:rPr>
                <w:rFonts w:ascii="Nyala" w:hAnsi="Nyala"/>
                <w:sz w:val="28"/>
                <w:szCs w:val="28"/>
              </w:rPr>
            </w:pPr>
            <w:r w:rsidRPr="006866D3">
              <w:rPr>
                <w:rFonts w:ascii="Nyala" w:hAnsi="Nyala"/>
                <w:sz w:val="28"/>
                <w:szCs w:val="28"/>
              </w:rPr>
              <w:t>de veille pastorale</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Assurer en priorité l’organisation des  deux  rencontres techniques  annuelles  et la réalisation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de l’enquête sur la vulnérabilité.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Des  missions d’évaluation rapide de la situation alimentaire des populations impactées par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un choc soudain pourra être réalisé sous le lead de la CC/SAP</w:t>
            </w: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dispositifs  nationaux et locaux d’alerte et de veille au niveau des communes  (Observatoires  de  suivi  de  la  vulnérabilité)  et  des  communautés  (Systèmes communautaires  d’alerte  précoce  et  de  réponse  aux  urgences),  des  marchés  (appui  aux fonctionnements des SIMA et SIMB), et la veille nutritionnelle (sites sentinelles).</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Janvier à Décembre </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 SAP, PNUD, PAM, ONGs, SIMA, SIMB etc…</w:t>
            </w: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Renforcer les capacités de coordination nationales en matière de préventions et de gestion de crises dans le cadre des interventions du plan de soutien</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réunions de concertations et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coordination ;  missions conjointes  de  supervision  et  autres actions convenues fonctionnement  des  Comités  Régionaux  et  Sous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Régionaux ainsi que des groupes de coordination au niveau central.</w:t>
            </w: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Durée de l’opération et dates limites : janvier à décembre </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 SP / SAP / CCA, clusters</w:t>
            </w: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Assurer le suivi-évaluation de la mise en œuvre du plan de soutien et sa visibilité</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Activités de planification et de communication</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Etudes et rencontres</w:t>
            </w: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comités  régionaux et sous- régionaux  de PGCCA,  les  Observatoires  de  suivi  de  la vulnérabilité  (OSV),  les  systèmes  communautaires  d’alerte  précoce  et  réponse  d’urgence </w:t>
            </w:r>
          </w:p>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(SCAP-RU).</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 SP/DNPGCA, CCA, SAP, CFS</w:t>
            </w:r>
          </w:p>
        </w:tc>
      </w:tr>
      <w:tr w:rsidR="007C4BAF" w:rsidRPr="006866D3" w:rsidTr="00091DBC">
        <w:trPr>
          <w:trHeight w:val="283"/>
        </w:trPr>
        <w:tc>
          <w:tcPr>
            <w:tcW w:w="2098" w:type="dxa"/>
            <w:vAlign w:val="center"/>
          </w:tcPr>
          <w:p w:rsidR="007C4BAF" w:rsidRPr="006866D3" w:rsidRDefault="007C4BAF" w:rsidP="00091DBC">
            <w:pPr>
              <w:tabs>
                <w:tab w:val="left" w:pos="2895"/>
              </w:tabs>
              <w:rPr>
                <w:rFonts w:ascii="Nyala" w:hAnsi="Nyala"/>
                <w:sz w:val="28"/>
                <w:szCs w:val="28"/>
              </w:rPr>
            </w:pPr>
            <w:r w:rsidRPr="006866D3">
              <w:rPr>
                <w:rFonts w:ascii="Nyala" w:hAnsi="Nyala"/>
                <w:sz w:val="28"/>
                <w:szCs w:val="28"/>
              </w:rPr>
              <w:t xml:space="preserve">Renforcer  la  capitalisation  et  la  consolidation  des  données  sur les interventions  à </w:t>
            </w:r>
          </w:p>
          <w:p w:rsidR="007C4BAF" w:rsidRPr="006866D3" w:rsidRDefault="007C4BAF" w:rsidP="00091DBC">
            <w:pPr>
              <w:tabs>
                <w:tab w:val="left" w:pos="2895"/>
              </w:tabs>
              <w:rPr>
                <w:rFonts w:ascii="Nyala" w:hAnsi="Nyala"/>
                <w:sz w:val="28"/>
                <w:szCs w:val="28"/>
              </w:rPr>
            </w:pPr>
            <w:r w:rsidRPr="006866D3">
              <w:rPr>
                <w:rFonts w:ascii="Nyala" w:hAnsi="Nyala"/>
                <w:sz w:val="28"/>
                <w:szCs w:val="28"/>
              </w:rPr>
              <w:t>travers une revue après action des interventions du plan de soutien</w:t>
            </w:r>
          </w:p>
        </w:tc>
        <w:tc>
          <w:tcPr>
            <w:tcW w:w="2494"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ateliers régionaux sur le terrain et  atelier national en charge de consolider et de capitaliser toutes les données.</w:t>
            </w:r>
          </w:p>
        </w:tc>
        <w:tc>
          <w:tcPr>
            <w:tcW w:w="2835"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 xml:space="preserve">Novembre-décembre </w:t>
            </w:r>
          </w:p>
        </w:tc>
        <w:tc>
          <w:tcPr>
            <w:tcW w:w="1928" w:type="dxa"/>
          </w:tcPr>
          <w:p w:rsidR="007C4BAF" w:rsidRPr="006866D3" w:rsidRDefault="007C4BAF" w:rsidP="00091DBC">
            <w:pPr>
              <w:tabs>
                <w:tab w:val="left" w:pos="2895"/>
              </w:tabs>
              <w:jc w:val="both"/>
              <w:rPr>
                <w:rFonts w:ascii="Nyala" w:hAnsi="Nyala"/>
                <w:sz w:val="28"/>
                <w:szCs w:val="28"/>
              </w:rPr>
            </w:pPr>
            <w:r w:rsidRPr="006866D3">
              <w:rPr>
                <w:rFonts w:ascii="Nyala" w:hAnsi="Nyala"/>
                <w:sz w:val="28"/>
                <w:szCs w:val="28"/>
              </w:rPr>
              <w:t>Partenaires de mise en œuvre : SP/DNPGCA, CCA, SP, SAP, PAM, ONGs</w:t>
            </w:r>
          </w:p>
        </w:tc>
      </w:tr>
    </w:tbl>
    <w:p w:rsidR="007C4BAF" w:rsidRPr="006866D3" w:rsidRDefault="007C4BAF" w:rsidP="007C4BAF">
      <w:pPr>
        <w:tabs>
          <w:tab w:val="left" w:pos="2895"/>
        </w:tabs>
        <w:jc w:val="both"/>
        <w:rPr>
          <w:rFonts w:ascii="Nyala" w:hAnsi="Nyala"/>
          <w:sz w:val="28"/>
          <w:szCs w:val="28"/>
        </w:rPr>
      </w:pPr>
    </w:p>
    <w:p w:rsidR="00B56E1F" w:rsidRPr="006866D3" w:rsidRDefault="00B56E1F">
      <w:pPr>
        <w:rPr>
          <w:rFonts w:ascii="Nyala" w:hAnsi="Nyala"/>
          <w:sz w:val="28"/>
          <w:szCs w:val="28"/>
        </w:rPr>
      </w:pPr>
      <w:r w:rsidRPr="006866D3">
        <w:rPr>
          <w:rFonts w:ascii="Nyala" w:hAnsi="Nyala"/>
          <w:sz w:val="28"/>
          <w:szCs w:val="28"/>
        </w:rPr>
        <w:br w:type="page"/>
      </w:r>
    </w:p>
    <w:p w:rsidR="00B56E1F" w:rsidRPr="006866D3" w:rsidRDefault="00B56E1F" w:rsidP="007C4BAF">
      <w:pPr>
        <w:tabs>
          <w:tab w:val="left" w:pos="2895"/>
        </w:tabs>
        <w:jc w:val="both"/>
        <w:rPr>
          <w:rFonts w:ascii="Nyala" w:hAnsi="Nyala"/>
          <w:sz w:val="28"/>
          <w:szCs w:val="28"/>
        </w:rPr>
      </w:pPr>
    </w:p>
    <w:p w:rsidR="00D44789" w:rsidRPr="006866D3" w:rsidRDefault="00B56E1F" w:rsidP="000F30A3">
      <w:pPr>
        <w:pStyle w:val="Titre2"/>
        <w:rPr>
          <w:sz w:val="28"/>
          <w:szCs w:val="28"/>
        </w:rPr>
      </w:pPr>
      <w:bookmarkStart w:id="597" w:name="_Toc526120006"/>
      <w:r w:rsidRPr="006866D3">
        <w:rPr>
          <w:sz w:val="28"/>
          <w:szCs w:val="28"/>
        </w:rPr>
        <w:t>Termes de référence de la revue</w:t>
      </w:r>
      <w:bookmarkEnd w:id="597"/>
    </w:p>
    <w:p w:rsidR="00C86B8D" w:rsidRPr="006866D3" w:rsidRDefault="00C86B8D" w:rsidP="00785B6D">
      <w:pPr>
        <w:rPr>
          <w:sz w:val="28"/>
          <w:szCs w:val="28"/>
        </w:rPr>
      </w:pPr>
    </w:p>
    <w:p w:rsidR="00C86B8D" w:rsidRPr="006866D3" w:rsidRDefault="00C86B8D" w:rsidP="00C86B8D">
      <w:pPr>
        <w:jc w:val="center"/>
        <w:rPr>
          <w:rFonts w:ascii="Nyala" w:hAnsi="Nyala" w:cstheme="minorHAnsi"/>
          <w:b/>
          <w:sz w:val="28"/>
          <w:szCs w:val="28"/>
        </w:rPr>
      </w:pPr>
      <w:r w:rsidRPr="006866D3">
        <w:rPr>
          <w:rFonts w:ascii="Nyala" w:hAnsi="Nyala" w:cstheme="minorHAnsi"/>
          <w:b/>
          <w:sz w:val="28"/>
          <w:szCs w:val="28"/>
        </w:rPr>
        <w:t xml:space="preserve">Examen Stratégique National « Faim Zéro » au Niger Termes de référence -  Facilitateur en chef </w:t>
      </w:r>
    </w:p>
    <w:p w:rsidR="00C86B8D" w:rsidRPr="006866D3" w:rsidRDefault="00C86B8D" w:rsidP="00C86B8D">
      <w:pPr>
        <w:keepNext/>
        <w:keepLines/>
        <w:spacing w:before="120"/>
        <w:contextualSpacing/>
        <w:jc w:val="both"/>
        <w:rPr>
          <w:rFonts w:ascii="Nyala" w:hAnsi="Nyala" w:cstheme="minorHAnsi"/>
          <w:b/>
          <w:sz w:val="28"/>
          <w:szCs w:val="28"/>
        </w:rPr>
      </w:pPr>
      <w:r w:rsidRPr="006866D3">
        <w:rPr>
          <w:rFonts w:ascii="Nyala" w:hAnsi="Nyala" w:cstheme="minorHAnsi"/>
          <w:b/>
          <w:sz w:val="28"/>
          <w:szCs w:val="28"/>
        </w:rPr>
        <w:t>1. Introduction</w:t>
      </w:r>
    </w:p>
    <w:p w:rsidR="00C86B8D" w:rsidRPr="006866D3" w:rsidRDefault="00C86B8D" w:rsidP="00C86B8D">
      <w:pPr>
        <w:keepNext/>
        <w:keepLines/>
        <w:spacing w:before="120"/>
        <w:jc w:val="both"/>
        <w:rPr>
          <w:rFonts w:ascii="Nyala" w:hAnsi="Nyala" w:cstheme="minorHAnsi"/>
          <w:sz w:val="28"/>
          <w:szCs w:val="28"/>
        </w:rPr>
      </w:pPr>
      <w:r w:rsidRPr="006866D3">
        <w:rPr>
          <w:rFonts w:ascii="Nyala" w:hAnsi="Nyala" w:cstheme="minorHAnsi"/>
          <w:sz w:val="28"/>
          <w:szCs w:val="28"/>
        </w:rPr>
        <w:t>Les problèmes liés à la faim à travers le monde préoccupent au plus haut niveau les dirigeants du monde entier qui ont fait de l’élimination de la faim l’un des 17 objectifs de l’Agenda 2030 pour le Développement Durable, qu’ils ont adopté en septembre 2015 à New York.</w:t>
      </w:r>
    </w:p>
    <w:p w:rsidR="00C86B8D" w:rsidRPr="006866D3" w:rsidRDefault="00C86B8D" w:rsidP="00C86B8D">
      <w:pPr>
        <w:keepNext/>
        <w:keepLines/>
        <w:spacing w:before="120"/>
        <w:jc w:val="both"/>
        <w:rPr>
          <w:rFonts w:ascii="Nyala" w:hAnsi="Nyala" w:cstheme="minorHAnsi"/>
          <w:sz w:val="28"/>
          <w:szCs w:val="28"/>
        </w:rPr>
      </w:pPr>
      <w:r w:rsidRPr="006866D3">
        <w:rPr>
          <w:rFonts w:ascii="Nyala" w:hAnsi="Nyala" w:cstheme="minorHAnsi"/>
          <w:sz w:val="28"/>
          <w:szCs w:val="28"/>
        </w:rPr>
        <w:t>L’Objectif de Développement Durable 2 (ODD 2) vise à « éliminer la faim, assurer la sécurité alimentaire, améliorer la nutrition et promouvoir l’agriculture durable » et appelle les pays membres des Nations Unies à mettre en place des politiques et des stratégies nationales spécifiques pour rendre plus cohérents et plus efficaces leurs efforts afin d’atteindre cet objectif à l’horizon 2030.</w:t>
      </w:r>
    </w:p>
    <w:p w:rsidR="00C86B8D" w:rsidRPr="006866D3" w:rsidRDefault="00C86B8D" w:rsidP="00C86B8D">
      <w:pPr>
        <w:keepNext/>
        <w:keepLines/>
        <w:spacing w:before="120"/>
        <w:jc w:val="both"/>
        <w:rPr>
          <w:rFonts w:ascii="Nyala" w:hAnsi="Nyala" w:cstheme="minorHAnsi"/>
          <w:sz w:val="28"/>
          <w:szCs w:val="28"/>
        </w:rPr>
      </w:pPr>
      <w:r w:rsidRPr="006866D3">
        <w:rPr>
          <w:rFonts w:ascii="Nyala" w:hAnsi="Nyala" w:cstheme="minorHAnsi"/>
          <w:sz w:val="28"/>
          <w:szCs w:val="28"/>
        </w:rPr>
        <w:t xml:space="preserve">Dans ce contexte, le Programme Alimentaire Mondial (PAM) soutient la mise en œuvre d’un Examen Stratégique National « Faim Zéro » afin d’appuyer le gouvernement et ses partenaires dans la définition d’une feuille de route pour atteindre l’ODD 2 d'ici 2030. L’Examen Stratégique National « Faim Zéro » est un processus indépendant et participatif visant à identifier les défis majeurs que doit surmonter le Niger pour éliminer la faim d’ici 2030. L'examen vise à favoriser une compréhension commune des défis et des lacunes des politiques, stratégies et des programmes sectoriels et multisectoriels qui sont essentiels à la réalisation de l’ODD2, identifier les mesures et actions qui devraient être priorisées afin d’atteindre cet Objectif et élaborer une feuille de route afin de définir les modalités et le calendrier de mise en œuvre des actions prioritaires. </w:t>
      </w:r>
    </w:p>
    <w:p w:rsidR="00C86B8D" w:rsidRPr="006866D3" w:rsidRDefault="00C86B8D" w:rsidP="00C86B8D">
      <w:pPr>
        <w:spacing w:before="120"/>
        <w:jc w:val="both"/>
        <w:rPr>
          <w:rFonts w:ascii="Nyala" w:hAnsi="Nyala" w:cstheme="minorHAnsi"/>
          <w:sz w:val="28"/>
          <w:szCs w:val="28"/>
        </w:rPr>
      </w:pPr>
      <w:r w:rsidRPr="006866D3">
        <w:rPr>
          <w:rFonts w:ascii="Nyala" w:hAnsi="Nyala" w:cstheme="minorHAnsi"/>
          <w:sz w:val="28"/>
          <w:szCs w:val="28"/>
        </w:rPr>
        <w:t>Le Facilitateur en chef de l’Examen Stratégique National « Faim Zéro » dirige le processus en concertation avec le Gouvernement et l’ensemble des partenaires au sein du Comité Consultatif. Il sera assisté par une équipe de Consultants ou une institution de recherche nationale et recevra en outre un soutien administratif et logistique du PAM.</w:t>
      </w:r>
    </w:p>
    <w:p w:rsidR="00C86B8D" w:rsidRPr="006866D3" w:rsidRDefault="00C86B8D" w:rsidP="00C86B8D">
      <w:pPr>
        <w:spacing w:before="120"/>
        <w:jc w:val="both"/>
        <w:rPr>
          <w:rFonts w:ascii="Nyala" w:hAnsi="Nyala" w:cstheme="minorHAnsi"/>
          <w:sz w:val="28"/>
          <w:szCs w:val="28"/>
        </w:rPr>
      </w:pPr>
      <w:r w:rsidRPr="006866D3">
        <w:rPr>
          <w:rFonts w:ascii="Nyala" w:hAnsi="Nyala" w:cstheme="minorHAnsi"/>
          <w:sz w:val="28"/>
          <w:szCs w:val="28"/>
        </w:rPr>
        <w:t>Les principaux objectifs de l’Examen Stratégique National « Faim Zéro » sont :</w:t>
      </w:r>
    </w:p>
    <w:p w:rsidR="00C86B8D" w:rsidRPr="006866D3" w:rsidRDefault="00C86B8D" w:rsidP="0059103A">
      <w:pPr>
        <w:pStyle w:val="Paragraphedeliste"/>
        <w:numPr>
          <w:ilvl w:val="0"/>
          <w:numId w:val="30"/>
        </w:numPr>
        <w:spacing w:before="0" w:after="160" w:line="259" w:lineRule="auto"/>
        <w:ind w:left="567"/>
        <w:jc w:val="both"/>
        <w:rPr>
          <w:rFonts w:ascii="Nyala" w:hAnsi="Nyala" w:cstheme="minorHAnsi"/>
          <w:sz w:val="28"/>
          <w:szCs w:val="28"/>
        </w:rPr>
      </w:pPr>
      <w:r w:rsidRPr="006866D3">
        <w:rPr>
          <w:rFonts w:ascii="Nyala" w:hAnsi="Nyala" w:cstheme="minorHAnsi"/>
          <w:sz w:val="28"/>
          <w:szCs w:val="28"/>
        </w:rPr>
        <w:t>Fournir une compréhension approfondie et analyse conjointe de l’état de la sécurité alimentaire et de la nutrition dans le pays</w:t>
      </w:r>
    </w:p>
    <w:p w:rsidR="00C86B8D" w:rsidRPr="006866D3" w:rsidRDefault="00C86B8D" w:rsidP="0059103A">
      <w:pPr>
        <w:pStyle w:val="Paragraphedeliste"/>
        <w:numPr>
          <w:ilvl w:val="0"/>
          <w:numId w:val="30"/>
        </w:numPr>
        <w:spacing w:before="0" w:after="160" w:line="259" w:lineRule="auto"/>
        <w:ind w:left="567"/>
        <w:jc w:val="both"/>
        <w:rPr>
          <w:rFonts w:ascii="Nyala" w:hAnsi="Nyala" w:cstheme="minorHAnsi"/>
          <w:sz w:val="28"/>
          <w:szCs w:val="28"/>
        </w:rPr>
      </w:pPr>
      <w:r w:rsidRPr="006866D3">
        <w:rPr>
          <w:rFonts w:ascii="Nyala" w:hAnsi="Nyala" w:cstheme="minorHAnsi"/>
          <w:sz w:val="28"/>
          <w:szCs w:val="28"/>
        </w:rPr>
        <w:t>Déterminer les progrès atteints par les politiques et programmes de lutte contre la faim, les capacités institutionnelles et les ressources mises en œuvre</w:t>
      </w:r>
    </w:p>
    <w:p w:rsidR="00C86B8D" w:rsidRPr="006866D3" w:rsidRDefault="00C86B8D" w:rsidP="0059103A">
      <w:pPr>
        <w:pStyle w:val="Paragraphedeliste"/>
        <w:numPr>
          <w:ilvl w:val="0"/>
          <w:numId w:val="30"/>
        </w:numPr>
        <w:spacing w:before="0" w:after="160" w:line="259" w:lineRule="auto"/>
        <w:ind w:left="567"/>
        <w:jc w:val="both"/>
        <w:rPr>
          <w:rFonts w:ascii="Nyala" w:hAnsi="Nyala" w:cstheme="minorHAnsi"/>
          <w:sz w:val="28"/>
          <w:szCs w:val="28"/>
        </w:rPr>
      </w:pPr>
      <w:r w:rsidRPr="006866D3">
        <w:rPr>
          <w:rFonts w:ascii="Nyala" w:hAnsi="Nyala" w:cstheme="minorHAnsi"/>
          <w:sz w:val="28"/>
          <w:szCs w:val="28"/>
        </w:rPr>
        <w:t xml:space="preserve">Identifier les défis humanitaires et de développement qui freinent la réalisation de l’objectif « faim zéro » (identification et analyse des lacunes des politiques, stratégies et des programmes sectoriels et multisectoriels qui sont essentiels à la réalisation de l’ODD2 et de ses cibles); </w:t>
      </w:r>
    </w:p>
    <w:p w:rsidR="00C86B8D" w:rsidRPr="006866D3" w:rsidRDefault="00C86B8D" w:rsidP="0059103A">
      <w:pPr>
        <w:pStyle w:val="Paragraphedeliste"/>
        <w:numPr>
          <w:ilvl w:val="0"/>
          <w:numId w:val="30"/>
        </w:numPr>
        <w:spacing w:before="0" w:after="160" w:line="259" w:lineRule="auto"/>
        <w:ind w:left="567"/>
        <w:jc w:val="both"/>
        <w:rPr>
          <w:rFonts w:ascii="Nyala" w:hAnsi="Nyala" w:cstheme="minorHAnsi"/>
          <w:sz w:val="28"/>
          <w:szCs w:val="28"/>
        </w:rPr>
      </w:pPr>
      <w:r w:rsidRPr="006866D3">
        <w:rPr>
          <w:rFonts w:ascii="Nyala" w:hAnsi="Nyala" w:cstheme="minorHAnsi"/>
          <w:sz w:val="28"/>
          <w:szCs w:val="28"/>
        </w:rPr>
        <w:t>Recommander une feuille de route commune pour la « faim zéro » en y identifiant les principales étapes et actions prioritaires.</w:t>
      </w:r>
    </w:p>
    <w:p w:rsidR="00C86B8D" w:rsidRPr="006866D3" w:rsidRDefault="00C86B8D" w:rsidP="00C86B8D">
      <w:pPr>
        <w:jc w:val="both"/>
        <w:rPr>
          <w:rFonts w:ascii="Nyala" w:hAnsi="Nyala" w:cstheme="minorHAnsi"/>
          <w:sz w:val="28"/>
          <w:szCs w:val="28"/>
        </w:rPr>
      </w:pPr>
      <w:r w:rsidRPr="006866D3">
        <w:rPr>
          <w:rFonts w:ascii="Nyala" w:hAnsi="Nyala" w:cstheme="minorHAnsi"/>
          <w:sz w:val="28"/>
          <w:szCs w:val="28"/>
        </w:rPr>
        <w:t>Les conclusions et les recommandations issues de l’Examen Stratégique National « Faim Zéro » serviront de sources d’information lors de la formulation du Plan Stratégique Pays du PAM et pourraient également contribuer à la planification des cadres nationaux de développement et, en outre, alimenter les plans cadres stratégiques de toutes les parties prenantes au processus au Niger.</w:t>
      </w:r>
    </w:p>
    <w:p w:rsidR="00C86B8D" w:rsidRPr="006866D3" w:rsidRDefault="00C86B8D" w:rsidP="00C86B8D">
      <w:pPr>
        <w:spacing w:before="120"/>
        <w:jc w:val="both"/>
        <w:rPr>
          <w:rFonts w:ascii="Nyala" w:hAnsi="Nyala" w:cstheme="minorHAnsi"/>
          <w:sz w:val="28"/>
          <w:szCs w:val="28"/>
        </w:rPr>
      </w:pPr>
      <w:r w:rsidRPr="006866D3">
        <w:rPr>
          <w:rFonts w:ascii="Nyala" w:hAnsi="Nyala" w:cstheme="minorHAnsi"/>
          <w:b/>
          <w:sz w:val="28"/>
          <w:szCs w:val="28"/>
        </w:rPr>
        <w:t>2.  Prestations à fournir par le Facilitateur</w:t>
      </w:r>
    </w:p>
    <w:p w:rsidR="00C86B8D" w:rsidRPr="006866D3" w:rsidRDefault="00C86B8D" w:rsidP="0059103A">
      <w:pPr>
        <w:pStyle w:val="Paragraphedeliste"/>
        <w:numPr>
          <w:ilvl w:val="0"/>
          <w:numId w:val="27"/>
        </w:numPr>
        <w:spacing w:before="120" w:after="0" w:line="240" w:lineRule="auto"/>
        <w:jc w:val="both"/>
        <w:rPr>
          <w:rFonts w:ascii="Nyala" w:hAnsi="Nyala" w:cstheme="minorHAnsi"/>
          <w:sz w:val="28"/>
          <w:szCs w:val="28"/>
        </w:rPr>
      </w:pPr>
      <w:r w:rsidRPr="006866D3">
        <w:rPr>
          <w:rFonts w:ascii="Nyala" w:hAnsi="Nyala" w:cstheme="minorHAnsi"/>
          <w:sz w:val="28"/>
          <w:szCs w:val="28"/>
        </w:rPr>
        <w:t>Motiver et fédérer les parties prenantes et faciliter les concertations dans le cadre du processus de l’examen stratégique national « faim zéro » conformément aux objectifs listés, ci-dessus.</w:t>
      </w:r>
    </w:p>
    <w:p w:rsidR="00C86B8D" w:rsidRPr="006866D3" w:rsidRDefault="00C86B8D" w:rsidP="0059103A">
      <w:pPr>
        <w:pStyle w:val="Paragraphedeliste"/>
        <w:numPr>
          <w:ilvl w:val="0"/>
          <w:numId w:val="27"/>
        </w:numPr>
        <w:spacing w:before="120" w:after="0" w:line="240" w:lineRule="auto"/>
        <w:jc w:val="both"/>
        <w:rPr>
          <w:rFonts w:ascii="Nyala" w:hAnsi="Nyala" w:cstheme="minorHAnsi"/>
          <w:sz w:val="28"/>
          <w:szCs w:val="28"/>
        </w:rPr>
      </w:pPr>
      <w:r w:rsidRPr="006866D3">
        <w:rPr>
          <w:rFonts w:ascii="Nyala" w:hAnsi="Nyala" w:cstheme="minorHAnsi"/>
          <w:sz w:val="28"/>
          <w:szCs w:val="28"/>
        </w:rPr>
        <w:t>Concevoir et mettre en œuvre le plan de travail de l’Examen Stratégique National « Faim Zéro».</w:t>
      </w:r>
    </w:p>
    <w:p w:rsidR="00C86B8D" w:rsidRPr="006866D3" w:rsidRDefault="00C86B8D" w:rsidP="0059103A">
      <w:pPr>
        <w:pStyle w:val="Paragraphedeliste"/>
        <w:numPr>
          <w:ilvl w:val="0"/>
          <w:numId w:val="27"/>
        </w:numPr>
        <w:spacing w:before="120" w:after="0" w:line="240" w:lineRule="auto"/>
        <w:jc w:val="both"/>
        <w:rPr>
          <w:rFonts w:ascii="Nyala" w:hAnsi="Nyala" w:cstheme="minorHAnsi"/>
          <w:sz w:val="28"/>
          <w:szCs w:val="28"/>
        </w:rPr>
      </w:pPr>
      <w:r w:rsidRPr="006866D3">
        <w:rPr>
          <w:rFonts w:ascii="Nyala" w:hAnsi="Nyala" w:cstheme="minorHAnsi"/>
          <w:sz w:val="28"/>
          <w:szCs w:val="28"/>
        </w:rPr>
        <w:t>Guider et coordonner le travail de l’Equipe de Recherche qui mènera la collecte et l'analyse de données secondaires, la mise en œuvre de consultations, ateliers et visites de terrain ainsi que la rédaction du rapport final.</w:t>
      </w:r>
    </w:p>
    <w:p w:rsidR="00C86B8D" w:rsidRPr="006866D3" w:rsidRDefault="00C86B8D" w:rsidP="0059103A">
      <w:pPr>
        <w:pStyle w:val="Paragraphedeliste"/>
        <w:numPr>
          <w:ilvl w:val="0"/>
          <w:numId w:val="27"/>
        </w:numPr>
        <w:spacing w:before="120" w:after="0" w:line="240" w:lineRule="auto"/>
        <w:jc w:val="both"/>
        <w:rPr>
          <w:rFonts w:ascii="Nyala" w:hAnsi="Nyala" w:cstheme="minorHAnsi"/>
          <w:sz w:val="28"/>
          <w:szCs w:val="28"/>
        </w:rPr>
      </w:pPr>
      <w:r w:rsidRPr="006866D3">
        <w:rPr>
          <w:rFonts w:ascii="Nyala" w:hAnsi="Nyala" w:cstheme="minorHAnsi"/>
          <w:sz w:val="28"/>
          <w:szCs w:val="28"/>
        </w:rPr>
        <w:t>Guider et coordonner le travail de l’Equipe Technique, au sein de laquelle les points focaux techniques de différents ministères et partenaires diffusent les données et études existantes, et examine la nature technique des conclusions et recommandations de l’Examen.</w:t>
      </w:r>
    </w:p>
    <w:p w:rsidR="00C86B8D" w:rsidRPr="006866D3" w:rsidRDefault="00C86B8D" w:rsidP="0059103A">
      <w:pPr>
        <w:pStyle w:val="Paragraphedeliste"/>
        <w:numPr>
          <w:ilvl w:val="0"/>
          <w:numId w:val="27"/>
        </w:numPr>
        <w:spacing w:before="120" w:after="0" w:line="240" w:lineRule="auto"/>
        <w:jc w:val="both"/>
        <w:rPr>
          <w:rFonts w:ascii="Nyala" w:hAnsi="Nyala" w:cstheme="minorHAnsi"/>
          <w:sz w:val="28"/>
          <w:szCs w:val="28"/>
        </w:rPr>
      </w:pPr>
      <w:r w:rsidRPr="006866D3">
        <w:rPr>
          <w:rFonts w:ascii="Nyala" w:hAnsi="Nyala" w:cstheme="minorHAnsi"/>
          <w:sz w:val="28"/>
          <w:szCs w:val="28"/>
        </w:rPr>
        <w:t xml:space="preserve">Faciliter les consultations avec les différentes composantes, y compris les autorités du Gouvernement, les autorités locales, les représentants de la société civile, du secteur privé, des agences du Système des Nations Unies et autres partenaires techniques financiers. </w:t>
      </w:r>
    </w:p>
    <w:p w:rsidR="00C86B8D" w:rsidRPr="006866D3" w:rsidRDefault="00C86B8D" w:rsidP="0059103A">
      <w:pPr>
        <w:pStyle w:val="Paragraphedeliste"/>
        <w:numPr>
          <w:ilvl w:val="0"/>
          <w:numId w:val="27"/>
        </w:numPr>
        <w:spacing w:before="120" w:after="0" w:line="240" w:lineRule="auto"/>
        <w:jc w:val="both"/>
        <w:rPr>
          <w:rFonts w:ascii="Nyala" w:hAnsi="Nyala" w:cstheme="minorHAnsi"/>
          <w:sz w:val="28"/>
          <w:szCs w:val="28"/>
        </w:rPr>
      </w:pPr>
      <w:r w:rsidRPr="006866D3">
        <w:rPr>
          <w:rFonts w:ascii="Nyala" w:hAnsi="Nyala" w:cstheme="minorHAnsi"/>
          <w:sz w:val="28"/>
          <w:szCs w:val="28"/>
        </w:rPr>
        <w:t>Recueillir et synthétiser les remarques et les contributions de toutes les parties prenantes.</w:t>
      </w:r>
    </w:p>
    <w:p w:rsidR="00C86B8D" w:rsidRPr="006866D3" w:rsidRDefault="00C86B8D" w:rsidP="0059103A">
      <w:pPr>
        <w:pStyle w:val="Paragraphedeliste"/>
        <w:numPr>
          <w:ilvl w:val="0"/>
          <w:numId w:val="27"/>
        </w:numPr>
        <w:spacing w:before="120" w:after="0" w:line="240" w:lineRule="auto"/>
        <w:jc w:val="both"/>
        <w:rPr>
          <w:rFonts w:ascii="Nyala" w:hAnsi="Nyala" w:cstheme="minorHAnsi"/>
          <w:sz w:val="28"/>
          <w:szCs w:val="28"/>
        </w:rPr>
      </w:pPr>
      <w:r w:rsidRPr="006866D3">
        <w:rPr>
          <w:rFonts w:ascii="Nyala" w:hAnsi="Nyala" w:cstheme="minorHAnsi"/>
          <w:sz w:val="28"/>
          <w:szCs w:val="28"/>
        </w:rPr>
        <w:t xml:space="preserve">Livrer le rapport final de l’examen stratégique national « faim zéro » conformément aux résultats définis (Voir annexe IV). </w:t>
      </w:r>
    </w:p>
    <w:p w:rsidR="00C86B8D" w:rsidRPr="006866D3" w:rsidRDefault="00C86B8D" w:rsidP="0059103A">
      <w:pPr>
        <w:pStyle w:val="Paragraphedeliste"/>
        <w:numPr>
          <w:ilvl w:val="0"/>
          <w:numId w:val="27"/>
        </w:numPr>
        <w:spacing w:before="120" w:after="0" w:line="240" w:lineRule="auto"/>
        <w:jc w:val="both"/>
        <w:rPr>
          <w:rFonts w:ascii="Nyala" w:hAnsi="Nyala" w:cstheme="minorHAnsi"/>
          <w:sz w:val="28"/>
          <w:szCs w:val="28"/>
        </w:rPr>
      </w:pPr>
      <w:r w:rsidRPr="006866D3">
        <w:rPr>
          <w:rFonts w:ascii="Nyala" w:hAnsi="Nyala" w:cstheme="minorHAnsi"/>
          <w:sz w:val="28"/>
          <w:szCs w:val="28"/>
        </w:rPr>
        <w:t xml:space="preserve">Faire régulièrement l’état des travaux auprès des services dédiés du PAM. </w:t>
      </w:r>
    </w:p>
    <w:p w:rsidR="00C86B8D" w:rsidRPr="006866D3" w:rsidRDefault="00C86B8D" w:rsidP="00C86B8D">
      <w:pPr>
        <w:spacing w:before="120"/>
        <w:jc w:val="both"/>
        <w:rPr>
          <w:rFonts w:ascii="Nyala" w:hAnsi="Nyala" w:cstheme="minorHAnsi"/>
          <w:b/>
          <w:sz w:val="28"/>
          <w:szCs w:val="28"/>
        </w:rPr>
      </w:pPr>
      <w:r w:rsidRPr="006866D3">
        <w:rPr>
          <w:rFonts w:ascii="Nyala" w:hAnsi="Nyala" w:cstheme="minorHAnsi"/>
          <w:b/>
          <w:sz w:val="28"/>
          <w:szCs w:val="28"/>
        </w:rPr>
        <w:t>3. Critères de qualification</w:t>
      </w:r>
    </w:p>
    <w:p w:rsidR="00C86B8D" w:rsidRPr="006866D3" w:rsidRDefault="00C86B8D" w:rsidP="0059103A">
      <w:pPr>
        <w:pStyle w:val="Paragraphedeliste"/>
        <w:numPr>
          <w:ilvl w:val="0"/>
          <w:numId w:val="28"/>
        </w:numPr>
        <w:spacing w:before="120" w:after="0" w:line="240" w:lineRule="auto"/>
        <w:jc w:val="both"/>
        <w:rPr>
          <w:rFonts w:ascii="Nyala" w:hAnsi="Nyala" w:cstheme="minorHAnsi"/>
          <w:sz w:val="28"/>
          <w:szCs w:val="28"/>
        </w:rPr>
      </w:pPr>
      <w:r w:rsidRPr="006866D3">
        <w:rPr>
          <w:rFonts w:ascii="Nyala" w:hAnsi="Nyala" w:cstheme="minorHAnsi"/>
          <w:sz w:val="28"/>
          <w:szCs w:val="28"/>
        </w:rPr>
        <w:t xml:space="preserve">Expérience dans la facilitation de processus de haut niveau, dans les domaines d’affaires humanitaires et de développement et en concertation avec le Gouvernement et d’autres acteurs principaux. </w:t>
      </w:r>
    </w:p>
    <w:p w:rsidR="00C86B8D" w:rsidRPr="006866D3" w:rsidRDefault="00C86B8D" w:rsidP="0059103A">
      <w:pPr>
        <w:pStyle w:val="Paragraphedeliste"/>
        <w:numPr>
          <w:ilvl w:val="0"/>
          <w:numId w:val="28"/>
        </w:numPr>
        <w:spacing w:before="120" w:after="0" w:line="240" w:lineRule="auto"/>
        <w:jc w:val="both"/>
        <w:rPr>
          <w:rFonts w:ascii="Nyala" w:hAnsi="Nyala" w:cstheme="minorHAnsi"/>
          <w:sz w:val="28"/>
          <w:szCs w:val="28"/>
        </w:rPr>
      </w:pPr>
      <w:r w:rsidRPr="006866D3">
        <w:rPr>
          <w:rFonts w:ascii="Nyala" w:hAnsi="Nyala" w:cstheme="minorHAnsi"/>
          <w:sz w:val="28"/>
          <w:szCs w:val="28"/>
        </w:rPr>
        <w:t>Expérience dans les relations avec les autorités (y compris les Ministres et les Chefs d’Etat) et avec les organismes nationaux et internationaux de développement (y compris l’Organisation des Nations Unies).</w:t>
      </w:r>
    </w:p>
    <w:p w:rsidR="00C86B8D" w:rsidRPr="006866D3" w:rsidRDefault="00C86B8D" w:rsidP="0059103A">
      <w:pPr>
        <w:pStyle w:val="Paragraphedeliste"/>
        <w:numPr>
          <w:ilvl w:val="0"/>
          <w:numId w:val="28"/>
        </w:numPr>
        <w:spacing w:before="120" w:after="0" w:line="240" w:lineRule="auto"/>
        <w:jc w:val="both"/>
        <w:rPr>
          <w:rFonts w:ascii="Nyala" w:hAnsi="Nyala" w:cstheme="minorHAnsi"/>
          <w:sz w:val="28"/>
          <w:szCs w:val="28"/>
        </w:rPr>
      </w:pPr>
      <w:r w:rsidRPr="006866D3">
        <w:rPr>
          <w:rFonts w:ascii="Nyala" w:hAnsi="Nyala" w:cstheme="minorHAnsi"/>
          <w:sz w:val="28"/>
          <w:szCs w:val="28"/>
        </w:rPr>
        <w:t>Maitrise de la langue française et connaissance moyenne de la langue anglaise.</w:t>
      </w:r>
    </w:p>
    <w:p w:rsidR="00C86B8D" w:rsidRPr="006866D3" w:rsidRDefault="00C86B8D" w:rsidP="0059103A">
      <w:pPr>
        <w:pStyle w:val="Paragraphedeliste"/>
        <w:numPr>
          <w:ilvl w:val="0"/>
          <w:numId w:val="28"/>
        </w:numPr>
        <w:spacing w:before="120" w:after="0" w:line="240" w:lineRule="auto"/>
        <w:jc w:val="both"/>
        <w:rPr>
          <w:rFonts w:ascii="Nyala" w:hAnsi="Nyala" w:cstheme="minorHAnsi"/>
          <w:sz w:val="28"/>
          <w:szCs w:val="28"/>
        </w:rPr>
      </w:pPr>
      <w:r w:rsidRPr="006866D3">
        <w:rPr>
          <w:rFonts w:ascii="Nyala" w:hAnsi="Nyala" w:cstheme="minorHAnsi"/>
          <w:sz w:val="28"/>
          <w:szCs w:val="28"/>
        </w:rPr>
        <w:t>Disponibilité pour entamer le processus de l’examen stratégique à partir du</w:t>
      </w:r>
      <w:r w:rsidRPr="006866D3">
        <w:rPr>
          <w:rFonts w:ascii="Nyala" w:hAnsi="Nyala" w:cstheme="minorHAnsi"/>
          <w:b/>
          <w:sz w:val="28"/>
          <w:szCs w:val="28"/>
        </w:rPr>
        <w:t xml:space="preserve"> 1</w:t>
      </w:r>
      <w:r w:rsidRPr="006866D3">
        <w:rPr>
          <w:rFonts w:ascii="Nyala" w:hAnsi="Nyala" w:cstheme="minorHAnsi"/>
          <w:b/>
          <w:sz w:val="28"/>
          <w:szCs w:val="28"/>
          <w:vertAlign w:val="superscript"/>
        </w:rPr>
        <w:t>er</w:t>
      </w:r>
      <w:r w:rsidRPr="006866D3">
        <w:rPr>
          <w:rFonts w:ascii="Nyala" w:hAnsi="Nyala" w:cstheme="minorHAnsi"/>
          <w:b/>
          <w:sz w:val="28"/>
          <w:szCs w:val="28"/>
        </w:rPr>
        <w:t xml:space="preserve"> décembre 2017.</w:t>
      </w:r>
    </w:p>
    <w:p w:rsidR="00C86B8D" w:rsidRPr="006866D3" w:rsidRDefault="00C86B8D" w:rsidP="00C86B8D">
      <w:pPr>
        <w:spacing w:before="120"/>
        <w:jc w:val="both"/>
        <w:rPr>
          <w:rFonts w:ascii="Nyala" w:hAnsi="Nyala" w:cstheme="minorHAnsi"/>
          <w:b/>
          <w:sz w:val="28"/>
          <w:szCs w:val="28"/>
        </w:rPr>
      </w:pPr>
      <w:r w:rsidRPr="006866D3">
        <w:rPr>
          <w:rFonts w:ascii="Nyala" w:hAnsi="Nyala" w:cstheme="minorHAnsi"/>
          <w:b/>
          <w:sz w:val="28"/>
          <w:szCs w:val="28"/>
        </w:rPr>
        <w:t xml:space="preserve">4. Résultats attendus </w:t>
      </w:r>
    </w:p>
    <w:p w:rsidR="00C86B8D" w:rsidRPr="006866D3" w:rsidRDefault="00C86B8D" w:rsidP="00C86B8D">
      <w:pPr>
        <w:spacing w:before="120"/>
        <w:jc w:val="both"/>
        <w:rPr>
          <w:rFonts w:ascii="Nyala" w:hAnsi="Nyala" w:cstheme="minorHAnsi"/>
          <w:sz w:val="28"/>
          <w:szCs w:val="28"/>
        </w:rPr>
      </w:pPr>
      <w:r w:rsidRPr="006866D3">
        <w:rPr>
          <w:rFonts w:ascii="Nyala" w:hAnsi="Nyala" w:cstheme="minorHAnsi"/>
          <w:sz w:val="28"/>
          <w:szCs w:val="28"/>
        </w:rPr>
        <w:t>Un rapport détaillé sur l’état de la sécurité alimentaire et de la nutrition au Niger ainsi que des recommandations et une feuille de route pour atteindre l’ODD 2 à l’échelle nationale. Le document devra nécessairement présenter :</w:t>
      </w:r>
    </w:p>
    <w:p w:rsidR="00C86B8D" w:rsidRPr="006866D3" w:rsidRDefault="00C86B8D" w:rsidP="0059103A">
      <w:pPr>
        <w:pStyle w:val="Paragraphedeliste"/>
        <w:numPr>
          <w:ilvl w:val="0"/>
          <w:numId w:val="29"/>
        </w:numPr>
        <w:spacing w:before="120" w:after="0" w:line="240" w:lineRule="auto"/>
        <w:jc w:val="both"/>
        <w:rPr>
          <w:rFonts w:ascii="Nyala" w:hAnsi="Nyala" w:cstheme="minorHAnsi"/>
          <w:sz w:val="28"/>
          <w:szCs w:val="28"/>
        </w:rPr>
      </w:pPr>
      <w:r w:rsidRPr="006866D3">
        <w:rPr>
          <w:rFonts w:ascii="Nyala" w:hAnsi="Nyala" w:cstheme="minorHAnsi"/>
          <w:sz w:val="28"/>
          <w:szCs w:val="28"/>
        </w:rPr>
        <w:t>Une analyse de la situation de la sécurité alimentaire et de nutrition au Niger ;</w:t>
      </w:r>
    </w:p>
    <w:p w:rsidR="00C86B8D" w:rsidRPr="006866D3" w:rsidRDefault="00C86B8D" w:rsidP="0059103A">
      <w:pPr>
        <w:pStyle w:val="Paragraphedeliste"/>
        <w:numPr>
          <w:ilvl w:val="0"/>
          <w:numId w:val="29"/>
        </w:numPr>
        <w:spacing w:before="120" w:after="0" w:line="240" w:lineRule="auto"/>
        <w:jc w:val="both"/>
        <w:rPr>
          <w:rFonts w:ascii="Nyala" w:hAnsi="Nyala" w:cstheme="minorHAnsi"/>
          <w:sz w:val="28"/>
          <w:szCs w:val="28"/>
        </w:rPr>
      </w:pPr>
      <w:r w:rsidRPr="006866D3">
        <w:rPr>
          <w:rFonts w:ascii="Nyala" w:hAnsi="Nyala" w:cstheme="minorHAnsi"/>
          <w:sz w:val="28"/>
          <w:szCs w:val="28"/>
        </w:rPr>
        <w:t>Les politiques et stratégies nationales et les réponses programmatiques du gouvernement et des parties prenantes en matière de sécurité alimentaire et de nutrition ;</w:t>
      </w:r>
    </w:p>
    <w:p w:rsidR="00C86B8D" w:rsidRPr="006866D3" w:rsidRDefault="00C86B8D" w:rsidP="0059103A">
      <w:pPr>
        <w:pStyle w:val="Paragraphedeliste"/>
        <w:numPr>
          <w:ilvl w:val="0"/>
          <w:numId w:val="29"/>
        </w:numPr>
        <w:spacing w:before="120" w:after="0" w:line="240" w:lineRule="auto"/>
        <w:jc w:val="both"/>
        <w:rPr>
          <w:rFonts w:ascii="Nyala" w:hAnsi="Nyala" w:cstheme="minorHAnsi"/>
          <w:sz w:val="28"/>
          <w:szCs w:val="28"/>
        </w:rPr>
      </w:pPr>
      <w:r w:rsidRPr="006866D3">
        <w:rPr>
          <w:rFonts w:ascii="Nyala" w:hAnsi="Nyala" w:cstheme="minorHAnsi"/>
          <w:sz w:val="28"/>
          <w:szCs w:val="28"/>
        </w:rPr>
        <w:t>Les lacunes relevées au niveau des efforts et des réponses face aux défis liés à la sécurité alimentaire et à la nutrition ;</w:t>
      </w:r>
    </w:p>
    <w:p w:rsidR="00C86B8D" w:rsidRPr="006866D3" w:rsidRDefault="00C86B8D" w:rsidP="0059103A">
      <w:pPr>
        <w:pStyle w:val="Paragraphedeliste"/>
        <w:numPr>
          <w:ilvl w:val="0"/>
          <w:numId w:val="29"/>
        </w:numPr>
        <w:spacing w:before="120" w:after="0" w:line="240" w:lineRule="auto"/>
        <w:jc w:val="both"/>
        <w:rPr>
          <w:rFonts w:ascii="Nyala" w:hAnsi="Nyala" w:cstheme="minorHAnsi"/>
          <w:sz w:val="28"/>
          <w:szCs w:val="28"/>
        </w:rPr>
      </w:pPr>
      <w:r w:rsidRPr="006866D3">
        <w:rPr>
          <w:rFonts w:ascii="Nyala" w:hAnsi="Nyala" w:cstheme="minorHAnsi"/>
          <w:sz w:val="28"/>
          <w:szCs w:val="28"/>
        </w:rPr>
        <w:t>Les actions prioritaires à entreprendre ;</w:t>
      </w:r>
    </w:p>
    <w:p w:rsidR="00C86B8D" w:rsidRPr="006866D3" w:rsidRDefault="00C86B8D" w:rsidP="0059103A">
      <w:pPr>
        <w:pStyle w:val="Paragraphedeliste"/>
        <w:numPr>
          <w:ilvl w:val="0"/>
          <w:numId w:val="29"/>
        </w:numPr>
        <w:spacing w:before="120" w:after="0" w:line="240" w:lineRule="auto"/>
        <w:jc w:val="both"/>
        <w:rPr>
          <w:rFonts w:ascii="Nyala" w:hAnsi="Nyala" w:cstheme="minorHAnsi"/>
          <w:sz w:val="28"/>
          <w:szCs w:val="28"/>
        </w:rPr>
      </w:pPr>
      <w:r w:rsidRPr="006866D3">
        <w:rPr>
          <w:rFonts w:ascii="Nyala" w:hAnsi="Nyala" w:cstheme="minorHAnsi"/>
          <w:sz w:val="28"/>
          <w:szCs w:val="28"/>
        </w:rPr>
        <w:t>La feuille de route pour la Faim Zéro au Niger ;</w:t>
      </w:r>
    </w:p>
    <w:p w:rsidR="00C86B8D" w:rsidRPr="006866D3" w:rsidRDefault="00C86B8D" w:rsidP="0059103A">
      <w:pPr>
        <w:pStyle w:val="Paragraphedeliste"/>
        <w:numPr>
          <w:ilvl w:val="0"/>
          <w:numId w:val="29"/>
        </w:numPr>
        <w:spacing w:before="120" w:after="0" w:line="240" w:lineRule="auto"/>
        <w:jc w:val="both"/>
        <w:rPr>
          <w:rFonts w:ascii="Nyala" w:hAnsi="Nyala" w:cstheme="minorHAnsi"/>
          <w:sz w:val="28"/>
          <w:szCs w:val="28"/>
        </w:rPr>
      </w:pPr>
      <w:r w:rsidRPr="006866D3">
        <w:rPr>
          <w:rFonts w:ascii="Nyala" w:hAnsi="Nyala" w:cstheme="minorHAnsi"/>
          <w:sz w:val="28"/>
          <w:szCs w:val="28"/>
        </w:rPr>
        <w:t>Les recommandations pour améliorer la sécurité alimentaire et la nutrition.</w:t>
      </w:r>
    </w:p>
    <w:p w:rsidR="00C86B8D" w:rsidRPr="006866D3" w:rsidRDefault="00C86B8D" w:rsidP="00C86B8D">
      <w:pPr>
        <w:spacing w:before="120"/>
        <w:jc w:val="both"/>
        <w:rPr>
          <w:rFonts w:ascii="Nyala" w:hAnsi="Nyala" w:cstheme="minorHAnsi"/>
          <w:sz w:val="28"/>
          <w:szCs w:val="28"/>
        </w:rPr>
      </w:pPr>
      <w:r w:rsidRPr="006866D3">
        <w:rPr>
          <w:rFonts w:ascii="Nyala" w:hAnsi="Nyala" w:cstheme="minorHAnsi"/>
          <w:sz w:val="28"/>
          <w:szCs w:val="28"/>
        </w:rPr>
        <w:t>Il est à souligner que différents champs et domaines seront concernés ce qui stipule une approche multidisciplinaire et partagée.</w:t>
      </w:r>
    </w:p>
    <w:p w:rsidR="00C86B8D" w:rsidRPr="006866D3" w:rsidRDefault="00C86B8D" w:rsidP="00C86B8D">
      <w:pPr>
        <w:spacing w:before="120"/>
        <w:jc w:val="both"/>
        <w:rPr>
          <w:rFonts w:ascii="Nyala" w:hAnsi="Nyala" w:cstheme="minorHAnsi"/>
          <w:b/>
          <w:sz w:val="28"/>
          <w:szCs w:val="28"/>
        </w:rPr>
      </w:pPr>
      <w:r w:rsidRPr="006866D3">
        <w:rPr>
          <w:rFonts w:ascii="Nyala" w:hAnsi="Nyala" w:cstheme="minorHAnsi"/>
          <w:b/>
          <w:sz w:val="28"/>
          <w:szCs w:val="28"/>
        </w:rPr>
        <w:t>5. Calendrier</w:t>
      </w:r>
    </w:p>
    <w:p w:rsidR="00C86B8D" w:rsidRPr="006866D3" w:rsidRDefault="00C86B8D" w:rsidP="00C86B8D">
      <w:pPr>
        <w:spacing w:before="120"/>
        <w:jc w:val="both"/>
        <w:rPr>
          <w:rFonts w:ascii="Nyala" w:hAnsi="Nyala" w:cstheme="minorHAnsi"/>
          <w:sz w:val="28"/>
          <w:szCs w:val="28"/>
        </w:rPr>
      </w:pPr>
      <w:r w:rsidRPr="006866D3">
        <w:rPr>
          <w:rFonts w:ascii="Nyala" w:hAnsi="Nyala" w:cstheme="minorHAnsi"/>
          <w:sz w:val="28"/>
          <w:szCs w:val="28"/>
        </w:rPr>
        <w:t>Le processus d’élaboration du rapport sur l’analyse stratégique de la sécurité alimentaire et de la nutritionau Niger s’étalera sur huitmois. Les principales activités et les démarches pour la conduite de l’examen stratégique sont présentées dans le chronogramme (Voir Annexe II).</w:t>
      </w:r>
    </w:p>
    <w:p w:rsidR="00C86B8D" w:rsidRPr="006866D3" w:rsidRDefault="00C86B8D" w:rsidP="00C86B8D">
      <w:pPr>
        <w:spacing w:before="120"/>
        <w:jc w:val="both"/>
        <w:rPr>
          <w:rFonts w:ascii="Nyala" w:hAnsi="Nyala" w:cstheme="minorHAnsi"/>
          <w:b/>
          <w:sz w:val="28"/>
          <w:szCs w:val="28"/>
        </w:rPr>
      </w:pPr>
      <w:r w:rsidRPr="006866D3">
        <w:rPr>
          <w:rFonts w:ascii="Nyala" w:hAnsi="Nyala" w:cstheme="minorHAnsi"/>
          <w:b/>
          <w:sz w:val="28"/>
          <w:szCs w:val="28"/>
        </w:rPr>
        <w:t>6. Salaire et avantages complémentaires</w:t>
      </w:r>
    </w:p>
    <w:p w:rsidR="00C86B8D" w:rsidRPr="006866D3" w:rsidRDefault="00C86B8D" w:rsidP="00C86B8D">
      <w:pPr>
        <w:spacing w:before="120"/>
        <w:jc w:val="both"/>
        <w:rPr>
          <w:rFonts w:ascii="Nyala" w:hAnsi="Nyala" w:cstheme="minorHAnsi"/>
          <w:sz w:val="28"/>
          <w:szCs w:val="28"/>
        </w:rPr>
      </w:pPr>
      <w:r w:rsidRPr="006866D3">
        <w:rPr>
          <w:rFonts w:ascii="Nyala" w:hAnsi="Nyala" w:cstheme="minorHAnsi"/>
          <w:sz w:val="28"/>
          <w:szCs w:val="28"/>
        </w:rPr>
        <w:t xml:space="preserve">Salaire négociable en incluant voyages et autres dépenses associées convenues d’avance seront pris en charge par le PAM. </w:t>
      </w:r>
    </w:p>
    <w:p w:rsidR="00C86B8D" w:rsidRPr="006866D3" w:rsidRDefault="00C86B8D" w:rsidP="00C86B8D">
      <w:pPr>
        <w:spacing w:before="120"/>
        <w:jc w:val="both"/>
        <w:rPr>
          <w:rFonts w:ascii="Nyala" w:hAnsi="Nyala" w:cstheme="minorHAnsi"/>
          <w:b/>
          <w:sz w:val="28"/>
          <w:szCs w:val="28"/>
        </w:rPr>
      </w:pPr>
      <w:r w:rsidRPr="006866D3">
        <w:rPr>
          <w:rFonts w:ascii="Nyala" w:hAnsi="Nyala" w:cstheme="minorHAnsi"/>
          <w:b/>
          <w:sz w:val="28"/>
          <w:szCs w:val="28"/>
        </w:rPr>
        <w:t>7. Personne à contacter</w:t>
      </w:r>
    </w:p>
    <w:p w:rsidR="00C86B8D" w:rsidRPr="006866D3" w:rsidRDefault="00C86B8D" w:rsidP="00C86B8D">
      <w:pPr>
        <w:spacing w:before="120"/>
        <w:jc w:val="both"/>
        <w:rPr>
          <w:rFonts w:ascii="Nyala" w:hAnsi="Nyala" w:cstheme="minorHAnsi"/>
          <w:b/>
          <w:sz w:val="28"/>
          <w:szCs w:val="28"/>
        </w:rPr>
      </w:pPr>
      <w:r w:rsidRPr="006866D3">
        <w:rPr>
          <w:rFonts w:ascii="Nyala" w:hAnsi="Nyala" w:cstheme="minorHAnsi"/>
          <w:sz w:val="28"/>
          <w:szCs w:val="28"/>
        </w:rPr>
        <w:t xml:space="preserve">Pour toute information supplémentaire, prière de contacter </w:t>
      </w:r>
      <w:r w:rsidRPr="006866D3">
        <w:rPr>
          <w:rFonts w:ascii="Nyala" w:hAnsi="Nyala" w:cstheme="minorHAnsi"/>
          <w:b/>
          <w:sz w:val="28"/>
          <w:szCs w:val="28"/>
        </w:rPr>
        <w:t>M. Sory Ouane, Représentant du PAM au Niger, et Mme Patrizia Papinutti, Directrice Adjointe (point focal pour la revue).</w:t>
      </w:r>
    </w:p>
    <w:p w:rsidR="00C86B8D" w:rsidRPr="006866D3" w:rsidRDefault="00C86B8D" w:rsidP="00785B6D">
      <w:pPr>
        <w:rPr>
          <w:rFonts w:ascii="Nyala" w:hAnsi="Nyala" w:cstheme="minorHAnsi"/>
          <w:sz w:val="28"/>
          <w:szCs w:val="28"/>
        </w:rPr>
      </w:pPr>
    </w:p>
    <w:sectPr w:rsidR="00C86B8D" w:rsidRPr="006866D3" w:rsidSect="00674FBE">
      <w:headerReference w:type="default" r:id="rId1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EE5" w:rsidRDefault="00C73EE5" w:rsidP="008B7F4E">
      <w:pPr>
        <w:spacing w:before="0" w:after="0" w:line="240" w:lineRule="auto"/>
      </w:pPr>
      <w:r>
        <w:separator/>
      </w:r>
    </w:p>
  </w:endnote>
  <w:endnote w:type="continuationSeparator" w:id="0">
    <w:p w:rsidR="00C73EE5" w:rsidRDefault="00C73EE5" w:rsidP="008B7F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ivaldi">
    <w:panose1 w:val="03020602050506090804"/>
    <w:charset w:val="00"/>
    <w:family w:val="script"/>
    <w:pitch w:val="variable"/>
    <w:sig w:usb0="00000003" w:usb1="00000000" w:usb2="00000000" w:usb3="00000000" w:csb0="00000001" w:csb1="00000000"/>
  </w:font>
  <w:font w:name="Nyala">
    <w:altName w:val="Times New Roman"/>
    <w:charset w:val="00"/>
    <w:family w:val="auto"/>
    <w:pitch w:val="variable"/>
    <w:sig w:usb0="00000001" w:usb1="00000000" w:usb2="00000800" w:usb3="00000000" w:csb0="00000093" w:csb1="00000000"/>
  </w:font>
  <w:font w:name="Univers-Light">
    <w:charset w:val="00"/>
    <w:family w:val="swiss"/>
    <w:pitch w:val="default"/>
  </w:font>
  <w:font w:name="Times">
    <w:panose1 w:val="02020603050405020304"/>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EE5" w:rsidRDefault="00C73EE5" w:rsidP="008B7F4E">
      <w:pPr>
        <w:spacing w:before="0" w:after="0" w:line="240" w:lineRule="auto"/>
      </w:pPr>
      <w:r>
        <w:separator/>
      </w:r>
    </w:p>
  </w:footnote>
  <w:footnote w:type="continuationSeparator" w:id="0">
    <w:p w:rsidR="00C73EE5" w:rsidRDefault="00C73EE5" w:rsidP="008B7F4E">
      <w:pPr>
        <w:spacing w:before="0" w:after="0" w:line="240" w:lineRule="auto"/>
      </w:pPr>
      <w:r>
        <w:continuationSeparator/>
      </w:r>
    </w:p>
  </w:footnote>
  <w:footnote w:id="1">
    <w:p w:rsidR="00146325" w:rsidRPr="00BD2EF3" w:rsidRDefault="00146325">
      <w:pPr>
        <w:pStyle w:val="Notedebasdepage"/>
        <w:rPr>
          <w:rFonts w:ascii="Times New Roman" w:hAnsi="Times New Roman" w:cs="Times New Roman"/>
          <w:sz w:val="18"/>
          <w:szCs w:val="18"/>
        </w:rPr>
      </w:pPr>
      <w:r>
        <w:rPr>
          <w:rStyle w:val="Appelnotedebasdep"/>
        </w:rPr>
        <w:footnoteRef/>
      </w:r>
      <w:r>
        <w:t xml:space="preserve"> « </w:t>
      </w:r>
      <w:r w:rsidRPr="00BD2EF3">
        <w:rPr>
          <w:rFonts w:ascii="Times New Roman" w:hAnsi="Times New Roman" w:cs="Times New Roman"/>
          <w:color w:val="0A0A0A"/>
          <w:spacing w:val="8"/>
          <w:sz w:val="18"/>
          <w:szCs w:val="18"/>
          <w:shd w:val="clear" w:color="auto" w:fill="FEFEFE"/>
        </w:rPr>
        <w:t>D’ici à 2030, doubler la productivité agricole et les revenus des petits producteurs alimentaires, en particulier les femmes, les autochtones, les exploitants familiaux, les éleveurs et les pêcheurs, y compris en assurant l’égalité d’accès aux terres, aux autres ressources productives et intrants, au savoir, aux services financiers, aux marchés et aux possibilités d’ajout de valeur et d’emploi autres qu’agricoles</w:t>
      </w:r>
      <w:r>
        <w:rPr>
          <w:rFonts w:ascii="Times New Roman" w:hAnsi="Times New Roman" w:cs="Times New Roman"/>
          <w:color w:val="0A0A0A"/>
          <w:spacing w:val="8"/>
          <w:sz w:val="18"/>
          <w:szCs w:val="18"/>
          <w:shd w:val="clear" w:color="auto" w:fill="FEFEFE"/>
        </w:rPr>
        <w:t> »</w:t>
      </w:r>
    </w:p>
  </w:footnote>
  <w:footnote w:id="2">
    <w:p w:rsidR="00146325" w:rsidRDefault="00146325">
      <w:pPr>
        <w:pStyle w:val="Notedebasdepage"/>
      </w:pPr>
      <w:r>
        <w:rPr>
          <w:rStyle w:val="Appelnotedebasdep"/>
        </w:rPr>
        <w:footnoteRef/>
      </w:r>
      <w:r>
        <w:t xml:space="preserve"> Danda Mahamadou (2017) : Lien Sécurité et migration – Développement de la région du sahele : une vue du Niger, Conférence internationale IAI, FEEP, Décembre 2017, Addis-Abeba (Ethiopie).</w:t>
      </w:r>
    </w:p>
  </w:footnote>
  <w:footnote w:id="3">
    <w:p w:rsidR="00146325" w:rsidRPr="00BF7C8C" w:rsidRDefault="00146325" w:rsidP="00EF70D7">
      <w:pPr>
        <w:shd w:val="clear" w:color="auto" w:fill="FFFFFF" w:themeFill="background1"/>
        <w:spacing w:before="0" w:after="0" w:line="240" w:lineRule="auto"/>
        <w:rPr>
          <w:rFonts w:cs="Arial"/>
          <w:sz w:val="16"/>
          <w:szCs w:val="16"/>
        </w:rPr>
      </w:pPr>
      <w:r w:rsidRPr="00D4272C">
        <w:rPr>
          <w:rStyle w:val="Appelnotedebasdep"/>
          <w:rFonts w:cs="Arial"/>
          <w:sz w:val="18"/>
          <w:szCs w:val="18"/>
        </w:rPr>
        <w:footnoteRef/>
      </w:r>
      <w:r w:rsidRPr="00D4272C">
        <w:rPr>
          <w:rFonts w:cs="Arial"/>
          <w:sz w:val="18"/>
          <w:szCs w:val="18"/>
        </w:rPr>
        <w:tab/>
      </w:r>
      <w:r w:rsidRPr="00BF7C8C">
        <w:rPr>
          <w:rFonts w:cs="Arial"/>
          <w:sz w:val="16"/>
          <w:szCs w:val="16"/>
        </w:rPr>
        <w:t xml:space="preserve">Ministère de la Jeunesse et des Sports. 2015. </w:t>
      </w:r>
      <w:r w:rsidRPr="00BF7C8C">
        <w:rPr>
          <w:rFonts w:cs="Arial"/>
          <w:i/>
          <w:sz w:val="16"/>
          <w:szCs w:val="16"/>
        </w:rPr>
        <w:t>Politique nationale de la jeunesse Niger</w:t>
      </w:r>
      <w:r w:rsidRPr="00BF7C8C">
        <w:rPr>
          <w:rFonts w:cs="Arial"/>
          <w:sz w:val="16"/>
          <w:szCs w:val="16"/>
        </w:rPr>
        <w:t>.</w:t>
      </w:r>
    </w:p>
  </w:footnote>
  <w:footnote w:id="4">
    <w:p w:rsidR="00146325" w:rsidRPr="00BF7C8C" w:rsidRDefault="00146325" w:rsidP="00417CDD">
      <w:pPr>
        <w:tabs>
          <w:tab w:val="left" w:pos="381"/>
        </w:tabs>
        <w:spacing w:before="0" w:after="0" w:line="228" w:lineRule="auto"/>
        <w:rPr>
          <w:sz w:val="16"/>
          <w:szCs w:val="16"/>
        </w:rPr>
      </w:pPr>
      <w:r w:rsidRPr="00BF7C8C">
        <w:rPr>
          <w:rStyle w:val="Appelnotedebasdep"/>
          <w:rFonts w:ascii="Calibri Light" w:hAnsi="Calibri Light"/>
          <w:sz w:val="16"/>
          <w:szCs w:val="16"/>
        </w:rPr>
        <w:footnoteRef/>
      </w:r>
      <w:r w:rsidRPr="00BF7C8C">
        <w:rPr>
          <w:rFonts w:ascii="Arial" w:eastAsia="Arial" w:hAnsi="Arial"/>
          <w:sz w:val="16"/>
          <w:szCs w:val="16"/>
        </w:rPr>
        <w:t>Etude réalisée par NEPAD dans le cadre de son Programme africain d’appui au genre, aux changements climatiques et à l’agriculture, 2012</w:t>
      </w:r>
    </w:p>
  </w:footnote>
  <w:footnote w:id="5">
    <w:p w:rsidR="00146325" w:rsidRPr="00141D20" w:rsidRDefault="00146325" w:rsidP="00844BF4">
      <w:pPr>
        <w:pStyle w:val="Notedebasdepage"/>
        <w:rPr>
          <w:sz w:val="16"/>
          <w:szCs w:val="16"/>
        </w:rPr>
      </w:pPr>
      <w:r>
        <w:rPr>
          <w:rStyle w:val="Appelnotedebasdep"/>
        </w:rPr>
        <w:footnoteRef/>
      </w:r>
      <w:r w:rsidRPr="00141D20">
        <w:rPr>
          <w:sz w:val="16"/>
          <w:szCs w:val="16"/>
        </w:rPr>
        <w:t>INS Niger (2015) Niger, rapport national sur les progrès vers l’atteinte des objectifs du millénaire pour le développement 1990-2015</w:t>
      </w:r>
    </w:p>
  </w:footnote>
  <w:footnote w:id="6">
    <w:p w:rsidR="00146325" w:rsidRPr="00141D20" w:rsidRDefault="00146325" w:rsidP="00D048A6">
      <w:pPr>
        <w:pStyle w:val="Notedebasdepage"/>
        <w:rPr>
          <w:sz w:val="16"/>
          <w:szCs w:val="16"/>
        </w:rPr>
      </w:pPr>
      <w:r w:rsidRPr="00141D20">
        <w:rPr>
          <w:rStyle w:val="Appelnotedebasdep"/>
          <w:sz w:val="16"/>
          <w:szCs w:val="16"/>
        </w:rPr>
        <w:footnoteRef/>
      </w:r>
      <w:r w:rsidRPr="00141D20">
        <w:rPr>
          <w:sz w:val="16"/>
          <w:szCs w:val="16"/>
        </w:rPr>
        <w:t xml:space="preserve"> Voir approche méthodologique Profil de Pauvreté 2014 de l’INS </w:t>
      </w:r>
    </w:p>
  </w:footnote>
  <w:footnote w:id="7">
    <w:p w:rsidR="00146325" w:rsidRPr="00141D20" w:rsidRDefault="00146325" w:rsidP="00141D20">
      <w:pPr>
        <w:spacing w:before="120" w:line="240" w:lineRule="auto"/>
        <w:rPr>
          <w:rFonts w:ascii="Nyala" w:hAnsi="Nyala"/>
          <w:sz w:val="28"/>
          <w:szCs w:val="28"/>
        </w:rPr>
      </w:pPr>
      <w:r>
        <w:rPr>
          <w:rStyle w:val="Appelnotedebasdep"/>
        </w:rPr>
        <w:footnoteRef/>
      </w:r>
      <w:r w:rsidRPr="00141D20">
        <w:rPr>
          <w:rFonts w:ascii="Nyala" w:hAnsi="Nyala"/>
          <w:sz w:val="18"/>
          <w:szCs w:val="18"/>
        </w:rPr>
        <w:t>INS (2014) : Profil, déterminants et tendances de la pauvreté au Niger de 2005 à 2014</w:t>
      </w:r>
      <w:r>
        <w:rPr>
          <w:rFonts w:ascii="Nyala" w:hAnsi="Nyala"/>
          <w:sz w:val="28"/>
          <w:szCs w:val="28"/>
        </w:rPr>
        <w:t xml:space="preserve">. </w:t>
      </w:r>
    </w:p>
    <w:p w:rsidR="00146325" w:rsidRDefault="00146325">
      <w:pPr>
        <w:pStyle w:val="Notedebasdepage"/>
      </w:pPr>
    </w:p>
  </w:footnote>
  <w:footnote w:id="8">
    <w:p w:rsidR="00146325" w:rsidRPr="00141D20" w:rsidRDefault="00146325" w:rsidP="00141D20">
      <w:pPr>
        <w:pStyle w:val="Notedebasdepage"/>
        <w:jc w:val="both"/>
        <w:rPr>
          <w:sz w:val="16"/>
          <w:szCs w:val="16"/>
        </w:rPr>
      </w:pPr>
      <w:r>
        <w:rPr>
          <w:rStyle w:val="Appelnotedebasdep"/>
        </w:rPr>
        <w:footnoteRef/>
      </w:r>
      <w:r w:rsidRPr="00141D20">
        <w:rPr>
          <w:sz w:val="16"/>
          <w:szCs w:val="16"/>
        </w:rPr>
        <w:t>La contribution de chaque groupe d’aliment au score de consommation alimentaire a été calculée en procédant ainsi : pour chaque groupe, le nombre moyen de jour de consommation, pondéré par le poids du groupe a été calculé premièrement. Par la suite le score moyen de consommation a été calculé en effectuant la somme de tous  les  scores  de  tous  les  groupes.  Deuxièmement,  à  l’intérieur  d’une  même catégorie  de  ménage,  la  contribution  a  été  calculée  en  effectuant  le  score  du groupe divisé par le score global du même groupe. Cette opération finale donne le poids de chaque groupe d’aliments dans la constitution du score du groupe</w:t>
      </w:r>
      <w:r>
        <w:rPr>
          <w:sz w:val="16"/>
          <w:szCs w:val="16"/>
        </w:rPr>
        <w:t xml:space="preserve"> (INS, EVIAM 2014-2015)</w:t>
      </w:r>
      <w:r w:rsidRPr="00141D20">
        <w:rPr>
          <w:sz w:val="16"/>
          <w:szCs w:val="16"/>
        </w:rPr>
        <w:t>.</w:t>
      </w:r>
    </w:p>
  </w:footnote>
  <w:footnote w:id="9">
    <w:p w:rsidR="00146325" w:rsidRDefault="00146325" w:rsidP="00A92566">
      <w:pPr>
        <w:pStyle w:val="Notedebasdepage"/>
      </w:pPr>
      <w:r>
        <w:rPr>
          <w:rStyle w:val="Appelnotedebasdep"/>
        </w:rPr>
        <w:footnoteRef/>
      </w:r>
      <w:r>
        <w:t xml:space="preserve"> INS-SAP (2015) : Enquête conjointe sur la vulnérabilité à l’insécurité alimentaire des ménages du Niger (décembre 2015 – janvier 2016). Mars 2016 </w:t>
      </w:r>
    </w:p>
    <w:p w:rsidR="00146325" w:rsidRDefault="00146325" w:rsidP="00A92566">
      <w:pPr>
        <w:pStyle w:val="Notedebasdepage"/>
      </w:pPr>
    </w:p>
    <w:p w:rsidR="00146325" w:rsidRDefault="00146325" w:rsidP="00A92566">
      <w:pPr>
        <w:pStyle w:val="Notedebasdepage"/>
      </w:pPr>
    </w:p>
    <w:p w:rsidR="00146325" w:rsidRDefault="00146325" w:rsidP="00A92566">
      <w:pPr>
        <w:pStyle w:val="Notedebasdepage"/>
      </w:pPr>
    </w:p>
    <w:p w:rsidR="00146325" w:rsidRDefault="00146325" w:rsidP="00A92566">
      <w:pPr>
        <w:pStyle w:val="Notedebasdepage"/>
      </w:pPr>
    </w:p>
  </w:footnote>
  <w:footnote w:id="10">
    <w:p w:rsidR="00146325" w:rsidRPr="00AA4A81" w:rsidRDefault="00146325" w:rsidP="00E31850">
      <w:pPr>
        <w:pStyle w:val="Notedebasdepage"/>
        <w:rPr>
          <w:rFonts w:ascii="Nyala" w:hAnsi="Nyala"/>
        </w:rPr>
      </w:pPr>
      <w:r>
        <w:rPr>
          <w:rStyle w:val="Appelnotedebasdep"/>
        </w:rPr>
        <w:footnoteRef/>
      </w:r>
      <w:r w:rsidRPr="00AA4A81">
        <w:rPr>
          <w:rFonts w:ascii="Nyala" w:hAnsi="Nyala"/>
        </w:rPr>
        <w:t>Car selon EDS 2017, 47,7% des mères des enfants ayant aucun niveau d’instruction avaient leurs enfants avec un retard de croissance</w:t>
      </w:r>
    </w:p>
  </w:footnote>
  <w:footnote w:id="11">
    <w:p w:rsidR="00146325" w:rsidRPr="00141D20" w:rsidRDefault="00146325">
      <w:pPr>
        <w:pStyle w:val="Notedebasdepage"/>
        <w:rPr>
          <w:sz w:val="16"/>
          <w:szCs w:val="16"/>
        </w:rPr>
      </w:pPr>
      <w:r>
        <w:rPr>
          <w:rStyle w:val="Appelnotedebasdep"/>
        </w:rPr>
        <w:footnoteRef/>
      </w:r>
      <w:r w:rsidRPr="00141D20">
        <w:rPr>
          <w:sz w:val="16"/>
          <w:szCs w:val="16"/>
        </w:rPr>
        <w:t>La FAO et les ODD : des indicateurs de mesure pour suivre la mise en œuvre du Programme de Développement Durable à l’horizon 2030.</w:t>
      </w:r>
    </w:p>
  </w:footnote>
  <w:footnote w:id="12">
    <w:p w:rsidR="00146325" w:rsidRPr="00D975C6" w:rsidRDefault="00146325" w:rsidP="00774A36">
      <w:pPr>
        <w:pStyle w:val="Notedebasdepage"/>
        <w:rPr>
          <w:sz w:val="16"/>
          <w:szCs w:val="16"/>
        </w:rPr>
      </w:pPr>
      <w:r>
        <w:rPr>
          <w:rStyle w:val="Appelnotedebasdep"/>
        </w:rPr>
        <w:footnoteRef/>
      </w:r>
      <w:r w:rsidRPr="00D975C6">
        <w:rPr>
          <w:sz w:val="16"/>
          <w:szCs w:val="16"/>
        </w:rPr>
        <w:t>Par petite  irrigation, il faut entendre :  « Toute  exploitation  hydro-agricole autonome  de  taille  maîtrisée,  individuelle  ou  collective,  économiquement  viable  et écologiquement durable, aménagée avec des technologies adaptées au savoir – faire local»</w:t>
      </w:r>
    </w:p>
  </w:footnote>
  <w:footnote w:id="13">
    <w:p w:rsidR="00146325" w:rsidRPr="001432A1" w:rsidRDefault="00146325" w:rsidP="001A19AB">
      <w:pPr>
        <w:pStyle w:val="Commentaire"/>
        <w:jc w:val="both"/>
        <w:rPr>
          <w:rFonts w:ascii="Nyala" w:hAnsi="Nyala"/>
          <w:sz w:val="16"/>
          <w:szCs w:val="16"/>
        </w:rPr>
      </w:pPr>
      <w:r w:rsidRPr="001432A1">
        <w:rPr>
          <w:rStyle w:val="Appelnotedebasdep"/>
        </w:rPr>
        <w:footnoteRef/>
      </w:r>
      <w:r w:rsidRPr="001432A1">
        <w:rPr>
          <w:rFonts w:ascii="Nyala" w:hAnsi="Nyala"/>
          <w:sz w:val="16"/>
          <w:szCs w:val="16"/>
        </w:rPr>
        <w:t>Selon les résultats de FNG, pour accroitre la diversité alimentaire du ménage pour couvrir les besoins nutritionnels de tous les membres du ménage, il sera nécessaire de réduire les céréales de 60% à 40% dans l’alimentation en les supplémentant par des quantités plus importantes d’autres aliments riches en micronutriments tels que les fruits, les légumes et les produits laitiers avec une répartition suivante : Céréales = 42% ;  Tubercules et racines = 4% ;  Légumineuses = 7% ;  Poissons, viande, œufs et fruits de mer = 3% ;  Lait et produits laitiers = 13% ;  Fruits et légumes = 23% ;  Huile et matières grasses = 6% ;  Lait maternel = 8% (Communication Tabiojongmbeng Benedic PAM)</w:t>
      </w:r>
    </w:p>
  </w:footnote>
  <w:footnote w:id="14">
    <w:p w:rsidR="00146325" w:rsidRPr="00D00E73" w:rsidRDefault="00146325" w:rsidP="006269AA">
      <w:pPr>
        <w:pStyle w:val="Notedebasdepage"/>
        <w:rPr>
          <w:rFonts w:ascii="Nyala" w:hAnsi="Nyala"/>
          <w:sz w:val="16"/>
          <w:szCs w:val="16"/>
        </w:rPr>
      </w:pPr>
      <w:r>
        <w:rPr>
          <w:rStyle w:val="Appelnotedebasdep"/>
        </w:rPr>
        <w:footnoteRef/>
      </w:r>
      <w:r w:rsidRPr="00D00E73">
        <w:rPr>
          <w:rFonts w:ascii="Nyala" w:hAnsi="Nyala"/>
          <w:sz w:val="16"/>
          <w:szCs w:val="16"/>
        </w:rPr>
        <w:t xml:space="preserve">Plan de réforme des engrais adopté par </w:t>
      </w:r>
      <w:r w:rsidRPr="00D00E73">
        <w:rPr>
          <w:rFonts w:ascii="Nyala" w:eastAsia="Times New Roman" w:hAnsi="Nyala" w:cs="Times New Roman"/>
          <w:b/>
          <w:sz w:val="16"/>
          <w:szCs w:val="16"/>
        </w:rPr>
        <w:t>Décret Présidentiel d’Approbation Numéro 2018-046/PRN/MAG/EL</w:t>
      </w:r>
      <w:r w:rsidRPr="00D00E73">
        <w:rPr>
          <w:rFonts w:ascii="Nyala" w:eastAsia="Times New Roman" w:hAnsi="Nyala" w:cs="Times New Roman"/>
          <w:sz w:val="16"/>
          <w:szCs w:val="16"/>
        </w:rPr>
        <w:t xml:space="preserve"> pris en Conseil des Ministres du 12 Janvier  2018</w:t>
      </w:r>
    </w:p>
  </w:footnote>
  <w:footnote w:id="15">
    <w:p w:rsidR="00146325" w:rsidRPr="0002053E" w:rsidRDefault="00146325">
      <w:pPr>
        <w:pStyle w:val="Notedebasdepage"/>
        <w:rPr>
          <w:sz w:val="16"/>
          <w:szCs w:val="16"/>
        </w:rPr>
      </w:pPr>
      <w:r>
        <w:rPr>
          <w:rStyle w:val="Appelnotedebasdep"/>
        </w:rPr>
        <w:footnoteRef/>
      </w:r>
      <w:r w:rsidRPr="0002053E">
        <w:rPr>
          <w:rFonts w:ascii="Nyala" w:hAnsi="Nyala"/>
          <w:sz w:val="16"/>
          <w:szCs w:val="16"/>
        </w:rPr>
        <w:t>IOA = 1 indique  que  les  dépenses publiques dans le secteur agricole est le reflet de sa contribution à l’économie du pays ; 1OA &lt;1 implique que les dépenses sectorielles sont plus faibles que la contribution du secteur à l’économie.</w:t>
      </w:r>
    </w:p>
  </w:footnote>
  <w:footnote w:id="16">
    <w:p w:rsidR="00146325" w:rsidRPr="00141D20" w:rsidRDefault="00146325" w:rsidP="00CE0F9D">
      <w:pPr>
        <w:pStyle w:val="Paragraphedeliste"/>
        <w:ind w:left="0"/>
        <w:jc w:val="both"/>
        <w:rPr>
          <w:rFonts w:ascii="Nyala" w:hAnsi="Nyala"/>
          <w:bCs/>
          <w:sz w:val="18"/>
          <w:szCs w:val="18"/>
        </w:rPr>
      </w:pPr>
      <w:r>
        <w:rPr>
          <w:rStyle w:val="Appelnotedebasdep"/>
        </w:rPr>
        <w:footnoteRef/>
      </w:r>
      <w:r w:rsidRPr="00141D20">
        <w:rPr>
          <w:rFonts w:ascii="Nyala" w:hAnsi="Nyala"/>
          <w:bCs/>
          <w:sz w:val="18"/>
          <w:szCs w:val="18"/>
        </w:rPr>
        <w:t xml:space="preserve">Le Gouvernement du Niger a adopté en 2016, une Stratégie Nationale d’Achats Locaux d’aliments auprès des petits producteurs qui pourraient servir à la constitution de réserves alimentaires, dynamiser le marché agricole et fournir des revenus stables aux producteurs. Toutefois, il n’existe pas d’études montrant les impacts positifs ou négatifs  des achats locaux sur les prix des marchés des produits agricoles. </w:t>
      </w:r>
    </w:p>
    <w:p w:rsidR="00146325" w:rsidRDefault="00146325">
      <w:pPr>
        <w:pStyle w:val="Notedebasdepage"/>
      </w:pPr>
    </w:p>
  </w:footnote>
  <w:footnote w:id="17">
    <w:p w:rsidR="00146325" w:rsidRPr="00F95B3A" w:rsidRDefault="00146325" w:rsidP="00F95B3A">
      <w:pPr>
        <w:pStyle w:val="Notedebasdepage"/>
        <w:rPr>
          <w:sz w:val="16"/>
          <w:szCs w:val="16"/>
        </w:rPr>
      </w:pPr>
      <w:r>
        <w:rPr>
          <w:rStyle w:val="Appelnotedebasdep"/>
        </w:rPr>
        <w:footnoteRef/>
      </w:r>
      <w:r w:rsidRPr="00F95B3A">
        <w:rPr>
          <w:sz w:val="16"/>
          <w:szCs w:val="16"/>
        </w:rPr>
        <w:t>C'est  un  indicateur  de  mesure  de  l'inflation  au  sein des  pays  membres  de  l'UEMOA.  Cet  indice  est  dit "harmonisé"  car  le  même  instrument  de  suivi  de l'évolution des prix a été mis en place dans ces pays, en utilisant une méthodologie commune. L'inflation  peut  être  mesurée  en  glissement  annuel ou en moyenne annuelle.</w:t>
      </w:r>
    </w:p>
  </w:footnote>
  <w:footnote w:id="18">
    <w:p w:rsidR="00146325" w:rsidRPr="006866D3" w:rsidRDefault="00146325" w:rsidP="00AA0378">
      <w:pPr>
        <w:pStyle w:val="Notedebasdepage"/>
        <w:rPr>
          <w:rFonts w:ascii="Calibri" w:hAnsi="Calibri"/>
          <w:lang w:val="en-US"/>
        </w:rPr>
      </w:pPr>
      <w:r w:rsidRPr="007058F4">
        <w:rPr>
          <w:rStyle w:val="Appelnotedebasdep"/>
          <w:rFonts w:ascii="Calibri" w:hAnsi="Calibri"/>
        </w:rPr>
        <w:footnoteRef/>
      </w:r>
      <w:r w:rsidRPr="006866D3">
        <w:rPr>
          <w:rFonts w:ascii="Calibri" w:hAnsi="Calibri"/>
          <w:lang w:val="en-US"/>
        </w:rPr>
        <w:t xml:space="preserve">Niger country Report, Selected Issues 2017, </w:t>
      </w:r>
    </w:p>
  </w:footnote>
  <w:footnote w:id="19">
    <w:p w:rsidR="00146325" w:rsidRPr="00BF7C8C" w:rsidRDefault="00146325" w:rsidP="003561E4">
      <w:pPr>
        <w:pStyle w:val="Notedebasdepage"/>
        <w:ind w:left="284" w:hanging="284"/>
        <w:rPr>
          <w:sz w:val="16"/>
          <w:szCs w:val="16"/>
        </w:rPr>
      </w:pPr>
      <w:r w:rsidRPr="00BF7C8C">
        <w:rPr>
          <w:rStyle w:val="Appelnotedebasdep"/>
          <w:sz w:val="16"/>
          <w:szCs w:val="16"/>
        </w:rPr>
        <w:footnoteRef/>
      </w:r>
      <w:r w:rsidRPr="00BF7C8C">
        <w:rPr>
          <w:sz w:val="16"/>
          <w:szCs w:val="16"/>
        </w:rPr>
        <w:t xml:space="preserve"> Plan de Développement Economique et social du Niger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8769129"/>
      <w:docPartObj>
        <w:docPartGallery w:val="Page Numbers (Top of Page)"/>
        <w:docPartUnique/>
      </w:docPartObj>
    </w:sdtPr>
    <w:sdtEndPr/>
    <w:sdtContent>
      <w:p w:rsidR="00146325" w:rsidRDefault="00C73EE5">
        <w:pPr>
          <w:pStyle w:val="En-tte"/>
          <w:jc w:val="right"/>
        </w:pPr>
        <w:r>
          <w:fldChar w:fldCharType="begin"/>
        </w:r>
        <w:r>
          <w:instrText>PAGE   \* MERGEFORMAT</w:instrText>
        </w:r>
        <w:r>
          <w:fldChar w:fldCharType="separate"/>
        </w:r>
        <w:r w:rsidR="00146983">
          <w:rPr>
            <w:noProof/>
          </w:rPr>
          <w:t>1</w:t>
        </w:r>
        <w:r>
          <w:rPr>
            <w:noProof/>
          </w:rPr>
          <w:fldChar w:fldCharType="end"/>
        </w:r>
      </w:p>
    </w:sdtContent>
  </w:sdt>
  <w:p w:rsidR="00146325" w:rsidRDefault="0014632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24D8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6D3018"/>
    <w:multiLevelType w:val="multilevel"/>
    <w:tmpl w:val="1756A818"/>
    <w:lvl w:ilvl="0">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2">
    <w:nsid w:val="0B3E7EE4"/>
    <w:multiLevelType w:val="hybridMultilevel"/>
    <w:tmpl w:val="71CE7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610554"/>
    <w:multiLevelType w:val="hybridMultilevel"/>
    <w:tmpl w:val="4E464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354B6F"/>
    <w:multiLevelType w:val="hybridMultilevel"/>
    <w:tmpl w:val="37F40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042DE"/>
    <w:multiLevelType w:val="multilevel"/>
    <w:tmpl w:val="F8CAF7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2A21763"/>
    <w:multiLevelType w:val="multilevel"/>
    <w:tmpl w:val="91A2A09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3BD61CE"/>
    <w:multiLevelType w:val="hybridMultilevel"/>
    <w:tmpl w:val="CCE2B1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5CA1206"/>
    <w:multiLevelType w:val="hybridMultilevel"/>
    <w:tmpl w:val="B3DEE84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1607507A"/>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75C478E"/>
    <w:multiLevelType w:val="hybridMultilevel"/>
    <w:tmpl w:val="207CB0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7D617C2"/>
    <w:multiLevelType w:val="multilevel"/>
    <w:tmpl w:val="01488AA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7D90943"/>
    <w:multiLevelType w:val="hybridMultilevel"/>
    <w:tmpl w:val="86ACDFF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85655E8"/>
    <w:multiLevelType w:val="hybridMultilevel"/>
    <w:tmpl w:val="DC648D3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19B01FAC"/>
    <w:multiLevelType w:val="hybridMultilevel"/>
    <w:tmpl w:val="BFA47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CE00592"/>
    <w:multiLevelType w:val="hybridMultilevel"/>
    <w:tmpl w:val="B56C76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D447846"/>
    <w:multiLevelType w:val="hybridMultilevel"/>
    <w:tmpl w:val="91FA9F2C"/>
    <w:lvl w:ilvl="0" w:tplc="62D2889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1F7048D5"/>
    <w:multiLevelType w:val="hybridMultilevel"/>
    <w:tmpl w:val="D4A2D1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090718A"/>
    <w:multiLevelType w:val="hybridMultilevel"/>
    <w:tmpl w:val="0C3CD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0F4685C"/>
    <w:multiLevelType w:val="hybridMultilevel"/>
    <w:tmpl w:val="931641C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2A5517D"/>
    <w:multiLevelType w:val="hybridMultilevel"/>
    <w:tmpl w:val="D1DA2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AA527DB"/>
    <w:multiLevelType w:val="hybridMultilevel"/>
    <w:tmpl w:val="6A800F7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2BEC3278"/>
    <w:multiLevelType w:val="hybridMultilevel"/>
    <w:tmpl w:val="A8020506"/>
    <w:lvl w:ilvl="0" w:tplc="B78AA620">
      <w:start w:val="58"/>
      <w:numFmt w:val="bullet"/>
      <w:lvlText w:val="-"/>
      <w:lvlJc w:val="left"/>
      <w:rPr>
        <w:rFonts w:ascii="Arial" w:eastAsia="Calibri"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2E8739EB"/>
    <w:multiLevelType w:val="hybridMultilevel"/>
    <w:tmpl w:val="A4C46CD4"/>
    <w:lvl w:ilvl="0" w:tplc="1A32695E">
      <w:numFmt w:val="bullet"/>
      <w:lvlText w:val="-"/>
      <w:lvlJc w:val="left"/>
      <w:pPr>
        <w:ind w:left="720" w:hanging="360"/>
      </w:pPr>
      <w:rPr>
        <w:rFonts w:ascii="Cambria" w:eastAsia="MS Mincho"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nsid w:val="33D35D10"/>
    <w:multiLevelType w:val="hybridMultilevel"/>
    <w:tmpl w:val="1136CC56"/>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nsid w:val="34D05C29"/>
    <w:multiLevelType w:val="hybridMultilevel"/>
    <w:tmpl w:val="8BDE4588"/>
    <w:lvl w:ilvl="0" w:tplc="DE84211C">
      <w:start w:val="1"/>
      <w:numFmt w:val="upperRoman"/>
      <w:lvlText w:val="%1."/>
      <w:lvlJc w:val="left"/>
      <w:pPr>
        <w:ind w:left="1440" w:hanging="720"/>
      </w:pPr>
      <w:rPr>
        <w:rFonts w:hint="default"/>
        <w:b/>
        <w:sz w:val="24"/>
      </w:rPr>
    </w:lvl>
    <w:lvl w:ilvl="1" w:tplc="04380019" w:tentative="1">
      <w:start w:val="1"/>
      <w:numFmt w:val="lowerLetter"/>
      <w:lvlText w:val="%2."/>
      <w:lvlJc w:val="left"/>
      <w:pPr>
        <w:ind w:left="1800" w:hanging="360"/>
      </w:pPr>
    </w:lvl>
    <w:lvl w:ilvl="2" w:tplc="0438001B" w:tentative="1">
      <w:start w:val="1"/>
      <w:numFmt w:val="lowerRoman"/>
      <w:lvlText w:val="%3."/>
      <w:lvlJc w:val="right"/>
      <w:pPr>
        <w:ind w:left="2520" w:hanging="180"/>
      </w:pPr>
    </w:lvl>
    <w:lvl w:ilvl="3" w:tplc="0438000F" w:tentative="1">
      <w:start w:val="1"/>
      <w:numFmt w:val="decimal"/>
      <w:lvlText w:val="%4."/>
      <w:lvlJc w:val="left"/>
      <w:pPr>
        <w:ind w:left="3240" w:hanging="360"/>
      </w:pPr>
    </w:lvl>
    <w:lvl w:ilvl="4" w:tplc="04380019" w:tentative="1">
      <w:start w:val="1"/>
      <w:numFmt w:val="lowerLetter"/>
      <w:lvlText w:val="%5."/>
      <w:lvlJc w:val="left"/>
      <w:pPr>
        <w:ind w:left="3960" w:hanging="360"/>
      </w:pPr>
    </w:lvl>
    <w:lvl w:ilvl="5" w:tplc="0438001B" w:tentative="1">
      <w:start w:val="1"/>
      <w:numFmt w:val="lowerRoman"/>
      <w:lvlText w:val="%6."/>
      <w:lvlJc w:val="right"/>
      <w:pPr>
        <w:ind w:left="4680" w:hanging="180"/>
      </w:pPr>
    </w:lvl>
    <w:lvl w:ilvl="6" w:tplc="0438000F" w:tentative="1">
      <w:start w:val="1"/>
      <w:numFmt w:val="decimal"/>
      <w:lvlText w:val="%7."/>
      <w:lvlJc w:val="left"/>
      <w:pPr>
        <w:ind w:left="5400" w:hanging="360"/>
      </w:pPr>
    </w:lvl>
    <w:lvl w:ilvl="7" w:tplc="04380019" w:tentative="1">
      <w:start w:val="1"/>
      <w:numFmt w:val="lowerLetter"/>
      <w:lvlText w:val="%8."/>
      <w:lvlJc w:val="left"/>
      <w:pPr>
        <w:ind w:left="6120" w:hanging="360"/>
      </w:pPr>
    </w:lvl>
    <w:lvl w:ilvl="8" w:tplc="0438001B" w:tentative="1">
      <w:start w:val="1"/>
      <w:numFmt w:val="lowerRoman"/>
      <w:lvlText w:val="%9."/>
      <w:lvlJc w:val="right"/>
      <w:pPr>
        <w:ind w:left="6840" w:hanging="180"/>
      </w:pPr>
    </w:lvl>
  </w:abstractNum>
  <w:abstractNum w:abstractNumId="26">
    <w:nsid w:val="38C92BC7"/>
    <w:multiLevelType w:val="hybridMultilevel"/>
    <w:tmpl w:val="C9DC9E7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9123600"/>
    <w:multiLevelType w:val="hybridMultilevel"/>
    <w:tmpl w:val="A77010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A30720F"/>
    <w:multiLevelType w:val="hybridMultilevel"/>
    <w:tmpl w:val="940E791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3D146D13"/>
    <w:multiLevelType w:val="hybridMultilevel"/>
    <w:tmpl w:val="277ABF4A"/>
    <w:lvl w:ilvl="0" w:tplc="A1361C68">
      <w:numFmt w:val="bullet"/>
      <w:lvlText w:val="-"/>
      <w:lvlJc w:val="left"/>
      <w:pPr>
        <w:ind w:left="720" w:hanging="360"/>
      </w:pPr>
      <w:rPr>
        <w:rFonts w:ascii="Calibri" w:eastAsiaTheme="minorHAnsi" w:hAnsi="Calibri" w:cs="Calibr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F8770E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1034FCD"/>
    <w:multiLevelType w:val="hybridMultilevel"/>
    <w:tmpl w:val="B5D412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3375BA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83145D3"/>
    <w:multiLevelType w:val="hybridMultilevel"/>
    <w:tmpl w:val="DD4EBB2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4D49304D"/>
    <w:multiLevelType w:val="hybridMultilevel"/>
    <w:tmpl w:val="76AE73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D7C63A6"/>
    <w:multiLevelType w:val="hybridMultilevel"/>
    <w:tmpl w:val="1756A818"/>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6">
    <w:nsid w:val="51BB3E7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2DF0DFD"/>
    <w:multiLevelType w:val="hybridMultilevel"/>
    <w:tmpl w:val="C944A8BA"/>
    <w:lvl w:ilvl="0" w:tplc="7506FA34">
      <w:start w:val="1"/>
      <w:numFmt w:val="bullet"/>
      <w:lvlText w:val="–"/>
      <w:lvlJc w:val="left"/>
      <w:pPr>
        <w:tabs>
          <w:tab w:val="num" w:pos="360"/>
        </w:tabs>
        <w:ind w:left="360" w:hanging="360"/>
      </w:pPr>
      <w:rPr>
        <w:rFonts w:ascii="Calibri" w:hAnsi="Calibri" w:hint="default"/>
      </w:rPr>
    </w:lvl>
    <w:lvl w:ilvl="1" w:tplc="2CAABDAE">
      <w:start w:val="1"/>
      <w:numFmt w:val="bullet"/>
      <w:lvlText w:val="–"/>
      <w:lvlJc w:val="left"/>
      <w:pPr>
        <w:tabs>
          <w:tab w:val="num" w:pos="1080"/>
        </w:tabs>
        <w:ind w:left="1080" w:hanging="360"/>
      </w:pPr>
      <w:rPr>
        <w:rFonts w:ascii="Calibri" w:hAnsi="Calibri" w:hint="default"/>
      </w:rPr>
    </w:lvl>
    <w:lvl w:ilvl="2" w:tplc="3E1AFABA">
      <w:start w:val="1"/>
      <w:numFmt w:val="bullet"/>
      <w:lvlText w:val="–"/>
      <w:lvlJc w:val="left"/>
      <w:pPr>
        <w:tabs>
          <w:tab w:val="num" w:pos="1800"/>
        </w:tabs>
        <w:ind w:left="1800" w:hanging="360"/>
      </w:pPr>
      <w:rPr>
        <w:rFonts w:ascii="Calibri" w:hAnsi="Calibri" w:hint="default"/>
      </w:rPr>
    </w:lvl>
    <w:lvl w:ilvl="3" w:tplc="62802DA4" w:tentative="1">
      <w:start w:val="1"/>
      <w:numFmt w:val="bullet"/>
      <w:lvlText w:val="–"/>
      <w:lvlJc w:val="left"/>
      <w:pPr>
        <w:tabs>
          <w:tab w:val="num" w:pos="2520"/>
        </w:tabs>
        <w:ind w:left="2520" w:hanging="360"/>
      </w:pPr>
      <w:rPr>
        <w:rFonts w:ascii="Calibri" w:hAnsi="Calibri" w:hint="default"/>
      </w:rPr>
    </w:lvl>
    <w:lvl w:ilvl="4" w:tplc="75ACCC72" w:tentative="1">
      <w:start w:val="1"/>
      <w:numFmt w:val="bullet"/>
      <w:lvlText w:val="–"/>
      <w:lvlJc w:val="left"/>
      <w:pPr>
        <w:tabs>
          <w:tab w:val="num" w:pos="3240"/>
        </w:tabs>
        <w:ind w:left="3240" w:hanging="360"/>
      </w:pPr>
      <w:rPr>
        <w:rFonts w:ascii="Calibri" w:hAnsi="Calibri" w:hint="default"/>
      </w:rPr>
    </w:lvl>
    <w:lvl w:ilvl="5" w:tplc="EB1E96D8" w:tentative="1">
      <w:start w:val="1"/>
      <w:numFmt w:val="bullet"/>
      <w:lvlText w:val="–"/>
      <w:lvlJc w:val="left"/>
      <w:pPr>
        <w:tabs>
          <w:tab w:val="num" w:pos="3960"/>
        </w:tabs>
        <w:ind w:left="3960" w:hanging="360"/>
      </w:pPr>
      <w:rPr>
        <w:rFonts w:ascii="Calibri" w:hAnsi="Calibri" w:hint="default"/>
      </w:rPr>
    </w:lvl>
    <w:lvl w:ilvl="6" w:tplc="6B0C1394" w:tentative="1">
      <w:start w:val="1"/>
      <w:numFmt w:val="bullet"/>
      <w:lvlText w:val="–"/>
      <w:lvlJc w:val="left"/>
      <w:pPr>
        <w:tabs>
          <w:tab w:val="num" w:pos="4680"/>
        </w:tabs>
        <w:ind w:left="4680" w:hanging="360"/>
      </w:pPr>
      <w:rPr>
        <w:rFonts w:ascii="Calibri" w:hAnsi="Calibri" w:hint="default"/>
      </w:rPr>
    </w:lvl>
    <w:lvl w:ilvl="7" w:tplc="51A8E912" w:tentative="1">
      <w:start w:val="1"/>
      <w:numFmt w:val="bullet"/>
      <w:lvlText w:val="–"/>
      <w:lvlJc w:val="left"/>
      <w:pPr>
        <w:tabs>
          <w:tab w:val="num" w:pos="5400"/>
        </w:tabs>
        <w:ind w:left="5400" w:hanging="360"/>
      </w:pPr>
      <w:rPr>
        <w:rFonts w:ascii="Calibri" w:hAnsi="Calibri" w:hint="default"/>
      </w:rPr>
    </w:lvl>
    <w:lvl w:ilvl="8" w:tplc="F9F26F76" w:tentative="1">
      <w:start w:val="1"/>
      <w:numFmt w:val="bullet"/>
      <w:lvlText w:val="–"/>
      <w:lvlJc w:val="left"/>
      <w:pPr>
        <w:tabs>
          <w:tab w:val="num" w:pos="6120"/>
        </w:tabs>
        <w:ind w:left="6120" w:hanging="360"/>
      </w:pPr>
      <w:rPr>
        <w:rFonts w:ascii="Calibri" w:hAnsi="Calibri" w:hint="default"/>
      </w:rPr>
    </w:lvl>
  </w:abstractNum>
  <w:abstractNum w:abstractNumId="38">
    <w:nsid w:val="533C5B39"/>
    <w:multiLevelType w:val="hybridMultilevel"/>
    <w:tmpl w:val="9F6EB5B4"/>
    <w:lvl w:ilvl="0" w:tplc="91448BB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54050FBE"/>
    <w:multiLevelType w:val="hybridMultilevel"/>
    <w:tmpl w:val="20142474"/>
    <w:lvl w:ilvl="0" w:tplc="B78AA620">
      <w:start w:val="58"/>
      <w:numFmt w:val="bullet"/>
      <w:lvlText w:val="-"/>
      <w:lvlJc w:val="left"/>
      <w:rPr>
        <w:rFonts w:ascii="Arial" w:eastAsia="Calibri" w:hAnsi="Arial" w:cs="Aria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54783A3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7FD5465"/>
    <w:multiLevelType w:val="hybridMultilevel"/>
    <w:tmpl w:val="E302610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A570143"/>
    <w:multiLevelType w:val="hybridMultilevel"/>
    <w:tmpl w:val="2BE666F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5AE83FB7"/>
    <w:multiLevelType w:val="hybridMultilevel"/>
    <w:tmpl w:val="10FAA6D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4">
    <w:nsid w:val="5CF45232"/>
    <w:multiLevelType w:val="hybridMultilevel"/>
    <w:tmpl w:val="3B3CC348"/>
    <w:lvl w:ilvl="0" w:tplc="AE522448">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nsid w:val="5D0C5320"/>
    <w:multiLevelType w:val="hybridMultilevel"/>
    <w:tmpl w:val="DC926E4E"/>
    <w:lvl w:ilvl="0" w:tplc="040C000D">
      <w:start w:val="1"/>
      <w:numFmt w:val="bullet"/>
      <w:lvlText w:val=""/>
      <w:lvlJc w:val="left"/>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D9C778B"/>
    <w:multiLevelType w:val="hybridMultilevel"/>
    <w:tmpl w:val="C9204D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FF45D0C"/>
    <w:multiLevelType w:val="multilevel"/>
    <w:tmpl w:val="E130A2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48">
    <w:nsid w:val="60D63B4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1473609"/>
    <w:multiLevelType w:val="hybridMultilevel"/>
    <w:tmpl w:val="4836C5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34E610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49A40C7"/>
    <w:multiLevelType w:val="hybridMultilevel"/>
    <w:tmpl w:val="9F865860"/>
    <w:lvl w:ilvl="0" w:tplc="E2AEADD8">
      <w:start w:val="1"/>
      <w:numFmt w:val="bullet"/>
      <w:lvlText w:val="–"/>
      <w:lvlJc w:val="left"/>
      <w:pPr>
        <w:tabs>
          <w:tab w:val="num" w:pos="360"/>
        </w:tabs>
        <w:ind w:left="360" w:hanging="360"/>
      </w:pPr>
      <w:rPr>
        <w:rFonts w:ascii="Calibri" w:hAnsi="Calibri" w:hint="default"/>
      </w:rPr>
    </w:lvl>
    <w:lvl w:ilvl="1" w:tplc="C21E9F72">
      <w:start w:val="1"/>
      <w:numFmt w:val="bullet"/>
      <w:lvlText w:val="–"/>
      <w:lvlJc w:val="left"/>
      <w:pPr>
        <w:tabs>
          <w:tab w:val="num" w:pos="1080"/>
        </w:tabs>
        <w:ind w:left="1080" w:hanging="360"/>
      </w:pPr>
      <w:rPr>
        <w:rFonts w:ascii="Calibri" w:hAnsi="Calibri" w:hint="default"/>
      </w:rPr>
    </w:lvl>
    <w:lvl w:ilvl="2" w:tplc="8A2C5FBE">
      <w:start w:val="1"/>
      <w:numFmt w:val="bullet"/>
      <w:lvlText w:val="–"/>
      <w:lvlJc w:val="left"/>
      <w:pPr>
        <w:tabs>
          <w:tab w:val="num" w:pos="1800"/>
        </w:tabs>
        <w:ind w:left="1800" w:hanging="360"/>
      </w:pPr>
      <w:rPr>
        <w:rFonts w:ascii="Calibri" w:hAnsi="Calibri" w:hint="default"/>
      </w:rPr>
    </w:lvl>
    <w:lvl w:ilvl="3" w:tplc="827445C0" w:tentative="1">
      <w:start w:val="1"/>
      <w:numFmt w:val="bullet"/>
      <w:lvlText w:val="–"/>
      <w:lvlJc w:val="left"/>
      <w:pPr>
        <w:tabs>
          <w:tab w:val="num" w:pos="2520"/>
        </w:tabs>
        <w:ind w:left="2520" w:hanging="360"/>
      </w:pPr>
      <w:rPr>
        <w:rFonts w:ascii="Calibri" w:hAnsi="Calibri" w:hint="default"/>
      </w:rPr>
    </w:lvl>
    <w:lvl w:ilvl="4" w:tplc="5FBE9480" w:tentative="1">
      <w:start w:val="1"/>
      <w:numFmt w:val="bullet"/>
      <w:lvlText w:val="–"/>
      <w:lvlJc w:val="left"/>
      <w:pPr>
        <w:tabs>
          <w:tab w:val="num" w:pos="3240"/>
        </w:tabs>
        <w:ind w:left="3240" w:hanging="360"/>
      </w:pPr>
      <w:rPr>
        <w:rFonts w:ascii="Calibri" w:hAnsi="Calibri" w:hint="default"/>
      </w:rPr>
    </w:lvl>
    <w:lvl w:ilvl="5" w:tplc="7C2E7D16" w:tentative="1">
      <w:start w:val="1"/>
      <w:numFmt w:val="bullet"/>
      <w:lvlText w:val="–"/>
      <w:lvlJc w:val="left"/>
      <w:pPr>
        <w:tabs>
          <w:tab w:val="num" w:pos="3960"/>
        </w:tabs>
        <w:ind w:left="3960" w:hanging="360"/>
      </w:pPr>
      <w:rPr>
        <w:rFonts w:ascii="Calibri" w:hAnsi="Calibri" w:hint="default"/>
      </w:rPr>
    </w:lvl>
    <w:lvl w:ilvl="6" w:tplc="490017DA" w:tentative="1">
      <w:start w:val="1"/>
      <w:numFmt w:val="bullet"/>
      <w:lvlText w:val="–"/>
      <w:lvlJc w:val="left"/>
      <w:pPr>
        <w:tabs>
          <w:tab w:val="num" w:pos="4680"/>
        </w:tabs>
        <w:ind w:left="4680" w:hanging="360"/>
      </w:pPr>
      <w:rPr>
        <w:rFonts w:ascii="Calibri" w:hAnsi="Calibri" w:hint="default"/>
      </w:rPr>
    </w:lvl>
    <w:lvl w:ilvl="7" w:tplc="8DD0051E" w:tentative="1">
      <w:start w:val="1"/>
      <w:numFmt w:val="bullet"/>
      <w:lvlText w:val="–"/>
      <w:lvlJc w:val="left"/>
      <w:pPr>
        <w:tabs>
          <w:tab w:val="num" w:pos="5400"/>
        </w:tabs>
        <w:ind w:left="5400" w:hanging="360"/>
      </w:pPr>
      <w:rPr>
        <w:rFonts w:ascii="Calibri" w:hAnsi="Calibri" w:hint="default"/>
      </w:rPr>
    </w:lvl>
    <w:lvl w:ilvl="8" w:tplc="CD92DA36" w:tentative="1">
      <w:start w:val="1"/>
      <w:numFmt w:val="bullet"/>
      <w:lvlText w:val="–"/>
      <w:lvlJc w:val="left"/>
      <w:pPr>
        <w:tabs>
          <w:tab w:val="num" w:pos="6120"/>
        </w:tabs>
        <w:ind w:left="6120" w:hanging="360"/>
      </w:pPr>
      <w:rPr>
        <w:rFonts w:ascii="Calibri" w:hAnsi="Calibri" w:hint="default"/>
      </w:rPr>
    </w:lvl>
  </w:abstractNum>
  <w:abstractNum w:abstractNumId="52">
    <w:nsid w:val="664664E7"/>
    <w:multiLevelType w:val="hybridMultilevel"/>
    <w:tmpl w:val="C9DC9E7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671E46DC"/>
    <w:multiLevelType w:val="hybridMultilevel"/>
    <w:tmpl w:val="3A5421C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8123EF0"/>
    <w:multiLevelType w:val="hybridMultilevel"/>
    <w:tmpl w:val="72963E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8832D37"/>
    <w:multiLevelType w:val="hybridMultilevel"/>
    <w:tmpl w:val="CD105F5C"/>
    <w:lvl w:ilvl="0" w:tplc="F3AA5470">
      <w:start w:val="2"/>
      <w:numFmt w:val="decimal"/>
      <w:lvlText w:val="%1."/>
      <w:lvlJc w:val="left"/>
      <w:pPr>
        <w:ind w:left="502"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90B0AA2"/>
    <w:multiLevelType w:val="hybridMultilevel"/>
    <w:tmpl w:val="26CE3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96507EE"/>
    <w:multiLevelType w:val="multilevel"/>
    <w:tmpl w:val="E130A2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58">
    <w:nsid w:val="6A1B67B9"/>
    <w:multiLevelType w:val="multilevel"/>
    <w:tmpl w:val="01488AA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6A947A3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DB3353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E730A11"/>
    <w:multiLevelType w:val="hybridMultilevel"/>
    <w:tmpl w:val="E670D46C"/>
    <w:lvl w:ilvl="0" w:tplc="62D28898">
      <w:start w:val="1"/>
      <w:numFmt w:val="bullet"/>
      <w:lvlText w:val=""/>
      <w:lvlJc w:val="left"/>
      <w:pPr>
        <w:ind w:left="737" w:hanging="360"/>
      </w:pPr>
      <w:rPr>
        <w:rFonts w:ascii="Symbol" w:hAnsi="Symbol" w:hint="default"/>
      </w:rPr>
    </w:lvl>
    <w:lvl w:ilvl="1" w:tplc="040C0003" w:tentative="1">
      <w:start w:val="1"/>
      <w:numFmt w:val="bullet"/>
      <w:lvlText w:val="o"/>
      <w:lvlJc w:val="left"/>
      <w:pPr>
        <w:ind w:left="1457" w:hanging="360"/>
      </w:pPr>
      <w:rPr>
        <w:rFonts w:ascii="Courier New" w:hAnsi="Courier New" w:cs="Courier New" w:hint="default"/>
      </w:rPr>
    </w:lvl>
    <w:lvl w:ilvl="2" w:tplc="040C0005" w:tentative="1">
      <w:start w:val="1"/>
      <w:numFmt w:val="bullet"/>
      <w:lvlText w:val=""/>
      <w:lvlJc w:val="left"/>
      <w:pPr>
        <w:ind w:left="2177" w:hanging="360"/>
      </w:pPr>
      <w:rPr>
        <w:rFonts w:ascii="Wingdings" w:hAnsi="Wingdings" w:hint="default"/>
      </w:rPr>
    </w:lvl>
    <w:lvl w:ilvl="3" w:tplc="040C0001" w:tentative="1">
      <w:start w:val="1"/>
      <w:numFmt w:val="bullet"/>
      <w:lvlText w:val=""/>
      <w:lvlJc w:val="left"/>
      <w:pPr>
        <w:ind w:left="2897" w:hanging="360"/>
      </w:pPr>
      <w:rPr>
        <w:rFonts w:ascii="Symbol" w:hAnsi="Symbol" w:hint="default"/>
      </w:rPr>
    </w:lvl>
    <w:lvl w:ilvl="4" w:tplc="040C0003" w:tentative="1">
      <w:start w:val="1"/>
      <w:numFmt w:val="bullet"/>
      <w:lvlText w:val="o"/>
      <w:lvlJc w:val="left"/>
      <w:pPr>
        <w:ind w:left="3617" w:hanging="360"/>
      </w:pPr>
      <w:rPr>
        <w:rFonts w:ascii="Courier New" w:hAnsi="Courier New" w:cs="Courier New" w:hint="default"/>
      </w:rPr>
    </w:lvl>
    <w:lvl w:ilvl="5" w:tplc="040C0005" w:tentative="1">
      <w:start w:val="1"/>
      <w:numFmt w:val="bullet"/>
      <w:lvlText w:val=""/>
      <w:lvlJc w:val="left"/>
      <w:pPr>
        <w:ind w:left="4337" w:hanging="360"/>
      </w:pPr>
      <w:rPr>
        <w:rFonts w:ascii="Wingdings" w:hAnsi="Wingdings" w:hint="default"/>
      </w:rPr>
    </w:lvl>
    <w:lvl w:ilvl="6" w:tplc="040C0001" w:tentative="1">
      <w:start w:val="1"/>
      <w:numFmt w:val="bullet"/>
      <w:lvlText w:val=""/>
      <w:lvlJc w:val="left"/>
      <w:pPr>
        <w:ind w:left="5057" w:hanging="360"/>
      </w:pPr>
      <w:rPr>
        <w:rFonts w:ascii="Symbol" w:hAnsi="Symbol" w:hint="default"/>
      </w:rPr>
    </w:lvl>
    <w:lvl w:ilvl="7" w:tplc="040C0003" w:tentative="1">
      <w:start w:val="1"/>
      <w:numFmt w:val="bullet"/>
      <w:lvlText w:val="o"/>
      <w:lvlJc w:val="left"/>
      <w:pPr>
        <w:ind w:left="5777" w:hanging="360"/>
      </w:pPr>
      <w:rPr>
        <w:rFonts w:ascii="Courier New" w:hAnsi="Courier New" w:cs="Courier New" w:hint="default"/>
      </w:rPr>
    </w:lvl>
    <w:lvl w:ilvl="8" w:tplc="040C0005" w:tentative="1">
      <w:start w:val="1"/>
      <w:numFmt w:val="bullet"/>
      <w:lvlText w:val=""/>
      <w:lvlJc w:val="left"/>
      <w:pPr>
        <w:ind w:left="6497" w:hanging="360"/>
      </w:pPr>
      <w:rPr>
        <w:rFonts w:ascii="Wingdings" w:hAnsi="Wingdings" w:hint="default"/>
      </w:rPr>
    </w:lvl>
  </w:abstractNum>
  <w:abstractNum w:abstractNumId="62">
    <w:nsid w:val="6FF85324"/>
    <w:multiLevelType w:val="multilevel"/>
    <w:tmpl w:val="01488AA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713304E2"/>
    <w:multiLevelType w:val="hybridMultilevel"/>
    <w:tmpl w:val="06C045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733D41A7"/>
    <w:multiLevelType w:val="hybridMultilevel"/>
    <w:tmpl w:val="B1B0539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766C643E"/>
    <w:multiLevelType w:val="hybridMultilevel"/>
    <w:tmpl w:val="BF78F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8150E11"/>
    <w:multiLevelType w:val="hybridMultilevel"/>
    <w:tmpl w:val="940E791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78FE05F0"/>
    <w:multiLevelType w:val="hybridMultilevel"/>
    <w:tmpl w:val="91A2A09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7B5C5D68"/>
    <w:multiLevelType w:val="hybridMultilevel"/>
    <w:tmpl w:val="549A129E"/>
    <w:lvl w:ilvl="0" w:tplc="B78AA620">
      <w:start w:val="58"/>
      <w:numFmt w:val="bullet"/>
      <w:lvlText w:val="-"/>
      <w:lvlJc w:val="left"/>
      <w:rPr>
        <w:rFonts w:ascii="Arial" w:eastAsia="Calibri" w:hAnsi="Arial" w:cs="Aria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nsid w:val="7EF5512F"/>
    <w:multiLevelType w:val="hybridMultilevel"/>
    <w:tmpl w:val="E6E476BA"/>
    <w:lvl w:ilvl="0" w:tplc="557ABAFC">
      <w:start w:val="1"/>
      <w:numFmt w:val="upperLetter"/>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50"/>
  </w:num>
  <w:num w:numId="3">
    <w:abstractNumId w:val="49"/>
  </w:num>
  <w:num w:numId="4">
    <w:abstractNumId w:val="64"/>
  </w:num>
  <w:num w:numId="5">
    <w:abstractNumId w:val="19"/>
  </w:num>
  <w:num w:numId="6">
    <w:abstractNumId w:val="46"/>
  </w:num>
  <w:num w:numId="7">
    <w:abstractNumId w:val="65"/>
  </w:num>
  <w:num w:numId="8">
    <w:abstractNumId w:val="54"/>
  </w:num>
  <w:num w:numId="9">
    <w:abstractNumId w:val="18"/>
  </w:num>
  <w:num w:numId="10">
    <w:abstractNumId w:val="63"/>
  </w:num>
  <w:num w:numId="11">
    <w:abstractNumId w:val="20"/>
  </w:num>
  <w:num w:numId="12">
    <w:abstractNumId w:val="10"/>
  </w:num>
  <w:num w:numId="13">
    <w:abstractNumId w:val="28"/>
  </w:num>
  <w:num w:numId="14">
    <w:abstractNumId w:val="52"/>
  </w:num>
  <w:num w:numId="15">
    <w:abstractNumId w:val="61"/>
  </w:num>
  <w:num w:numId="16">
    <w:abstractNumId w:val="16"/>
  </w:num>
  <w:num w:numId="17">
    <w:abstractNumId w:val="31"/>
  </w:num>
  <w:num w:numId="18">
    <w:abstractNumId w:val="13"/>
  </w:num>
  <w:num w:numId="19">
    <w:abstractNumId w:val="17"/>
  </w:num>
  <w:num w:numId="20">
    <w:abstractNumId w:val="25"/>
  </w:num>
  <w:num w:numId="21">
    <w:abstractNumId w:val="26"/>
  </w:num>
  <w:num w:numId="22">
    <w:abstractNumId w:val="41"/>
  </w:num>
  <w:num w:numId="23">
    <w:abstractNumId w:val="42"/>
  </w:num>
  <w:num w:numId="24">
    <w:abstractNumId w:val="2"/>
  </w:num>
  <w:num w:numId="25">
    <w:abstractNumId w:val="53"/>
  </w:num>
  <w:num w:numId="26">
    <w:abstractNumId w:val="33"/>
  </w:num>
  <w:num w:numId="27">
    <w:abstractNumId w:val="3"/>
  </w:num>
  <w:num w:numId="28">
    <w:abstractNumId w:val="15"/>
  </w:num>
  <w:num w:numId="29">
    <w:abstractNumId w:val="56"/>
  </w:num>
  <w:num w:numId="30">
    <w:abstractNumId w:val="21"/>
  </w:num>
  <w:num w:numId="31">
    <w:abstractNumId w:val="14"/>
  </w:num>
  <w:num w:numId="32">
    <w:abstractNumId w:val="39"/>
  </w:num>
  <w:num w:numId="33">
    <w:abstractNumId w:val="68"/>
  </w:num>
  <w:num w:numId="34">
    <w:abstractNumId w:val="55"/>
  </w:num>
  <w:num w:numId="35">
    <w:abstractNumId w:val="8"/>
  </w:num>
  <w:num w:numId="36">
    <w:abstractNumId w:val="23"/>
  </w:num>
  <w:num w:numId="37">
    <w:abstractNumId w:val="29"/>
  </w:num>
  <w:num w:numId="38">
    <w:abstractNumId w:val="5"/>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6"/>
  </w:num>
  <w:num w:numId="45">
    <w:abstractNumId w:val="69"/>
  </w:num>
  <w:num w:numId="46">
    <w:abstractNumId w:val="44"/>
  </w:num>
  <w:num w:numId="47">
    <w:abstractNumId w:val="9"/>
  </w:num>
  <w:num w:numId="48">
    <w:abstractNumId w:val="12"/>
  </w:num>
  <w:num w:numId="49">
    <w:abstractNumId w:val="7"/>
  </w:num>
  <w:num w:numId="50">
    <w:abstractNumId w:val="60"/>
  </w:num>
  <w:num w:numId="51">
    <w:abstractNumId w:val="51"/>
  </w:num>
  <w:num w:numId="52">
    <w:abstractNumId w:val="37"/>
  </w:num>
  <w:num w:numId="53">
    <w:abstractNumId w:val="38"/>
  </w:num>
  <w:num w:numId="54">
    <w:abstractNumId w:val="67"/>
  </w:num>
  <w:num w:numId="55">
    <w:abstractNumId w:val="6"/>
  </w:num>
  <w:num w:numId="56">
    <w:abstractNumId w:val="59"/>
  </w:num>
  <w:num w:numId="57">
    <w:abstractNumId w:val="48"/>
  </w:num>
  <w:num w:numId="58">
    <w:abstractNumId w:val="30"/>
  </w:num>
  <w:num w:numId="59">
    <w:abstractNumId w:val="32"/>
  </w:num>
  <w:num w:numId="60">
    <w:abstractNumId w:val="40"/>
  </w:num>
  <w:num w:numId="61">
    <w:abstractNumId w:val="36"/>
  </w:num>
  <w:num w:numId="62">
    <w:abstractNumId w:val="0"/>
  </w:num>
  <w:num w:numId="63">
    <w:abstractNumId w:val="45"/>
  </w:num>
  <w:num w:numId="64">
    <w:abstractNumId w:val="47"/>
  </w:num>
  <w:num w:numId="65">
    <w:abstractNumId w:val="11"/>
  </w:num>
  <w:num w:numId="66">
    <w:abstractNumId w:val="62"/>
  </w:num>
  <w:num w:numId="67">
    <w:abstractNumId w:val="58"/>
  </w:num>
  <w:num w:numId="68">
    <w:abstractNumId w:val="34"/>
  </w:num>
  <w:num w:numId="69">
    <w:abstractNumId w:val="24"/>
  </w:num>
  <w:num w:numId="70">
    <w:abstractNumId w:val="27"/>
  </w:num>
  <w:num w:numId="71">
    <w:abstractNumId w:val="57"/>
  </w:num>
  <w:num w:numId="72">
    <w:abstractNumId w:val="22"/>
  </w:num>
  <w:num w:numId="73">
    <w:abstractNumId w:val="43"/>
  </w:num>
  <w:num w:numId="74">
    <w:abstractNumId w:val="35"/>
  </w:num>
  <w:num w:numId="75">
    <w:abstractNumId w:val="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276"/>
    <w:rsid w:val="00000CF4"/>
    <w:rsid w:val="0000154B"/>
    <w:rsid w:val="000028BC"/>
    <w:rsid w:val="00003E28"/>
    <w:rsid w:val="0000416D"/>
    <w:rsid w:val="00004B84"/>
    <w:rsid w:val="00005E2E"/>
    <w:rsid w:val="00010331"/>
    <w:rsid w:val="00010607"/>
    <w:rsid w:val="0001101C"/>
    <w:rsid w:val="00011843"/>
    <w:rsid w:val="0001205F"/>
    <w:rsid w:val="00012C45"/>
    <w:rsid w:val="000146CE"/>
    <w:rsid w:val="00014B50"/>
    <w:rsid w:val="0001503A"/>
    <w:rsid w:val="00015A0A"/>
    <w:rsid w:val="000170A5"/>
    <w:rsid w:val="000177C7"/>
    <w:rsid w:val="00017EC1"/>
    <w:rsid w:val="00020053"/>
    <w:rsid w:val="0002053E"/>
    <w:rsid w:val="00021A6D"/>
    <w:rsid w:val="00022032"/>
    <w:rsid w:val="0002216D"/>
    <w:rsid w:val="00022785"/>
    <w:rsid w:val="00023765"/>
    <w:rsid w:val="0002451F"/>
    <w:rsid w:val="00025C72"/>
    <w:rsid w:val="00030303"/>
    <w:rsid w:val="000314F1"/>
    <w:rsid w:val="00032C30"/>
    <w:rsid w:val="00032D67"/>
    <w:rsid w:val="00033AD0"/>
    <w:rsid w:val="000366C7"/>
    <w:rsid w:val="00037F4D"/>
    <w:rsid w:val="00037FED"/>
    <w:rsid w:val="00041D42"/>
    <w:rsid w:val="00042A40"/>
    <w:rsid w:val="00042CC6"/>
    <w:rsid w:val="00044D71"/>
    <w:rsid w:val="00044FDC"/>
    <w:rsid w:val="0004500B"/>
    <w:rsid w:val="00045E1E"/>
    <w:rsid w:val="000463CB"/>
    <w:rsid w:val="00046834"/>
    <w:rsid w:val="000474CA"/>
    <w:rsid w:val="00047805"/>
    <w:rsid w:val="000500A5"/>
    <w:rsid w:val="00050A2C"/>
    <w:rsid w:val="00052025"/>
    <w:rsid w:val="00053631"/>
    <w:rsid w:val="000560A5"/>
    <w:rsid w:val="000567A9"/>
    <w:rsid w:val="00057D55"/>
    <w:rsid w:val="00060674"/>
    <w:rsid w:val="00061557"/>
    <w:rsid w:val="000628CD"/>
    <w:rsid w:val="00063352"/>
    <w:rsid w:val="00064F87"/>
    <w:rsid w:val="000651B8"/>
    <w:rsid w:val="000658AF"/>
    <w:rsid w:val="00070AC4"/>
    <w:rsid w:val="00070DDC"/>
    <w:rsid w:val="00071E82"/>
    <w:rsid w:val="00072DA6"/>
    <w:rsid w:val="00073BD0"/>
    <w:rsid w:val="00074CD5"/>
    <w:rsid w:val="00075042"/>
    <w:rsid w:val="00075559"/>
    <w:rsid w:val="00076A45"/>
    <w:rsid w:val="00076DC5"/>
    <w:rsid w:val="00077E2E"/>
    <w:rsid w:val="00080385"/>
    <w:rsid w:val="00080437"/>
    <w:rsid w:val="00080906"/>
    <w:rsid w:val="00081821"/>
    <w:rsid w:val="00081C75"/>
    <w:rsid w:val="00082098"/>
    <w:rsid w:val="000821B5"/>
    <w:rsid w:val="00082C4C"/>
    <w:rsid w:val="00082D58"/>
    <w:rsid w:val="00082E14"/>
    <w:rsid w:val="0008330F"/>
    <w:rsid w:val="00083F42"/>
    <w:rsid w:val="0008415E"/>
    <w:rsid w:val="00084312"/>
    <w:rsid w:val="00084541"/>
    <w:rsid w:val="00084550"/>
    <w:rsid w:val="00084696"/>
    <w:rsid w:val="000850BB"/>
    <w:rsid w:val="00085DC3"/>
    <w:rsid w:val="0008620D"/>
    <w:rsid w:val="00086A39"/>
    <w:rsid w:val="00086B92"/>
    <w:rsid w:val="000871FF"/>
    <w:rsid w:val="00087A17"/>
    <w:rsid w:val="00090DF1"/>
    <w:rsid w:val="00090EBE"/>
    <w:rsid w:val="00090EDA"/>
    <w:rsid w:val="00091948"/>
    <w:rsid w:val="00091A80"/>
    <w:rsid w:val="00091DBC"/>
    <w:rsid w:val="00093E7D"/>
    <w:rsid w:val="00094054"/>
    <w:rsid w:val="00094D69"/>
    <w:rsid w:val="00095924"/>
    <w:rsid w:val="00095F0C"/>
    <w:rsid w:val="000A00CC"/>
    <w:rsid w:val="000A0EBF"/>
    <w:rsid w:val="000A2457"/>
    <w:rsid w:val="000A265D"/>
    <w:rsid w:val="000A2B70"/>
    <w:rsid w:val="000A4B43"/>
    <w:rsid w:val="000A6895"/>
    <w:rsid w:val="000A7392"/>
    <w:rsid w:val="000A7A37"/>
    <w:rsid w:val="000A7B44"/>
    <w:rsid w:val="000B2334"/>
    <w:rsid w:val="000B302F"/>
    <w:rsid w:val="000B405E"/>
    <w:rsid w:val="000B4BDB"/>
    <w:rsid w:val="000B4FBD"/>
    <w:rsid w:val="000B5041"/>
    <w:rsid w:val="000B6EAC"/>
    <w:rsid w:val="000B736F"/>
    <w:rsid w:val="000B7C70"/>
    <w:rsid w:val="000C0B7B"/>
    <w:rsid w:val="000C0F6A"/>
    <w:rsid w:val="000C187C"/>
    <w:rsid w:val="000C1F36"/>
    <w:rsid w:val="000C280F"/>
    <w:rsid w:val="000C470D"/>
    <w:rsid w:val="000C5521"/>
    <w:rsid w:val="000C59C5"/>
    <w:rsid w:val="000C658A"/>
    <w:rsid w:val="000C7E1E"/>
    <w:rsid w:val="000D02BD"/>
    <w:rsid w:val="000D097D"/>
    <w:rsid w:val="000D0E16"/>
    <w:rsid w:val="000D0E9B"/>
    <w:rsid w:val="000D1B48"/>
    <w:rsid w:val="000D2A43"/>
    <w:rsid w:val="000D2AEE"/>
    <w:rsid w:val="000D5286"/>
    <w:rsid w:val="000D56C9"/>
    <w:rsid w:val="000D73D6"/>
    <w:rsid w:val="000E04CA"/>
    <w:rsid w:val="000E1563"/>
    <w:rsid w:val="000E19C4"/>
    <w:rsid w:val="000E1FC2"/>
    <w:rsid w:val="000E22D9"/>
    <w:rsid w:val="000E30C7"/>
    <w:rsid w:val="000E4726"/>
    <w:rsid w:val="000E4B3B"/>
    <w:rsid w:val="000E5A70"/>
    <w:rsid w:val="000E5E2E"/>
    <w:rsid w:val="000E61A3"/>
    <w:rsid w:val="000E6FEC"/>
    <w:rsid w:val="000F0DB0"/>
    <w:rsid w:val="000F193C"/>
    <w:rsid w:val="000F297D"/>
    <w:rsid w:val="000F29E4"/>
    <w:rsid w:val="000F30A3"/>
    <w:rsid w:val="000F3ACE"/>
    <w:rsid w:val="000F46A1"/>
    <w:rsid w:val="000F5A5B"/>
    <w:rsid w:val="0010064E"/>
    <w:rsid w:val="001008D7"/>
    <w:rsid w:val="0010092E"/>
    <w:rsid w:val="00100971"/>
    <w:rsid w:val="001021EC"/>
    <w:rsid w:val="001068FD"/>
    <w:rsid w:val="001074D1"/>
    <w:rsid w:val="001079DC"/>
    <w:rsid w:val="00107DAA"/>
    <w:rsid w:val="001101A8"/>
    <w:rsid w:val="00110C27"/>
    <w:rsid w:val="00111F6F"/>
    <w:rsid w:val="00113525"/>
    <w:rsid w:val="0011399F"/>
    <w:rsid w:val="00114989"/>
    <w:rsid w:val="00114E1B"/>
    <w:rsid w:val="00115DE1"/>
    <w:rsid w:val="001164B6"/>
    <w:rsid w:val="0011653A"/>
    <w:rsid w:val="00116C2E"/>
    <w:rsid w:val="001200FC"/>
    <w:rsid w:val="0012105E"/>
    <w:rsid w:val="00121ACB"/>
    <w:rsid w:val="00122954"/>
    <w:rsid w:val="00122B8D"/>
    <w:rsid w:val="00122CAC"/>
    <w:rsid w:val="00122FE1"/>
    <w:rsid w:val="001230BF"/>
    <w:rsid w:val="001234FF"/>
    <w:rsid w:val="00124079"/>
    <w:rsid w:val="00124C9A"/>
    <w:rsid w:val="00125430"/>
    <w:rsid w:val="00125BA3"/>
    <w:rsid w:val="00130671"/>
    <w:rsid w:val="001311C2"/>
    <w:rsid w:val="00131398"/>
    <w:rsid w:val="0013189C"/>
    <w:rsid w:val="00132785"/>
    <w:rsid w:val="00132A9F"/>
    <w:rsid w:val="00133B3D"/>
    <w:rsid w:val="00134CFC"/>
    <w:rsid w:val="00135298"/>
    <w:rsid w:val="0013562F"/>
    <w:rsid w:val="00135BE7"/>
    <w:rsid w:val="00136638"/>
    <w:rsid w:val="00136AF8"/>
    <w:rsid w:val="001374BC"/>
    <w:rsid w:val="001376B0"/>
    <w:rsid w:val="00137C81"/>
    <w:rsid w:val="00141D20"/>
    <w:rsid w:val="001432A1"/>
    <w:rsid w:val="0014358C"/>
    <w:rsid w:val="0014379C"/>
    <w:rsid w:val="00144026"/>
    <w:rsid w:val="00145399"/>
    <w:rsid w:val="001453A0"/>
    <w:rsid w:val="00146325"/>
    <w:rsid w:val="00146983"/>
    <w:rsid w:val="00147799"/>
    <w:rsid w:val="00147AE0"/>
    <w:rsid w:val="00151AA4"/>
    <w:rsid w:val="00152326"/>
    <w:rsid w:val="00152846"/>
    <w:rsid w:val="00154C44"/>
    <w:rsid w:val="001552EC"/>
    <w:rsid w:val="00155412"/>
    <w:rsid w:val="00155989"/>
    <w:rsid w:val="001570CD"/>
    <w:rsid w:val="00157304"/>
    <w:rsid w:val="00160432"/>
    <w:rsid w:val="00160D28"/>
    <w:rsid w:val="00162785"/>
    <w:rsid w:val="00163899"/>
    <w:rsid w:val="001650AC"/>
    <w:rsid w:val="0016522B"/>
    <w:rsid w:val="001659B0"/>
    <w:rsid w:val="0016665A"/>
    <w:rsid w:val="00166998"/>
    <w:rsid w:val="0016760F"/>
    <w:rsid w:val="00167F7B"/>
    <w:rsid w:val="00170259"/>
    <w:rsid w:val="00171330"/>
    <w:rsid w:val="00171530"/>
    <w:rsid w:val="001729E6"/>
    <w:rsid w:val="00173C5C"/>
    <w:rsid w:val="00174ECB"/>
    <w:rsid w:val="00176244"/>
    <w:rsid w:val="00180985"/>
    <w:rsid w:val="00181981"/>
    <w:rsid w:val="00184641"/>
    <w:rsid w:val="0018468D"/>
    <w:rsid w:val="00184717"/>
    <w:rsid w:val="00184D54"/>
    <w:rsid w:val="00186088"/>
    <w:rsid w:val="00186CB7"/>
    <w:rsid w:val="00186E93"/>
    <w:rsid w:val="001874A9"/>
    <w:rsid w:val="00187883"/>
    <w:rsid w:val="0019015A"/>
    <w:rsid w:val="00190298"/>
    <w:rsid w:val="00190880"/>
    <w:rsid w:val="001911C2"/>
    <w:rsid w:val="00191A76"/>
    <w:rsid w:val="0019208C"/>
    <w:rsid w:val="0019322B"/>
    <w:rsid w:val="00193FF8"/>
    <w:rsid w:val="00194ABC"/>
    <w:rsid w:val="00196B4C"/>
    <w:rsid w:val="001978CA"/>
    <w:rsid w:val="00197927"/>
    <w:rsid w:val="00197A9E"/>
    <w:rsid w:val="001A0938"/>
    <w:rsid w:val="001A0E0E"/>
    <w:rsid w:val="001A19AB"/>
    <w:rsid w:val="001A1E89"/>
    <w:rsid w:val="001A1EEE"/>
    <w:rsid w:val="001A1F66"/>
    <w:rsid w:val="001A21CA"/>
    <w:rsid w:val="001A65E4"/>
    <w:rsid w:val="001A673B"/>
    <w:rsid w:val="001A691F"/>
    <w:rsid w:val="001A7755"/>
    <w:rsid w:val="001B0925"/>
    <w:rsid w:val="001B10EC"/>
    <w:rsid w:val="001B3772"/>
    <w:rsid w:val="001B496C"/>
    <w:rsid w:val="001B6FCF"/>
    <w:rsid w:val="001B7174"/>
    <w:rsid w:val="001C23C8"/>
    <w:rsid w:val="001C2518"/>
    <w:rsid w:val="001C2DEF"/>
    <w:rsid w:val="001C4C19"/>
    <w:rsid w:val="001C5C23"/>
    <w:rsid w:val="001C7864"/>
    <w:rsid w:val="001C787B"/>
    <w:rsid w:val="001D139F"/>
    <w:rsid w:val="001D1BA5"/>
    <w:rsid w:val="001D3CAF"/>
    <w:rsid w:val="001D4D57"/>
    <w:rsid w:val="001D5572"/>
    <w:rsid w:val="001D587F"/>
    <w:rsid w:val="001D6280"/>
    <w:rsid w:val="001D65B9"/>
    <w:rsid w:val="001D6C33"/>
    <w:rsid w:val="001D797F"/>
    <w:rsid w:val="001D7B89"/>
    <w:rsid w:val="001E0893"/>
    <w:rsid w:val="001E1210"/>
    <w:rsid w:val="001E1512"/>
    <w:rsid w:val="001E15A6"/>
    <w:rsid w:val="001E1D33"/>
    <w:rsid w:val="001E2922"/>
    <w:rsid w:val="001E2E4A"/>
    <w:rsid w:val="001E3B00"/>
    <w:rsid w:val="001E4FA5"/>
    <w:rsid w:val="001E501E"/>
    <w:rsid w:val="001E5D0E"/>
    <w:rsid w:val="001E73AA"/>
    <w:rsid w:val="001E7A43"/>
    <w:rsid w:val="001F14CD"/>
    <w:rsid w:val="001F2A76"/>
    <w:rsid w:val="001F2BF7"/>
    <w:rsid w:val="001F5E59"/>
    <w:rsid w:val="001F6A59"/>
    <w:rsid w:val="0020040B"/>
    <w:rsid w:val="002004AB"/>
    <w:rsid w:val="002004E6"/>
    <w:rsid w:val="00200DBB"/>
    <w:rsid w:val="0020601F"/>
    <w:rsid w:val="0020630B"/>
    <w:rsid w:val="0020633B"/>
    <w:rsid w:val="00206795"/>
    <w:rsid w:val="002167A7"/>
    <w:rsid w:val="002203A2"/>
    <w:rsid w:val="00220905"/>
    <w:rsid w:val="00220E4C"/>
    <w:rsid w:val="002216FC"/>
    <w:rsid w:val="00221B99"/>
    <w:rsid w:val="00222BCF"/>
    <w:rsid w:val="00223D5F"/>
    <w:rsid w:val="002245A5"/>
    <w:rsid w:val="002246B9"/>
    <w:rsid w:val="002267BD"/>
    <w:rsid w:val="00227058"/>
    <w:rsid w:val="00227784"/>
    <w:rsid w:val="00230529"/>
    <w:rsid w:val="002319A4"/>
    <w:rsid w:val="00231C68"/>
    <w:rsid w:val="00231D33"/>
    <w:rsid w:val="002323E8"/>
    <w:rsid w:val="0023400B"/>
    <w:rsid w:val="0023565B"/>
    <w:rsid w:val="002370BF"/>
    <w:rsid w:val="00237F68"/>
    <w:rsid w:val="002403E6"/>
    <w:rsid w:val="002424A5"/>
    <w:rsid w:val="00242AFD"/>
    <w:rsid w:val="00243385"/>
    <w:rsid w:val="0024399D"/>
    <w:rsid w:val="00245590"/>
    <w:rsid w:val="00245CDC"/>
    <w:rsid w:val="0024623F"/>
    <w:rsid w:val="00246B8C"/>
    <w:rsid w:val="00251373"/>
    <w:rsid w:val="002525FF"/>
    <w:rsid w:val="0025396A"/>
    <w:rsid w:val="002559A3"/>
    <w:rsid w:val="00256CDC"/>
    <w:rsid w:val="002624CE"/>
    <w:rsid w:val="00262D33"/>
    <w:rsid w:val="00262D84"/>
    <w:rsid w:val="00263477"/>
    <w:rsid w:val="00263A94"/>
    <w:rsid w:val="00264A9B"/>
    <w:rsid w:val="002667D7"/>
    <w:rsid w:val="00266C24"/>
    <w:rsid w:val="00267138"/>
    <w:rsid w:val="002671B2"/>
    <w:rsid w:val="0027178F"/>
    <w:rsid w:val="00271B01"/>
    <w:rsid w:val="00274AE6"/>
    <w:rsid w:val="00274F4B"/>
    <w:rsid w:val="002750EA"/>
    <w:rsid w:val="0027552E"/>
    <w:rsid w:val="00275782"/>
    <w:rsid w:val="002767BD"/>
    <w:rsid w:val="00276BB8"/>
    <w:rsid w:val="0027704C"/>
    <w:rsid w:val="00277732"/>
    <w:rsid w:val="00280703"/>
    <w:rsid w:val="00282F0C"/>
    <w:rsid w:val="0028386C"/>
    <w:rsid w:val="0028437D"/>
    <w:rsid w:val="00284AD2"/>
    <w:rsid w:val="00284F61"/>
    <w:rsid w:val="002850AB"/>
    <w:rsid w:val="00285A26"/>
    <w:rsid w:val="002861F0"/>
    <w:rsid w:val="0028620E"/>
    <w:rsid w:val="00286DD5"/>
    <w:rsid w:val="00286E3D"/>
    <w:rsid w:val="00286E51"/>
    <w:rsid w:val="00287B44"/>
    <w:rsid w:val="00292572"/>
    <w:rsid w:val="002927A5"/>
    <w:rsid w:val="002938CA"/>
    <w:rsid w:val="00293D1D"/>
    <w:rsid w:val="00293DF4"/>
    <w:rsid w:val="002949A8"/>
    <w:rsid w:val="002951E0"/>
    <w:rsid w:val="002955AC"/>
    <w:rsid w:val="00296C4B"/>
    <w:rsid w:val="0029712B"/>
    <w:rsid w:val="002A0D53"/>
    <w:rsid w:val="002A36C4"/>
    <w:rsid w:val="002A4046"/>
    <w:rsid w:val="002A4518"/>
    <w:rsid w:val="002A46D5"/>
    <w:rsid w:val="002A4F47"/>
    <w:rsid w:val="002A50A7"/>
    <w:rsid w:val="002A6E2F"/>
    <w:rsid w:val="002A77A6"/>
    <w:rsid w:val="002A7D00"/>
    <w:rsid w:val="002B1FDE"/>
    <w:rsid w:val="002B3E3B"/>
    <w:rsid w:val="002B4D15"/>
    <w:rsid w:val="002B618B"/>
    <w:rsid w:val="002B6FFE"/>
    <w:rsid w:val="002B7597"/>
    <w:rsid w:val="002B7AF5"/>
    <w:rsid w:val="002C067C"/>
    <w:rsid w:val="002C0882"/>
    <w:rsid w:val="002C2BF0"/>
    <w:rsid w:val="002C2EC3"/>
    <w:rsid w:val="002C3C04"/>
    <w:rsid w:val="002C5D75"/>
    <w:rsid w:val="002C6A23"/>
    <w:rsid w:val="002D0420"/>
    <w:rsid w:val="002D05F0"/>
    <w:rsid w:val="002D137E"/>
    <w:rsid w:val="002D203C"/>
    <w:rsid w:val="002D37FB"/>
    <w:rsid w:val="002D3EE3"/>
    <w:rsid w:val="002D4E91"/>
    <w:rsid w:val="002D6991"/>
    <w:rsid w:val="002E012B"/>
    <w:rsid w:val="002E0BC8"/>
    <w:rsid w:val="002E1157"/>
    <w:rsid w:val="002E1C71"/>
    <w:rsid w:val="002E2B21"/>
    <w:rsid w:val="002E517A"/>
    <w:rsid w:val="002E72DF"/>
    <w:rsid w:val="002E769C"/>
    <w:rsid w:val="002E7F0D"/>
    <w:rsid w:val="002F127F"/>
    <w:rsid w:val="002F3392"/>
    <w:rsid w:val="002F3699"/>
    <w:rsid w:val="002F3EF1"/>
    <w:rsid w:val="002F447A"/>
    <w:rsid w:val="002F65E0"/>
    <w:rsid w:val="002F6C2C"/>
    <w:rsid w:val="003000FC"/>
    <w:rsid w:val="0030078F"/>
    <w:rsid w:val="003008A1"/>
    <w:rsid w:val="003022BE"/>
    <w:rsid w:val="00302502"/>
    <w:rsid w:val="00302E74"/>
    <w:rsid w:val="0030362A"/>
    <w:rsid w:val="00304679"/>
    <w:rsid w:val="0030520A"/>
    <w:rsid w:val="003065B6"/>
    <w:rsid w:val="00306C91"/>
    <w:rsid w:val="0031002E"/>
    <w:rsid w:val="0031068C"/>
    <w:rsid w:val="00311A97"/>
    <w:rsid w:val="003120DE"/>
    <w:rsid w:val="003129B8"/>
    <w:rsid w:val="00313451"/>
    <w:rsid w:val="00313667"/>
    <w:rsid w:val="00313796"/>
    <w:rsid w:val="003156F8"/>
    <w:rsid w:val="003167BD"/>
    <w:rsid w:val="00320BB6"/>
    <w:rsid w:val="00320FB8"/>
    <w:rsid w:val="003213B0"/>
    <w:rsid w:val="00321ECA"/>
    <w:rsid w:val="003222C9"/>
    <w:rsid w:val="003225BC"/>
    <w:rsid w:val="00323D7E"/>
    <w:rsid w:val="00324848"/>
    <w:rsid w:val="003249D3"/>
    <w:rsid w:val="003263A8"/>
    <w:rsid w:val="00326C81"/>
    <w:rsid w:val="00326F9A"/>
    <w:rsid w:val="00327C9E"/>
    <w:rsid w:val="00330CB4"/>
    <w:rsid w:val="003315AB"/>
    <w:rsid w:val="00331C22"/>
    <w:rsid w:val="00331EE5"/>
    <w:rsid w:val="00332AD9"/>
    <w:rsid w:val="00333638"/>
    <w:rsid w:val="00334449"/>
    <w:rsid w:val="00335460"/>
    <w:rsid w:val="003362EA"/>
    <w:rsid w:val="00336F5C"/>
    <w:rsid w:val="0033735F"/>
    <w:rsid w:val="00337C2E"/>
    <w:rsid w:val="00340262"/>
    <w:rsid w:val="0034036C"/>
    <w:rsid w:val="00341C11"/>
    <w:rsid w:val="0034211D"/>
    <w:rsid w:val="00342B8B"/>
    <w:rsid w:val="003447E2"/>
    <w:rsid w:val="00345101"/>
    <w:rsid w:val="00345B96"/>
    <w:rsid w:val="003467EF"/>
    <w:rsid w:val="00346C76"/>
    <w:rsid w:val="0034788E"/>
    <w:rsid w:val="00347FA6"/>
    <w:rsid w:val="00350A7E"/>
    <w:rsid w:val="00350F05"/>
    <w:rsid w:val="00353E4E"/>
    <w:rsid w:val="003547C1"/>
    <w:rsid w:val="00354A34"/>
    <w:rsid w:val="00354A97"/>
    <w:rsid w:val="003561E4"/>
    <w:rsid w:val="003567C9"/>
    <w:rsid w:val="00357ACA"/>
    <w:rsid w:val="00357F86"/>
    <w:rsid w:val="00361380"/>
    <w:rsid w:val="003615DE"/>
    <w:rsid w:val="00363B55"/>
    <w:rsid w:val="00365A4A"/>
    <w:rsid w:val="00366C88"/>
    <w:rsid w:val="00367091"/>
    <w:rsid w:val="00367D07"/>
    <w:rsid w:val="00370380"/>
    <w:rsid w:val="003705AF"/>
    <w:rsid w:val="00371E49"/>
    <w:rsid w:val="00372017"/>
    <w:rsid w:val="00373E67"/>
    <w:rsid w:val="00374733"/>
    <w:rsid w:val="00374B7F"/>
    <w:rsid w:val="003750AE"/>
    <w:rsid w:val="00375922"/>
    <w:rsid w:val="00376529"/>
    <w:rsid w:val="00376627"/>
    <w:rsid w:val="00376D1D"/>
    <w:rsid w:val="003772DE"/>
    <w:rsid w:val="003802C4"/>
    <w:rsid w:val="003806FB"/>
    <w:rsid w:val="00380C6F"/>
    <w:rsid w:val="00380F67"/>
    <w:rsid w:val="00383DD7"/>
    <w:rsid w:val="00383E9E"/>
    <w:rsid w:val="003851A9"/>
    <w:rsid w:val="00385390"/>
    <w:rsid w:val="003859BE"/>
    <w:rsid w:val="00385A26"/>
    <w:rsid w:val="00385C9A"/>
    <w:rsid w:val="00387140"/>
    <w:rsid w:val="00390E97"/>
    <w:rsid w:val="003918B3"/>
    <w:rsid w:val="003934D6"/>
    <w:rsid w:val="0039504C"/>
    <w:rsid w:val="003964B9"/>
    <w:rsid w:val="00396C50"/>
    <w:rsid w:val="00396D97"/>
    <w:rsid w:val="0039763D"/>
    <w:rsid w:val="003978FE"/>
    <w:rsid w:val="003A129E"/>
    <w:rsid w:val="003A133E"/>
    <w:rsid w:val="003A2A26"/>
    <w:rsid w:val="003A489C"/>
    <w:rsid w:val="003A5E49"/>
    <w:rsid w:val="003A7348"/>
    <w:rsid w:val="003B150D"/>
    <w:rsid w:val="003B19DF"/>
    <w:rsid w:val="003B1A2F"/>
    <w:rsid w:val="003B1AE5"/>
    <w:rsid w:val="003B21DB"/>
    <w:rsid w:val="003B249F"/>
    <w:rsid w:val="003B2D57"/>
    <w:rsid w:val="003B41CE"/>
    <w:rsid w:val="003B490D"/>
    <w:rsid w:val="003B4A8D"/>
    <w:rsid w:val="003B599D"/>
    <w:rsid w:val="003B62AC"/>
    <w:rsid w:val="003B6520"/>
    <w:rsid w:val="003B7403"/>
    <w:rsid w:val="003C01AB"/>
    <w:rsid w:val="003C1415"/>
    <w:rsid w:val="003C245D"/>
    <w:rsid w:val="003C3625"/>
    <w:rsid w:val="003C4609"/>
    <w:rsid w:val="003C4924"/>
    <w:rsid w:val="003C6393"/>
    <w:rsid w:val="003D2EFE"/>
    <w:rsid w:val="003D33B4"/>
    <w:rsid w:val="003D3F15"/>
    <w:rsid w:val="003D5903"/>
    <w:rsid w:val="003D5D49"/>
    <w:rsid w:val="003D5F11"/>
    <w:rsid w:val="003D6A4D"/>
    <w:rsid w:val="003D6DDC"/>
    <w:rsid w:val="003E0411"/>
    <w:rsid w:val="003E1DBE"/>
    <w:rsid w:val="003E24D2"/>
    <w:rsid w:val="003E35D6"/>
    <w:rsid w:val="003E7286"/>
    <w:rsid w:val="003F1C30"/>
    <w:rsid w:val="003F2078"/>
    <w:rsid w:val="003F2792"/>
    <w:rsid w:val="003F2848"/>
    <w:rsid w:val="003F3124"/>
    <w:rsid w:val="003F3188"/>
    <w:rsid w:val="003F4B0F"/>
    <w:rsid w:val="003F4E43"/>
    <w:rsid w:val="003F5418"/>
    <w:rsid w:val="003F63E7"/>
    <w:rsid w:val="003F7431"/>
    <w:rsid w:val="00400797"/>
    <w:rsid w:val="00401AE5"/>
    <w:rsid w:val="00403C2C"/>
    <w:rsid w:val="00405048"/>
    <w:rsid w:val="00405655"/>
    <w:rsid w:val="0040569D"/>
    <w:rsid w:val="00406826"/>
    <w:rsid w:val="004114DC"/>
    <w:rsid w:val="00411AA0"/>
    <w:rsid w:val="00411FDF"/>
    <w:rsid w:val="00412558"/>
    <w:rsid w:val="004138BF"/>
    <w:rsid w:val="0041430F"/>
    <w:rsid w:val="00415A3C"/>
    <w:rsid w:val="004169C4"/>
    <w:rsid w:val="004175B9"/>
    <w:rsid w:val="004176A9"/>
    <w:rsid w:val="00417CDD"/>
    <w:rsid w:val="00417D45"/>
    <w:rsid w:val="00417F42"/>
    <w:rsid w:val="004204D5"/>
    <w:rsid w:val="004209D4"/>
    <w:rsid w:val="00420A93"/>
    <w:rsid w:val="00421008"/>
    <w:rsid w:val="00421D56"/>
    <w:rsid w:val="0042272F"/>
    <w:rsid w:val="004231FA"/>
    <w:rsid w:val="0042791B"/>
    <w:rsid w:val="00430902"/>
    <w:rsid w:val="00431F46"/>
    <w:rsid w:val="004320DA"/>
    <w:rsid w:val="00434119"/>
    <w:rsid w:val="00434DF2"/>
    <w:rsid w:val="00435431"/>
    <w:rsid w:val="0043584D"/>
    <w:rsid w:val="00435EA6"/>
    <w:rsid w:val="004374A4"/>
    <w:rsid w:val="0043772F"/>
    <w:rsid w:val="00437BC6"/>
    <w:rsid w:val="0044040C"/>
    <w:rsid w:val="00440825"/>
    <w:rsid w:val="00440FAF"/>
    <w:rsid w:val="00441EA3"/>
    <w:rsid w:val="00442405"/>
    <w:rsid w:val="004425DE"/>
    <w:rsid w:val="0044335F"/>
    <w:rsid w:val="0044336C"/>
    <w:rsid w:val="0044390E"/>
    <w:rsid w:val="004443EC"/>
    <w:rsid w:val="00445D0A"/>
    <w:rsid w:val="00445E8C"/>
    <w:rsid w:val="004469B4"/>
    <w:rsid w:val="00446AFC"/>
    <w:rsid w:val="004500CE"/>
    <w:rsid w:val="0045020D"/>
    <w:rsid w:val="004502BE"/>
    <w:rsid w:val="00451FDA"/>
    <w:rsid w:val="0045219F"/>
    <w:rsid w:val="004525D6"/>
    <w:rsid w:val="0045381C"/>
    <w:rsid w:val="00453FE0"/>
    <w:rsid w:val="00455879"/>
    <w:rsid w:val="00456305"/>
    <w:rsid w:val="00456905"/>
    <w:rsid w:val="00456A2E"/>
    <w:rsid w:val="00456B45"/>
    <w:rsid w:val="00457E2A"/>
    <w:rsid w:val="00460B62"/>
    <w:rsid w:val="00460E73"/>
    <w:rsid w:val="00461F09"/>
    <w:rsid w:val="00463EEA"/>
    <w:rsid w:val="00464EE0"/>
    <w:rsid w:val="00465CC1"/>
    <w:rsid w:val="00467A5E"/>
    <w:rsid w:val="004707AB"/>
    <w:rsid w:val="00471300"/>
    <w:rsid w:val="004740D8"/>
    <w:rsid w:val="00474510"/>
    <w:rsid w:val="00475291"/>
    <w:rsid w:val="00475C36"/>
    <w:rsid w:val="004770AB"/>
    <w:rsid w:val="00477AB8"/>
    <w:rsid w:val="00477B5F"/>
    <w:rsid w:val="00481C89"/>
    <w:rsid w:val="004837AB"/>
    <w:rsid w:val="004852EB"/>
    <w:rsid w:val="0048566D"/>
    <w:rsid w:val="00485C1F"/>
    <w:rsid w:val="004876ED"/>
    <w:rsid w:val="00491BC8"/>
    <w:rsid w:val="00493052"/>
    <w:rsid w:val="00494414"/>
    <w:rsid w:val="00494D62"/>
    <w:rsid w:val="00495045"/>
    <w:rsid w:val="0049791E"/>
    <w:rsid w:val="004A4872"/>
    <w:rsid w:val="004A64CC"/>
    <w:rsid w:val="004A6CE5"/>
    <w:rsid w:val="004A723A"/>
    <w:rsid w:val="004A72B8"/>
    <w:rsid w:val="004A73A4"/>
    <w:rsid w:val="004A7C5B"/>
    <w:rsid w:val="004B0F8D"/>
    <w:rsid w:val="004B1207"/>
    <w:rsid w:val="004B13B9"/>
    <w:rsid w:val="004B15F8"/>
    <w:rsid w:val="004B2CC3"/>
    <w:rsid w:val="004B319C"/>
    <w:rsid w:val="004B491E"/>
    <w:rsid w:val="004B4963"/>
    <w:rsid w:val="004B4DBA"/>
    <w:rsid w:val="004B4F9E"/>
    <w:rsid w:val="004B62F3"/>
    <w:rsid w:val="004B64B5"/>
    <w:rsid w:val="004C0FA8"/>
    <w:rsid w:val="004C119C"/>
    <w:rsid w:val="004C177C"/>
    <w:rsid w:val="004C36A8"/>
    <w:rsid w:val="004C68BC"/>
    <w:rsid w:val="004C72FE"/>
    <w:rsid w:val="004D059B"/>
    <w:rsid w:val="004D0C0F"/>
    <w:rsid w:val="004D2450"/>
    <w:rsid w:val="004D2673"/>
    <w:rsid w:val="004D4A4C"/>
    <w:rsid w:val="004D55C6"/>
    <w:rsid w:val="004D5E6E"/>
    <w:rsid w:val="004D7246"/>
    <w:rsid w:val="004D7772"/>
    <w:rsid w:val="004D7A06"/>
    <w:rsid w:val="004D7E1E"/>
    <w:rsid w:val="004E2693"/>
    <w:rsid w:val="004E2AB1"/>
    <w:rsid w:val="004E2C08"/>
    <w:rsid w:val="004E2EE2"/>
    <w:rsid w:val="004E37D3"/>
    <w:rsid w:val="004E382E"/>
    <w:rsid w:val="004E40EF"/>
    <w:rsid w:val="004E41CC"/>
    <w:rsid w:val="004E4403"/>
    <w:rsid w:val="004E4756"/>
    <w:rsid w:val="004E4A36"/>
    <w:rsid w:val="004E5F9F"/>
    <w:rsid w:val="004E67DC"/>
    <w:rsid w:val="004E73F8"/>
    <w:rsid w:val="004F11C9"/>
    <w:rsid w:val="004F16A7"/>
    <w:rsid w:val="004F1A0A"/>
    <w:rsid w:val="004F23D4"/>
    <w:rsid w:val="004F250A"/>
    <w:rsid w:val="004F3180"/>
    <w:rsid w:val="004F36DB"/>
    <w:rsid w:val="004F403F"/>
    <w:rsid w:val="004F422E"/>
    <w:rsid w:val="004F497F"/>
    <w:rsid w:val="004F49B8"/>
    <w:rsid w:val="004F49DD"/>
    <w:rsid w:val="004F5315"/>
    <w:rsid w:val="004F544A"/>
    <w:rsid w:val="004F578B"/>
    <w:rsid w:val="004F5DFC"/>
    <w:rsid w:val="004F62FA"/>
    <w:rsid w:val="004F66F8"/>
    <w:rsid w:val="004F6C64"/>
    <w:rsid w:val="004F7C7D"/>
    <w:rsid w:val="004F7D31"/>
    <w:rsid w:val="005000BB"/>
    <w:rsid w:val="00500306"/>
    <w:rsid w:val="0050082C"/>
    <w:rsid w:val="00500AB3"/>
    <w:rsid w:val="005033DF"/>
    <w:rsid w:val="00503967"/>
    <w:rsid w:val="00504485"/>
    <w:rsid w:val="00504953"/>
    <w:rsid w:val="00504B64"/>
    <w:rsid w:val="00506124"/>
    <w:rsid w:val="005061E3"/>
    <w:rsid w:val="005077DD"/>
    <w:rsid w:val="0050780E"/>
    <w:rsid w:val="00507F2D"/>
    <w:rsid w:val="005104D3"/>
    <w:rsid w:val="00510EDF"/>
    <w:rsid w:val="00510FC5"/>
    <w:rsid w:val="0051171C"/>
    <w:rsid w:val="00511A5B"/>
    <w:rsid w:val="005132EA"/>
    <w:rsid w:val="00513DCC"/>
    <w:rsid w:val="00513E06"/>
    <w:rsid w:val="00514684"/>
    <w:rsid w:val="00514CE8"/>
    <w:rsid w:val="00515125"/>
    <w:rsid w:val="0051524C"/>
    <w:rsid w:val="0051794F"/>
    <w:rsid w:val="0052150B"/>
    <w:rsid w:val="00521610"/>
    <w:rsid w:val="0052255F"/>
    <w:rsid w:val="005245B1"/>
    <w:rsid w:val="005254EA"/>
    <w:rsid w:val="00525707"/>
    <w:rsid w:val="005262FB"/>
    <w:rsid w:val="00526838"/>
    <w:rsid w:val="0052785D"/>
    <w:rsid w:val="00527E6C"/>
    <w:rsid w:val="00530412"/>
    <w:rsid w:val="00532B86"/>
    <w:rsid w:val="00533DF8"/>
    <w:rsid w:val="005350C9"/>
    <w:rsid w:val="005364EA"/>
    <w:rsid w:val="00536A60"/>
    <w:rsid w:val="00537909"/>
    <w:rsid w:val="00537E92"/>
    <w:rsid w:val="00540B5B"/>
    <w:rsid w:val="00541BEB"/>
    <w:rsid w:val="005421C3"/>
    <w:rsid w:val="00542746"/>
    <w:rsid w:val="00542A3C"/>
    <w:rsid w:val="00542C9C"/>
    <w:rsid w:val="00542D67"/>
    <w:rsid w:val="00543509"/>
    <w:rsid w:val="00544F0D"/>
    <w:rsid w:val="00546BDC"/>
    <w:rsid w:val="005504F8"/>
    <w:rsid w:val="00550874"/>
    <w:rsid w:val="00553987"/>
    <w:rsid w:val="00554120"/>
    <w:rsid w:val="005542BA"/>
    <w:rsid w:val="005550A6"/>
    <w:rsid w:val="005554FC"/>
    <w:rsid w:val="0055688A"/>
    <w:rsid w:val="005575BE"/>
    <w:rsid w:val="005623EC"/>
    <w:rsid w:val="005624C9"/>
    <w:rsid w:val="0056397F"/>
    <w:rsid w:val="00564D96"/>
    <w:rsid w:val="00566DDB"/>
    <w:rsid w:val="0056758C"/>
    <w:rsid w:val="00570258"/>
    <w:rsid w:val="005703FC"/>
    <w:rsid w:val="00571101"/>
    <w:rsid w:val="005712C9"/>
    <w:rsid w:val="00571FF0"/>
    <w:rsid w:val="0057311A"/>
    <w:rsid w:val="00573344"/>
    <w:rsid w:val="00573D82"/>
    <w:rsid w:val="00574E33"/>
    <w:rsid w:val="005753CB"/>
    <w:rsid w:val="00575973"/>
    <w:rsid w:val="00576D57"/>
    <w:rsid w:val="005779F0"/>
    <w:rsid w:val="00577DE4"/>
    <w:rsid w:val="00580AB3"/>
    <w:rsid w:val="00580D53"/>
    <w:rsid w:val="00582916"/>
    <w:rsid w:val="00582A53"/>
    <w:rsid w:val="0058446B"/>
    <w:rsid w:val="0058462E"/>
    <w:rsid w:val="00584730"/>
    <w:rsid w:val="005861A5"/>
    <w:rsid w:val="005868D2"/>
    <w:rsid w:val="005870DE"/>
    <w:rsid w:val="00590D1B"/>
    <w:rsid w:val="0059103A"/>
    <w:rsid w:val="005918F1"/>
    <w:rsid w:val="00591918"/>
    <w:rsid w:val="00593397"/>
    <w:rsid w:val="00594189"/>
    <w:rsid w:val="005948E7"/>
    <w:rsid w:val="00596026"/>
    <w:rsid w:val="00596CBE"/>
    <w:rsid w:val="00597847"/>
    <w:rsid w:val="005A2C8A"/>
    <w:rsid w:val="005A31E8"/>
    <w:rsid w:val="005A3AB8"/>
    <w:rsid w:val="005A46A1"/>
    <w:rsid w:val="005A46EF"/>
    <w:rsid w:val="005A5044"/>
    <w:rsid w:val="005A69F4"/>
    <w:rsid w:val="005A7A9E"/>
    <w:rsid w:val="005A7AB1"/>
    <w:rsid w:val="005A7AC8"/>
    <w:rsid w:val="005B0B8B"/>
    <w:rsid w:val="005B0DD7"/>
    <w:rsid w:val="005B1CC7"/>
    <w:rsid w:val="005B29FB"/>
    <w:rsid w:val="005B3EFC"/>
    <w:rsid w:val="005B6E46"/>
    <w:rsid w:val="005B6F0D"/>
    <w:rsid w:val="005C0428"/>
    <w:rsid w:val="005C1675"/>
    <w:rsid w:val="005C169B"/>
    <w:rsid w:val="005C1C62"/>
    <w:rsid w:val="005C2656"/>
    <w:rsid w:val="005C3427"/>
    <w:rsid w:val="005C3EEA"/>
    <w:rsid w:val="005C4464"/>
    <w:rsid w:val="005C511E"/>
    <w:rsid w:val="005C5249"/>
    <w:rsid w:val="005C5938"/>
    <w:rsid w:val="005C6966"/>
    <w:rsid w:val="005C6A27"/>
    <w:rsid w:val="005D0838"/>
    <w:rsid w:val="005D14F9"/>
    <w:rsid w:val="005D2C80"/>
    <w:rsid w:val="005D321F"/>
    <w:rsid w:val="005D56F1"/>
    <w:rsid w:val="005D6637"/>
    <w:rsid w:val="005D74A3"/>
    <w:rsid w:val="005D7829"/>
    <w:rsid w:val="005E1ACB"/>
    <w:rsid w:val="005E2324"/>
    <w:rsid w:val="005E26CB"/>
    <w:rsid w:val="005E27A5"/>
    <w:rsid w:val="005E2888"/>
    <w:rsid w:val="005E2C9F"/>
    <w:rsid w:val="005E383B"/>
    <w:rsid w:val="005E4531"/>
    <w:rsid w:val="005E5B43"/>
    <w:rsid w:val="005E766A"/>
    <w:rsid w:val="005E7CB1"/>
    <w:rsid w:val="005F1245"/>
    <w:rsid w:val="005F174A"/>
    <w:rsid w:val="005F19DB"/>
    <w:rsid w:val="005F1D9C"/>
    <w:rsid w:val="005F25DC"/>
    <w:rsid w:val="005F3FF1"/>
    <w:rsid w:val="005F440B"/>
    <w:rsid w:val="005F484C"/>
    <w:rsid w:val="005F5C3D"/>
    <w:rsid w:val="005F61D4"/>
    <w:rsid w:val="005F7D5B"/>
    <w:rsid w:val="005F7DC0"/>
    <w:rsid w:val="00601C53"/>
    <w:rsid w:val="0060265C"/>
    <w:rsid w:val="00602904"/>
    <w:rsid w:val="006057A2"/>
    <w:rsid w:val="006058F2"/>
    <w:rsid w:val="00610FB0"/>
    <w:rsid w:val="006110F5"/>
    <w:rsid w:val="0061224A"/>
    <w:rsid w:val="00613CED"/>
    <w:rsid w:val="00614278"/>
    <w:rsid w:val="00614FF9"/>
    <w:rsid w:val="00615C4C"/>
    <w:rsid w:val="006165C4"/>
    <w:rsid w:val="00617330"/>
    <w:rsid w:val="00617A8D"/>
    <w:rsid w:val="00617ED8"/>
    <w:rsid w:val="00621B2A"/>
    <w:rsid w:val="00622166"/>
    <w:rsid w:val="00622180"/>
    <w:rsid w:val="006231DF"/>
    <w:rsid w:val="00624C1C"/>
    <w:rsid w:val="00625204"/>
    <w:rsid w:val="006252FC"/>
    <w:rsid w:val="006269AA"/>
    <w:rsid w:val="006272DB"/>
    <w:rsid w:val="00627B96"/>
    <w:rsid w:val="00632ECD"/>
    <w:rsid w:val="00632FEB"/>
    <w:rsid w:val="00634AD2"/>
    <w:rsid w:val="00635906"/>
    <w:rsid w:val="006365B4"/>
    <w:rsid w:val="00636808"/>
    <w:rsid w:val="00637561"/>
    <w:rsid w:val="00640D38"/>
    <w:rsid w:val="0064103A"/>
    <w:rsid w:val="00641839"/>
    <w:rsid w:val="00641C37"/>
    <w:rsid w:val="00641E86"/>
    <w:rsid w:val="00643011"/>
    <w:rsid w:val="0064436C"/>
    <w:rsid w:val="006447B2"/>
    <w:rsid w:val="00644A9A"/>
    <w:rsid w:val="0064647D"/>
    <w:rsid w:val="00650B24"/>
    <w:rsid w:val="00651C91"/>
    <w:rsid w:val="00651F61"/>
    <w:rsid w:val="006535A9"/>
    <w:rsid w:val="006555A7"/>
    <w:rsid w:val="006576F9"/>
    <w:rsid w:val="0065793C"/>
    <w:rsid w:val="00657D17"/>
    <w:rsid w:val="0066014A"/>
    <w:rsid w:val="006604DA"/>
    <w:rsid w:val="006606B6"/>
    <w:rsid w:val="00660A66"/>
    <w:rsid w:val="00661789"/>
    <w:rsid w:val="00662085"/>
    <w:rsid w:val="00663523"/>
    <w:rsid w:val="0066425F"/>
    <w:rsid w:val="006642A5"/>
    <w:rsid w:val="00665A43"/>
    <w:rsid w:val="00672415"/>
    <w:rsid w:val="00673600"/>
    <w:rsid w:val="00673E17"/>
    <w:rsid w:val="00674EE9"/>
    <w:rsid w:val="00674FBE"/>
    <w:rsid w:val="006756D1"/>
    <w:rsid w:val="00675C2A"/>
    <w:rsid w:val="00675F9E"/>
    <w:rsid w:val="00676D77"/>
    <w:rsid w:val="0068025F"/>
    <w:rsid w:val="006825E8"/>
    <w:rsid w:val="00683762"/>
    <w:rsid w:val="0068476A"/>
    <w:rsid w:val="00685339"/>
    <w:rsid w:val="00685F19"/>
    <w:rsid w:val="006864D0"/>
    <w:rsid w:val="006866D3"/>
    <w:rsid w:val="00687C07"/>
    <w:rsid w:val="00691A3B"/>
    <w:rsid w:val="00692F9A"/>
    <w:rsid w:val="00692FE3"/>
    <w:rsid w:val="00693803"/>
    <w:rsid w:val="00693DD6"/>
    <w:rsid w:val="006948D7"/>
    <w:rsid w:val="00694FBC"/>
    <w:rsid w:val="0069509F"/>
    <w:rsid w:val="00695410"/>
    <w:rsid w:val="0069569C"/>
    <w:rsid w:val="00695BE2"/>
    <w:rsid w:val="006A170C"/>
    <w:rsid w:val="006A171C"/>
    <w:rsid w:val="006A1BBA"/>
    <w:rsid w:val="006A2068"/>
    <w:rsid w:val="006A248E"/>
    <w:rsid w:val="006A2C6C"/>
    <w:rsid w:val="006A37F9"/>
    <w:rsid w:val="006A38DF"/>
    <w:rsid w:val="006A3B5E"/>
    <w:rsid w:val="006A443B"/>
    <w:rsid w:val="006A4AAB"/>
    <w:rsid w:val="006A5E84"/>
    <w:rsid w:val="006A5F19"/>
    <w:rsid w:val="006A6869"/>
    <w:rsid w:val="006A6998"/>
    <w:rsid w:val="006A6CE2"/>
    <w:rsid w:val="006A75B6"/>
    <w:rsid w:val="006B1E9C"/>
    <w:rsid w:val="006B258F"/>
    <w:rsid w:val="006B31BD"/>
    <w:rsid w:val="006B3555"/>
    <w:rsid w:val="006B3B21"/>
    <w:rsid w:val="006B524F"/>
    <w:rsid w:val="006B5794"/>
    <w:rsid w:val="006B66CC"/>
    <w:rsid w:val="006B6F42"/>
    <w:rsid w:val="006C005F"/>
    <w:rsid w:val="006C0A76"/>
    <w:rsid w:val="006C1A59"/>
    <w:rsid w:val="006C1EDA"/>
    <w:rsid w:val="006C220A"/>
    <w:rsid w:val="006C42CF"/>
    <w:rsid w:val="006C482E"/>
    <w:rsid w:val="006C4FBF"/>
    <w:rsid w:val="006C54D4"/>
    <w:rsid w:val="006C574B"/>
    <w:rsid w:val="006C5ECA"/>
    <w:rsid w:val="006C6EC5"/>
    <w:rsid w:val="006C7353"/>
    <w:rsid w:val="006C7E26"/>
    <w:rsid w:val="006D16D1"/>
    <w:rsid w:val="006D2643"/>
    <w:rsid w:val="006D32E8"/>
    <w:rsid w:val="006D4839"/>
    <w:rsid w:val="006D5B25"/>
    <w:rsid w:val="006D684B"/>
    <w:rsid w:val="006E0509"/>
    <w:rsid w:val="006E08A5"/>
    <w:rsid w:val="006E0903"/>
    <w:rsid w:val="006E1430"/>
    <w:rsid w:val="006E25A8"/>
    <w:rsid w:val="006E3BC9"/>
    <w:rsid w:val="006E4581"/>
    <w:rsid w:val="006E4A0D"/>
    <w:rsid w:val="006E4CAB"/>
    <w:rsid w:val="006E5051"/>
    <w:rsid w:val="006E6E28"/>
    <w:rsid w:val="006E74AA"/>
    <w:rsid w:val="006F2AC9"/>
    <w:rsid w:val="006F38BE"/>
    <w:rsid w:val="006F391F"/>
    <w:rsid w:val="006F485F"/>
    <w:rsid w:val="006F541F"/>
    <w:rsid w:val="006F5818"/>
    <w:rsid w:val="006F595D"/>
    <w:rsid w:val="006F5F4F"/>
    <w:rsid w:val="006F6490"/>
    <w:rsid w:val="006F74AF"/>
    <w:rsid w:val="00700C0B"/>
    <w:rsid w:val="00701746"/>
    <w:rsid w:val="00701F12"/>
    <w:rsid w:val="00704069"/>
    <w:rsid w:val="00704F7C"/>
    <w:rsid w:val="007058F4"/>
    <w:rsid w:val="00705AF9"/>
    <w:rsid w:val="00706D2E"/>
    <w:rsid w:val="00711633"/>
    <w:rsid w:val="0071178F"/>
    <w:rsid w:val="007122E6"/>
    <w:rsid w:val="00712A07"/>
    <w:rsid w:val="00713E60"/>
    <w:rsid w:val="00714A0F"/>
    <w:rsid w:val="00715980"/>
    <w:rsid w:val="007159EA"/>
    <w:rsid w:val="00715CE1"/>
    <w:rsid w:val="00715DFE"/>
    <w:rsid w:val="00717E5C"/>
    <w:rsid w:val="007203E7"/>
    <w:rsid w:val="00720C8C"/>
    <w:rsid w:val="00720EB7"/>
    <w:rsid w:val="00721429"/>
    <w:rsid w:val="007221AB"/>
    <w:rsid w:val="00723519"/>
    <w:rsid w:val="00723A56"/>
    <w:rsid w:val="00730F00"/>
    <w:rsid w:val="007312B4"/>
    <w:rsid w:val="007318EE"/>
    <w:rsid w:val="00731A6F"/>
    <w:rsid w:val="00731B51"/>
    <w:rsid w:val="007321B2"/>
    <w:rsid w:val="007326AC"/>
    <w:rsid w:val="00732B2B"/>
    <w:rsid w:val="0073324B"/>
    <w:rsid w:val="00733FA3"/>
    <w:rsid w:val="00734783"/>
    <w:rsid w:val="00735198"/>
    <w:rsid w:val="007354B4"/>
    <w:rsid w:val="007357F2"/>
    <w:rsid w:val="00735AE9"/>
    <w:rsid w:val="00736867"/>
    <w:rsid w:val="00736D24"/>
    <w:rsid w:val="00737B3F"/>
    <w:rsid w:val="00741CF5"/>
    <w:rsid w:val="00743C85"/>
    <w:rsid w:val="007450A5"/>
    <w:rsid w:val="00745259"/>
    <w:rsid w:val="00745825"/>
    <w:rsid w:val="007465DA"/>
    <w:rsid w:val="0075021E"/>
    <w:rsid w:val="00750226"/>
    <w:rsid w:val="007504B7"/>
    <w:rsid w:val="00750A28"/>
    <w:rsid w:val="00750FFC"/>
    <w:rsid w:val="007511BC"/>
    <w:rsid w:val="00751930"/>
    <w:rsid w:val="00752CD9"/>
    <w:rsid w:val="007538F5"/>
    <w:rsid w:val="007541BF"/>
    <w:rsid w:val="0075479D"/>
    <w:rsid w:val="007548C9"/>
    <w:rsid w:val="007559B4"/>
    <w:rsid w:val="00755EBF"/>
    <w:rsid w:val="00756141"/>
    <w:rsid w:val="0075744A"/>
    <w:rsid w:val="00757A2B"/>
    <w:rsid w:val="00760AA0"/>
    <w:rsid w:val="00760EB2"/>
    <w:rsid w:val="007617A5"/>
    <w:rsid w:val="00761E24"/>
    <w:rsid w:val="007621E6"/>
    <w:rsid w:val="00762DFB"/>
    <w:rsid w:val="0076481E"/>
    <w:rsid w:val="00765ECB"/>
    <w:rsid w:val="00766F0A"/>
    <w:rsid w:val="007678B2"/>
    <w:rsid w:val="00770C3E"/>
    <w:rsid w:val="00771124"/>
    <w:rsid w:val="00771755"/>
    <w:rsid w:val="007720C7"/>
    <w:rsid w:val="00772F6A"/>
    <w:rsid w:val="00773710"/>
    <w:rsid w:val="007741F0"/>
    <w:rsid w:val="00774A36"/>
    <w:rsid w:val="00775F97"/>
    <w:rsid w:val="007762E8"/>
    <w:rsid w:val="007764FF"/>
    <w:rsid w:val="00776A3B"/>
    <w:rsid w:val="00776A84"/>
    <w:rsid w:val="007777A4"/>
    <w:rsid w:val="00777D88"/>
    <w:rsid w:val="00780C36"/>
    <w:rsid w:val="00780FA3"/>
    <w:rsid w:val="007818C6"/>
    <w:rsid w:val="00782574"/>
    <w:rsid w:val="00782ADB"/>
    <w:rsid w:val="00783E66"/>
    <w:rsid w:val="00783F7B"/>
    <w:rsid w:val="00785B6D"/>
    <w:rsid w:val="00787993"/>
    <w:rsid w:val="00790FC2"/>
    <w:rsid w:val="00792F92"/>
    <w:rsid w:val="00792FA7"/>
    <w:rsid w:val="007941FD"/>
    <w:rsid w:val="00795AD5"/>
    <w:rsid w:val="00795BE2"/>
    <w:rsid w:val="00795D8E"/>
    <w:rsid w:val="00796090"/>
    <w:rsid w:val="00796B4D"/>
    <w:rsid w:val="00797873"/>
    <w:rsid w:val="00797DA6"/>
    <w:rsid w:val="007A045A"/>
    <w:rsid w:val="007A1717"/>
    <w:rsid w:val="007A321B"/>
    <w:rsid w:val="007A3AF5"/>
    <w:rsid w:val="007A417E"/>
    <w:rsid w:val="007A4883"/>
    <w:rsid w:val="007A4F62"/>
    <w:rsid w:val="007A65A0"/>
    <w:rsid w:val="007A72FB"/>
    <w:rsid w:val="007B0890"/>
    <w:rsid w:val="007B2360"/>
    <w:rsid w:val="007B2932"/>
    <w:rsid w:val="007B2988"/>
    <w:rsid w:val="007B30E4"/>
    <w:rsid w:val="007B3615"/>
    <w:rsid w:val="007B5406"/>
    <w:rsid w:val="007B65A9"/>
    <w:rsid w:val="007C0A92"/>
    <w:rsid w:val="007C15F2"/>
    <w:rsid w:val="007C1A58"/>
    <w:rsid w:val="007C2314"/>
    <w:rsid w:val="007C25B4"/>
    <w:rsid w:val="007C34C4"/>
    <w:rsid w:val="007C3680"/>
    <w:rsid w:val="007C4BAF"/>
    <w:rsid w:val="007C57D2"/>
    <w:rsid w:val="007C5E74"/>
    <w:rsid w:val="007D0443"/>
    <w:rsid w:val="007D1E21"/>
    <w:rsid w:val="007D294C"/>
    <w:rsid w:val="007D315A"/>
    <w:rsid w:val="007D3257"/>
    <w:rsid w:val="007D46DC"/>
    <w:rsid w:val="007D5535"/>
    <w:rsid w:val="007D7D87"/>
    <w:rsid w:val="007D7F70"/>
    <w:rsid w:val="007E0565"/>
    <w:rsid w:val="007E14F2"/>
    <w:rsid w:val="007E1CDC"/>
    <w:rsid w:val="007E1EAB"/>
    <w:rsid w:val="007E1ED2"/>
    <w:rsid w:val="007E30EB"/>
    <w:rsid w:val="007E35B4"/>
    <w:rsid w:val="007E385B"/>
    <w:rsid w:val="007E3C22"/>
    <w:rsid w:val="007E565A"/>
    <w:rsid w:val="007E7291"/>
    <w:rsid w:val="007F0CB6"/>
    <w:rsid w:val="007F2D5A"/>
    <w:rsid w:val="007F4678"/>
    <w:rsid w:val="007F4DA8"/>
    <w:rsid w:val="007F4DDC"/>
    <w:rsid w:val="007F6A2B"/>
    <w:rsid w:val="007F6B9D"/>
    <w:rsid w:val="007F6D20"/>
    <w:rsid w:val="007F6DBB"/>
    <w:rsid w:val="007F7CF8"/>
    <w:rsid w:val="007F7FAC"/>
    <w:rsid w:val="008023C4"/>
    <w:rsid w:val="00802A32"/>
    <w:rsid w:val="008040DF"/>
    <w:rsid w:val="00804B62"/>
    <w:rsid w:val="00805713"/>
    <w:rsid w:val="0080587D"/>
    <w:rsid w:val="00806114"/>
    <w:rsid w:val="008064B4"/>
    <w:rsid w:val="008068F2"/>
    <w:rsid w:val="0080698E"/>
    <w:rsid w:val="008077A7"/>
    <w:rsid w:val="00811DE9"/>
    <w:rsid w:val="008123CB"/>
    <w:rsid w:val="008127BC"/>
    <w:rsid w:val="00813010"/>
    <w:rsid w:val="00813906"/>
    <w:rsid w:val="00813917"/>
    <w:rsid w:val="00814EB8"/>
    <w:rsid w:val="00815771"/>
    <w:rsid w:val="00815C5B"/>
    <w:rsid w:val="00815FF2"/>
    <w:rsid w:val="00817B01"/>
    <w:rsid w:val="00817E9E"/>
    <w:rsid w:val="00820550"/>
    <w:rsid w:val="00820634"/>
    <w:rsid w:val="00821708"/>
    <w:rsid w:val="008220DF"/>
    <w:rsid w:val="0082234E"/>
    <w:rsid w:val="0082237E"/>
    <w:rsid w:val="00823051"/>
    <w:rsid w:val="008234CB"/>
    <w:rsid w:val="008239FD"/>
    <w:rsid w:val="00823FBE"/>
    <w:rsid w:val="00824488"/>
    <w:rsid w:val="00825C7E"/>
    <w:rsid w:val="0082647C"/>
    <w:rsid w:val="00826BAC"/>
    <w:rsid w:val="008277AC"/>
    <w:rsid w:val="0083074F"/>
    <w:rsid w:val="008313EC"/>
    <w:rsid w:val="0083150A"/>
    <w:rsid w:val="0083199D"/>
    <w:rsid w:val="00832852"/>
    <w:rsid w:val="008353E9"/>
    <w:rsid w:val="00835937"/>
    <w:rsid w:val="008365D6"/>
    <w:rsid w:val="00836DF3"/>
    <w:rsid w:val="00840708"/>
    <w:rsid w:val="008433F7"/>
    <w:rsid w:val="00844BF4"/>
    <w:rsid w:val="008455A5"/>
    <w:rsid w:val="0084587E"/>
    <w:rsid w:val="008458F8"/>
    <w:rsid w:val="00847073"/>
    <w:rsid w:val="00847407"/>
    <w:rsid w:val="00847575"/>
    <w:rsid w:val="00847EC8"/>
    <w:rsid w:val="00850875"/>
    <w:rsid w:val="00852D63"/>
    <w:rsid w:val="00854B92"/>
    <w:rsid w:val="00854D53"/>
    <w:rsid w:val="00854E33"/>
    <w:rsid w:val="0085537C"/>
    <w:rsid w:val="0085545C"/>
    <w:rsid w:val="00856AC8"/>
    <w:rsid w:val="0086034C"/>
    <w:rsid w:val="00860B2E"/>
    <w:rsid w:val="00860D0F"/>
    <w:rsid w:val="00860EF5"/>
    <w:rsid w:val="0086115E"/>
    <w:rsid w:val="0086295F"/>
    <w:rsid w:val="00862B3E"/>
    <w:rsid w:val="00863061"/>
    <w:rsid w:val="00863BA7"/>
    <w:rsid w:val="00863D6E"/>
    <w:rsid w:val="0086491F"/>
    <w:rsid w:val="00864DA3"/>
    <w:rsid w:val="00865702"/>
    <w:rsid w:val="00870459"/>
    <w:rsid w:val="00870ABD"/>
    <w:rsid w:val="00871763"/>
    <w:rsid w:val="00872563"/>
    <w:rsid w:val="00872E78"/>
    <w:rsid w:val="00872FF5"/>
    <w:rsid w:val="00873C92"/>
    <w:rsid w:val="00873EE1"/>
    <w:rsid w:val="00874239"/>
    <w:rsid w:val="008747DC"/>
    <w:rsid w:val="00875314"/>
    <w:rsid w:val="00876239"/>
    <w:rsid w:val="00876A98"/>
    <w:rsid w:val="008770B8"/>
    <w:rsid w:val="00877247"/>
    <w:rsid w:val="00877410"/>
    <w:rsid w:val="00880827"/>
    <w:rsid w:val="00881124"/>
    <w:rsid w:val="00883456"/>
    <w:rsid w:val="008838C0"/>
    <w:rsid w:val="00884A1A"/>
    <w:rsid w:val="0088523E"/>
    <w:rsid w:val="00887726"/>
    <w:rsid w:val="00887A22"/>
    <w:rsid w:val="00890174"/>
    <w:rsid w:val="008908E4"/>
    <w:rsid w:val="00891BF0"/>
    <w:rsid w:val="00891D01"/>
    <w:rsid w:val="0089237B"/>
    <w:rsid w:val="008932AB"/>
    <w:rsid w:val="00894166"/>
    <w:rsid w:val="00895298"/>
    <w:rsid w:val="0089712E"/>
    <w:rsid w:val="008979F9"/>
    <w:rsid w:val="00897C27"/>
    <w:rsid w:val="008A0109"/>
    <w:rsid w:val="008A0DFD"/>
    <w:rsid w:val="008A1883"/>
    <w:rsid w:val="008A1B2D"/>
    <w:rsid w:val="008A304E"/>
    <w:rsid w:val="008A60CB"/>
    <w:rsid w:val="008A7465"/>
    <w:rsid w:val="008B0392"/>
    <w:rsid w:val="008B0D39"/>
    <w:rsid w:val="008B10D3"/>
    <w:rsid w:val="008B20B0"/>
    <w:rsid w:val="008B2442"/>
    <w:rsid w:val="008B2A30"/>
    <w:rsid w:val="008B3358"/>
    <w:rsid w:val="008B40F4"/>
    <w:rsid w:val="008B57F9"/>
    <w:rsid w:val="008B672E"/>
    <w:rsid w:val="008B6918"/>
    <w:rsid w:val="008B715F"/>
    <w:rsid w:val="008B7F4E"/>
    <w:rsid w:val="008C035A"/>
    <w:rsid w:val="008C0446"/>
    <w:rsid w:val="008C0A0E"/>
    <w:rsid w:val="008C0BEA"/>
    <w:rsid w:val="008C339F"/>
    <w:rsid w:val="008C34ED"/>
    <w:rsid w:val="008C433A"/>
    <w:rsid w:val="008C50DA"/>
    <w:rsid w:val="008C5430"/>
    <w:rsid w:val="008C545B"/>
    <w:rsid w:val="008C6478"/>
    <w:rsid w:val="008C6695"/>
    <w:rsid w:val="008C6BF7"/>
    <w:rsid w:val="008C779D"/>
    <w:rsid w:val="008D0202"/>
    <w:rsid w:val="008D15B6"/>
    <w:rsid w:val="008D227D"/>
    <w:rsid w:val="008D22FA"/>
    <w:rsid w:val="008D4C8E"/>
    <w:rsid w:val="008D529B"/>
    <w:rsid w:val="008D5735"/>
    <w:rsid w:val="008D79EE"/>
    <w:rsid w:val="008E23CB"/>
    <w:rsid w:val="008E3F90"/>
    <w:rsid w:val="008E4B74"/>
    <w:rsid w:val="008E4E24"/>
    <w:rsid w:val="008E5356"/>
    <w:rsid w:val="008E5564"/>
    <w:rsid w:val="008E7271"/>
    <w:rsid w:val="008E7597"/>
    <w:rsid w:val="008E7F6F"/>
    <w:rsid w:val="008F0DF2"/>
    <w:rsid w:val="008F1222"/>
    <w:rsid w:val="008F2CC9"/>
    <w:rsid w:val="008F2DA6"/>
    <w:rsid w:val="008F3044"/>
    <w:rsid w:val="008F3CBF"/>
    <w:rsid w:val="008F41F9"/>
    <w:rsid w:val="008F4295"/>
    <w:rsid w:val="008F4A58"/>
    <w:rsid w:val="008F5BA7"/>
    <w:rsid w:val="008F676B"/>
    <w:rsid w:val="008F6C64"/>
    <w:rsid w:val="008F6C9B"/>
    <w:rsid w:val="008F6F9A"/>
    <w:rsid w:val="0090061C"/>
    <w:rsid w:val="00900870"/>
    <w:rsid w:val="009011B6"/>
    <w:rsid w:val="00901BF8"/>
    <w:rsid w:val="009022ED"/>
    <w:rsid w:val="00905949"/>
    <w:rsid w:val="0090613F"/>
    <w:rsid w:val="009063F2"/>
    <w:rsid w:val="0090699D"/>
    <w:rsid w:val="00906D9F"/>
    <w:rsid w:val="00911FAC"/>
    <w:rsid w:val="00912BF7"/>
    <w:rsid w:val="00914D14"/>
    <w:rsid w:val="00917237"/>
    <w:rsid w:val="009200AF"/>
    <w:rsid w:val="009203DE"/>
    <w:rsid w:val="00920A8D"/>
    <w:rsid w:val="00920D0B"/>
    <w:rsid w:val="00922B63"/>
    <w:rsid w:val="009230E8"/>
    <w:rsid w:val="00923FDC"/>
    <w:rsid w:val="00924A56"/>
    <w:rsid w:val="00926E7C"/>
    <w:rsid w:val="00931393"/>
    <w:rsid w:val="00932421"/>
    <w:rsid w:val="00932793"/>
    <w:rsid w:val="00934B2A"/>
    <w:rsid w:val="00936100"/>
    <w:rsid w:val="00937314"/>
    <w:rsid w:val="00940A9D"/>
    <w:rsid w:val="0094443F"/>
    <w:rsid w:val="00946203"/>
    <w:rsid w:val="0094642A"/>
    <w:rsid w:val="0094729A"/>
    <w:rsid w:val="00951107"/>
    <w:rsid w:val="009516E2"/>
    <w:rsid w:val="00952D1A"/>
    <w:rsid w:val="00953BC2"/>
    <w:rsid w:val="009540E4"/>
    <w:rsid w:val="009550FE"/>
    <w:rsid w:val="009561F1"/>
    <w:rsid w:val="00957142"/>
    <w:rsid w:val="00957B30"/>
    <w:rsid w:val="0096045B"/>
    <w:rsid w:val="00960581"/>
    <w:rsid w:val="009610E7"/>
    <w:rsid w:val="00962567"/>
    <w:rsid w:val="009625B3"/>
    <w:rsid w:val="00963CE2"/>
    <w:rsid w:val="00963F70"/>
    <w:rsid w:val="0096476C"/>
    <w:rsid w:val="0096591C"/>
    <w:rsid w:val="00965E65"/>
    <w:rsid w:val="0096627E"/>
    <w:rsid w:val="009669E9"/>
    <w:rsid w:val="00966B8F"/>
    <w:rsid w:val="009671A1"/>
    <w:rsid w:val="0097016F"/>
    <w:rsid w:val="009702C7"/>
    <w:rsid w:val="0097075B"/>
    <w:rsid w:val="00970862"/>
    <w:rsid w:val="009713E0"/>
    <w:rsid w:val="00973B90"/>
    <w:rsid w:val="00973E34"/>
    <w:rsid w:val="00973E6C"/>
    <w:rsid w:val="00976AF1"/>
    <w:rsid w:val="0098062B"/>
    <w:rsid w:val="00981EAB"/>
    <w:rsid w:val="00981F52"/>
    <w:rsid w:val="009838ED"/>
    <w:rsid w:val="00983B63"/>
    <w:rsid w:val="00984B89"/>
    <w:rsid w:val="00984F6D"/>
    <w:rsid w:val="00990A84"/>
    <w:rsid w:val="00991781"/>
    <w:rsid w:val="009917B6"/>
    <w:rsid w:val="009918B0"/>
    <w:rsid w:val="00991AD8"/>
    <w:rsid w:val="009927F2"/>
    <w:rsid w:val="00992A8C"/>
    <w:rsid w:val="00993514"/>
    <w:rsid w:val="0099455A"/>
    <w:rsid w:val="009947AC"/>
    <w:rsid w:val="00997AB3"/>
    <w:rsid w:val="009A1D1B"/>
    <w:rsid w:val="009A2663"/>
    <w:rsid w:val="009A3F52"/>
    <w:rsid w:val="009A4FA9"/>
    <w:rsid w:val="009A53B5"/>
    <w:rsid w:val="009A5672"/>
    <w:rsid w:val="009A60D3"/>
    <w:rsid w:val="009A6926"/>
    <w:rsid w:val="009A6BCC"/>
    <w:rsid w:val="009B07D0"/>
    <w:rsid w:val="009B11E1"/>
    <w:rsid w:val="009B202B"/>
    <w:rsid w:val="009B253F"/>
    <w:rsid w:val="009B4EC2"/>
    <w:rsid w:val="009B55A5"/>
    <w:rsid w:val="009B7CFA"/>
    <w:rsid w:val="009B7D45"/>
    <w:rsid w:val="009C042E"/>
    <w:rsid w:val="009C1377"/>
    <w:rsid w:val="009C1824"/>
    <w:rsid w:val="009C23F4"/>
    <w:rsid w:val="009C5B77"/>
    <w:rsid w:val="009C6FA0"/>
    <w:rsid w:val="009C717D"/>
    <w:rsid w:val="009D0F7D"/>
    <w:rsid w:val="009D17A6"/>
    <w:rsid w:val="009D2654"/>
    <w:rsid w:val="009D2C12"/>
    <w:rsid w:val="009D35E6"/>
    <w:rsid w:val="009D3621"/>
    <w:rsid w:val="009D55E1"/>
    <w:rsid w:val="009D5BC5"/>
    <w:rsid w:val="009D6C76"/>
    <w:rsid w:val="009D6D3C"/>
    <w:rsid w:val="009D6F13"/>
    <w:rsid w:val="009D7724"/>
    <w:rsid w:val="009E015B"/>
    <w:rsid w:val="009E0FD8"/>
    <w:rsid w:val="009E11B3"/>
    <w:rsid w:val="009E236B"/>
    <w:rsid w:val="009E2567"/>
    <w:rsid w:val="009E46CA"/>
    <w:rsid w:val="009E5395"/>
    <w:rsid w:val="009E5B29"/>
    <w:rsid w:val="009E7EB1"/>
    <w:rsid w:val="009F328D"/>
    <w:rsid w:val="009F41D2"/>
    <w:rsid w:val="009F436F"/>
    <w:rsid w:val="009F4D40"/>
    <w:rsid w:val="009F67D9"/>
    <w:rsid w:val="009F7A99"/>
    <w:rsid w:val="009F7F18"/>
    <w:rsid w:val="00A001FA"/>
    <w:rsid w:val="00A004DE"/>
    <w:rsid w:val="00A01798"/>
    <w:rsid w:val="00A04577"/>
    <w:rsid w:val="00A048EF"/>
    <w:rsid w:val="00A0497C"/>
    <w:rsid w:val="00A04A46"/>
    <w:rsid w:val="00A05523"/>
    <w:rsid w:val="00A0596F"/>
    <w:rsid w:val="00A05E06"/>
    <w:rsid w:val="00A06376"/>
    <w:rsid w:val="00A065D4"/>
    <w:rsid w:val="00A07CD6"/>
    <w:rsid w:val="00A10952"/>
    <w:rsid w:val="00A1160F"/>
    <w:rsid w:val="00A116C0"/>
    <w:rsid w:val="00A127D1"/>
    <w:rsid w:val="00A12B79"/>
    <w:rsid w:val="00A13383"/>
    <w:rsid w:val="00A13C96"/>
    <w:rsid w:val="00A14584"/>
    <w:rsid w:val="00A14BC8"/>
    <w:rsid w:val="00A15C99"/>
    <w:rsid w:val="00A1711C"/>
    <w:rsid w:val="00A214BE"/>
    <w:rsid w:val="00A21F30"/>
    <w:rsid w:val="00A23664"/>
    <w:rsid w:val="00A23D71"/>
    <w:rsid w:val="00A24414"/>
    <w:rsid w:val="00A249AA"/>
    <w:rsid w:val="00A253FC"/>
    <w:rsid w:val="00A256BD"/>
    <w:rsid w:val="00A27ED6"/>
    <w:rsid w:val="00A30D77"/>
    <w:rsid w:val="00A31B6C"/>
    <w:rsid w:val="00A31F70"/>
    <w:rsid w:val="00A32EAF"/>
    <w:rsid w:val="00A337A9"/>
    <w:rsid w:val="00A34580"/>
    <w:rsid w:val="00A352F4"/>
    <w:rsid w:val="00A36EF8"/>
    <w:rsid w:val="00A37A50"/>
    <w:rsid w:val="00A40CF3"/>
    <w:rsid w:val="00A426AA"/>
    <w:rsid w:val="00A43430"/>
    <w:rsid w:val="00A43585"/>
    <w:rsid w:val="00A43A83"/>
    <w:rsid w:val="00A45FF6"/>
    <w:rsid w:val="00A460F1"/>
    <w:rsid w:val="00A464AD"/>
    <w:rsid w:val="00A46C2C"/>
    <w:rsid w:val="00A5087D"/>
    <w:rsid w:val="00A5088E"/>
    <w:rsid w:val="00A50F9A"/>
    <w:rsid w:val="00A51817"/>
    <w:rsid w:val="00A51A11"/>
    <w:rsid w:val="00A53851"/>
    <w:rsid w:val="00A53CCB"/>
    <w:rsid w:val="00A544CF"/>
    <w:rsid w:val="00A55626"/>
    <w:rsid w:val="00A56358"/>
    <w:rsid w:val="00A56666"/>
    <w:rsid w:val="00A56E42"/>
    <w:rsid w:val="00A577A3"/>
    <w:rsid w:val="00A60851"/>
    <w:rsid w:val="00A61841"/>
    <w:rsid w:val="00A632C5"/>
    <w:rsid w:val="00A64EE7"/>
    <w:rsid w:val="00A65176"/>
    <w:rsid w:val="00A65724"/>
    <w:rsid w:val="00A6630D"/>
    <w:rsid w:val="00A7092B"/>
    <w:rsid w:val="00A71718"/>
    <w:rsid w:val="00A7181B"/>
    <w:rsid w:val="00A7380C"/>
    <w:rsid w:val="00A7419E"/>
    <w:rsid w:val="00A7528D"/>
    <w:rsid w:val="00A7657B"/>
    <w:rsid w:val="00A7666F"/>
    <w:rsid w:val="00A76736"/>
    <w:rsid w:val="00A76C15"/>
    <w:rsid w:val="00A76F79"/>
    <w:rsid w:val="00A77AF3"/>
    <w:rsid w:val="00A807D3"/>
    <w:rsid w:val="00A81BAC"/>
    <w:rsid w:val="00A824CB"/>
    <w:rsid w:val="00A82792"/>
    <w:rsid w:val="00A8400E"/>
    <w:rsid w:val="00A847B3"/>
    <w:rsid w:val="00A85AD4"/>
    <w:rsid w:val="00A85FEA"/>
    <w:rsid w:val="00A86628"/>
    <w:rsid w:val="00A909A9"/>
    <w:rsid w:val="00A918CF"/>
    <w:rsid w:val="00A91C78"/>
    <w:rsid w:val="00A91FC1"/>
    <w:rsid w:val="00A92566"/>
    <w:rsid w:val="00A9297E"/>
    <w:rsid w:val="00A941A8"/>
    <w:rsid w:val="00A965A4"/>
    <w:rsid w:val="00A971C8"/>
    <w:rsid w:val="00AA0369"/>
    <w:rsid w:val="00AA0378"/>
    <w:rsid w:val="00AA0C4F"/>
    <w:rsid w:val="00AA0DE2"/>
    <w:rsid w:val="00AA102E"/>
    <w:rsid w:val="00AA2BC5"/>
    <w:rsid w:val="00AA3813"/>
    <w:rsid w:val="00AA4B05"/>
    <w:rsid w:val="00AA5FC0"/>
    <w:rsid w:val="00AA77D4"/>
    <w:rsid w:val="00AB0529"/>
    <w:rsid w:val="00AB09C0"/>
    <w:rsid w:val="00AB169E"/>
    <w:rsid w:val="00AB1F90"/>
    <w:rsid w:val="00AB3B84"/>
    <w:rsid w:val="00AB3BB1"/>
    <w:rsid w:val="00AB4303"/>
    <w:rsid w:val="00AB4760"/>
    <w:rsid w:val="00AB4A66"/>
    <w:rsid w:val="00AB4ACF"/>
    <w:rsid w:val="00AB4F6D"/>
    <w:rsid w:val="00AB58E0"/>
    <w:rsid w:val="00AB5C6E"/>
    <w:rsid w:val="00AB6EDE"/>
    <w:rsid w:val="00AC11A4"/>
    <w:rsid w:val="00AC1A02"/>
    <w:rsid w:val="00AC1BCE"/>
    <w:rsid w:val="00AC2E89"/>
    <w:rsid w:val="00AC357D"/>
    <w:rsid w:val="00AC3647"/>
    <w:rsid w:val="00AC52E4"/>
    <w:rsid w:val="00AC698C"/>
    <w:rsid w:val="00AC7AE2"/>
    <w:rsid w:val="00AD30C8"/>
    <w:rsid w:val="00AD36E8"/>
    <w:rsid w:val="00AD3744"/>
    <w:rsid w:val="00AD43B4"/>
    <w:rsid w:val="00AD45CF"/>
    <w:rsid w:val="00AD4692"/>
    <w:rsid w:val="00AD560C"/>
    <w:rsid w:val="00AD5E8F"/>
    <w:rsid w:val="00AD633C"/>
    <w:rsid w:val="00AD7233"/>
    <w:rsid w:val="00AE1586"/>
    <w:rsid w:val="00AE18D5"/>
    <w:rsid w:val="00AE1DEB"/>
    <w:rsid w:val="00AE1F63"/>
    <w:rsid w:val="00AE21E3"/>
    <w:rsid w:val="00AE31B8"/>
    <w:rsid w:val="00AE3207"/>
    <w:rsid w:val="00AE350D"/>
    <w:rsid w:val="00AE3D7D"/>
    <w:rsid w:val="00AE408C"/>
    <w:rsid w:val="00AE443E"/>
    <w:rsid w:val="00AE64D4"/>
    <w:rsid w:val="00AE6995"/>
    <w:rsid w:val="00AE6E7A"/>
    <w:rsid w:val="00AE7162"/>
    <w:rsid w:val="00AF01B6"/>
    <w:rsid w:val="00AF1414"/>
    <w:rsid w:val="00AF174D"/>
    <w:rsid w:val="00AF1784"/>
    <w:rsid w:val="00AF1D61"/>
    <w:rsid w:val="00AF3316"/>
    <w:rsid w:val="00AF377F"/>
    <w:rsid w:val="00AF574C"/>
    <w:rsid w:val="00AF57B7"/>
    <w:rsid w:val="00AF580F"/>
    <w:rsid w:val="00AF6205"/>
    <w:rsid w:val="00AF6F2B"/>
    <w:rsid w:val="00AF7297"/>
    <w:rsid w:val="00AF7C7F"/>
    <w:rsid w:val="00B01DBB"/>
    <w:rsid w:val="00B03012"/>
    <w:rsid w:val="00B03471"/>
    <w:rsid w:val="00B0425E"/>
    <w:rsid w:val="00B05E00"/>
    <w:rsid w:val="00B0771B"/>
    <w:rsid w:val="00B10021"/>
    <w:rsid w:val="00B103DF"/>
    <w:rsid w:val="00B130DA"/>
    <w:rsid w:val="00B13DCD"/>
    <w:rsid w:val="00B15CEB"/>
    <w:rsid w:val="00B16614"/>
    <w:rsid w:val="00B16CBA"/>
    <w:rsid w:val="00B1750B"/>
    <w:rsid w:val="00B17EEB"/>
    <w:rsid w:val="00B20449"/>
    <w:rsid w:val="00B20E01"/>
    <w:rsid w:val="00B214E3"/>
    <w:rsid w:val="00B225B7"/>
    <w:rsid w:val="00B22C59"/>
    <w:rsid w:val="00B26A9C"/>
    <w:rsid w:val="00B26E0D"/>
    <w:rsid w:val="00B26FA2"/>
    <w:rsid w:val="00B27BE7"/>
    <w:rsid w:val="00B27D4D"/>
    <w:rsid w:val="00B31C14"/>
    <w:rsid w:val="00B324A5"/>
    <w:rsid w:val="00B3337A"/>
    <w:rsid w:val="00B34D0C"/>
    <w:rsid w:val="00B35A0E"/>
    <w:rsid w:val="00B35B06"/>
    <w:rsid w:val="00B36420"/>
    <w:rsid w:val="00B4037E"/>
    <w:rsid w:val="00B40B23"/>
    <w:rsid w:val="00B414BD"/>
    <w:rsid w:val="00B41605"/>
    <w:rsid w:val="00B41817"/>
    <w:rsid w:val="00B41ACE"/>
    <w:rsid w:val="00B439EE"/>
    <w:rsid w:val="00B4401D"/>
    <w:rsid w:val="00B445BB"/>
    <w:rsid w:val="00B4475A"/>
    <w:rsid w:val="00B44A08"/>
    <w:rsid w:val="00B45267"/>
    <w:rsid w:val="00B464DA"/>
    <w:rsid w:val="00B467CE"/>
    <w:rsid w:val="00B46D49"/>
    <w:rsid w:val="00B47091"/>
    <w:rsid w:val="00B50E70"/>
    <w:rsid w:val="00B50FC0"/>
    <w:rsid w:val="00B537E3"/>
    <w:rsid w:val="00B537FA"/>
    <w:rsid w:val="00B554EE"/>
    <w:rsid w:val="00B5639A"/>
    <w:rsid w:val="00B56928"/>
    <w:rsid w:val="00B56E1F"/>
    <w:rsid w:val="00B57893"/>
    <w:rsid w:val="00B60543"/>
    <w:rsid w:val="00B60CAA"/>
    <w:rsid w:val="00B61F36"/>
    <w:rsid w:val="00B62050"/>
    <w:rsid w:val="00B63C69"/>
    <w:rsid w:val="00B64EAE"/>
    <w:rsid w:val="00B656D4"/>
    <w:rsid w:val="00B677BD"/>
    <w:rsid w:val="00B733F7"/>
    <w:rsid w:val="00B7385B"/>
    <w:rsid w:val="00B75062"/>
    <w:rsid w:val="00B75B75"/>
    <w:rsid w:val="00B82D7F"/>
    <w:rsid w:val="00B8391C"/>
    <w:rsid w:val="00B83EA5"/>
    <w:rsid w:val="00B8403C"/>
    <w:rsid w:val="00B84935"/>
    <w:rsid w:val="00B85B57"/>
    <w:rsid w:val="00B861C3"/>
    <w:rsid w:val="00B86EF2"/>
    <w:rsid w:val="00B8723E"/>
    <w:rsid w:val="00B90187"/>
    <w:rsid w:val="00B91037"/>
    <w:rsid w:val="00B91147"/>
    <w:rsid w:val="00B91872"/>
    <w:rsid w:val="00B91A75"/>
    <w:rsid w:val="00B92D54"/>
    <w:rsid w:val="00B92FFA"/>
    <w:rsid w:val="00B94AE3"/>
    <w:rsid w:val="00B95835"/>
    <w:rsid w:val="00B95949"/>
    <w:rsid w:val="00B97D4F"/>
    <w:rsid w:val="00BA1062"/>
    <w:rsid w:val="00BA1075"/>
    <w:rsid w:val="00BA18E6"/>
    <w:rsid w:val="00BA2A7A"/>
    <w:rsid w:val="00BA2F1B"/>
    <w:rsid w:val="00BA447A"/>
    <w:rsid w:val="00BA485C"/>
    <w:rsid w:val="00BA504A"/>
    <w:rsid w:val="00BA7D3B"/>
    <w:rsid w:val="00BB0DEF"/>
    <w:rsid w:val="00BB10AA"/>
    <w:rsid w:val="00BB20B9"/>
    <w:rsid w:val="00BB3710"/>
    <w:rsid w:val="00BB421F"/>
    <w:rsid w:val="00BB4B9C"/>
    <w:rsid w:val="00BB4C51"/>
    <w:rsid w:val="00BB5869"/>
    <w:rsid w:val="00BB7212"/>
    <w:rsid w:val="00BB721D"/>
    <w:rsid w:val="00BC1B22"/>
    <w:rsid w:val="00BC2023"/>
    <w:rsid w:val="00BC2835"/>
    <w:rsid w:val="00BC299C"/>
    <w:rsid w:val="00BC2E99"/>
    <w:rsid w:val="00BC34A5"/>
    <w:rsid w:val="00BC42E4"/>
    <w:rsid w:val="00BC4B7E"/>
    <w:rsid w:val="00BC5293"/>
    <w:rsid w:val="00BC57CF"/>
    <w:rsid w:val="00BC5AB8"/>
    <w:rsid w:val="00BC5C3F"/>
    <w:rsid w:val="00BC6186"/>
    <w:rsid w:val="00BC700D"/>
    <w:rsid w:val="00BC7276"/>
    <w:rsid w:val="00BC736A"/>
    <w:rsid w:val="00BD09AC"/>
    <w:rsid w:val="00BD1005"/>
    <w:rsid w:val="00BD1294"/>
    <w:rsid w:val="00BD1787"/>
    <w:rsid w:val="00BD2EF3"/>
    <w:rsid w:val="00BD488C"/>
    <w:rsid w:val="00BD5CE7"/>
    <w:rsid w:val="00BD5FCD"/>
    <w:rsid w:val="00BD7BDD"/>
    <w:rsid w:val="00BE0490"/>
    <w:rsid w:val="00BE0CA2"/>
    <w:rsid w:val="00BE0D59"/>
    <w:rsid w:val="00BE0DC6"/>
    <w:rsid w:val="00BE4128"/>
    <w:rsid w:val="00BE5B28"/>
    <w:rsid w:val="00BE6F0A"/>
    <w:rsid w:val="00BE7AF9"/>
    <w:rsid w:val="00BF0592"/>
    <w:rsid w:val="00BF07CC"/>
    <w:rsid w:val="00BF0EB2"/>
    <w:rsid w:val="00BF0F90"/>
    <w:rsid w:val="00BF1040"/>
    <w:rsid w:val="00BF3658"/>
    <w:rsid w:val="00BF366D"/>
    <w:rsid w:val="00BF36B5"/>
    <w:rsid w:val="00BF49D3"/>
    <w:rsid w:val="00BF520B"/>
    <w:rsid w:val="00BF5479"/>
    <w:rsid w:val="00BF5D58"/>
    <w:rsid w:val="00BF63FF"/>
    <w:rsid w:val="00BF6C4C"/>
    <w:rsid w:val="00BF7C8C"/>
    <w:rsid w:val="00BF7D47"/>
    <w:rsid w:val="00C00210"/>
    <w:rsid w:val="00C00240"/>
    <w:rsid w:val="00C00535"/>
    <w:rsid w:val="00C00C25"/>
    <w:rsid w:val="00C013E6"/>
    <w:rsid w:val="00C01F86"/>
    <w:rsid w:val="00C02361"/>
    <w:rsid w:val="00C02623"/>
    <w:rsid w:val="00C03A89"/>
    <w:rsid w:val="00C03BF8"/>
    <w:rsid w:val="00C06005"/>
    <w:rsid w:val="00C06E59"/>
    <w:rsid w:val="00C06EF7"/>
    <w:rsid w:val="00C070B0"/>
    <w:rsid w:val="00C076B9"/>
    <w:rsid w:val="00C07965"/>
    <w:rsid w:val="00C11DB1"/>
    <w:rsid w:val="00C14AD7"/>
    <w:rsid w:val="00C152FA"/>
    <w:rsid w:val="00C16820"/>
    <w:rsid w:val="00C16B45"/>
    <w:rsid w:val="00C16CC4"/>
    <w:rsid w:val="00C176AE"/>
    <w:rsid w:val="00C17D57"/>
    <w:rsid w:val="00C2008B"/>
    <w:rsid w:val="00C200C0"/>
    <w:rsid w:val="00C20F82"/>
    <w:rsid w:val="00C21831"/>
    <w:rsid w:val="00C23B38"/>
    <w:rsid w:val="00C23FAB"/>
    <w:rsid w:val="00C24867"/>
    <w:rsid w:val="00C253EF"/>
    <w:rsid w:val="00C263F8"/>
    <w:rsid w:val="00C30BBB"/>
    <w:rsid w:val="00C310AC"/>
    <w:rsid w:val="00C32EE2"/>
    <w:rsid w:val="00C353B9"/>
    <w:rsid w:val="00C3580B"/>
    <w:rsid w:val="00C35959"/>
    <w:rsid w:val="00C36E27"/>
    <w:rsid w:val="00C375F7"/>
    <w:rsid w:val="00C4239D"/>
    <w:rsid w:val="00C42841"/>
    <w:rsid w:val="00C446A5"/>
    <w:rsid w:val="00C45135"/>
    <w:rsid w:val="00C46916"/>
    <w:rsid w:val="00C51AA0"/>
    <w:rsid w:val="00C5223F"/>
    <w:rsid w:val="00C5339A"/>
    <w:rsid w:val="00C53C6D"/>
    <w:rsid w:val="00C55FC2"/>
    <w:rsid w:val="00C5606B"/>
    <w:rsid w:val="00C560B7"/>
    <w:rsid w:val="00C613AB"/>
    <w:rsid w:val="00C61ECA"/>
    <w:rsid w:val="00C6274E"/>
    <w:rsid w:val="00C63822"/>
    <w:rsid w:val="00C64279"/>
    <w:rsid w:val="00C64A10"/>
    <w:rsid w:val="00C6627E"/>
    <w:rsid w:val="00C67A4B"/>
    <w:rsid w:val="00C701C8"/>
    <w:rsid w:val="00C7199F"/>
    <w:rsid w:val="00C726EE"/>
    <w:rsid w:val="00C72C8C"/>
    <w:rsid w:val="00C72FD9"/>
    <w:rsid w:val="00C73173"/>
    <w:rsid w:val="00C73433"/>
    <w:rsid w:val="00C739AF"/>
    <w:rsid w:val="00C73EE5"/>
    <w:rsid w:val="00C75D6A"/>
    <w:rsid w:val="00C75DF7"/>
    <w:rsid w:val="00C76B86"/>
    <w:rsid w:val="00C76D4E"/>
    <w:rsid w:val="00C80A4C"/>
    <w:rsid w:val="00C81767"/>
    <w:rsid w:val="00C81850"/>
    <w:rsid w:val="00C83789"/>
    <w:rsid w:val="00C83879"/>
    <w:rsid w:val="00C83DDC"/>
    <w:rsid w:val="00C86B8D"/>
    <w:rsid w:val="00C86E23"/>
    <w:rsid w:val="00C874F9"/>
    <w:rsid w:val="00C925E9"/>
    <w:rsid w:val="00C9366C"/>
    <w:rsid w:val="00C93B70"/>
    <w:rsid w:val="00C93F37"/>
    <w:rsid w:val="00C94679"/>
    <w:rsid w:val="00C977B5"/>
    <w:rsid w:val="00C97A1A"/>
    <w:rsid w:val="00CA00DD"/>
    <w:rsid w:val="00CA0168"/>
    <w:rsid w:val="00CA0453"/>
    <w:rsid w:val="00CA1E04"/>
    <w:rsid w:val="00CA2D93"/>
    <w:rsid w:val="00CA2E01"/>
    <w:rsid w:val="00CA5AC2"/>
    <w:rsid w:val="00CA5D18"/>
    <w:rsid w:val="00CA7A49"/>
    <w:rsid w:val="00CA7E2E"/>
    <w:rsid w:val="00CA7E68"/>
    <w:rsid w:val="00CB118D"/>
    <w:rsid w:val="00CB16C3"/>
    <w:rsid w:val="00CB1879"/>
    <w:rsid w:val="00CB2E08"/>
    <w:rsid w:val="00CB33E9"/>
    <w:rsid w:val="00CB4DC0"/>
    <w:rsid w:val="00CB50EE"/>
    <w:rsid w:val="00CB517E"/>
    <w:rsid w:val="00CB60DB"/>
    <w:rsid w:val="00CB6519"/>
    <w:rsid w:val="00CB69C0"/>
    <w:rsid w:val="00CB6E8A"/>
    <w:rsid w:val="00CC1186"/>
    <w:rsid w:val="00CC1672"/>
    <w:rsid w:val="00CC16EF"/>
    <w:rsid w:val="00CC17FD"/>
    <w:rsid w:val="00CC2773"/>
    <w:rsid w:val="00CC2C3C"/>
    <w:rsid w:val="00CC3269"/>
    <w:rsid w:val="00CC33EE"/>
    <w:rsid w:val="00CC36F9"/>
    <w:rsid w:val="00CC3DEE"/>
    <w:rsid w:val="00CC588C"/>
    <w:rsid w:val="00CC70A1"/>
    <w:rsid w:val="00CD0455"/>
    <w:rsid w:val="00CD04EE"/>
    <w:rsid w:val="00CD0AF5"/>
    <w:rsid w:val="00CD13BE"/>
    <w:rsid w:val="00CD2C7C"/>
    <w:rsid w:val="00CD30C5"/>
    <w:rsid w:val="00CD3860"/>
    <w:rsid w:val="00CD3B3E"/>
    <w:rsid w:val="00CD47B2"/>
    <w:rsid w:val="00CD4F07"/>
    <w:rsid w:val="00CD5E1D"/>
    <w:rsid w:val="00CD7EFC"/>
    <w:rsid w:val="00CE013B"/>
    <w:rsid w:val="00CE02E6"/>
    <w:rsid w:val="00CE0F7D"/>
    <w:rsid w:val="00CE0F9D"/>
    <w:rsid w:val="00CE1590"/>
    <w:rsid w:val="00CE2963"/>
    <w:rsid w:val="00CE2D34"/>
    <w:rsid w:val="00CE39E4"/>
    <w:rsid w:val="00CE6CAD"/>
    <w:rsid w:val="00CE6F31"/>
    <w:rsid w:val="00CE70C9"/>
    <w:rsid w:val="00CE7BDB"/>
    <w:rsid w:val="00CF0CAC"/>
    <w:rsid w:val="00CF1B38"/>
    <w:rsid w:val="00CF2953"/>
    <w:rsid w:val="00CF3E50"/>
    <w:rsid w:val="00CF59DC"/>
    <w:rsid w:val="00CF5AC9"/>
    <w:rsid w:val="00CF63D8"/>
    <w:rsid w:val="00CF7977"/>
    <w:rsid w:val="00CF7A03"/>
    <w:rsid w:val="00D002AC"/>
    <w:rsid w:val="00D00C25"/>
    <w:rsid w:val="00D00E73"/>
    <w:rsid w:val="00D01DDB"/>
    <w:rsid w:val="00D02635"/>
    <w:rsid w:val="00D02E3C"/>
    <w:rsid w:val="00D02ECF"/>
    <w:rsid w:val="00D048A6"/>
    <w:rsid w:val="00D04AF1"/>
    <w:rsid w:val="00D04B3C"/>
    <w:rsid w:val="00D0515B"/>
    <w:rsid w:val="00D05BC6"/>
    <w:rsid w:val="00D05EBC"/>
    <w:rsid w:val="00D11131"/>
    <w:rsid w:val="00D129CD"/>
    <w:rsid w:val="00D14BDE"/>
    <w:rsid w:val="00D14C12"/>
    <w:rsid w:val="00D1537E"/>
    <w:rsid w:val="00D15E3F"/>
    <w:rsid w:val="00D17C28"/>
    <w:rsid w:val="00D20399"/>
    <w:rsid w:val="00D20D4B"/>
    <w:rsid w:val="00D2106F"/>
    <w:rsid w:val="00D2237D"/>
    <w:rsid w:val="00D22FE5"/>
    <w:rsid w:val="00D24025"/>
    <w:rsid w:val="00D2462D"/>
    <w:rsid w:val="00D2544C"/>
    <w:rsid w:val="00D259C4"/>
    <w:rsid w:val="00D26083"/>
    <w:rsid w:val="00D26527"/>
    <w:rsid w:val="00D26B69"/>
    <w:rsid w:val="00D27644"/>
    <w:rsid w:val="00D276CD"/>
    <w:rsid w:val="00D305DF"/>
    <w:rsid w:val="00D30AD3"/>
    <w:rsid w:val="00D3354B"/>
    <w:rsid w:val="00D33651"/>
    <w:rsid w:val="00D33D98"/>
    <w:rsid w:val="00D35D42"/>
    <w:rsid w:val="00D3660F"/>
    <w:rsid w:val="00D36C6B"/>
    <w:rsid w:val="00D36DBE"/>
    <w:rsid w:val="00D37742"/>
    <w:rsid w:val="00D40699"/>
    <w:rsid w:val="00D40F7F"/>
    <w:rsid w:val="00D413AC"/>
    <w:rsid w:val="00D42338"/>
    <w:rsid w:val="00D4342A"/>
    <w:rsid w:val="00D43BC1"/>
    <w:rsid w:val="00D44789"/>
    <w:rsid w:val="00D452FF"/>
    <w:rsid w:val="00D45A56"/>
    <w:rsid w:val="00D462F1"/>
    <w:rsid w:val="00D468E5"/>
    <w:rsid w:val="00D46C5A"/>
    <w:rsid w:val="00D5078B"/>
    <w:rsid w:val="00D50B89"/>
    <w:rsid w:val="00D52034"/>
    <w:rsid w:val="00D54221"/>
    <w:rsid w:val="00D543CB"/>
    <w:rsid w:val="00D5664F"/>
    <w:rsid w:val="00D6014F"/>
    <w:rsid w:val="00D6268A"/>
    <w:rsid w:val="00D62BE9"/>
    <w:rsid w:val="00D62FD8"/>
    <w:rsid w:val="00D62FE0"/>
    <w:rsid w:val="00D637AF"/>
    <w:rsid w:val="00D639F2"/>
    <w:rsid w:val="00D6453E"/>
    <w:rsid w:val="00D6477C"/>
    <w:rsid w:val="00D648B9"/>
    <w:rsid w:val="00D6672E"/>
    <w:rsid w:val="00D66746"/>
    <w:rsid w:val="00D70E19"/>
    <w:rsid w:val="00D71145"/>
    <w:rsid w:val="00D716B3"/>
    <w:rsid w:val="00D71749"/>
    <w:rsid w:val="00D729B0"/>
    <w:rsid w:val="00D7361C"/>
    <w:rsid w:val="00D746EA"/>
    <w:rsid w:val="00D74E98"/>
    <w:rsid w:val="00D75CA2"/>
    <w:rsid w:val="00D77545"/>
    <w:rsid w:val="00D777D9"/>
    <w:rsid w:val="00D77824"/>
    <w:rsid w:val="00D81B28"/>
    <w:rsid w:val="00D81B42"/>
    <w:rsid w:val="00D82346"/>
    <w:rsid w:val="00D82663"/>
    <w:rsid w:val="00D82F2B"/>
    <w:rsid w:val="00D83C16"/>
    <w:rsid w:val="00D85249"/>
    <w:rsid w:val="00D869C4"/>
    <w:rsid w:val="00D87E5C"/>
    <w:rsid w:val="00D91D1C"/>
    <w:rsid w:val="00D92B30"/>
    <w:rsid w:val="00D93038"/>
    <w:rsid w:val="00D93ECC"/>
    <w:rsid w:val="00D9447A"/>
    <w:rsid w:val="00D94C8E"/>
    <w:rsid w:val="00D95AD2"/>
    <w:rsid w:val="00D95B83"/>
    <w:rsid w:val="00D975C6"/>
    <w:rsid w:val="00DA02ED"/>
    <w:rsid w:val="00DA0FEE"/>
    <w:rsid w:val="00DA3133"/>
    <w:rsid w:val="00DA4374"/>
    <w:rsid w:val="00DA78B0"/>
    <w:rsid w:val="00DA7F4A"/>
    <w:rsid w:val="00DB08AA"/>
    <w:rsid w:val="00DB1297"/>
    <w:rsid w:val="00DB20A2"/>
    <w:rsid w:val="00DB2602"/>
    <w:rsid w:val="00DB4C1A"/>
    <w:rsid w:val="00DB557C"/>
    <w:rsid w:val="00DC1228"/>
    <w:rsid w:val="00DC1CE0"/>
    <w:rsid w:val="00DC28DA"/>
    <w:rsid w:val="00DC54E6"/>
    <w:rsid w:val="00DC7EB7"/>
    <w:rsid w:val="00DD0F60"/>
    <w:rsid w:val="00DD12DB"/>
    <w:rsid w:val="00DD1329"/>
    <w:rsid w:val="00DD1505"/>
    <w:rsid w:val="00DD235B"/>
    <w:rsid w:val="00DD2A00"/>
    <w:rsid w:val="00DD37B5"/>
    <w:rsid w:val="00DD48AB"/>
    <w:rsid w:val="00DD49AB"/>
    <w:rsid w:val="00DD7199"/>
    <w:rsid w:val="00DE0207"/>
    <w:rsid w:val="00DE03DC"/>
    <w:rsid w:val="00DE08E4"/>
    <w:rsid w:val="00DE0F40"/>
    <w:rsid w:val="00DE19F0"/>
    <w:rsid w:val="00DE20B8"/>
    <w:rsid w:val="00DE29B9"/>
    <w:rsid w:val="00DE2CAD"/>
    <w:rsid w:val="00DE3215"/>
    <w:rsid w:val="00DE4BA7"/>
    <w:rsid w:val="00DE56C7"/>
    <w:rsid w:val="00DE64B5"/>
    <w:rsid w:val="00DE6604"/>
    <w:rsid w:val="00DE7A10"/>
    <w:rsid w:val="00DF0C4D"/>
    <w:rsid w:val="00DF1773"/>
    <w:rsid w:val="00DF2FA9"/>
    <w:rsid w:val="00DF3F94"/>
    <w:rsid w:val="00DF5054"/>
    <w:rsid w:val="00DF641D"/>
    <w:rsid w:val="00DF733A"/>
    <w:rsid w:val="00E0049E"/>
    <w:rsid w:val="00E00B82"/>
    <w:rsid w:val="00E00EEF"/>
    <w:rsid w:val="00E00F2A"/>
    <w:rsid w:val="00E0172B"/>
    <w:rsid w:val="00E01E8C"/>
    <w:rsid w:val="00E01FCD"/>
    <w:rsid w:val="00E04A02"/>
    <w:rsid w:val="00E06054"/>
    <w:rsid w:val="00E06B1D"/>
    <w:rsid w:val="00E07869"/>
    <w:rsid w:val="00E1042A"/>
    <w:rsid w:val="00E1104F"/>
    <w:rsid w:val="00E113D6"/>
    <w:rsid w:val="00E13A4D"/>
    <w:rsid w:val="00E1496E"/>
    <w:rsid w:val="00E14AF0"/>
    <w:rsid w:val="00E16818"/>
    <w:rsid w:val="00E175CD"/>
    <w:rsid w:val="00E2060B"/>
    <w:rsid w:val="00E223BB"/>
    <w:rsid w:val="00E22C57"/>
    <w:rsid w:val="00E2480D"/>
    <w:rsid w:val="00E24C02"/>
    <w:rsid w:val="00E24FD1"/>
    <w:rsid w:val="00E25036"/>
    <w:rsid w:val="00E26089"/>
    <w:rsid w:val="00E26326"/>
    <w:rsid w:val="00E265E0"/>
    <w:rsid w:val="00E26C1B"/>
    <w:rsid w:val="00E26DA2"/>
    <w:rsid w:val="00E2743B"/>
    <w:rsid w:val="00E27BE7"/>
    <w:rsid w:val="00E301BE"/>
    <w:rsid w:val="00E30790"/>
    <w:rsid w:val="00E30C71"/>
    <w:rsid w:val="00E30EDD"/>
    <w:rsid w:val="00E31850"/>
    <w:rsid w:val="00E32BCC"/>
    <w:rsid w:val="00E338A1"/>
    <w:rsid w:val="00E3393E"/>
    <w:rsid w:val="00E339C7"/>
    <w:rsid w:val="00E34A0A"/>
    <w:rsid w:val="00E35B2B"/>
    <w:rsid w:val="00E3621C"/>
    <w:rsid w:val="00E40202"/>
    <w:rsid w:val="00E403C5"/>
    <w:rsid w:val="00E407C2"/>
    <w:rsid w:val="00E40804"/>
    <w:rsid w:val="00E40828"/>
    <w:rsid w:val="00E42643"/>
    <w:rsid w:val="00E42AB0"/>
    <w:rsid w:val="00E437CD"/>
    <w:rsid w:val="00E43E4D"/>
    <w:rsid w:val="00E45965"/>
    <w:rsid w:val="00E45E42"/>
    <w:rsid w:val="00E46595"/>
    <w:rsid w:val="00E475B9"/>
    <w:rsid w:val="00E52B8F"/>
    <w:rsid w:val="00E52DAF"/>
    <w:rsid w:val="00E54A84"/>
    <w:rsid w:val="00E573EC"/>
    <w:rsid w:val="00E60FC5"/>
    <w:rsid w:val="00E6192E"/>
    <w:rsid w:val="00E62CE7"/>
    <w:rsid w:val="00E638D4"/>
    <w:rsid w:val="00E63BCE"/>
    <w:rsid w:val="00E641B2"/>
    <w:rsid w:val="00E64D29"/>
    <w:rsid w:val="00E6575B"/>
    <w:rsid w:val="00E71855"/>
    <w:rsid w:val="00E719FC"/>
    <w:rsid w:val="00E731E7"/>
    <w:rsid w:val="00E7398B"/>
    <w:rsid w:val="00E73A76"/>
    <w:rsid w:val="00E73F73"/>
    <w:rsid w:val="00E754D7"/>
    <w:rsid w:val="00E776FA"/>
    <w:rsid w:val="00E77C61"/>
    <w:rsid w:val="00E802E5"/>
    <w:rsid w:val="00E809F6"/>
    <w:rsid w:val="00E81425"/>
    <w:rsid w:val="00E8149E"/>
    <w:rsid w:val="00E8369A"/>
    <w:rsid w:val="00E83968"/>
    <w:rsid w:val="00E83D43"/>
    <w:rsid w:val="00E8439C"/>
    <w:rsid w:val="00E84631"/>
    <w:rsid w:val="00E84C01"/>
    <w:rsid w:val="00E90DB2"/>
    <w:rsid w:val="00E910F3"/>
    <w:rsid w:val="00E9170C"/>
    <w:rsid w:val="00E920AD"/>
    <w:rsid w:val="00E924CD"/>
    <w:rsid w:val="00E92D1C"/>
    <w:rsid w:val="00E94472"/>
    <w:rsid w:val="00E96422"/>
    <w:rsid w:val="00E96AB9"/>
    <w:rsid w:val="00E970B5"/>
    <w:rsid w:val="00E9714A"/>
    <w:rsid w:val="00E97AA2"/>
    <w:rsid w:val="00E97F91"/>
    <w:rsid w:val="00EA000E"/>
    <w:rsid w:val="00EA0CFC"/>
    <w:rsid w:val="00EA1822"/>
    <w:rsid w:val="00EA24B3"/>
    <w:rsid w:val="00EA2512"/>
    <w:rsid w:val="00EA2A97"/>
    <w:rsid w:val="00EA2B43"/>
    <w:rsid w:val="00EA2DEB"/>
    <w:rsid w:val="00EA333C"/>
    <w:rsid w:val="00EA3479"/>
    <w:rsid w:val="00EA4632"/>
    <w:rsid w:val="00EA49C1"/>
    <w:rsid w:val="00EA530F"/>
    <w:rsid w:val="00EA6B03"/>
    <w:rsid w:val="00EB011D"/>
    <w:rsid w:val="00EB03C7"/>
    <w:rsid w:val="00EB13F6"/>
    <w:rsid w:val="00EB1C88"/>
    <w:rsid w:val="00EB26FD"/>
    <w:rsid w:val="00EB3547"/>
    <w:rsid w:val="00EB5454"/>
    <w:rsid w:val="00EB6BA5"/>
    <w:rsid w:val="00EB7D12"/>
    <w:rsid w:val="00EC1F85"/>
    <w:rsid w:val="00EC5653"/>
    <w:rsid w:val="00EC7998"/>
    <w:rsid w:val="00ED0E3B"/>
    <w:rsid w:val="00ED12A8"/>
    <w:rsid w:val="00ED2A03"/>
    <w:rsid w:val="00ED378F"/>
    <w:rsid w:val="00ED3BE9"/>
    <w:rsid w:val="00ED4BFB"/>
    <w:rsid w:val="00ED4C6F"/>
    <w:rsid w:val="00EE0932"/>
    <w:rsid w:val="00EE197C"/>
    <w:rsid w:val="00EE220A"/>
    <w:rsid w:val="00EE26C0"/>
    <w:rsid w:val="00EE322C"/>
    <w:rsid w:val="00EE3F01"/>
    <w:rsid w:val="00EE5353"/>
    <w:rsid w:val="00EE5BBB"/>
    <w:rsid w:val="00EE6EB1"/>
    <w:rsid w:val="00EE6FF7"/>
    <w:rsid w:val="00EE78C0"/>
    <w:rsid w:val="00EF04CC"/>
    <w:rsid w:val="00EF0E0F"/>
    <w:rsid w:val="00EF1D6E"/>
    <w:rsid w:val="00EF1E17"/>
    <w:rsid w:val="00EF3E9F"/>
    <w:rsid w:val="00EF47B6"/>
    <w:rsid w:val="00EF55A9"/>
    <w:rsid w:val="00EF67A5"/>
    <w:rsid w:val="00EF6B89"/>
    <w:rsid w:val="00EF70D7"/>
    <w:rsid w:val="00EF74EF"/>
    <w:rsid w:val="00EF78DA"/>
    <w:rsid w:val="00F01A75"/>
    <w:rsid w:val="00F01B6D"/>
    <w:rsid w:val="00F045B4"/>
    <w:rsid w:val="00F04928"/>
    <w:rsid w:val="00F049CE"/>
    <w:rsid w:val="00F04AF8"/>
    <w:rsid w:val="00F05746"/>
    <w:rsid w:val="00F06228"/>
    <w:rsid w:val="00F07387"/>
    <w:rsid w:val="00F076AB"/>
    <w:rsid w:val="00F112C9"/>
    <w:rsid w:val="00F114C2"/>
    <w:rsid w:val="00F124AB"/>
    <w:rsid w:val="00F139D7"/>
    <w:rsid w:val="00F16D8D"/>
    <w:rsid w:val="00F16FBA"/>
    <w:rsid w:val="00F21F59"/>
    <w:rsid w:val="00F22037"/>
    <w:rsid w:val="00F23CF6"/>
    <w:rsid w:val="00F24B04"/>
    <w:rsid w:val="00F25688"/>
    <w:rsid w:val="00F27E12"/>
    <w:rsid w:val="00F27E2F"/>
    <w:rsid w:val="00F30659"/>
    <w:rsid w:val="00F31936"/>
    <w:rsid w:val="00F31951"/>
    <w:rsid w:val="00F31F01"/>
    <w:rsid w:val="00F32DF2"/>
    <w:rsid w:val="00F34347"/>
    <w:rsid w:val="00F34627"/>
    <w:rsid w:val="00F34985"/>
    <w:rsid w:val="00F35A84"/>
    <w:rsid w:val="00F35B33"/>
    <w:rsid w:val="00F35EB9"/>
    <w:rsid w:val="00F36AB3"/>
    <w:rsid w:val="00F404BF"/>
    <w:rsid w:val="00F40CC8"/>
    <w:rsid w:val="00F40D73"/>
    <w:rsid w:val="00F40D80"/>
    <w:rsid w:val="00F41F0E"/>
    <w:rsid w:val="00F4343D"/>
    <w:rsid w:val="00F439BA"/>
    <w:rsid w:val="00F43D71"/>
    <w:rsid w:val="00F45625"/>
    <w:rsid w:val="00F45AC7"/>
    <w:rsid w:val="00F470D4"/>
    <w:rsid w:val="00F4745A"/>
    <w:rsid w:val="00F50236"/>
    <w:rsid w:val="00F50BB5"/>
    <w:rsid w:val="00F51276"/>
    <w:rsid w:val="00F5276C"/>
    <w:rsid w:val="00F52826"/>
    <w:rsid w:val="00F52CB7"/>
    <w:rsid w:val="00F533B0"/>
    <w:rsid w:val="00F5371A"/>
    <w:rsid w:val="00F54A35"/>
    <w:rsid w:val="00F557C2"/>
    <w:rsid w:val="00F60B86"/>
    <w:rsid w:val="00F60BC8"/>
    <w:rsid w:val="00F6102E"/>
    <w:rsid w:val="00F611CD"/>
    <w:rsid w:val="00F62447"/>
    <w:rsid w:val="00F62DB0"/>
    <w:rsid w:val="00F644DE"/>
    <w:rsid w:val="00F64E61"/>
    <w:rsid w:val="00F65377"/>
    <w:rsid w:val="00F6669B"/>
    <w:rsid w:val="00F66E0A"/>
    <w:rsid w:val="00F66F32"/>
    <w:rsid w:val="00F672D9"/>
    <w:rsid w:val="00F71180"/>
    <w:rsid w:val="00F72482"/>
    <w:rsid w:val="00F72AF1"/>
    <w:rsid w:val="00F72F69"/>
    <w:rsid w:val="00F73C5E"/>
    <w:rsid w:val="00F73F30"/>
    <w:rsid w:val="00F742A3"/>
    <w:rsid w:val="00F74B2A"/>
    <w:rsid w:val="00F77928"/>
    <w:rsid w:val="00F7799C"/>
    <w:rsid w:val="00F8000E"/>
    <w:rsid w:val="00F80052"/>
    <w:rsid w:val="00F8017B"/>
    <w:rsid w:val="00F80EAC"/>
    <w:rsid w:val="00F81103"/>
    <w:rsid w:val="00F82085"/>
    <w:rsid w:val="00F83648"/>
    <w:rsid w:val="00F83C10"/>
    <w:rsid w:val="00F8447D"/>
    <w:rsid w:val="00F848E3"/>
    <w:rsid w:val="00F84EE7"/>
    <w:rsid w:val="00F85105"/>
    <w:rsid w:val="00F8544E"/>
    <w:rsid w:val="00F85524"/>
    <w:rsid w:val="00F85C16"/>
    <w:rsid w:val="00F85D28"/>
    <w:rsid w:val="00F873E4"/>
    <w:rsid w:val="00F9125E"/>
    <w:rsid w:val="00F91C71"/>
    <w:rsid w:val="00F92464"/>
    <w:rsid w:val="00F92A45"/>
    <w:rsid w:val="00F93158"/>
    <w:rsid w:val="00F93D68"/>
    <w:rsid w:val="00F95901"/>
    <w:rsid w:val="00F95B3A"/>
    <w:rsid w:val="00FA0A03"/>
    <w:rsid w:val="00FA195A"/>
    <w:rsid w:val="00FA2094"/>
    <w:rsid w:val="00FA3640"/>
    <w:rsid w:val="00FA513F"/>
    <w:rsid w:val="00FA5F96"/>
    <w:rsid w:val="00FA714A"/>
    <w:rsid w:val="00FA75FF"/>
    <w:rsid w:val="00FA7648"/>
    <w:rsid w:val="00FA7A1F"/>
    <w:rsid w:val="00FB0559"/>
    <w:rsid w:val="00FB06EF"/>
    <w:rsid w:val="00FB1228"/>
    <w:rsid w:val="00FB171A"/>
    <w:rsid w:val="00FB2168"/>
    <w:rsid w:val="00FB3717"/>
    <w:rsid w:val="00FB433D"/>
    <w:rsid w:val="00FB55E9"/>
    <w:rsid w:val="00FB6941"/>
    <w:rsid w:val="00FB7483"/>
    <w:rsid w:val="00FC0705"/>
    <w:rsid w:val="00FC1F47"/>
    <w:rsid w:val="00FC2568"/>
    <w:rsid w:val="00FC392F"/>
    <w:rsid w:val="00FC4AB5"/>
    <w:rsid w:val="00FC4F08"/>
    <w:rsid w:val="00FC5755"/>
    <w:rsid w:val="00FC59AC"/>
    <w:rsid w:val="00FC6526"/>
    <w:rsid w:val="00FC6DED"/>
    <w:rsid w:val="00FC6E1C"/>
    <w:rsid w:val="00FC7869"/>
    <w:rsid w:val="00FD17A4"/>
    <w:rsid w:val="00FD2041"/>
    <w:rsid w:val="00FD405A"/>
    <w:rsid w:val="00FD44CE"/>
    <w:rsid w:val="00FD4988"/>
    <w:rsid w:val="00FD6DB2"/>
    <w:rsid w:val="00FE05E5"/>
    <w:rsid w:val="00FE0B1E"/>
    <w:rsid w:val="00FE0C44"/>
    <w:rsid w:val="00FE3D4F"/>
    <w:rsid w:val="00FE550C"/>
    <w:rsid w:val="00FE7039"/>
    <w:rsid w:val="00FE7625"/>
    <w:rsid w:val="00FE773B"/>
    <w:rsid w:val="00FF10AD"/>
    <w:rsid w:val="00FF14BB"/>
    <w:rsid w:val="00FF1DDD"/>
    <w:rsid w:val="00FF2509"/>
    <w:rsid w:val="00FF258C"/>
    <w:rsid w:val="00FF3672"/>
    <w:rsid w:val="00FF380E"/>
    <w:rsid w:val="00FF40F9"/>
    <w:rsid w:val="00FF5058"/>
    <w:rsid w:val="00FF5A86"/>
    <w:rsid w:val="00FF5FD4"/>
    <w:rsid w:val="00FF662A"/>
    <w:rsid w:val="00FF71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396AC5-7340-44EA-B7DD-BBB1ED875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C75"/>
  </w:style>
  <w:style w:type="paragraph" w:styleId="Titre1">
    <w:name w:val="heading 1"/>
    <w:basedOn w:val="Normal"/>
    <w:next w:val="Normal"/>
    <w:link w:val="Titre1Car"/>
    <w:uiPriority w:val="9"/>
    <w:qFormat/>
    <w:rsid w:val="00081C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081C75"/>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081C75"/>
    <w:pPr>
      <w:pBdr>
        <w:top w:val="single" w:sz="6" w:space="2" w:color="549E39" w:themeColor="accent1"/>
      </w:pBdr>
      <w:spacing w:before="300" w:after="0"/>
      <w:outlineLvl w:val="2"/>
    </w:pPr>
    <w:rPr>
      <w:caps/>
      <w:color w:val="294E1C" w:themeColor="accent1" w:themeShade="7F"/>
      <w:spacing w:val="15"/>
    </w:rPr>
  </w:style>
  <w:style w:type="paragraph" w:styleId="Titre4">
    <w:name w:val="heading 4"/>
    <w:basedOn w:val="Normal"/>
    <w:next w:val="Normal"/>
    <w:link w:val="Titre4Car"/>
    <w:uiPriority w:val="9"/>
    <w:unhideWhenUsed/>
    <w:qFormat/>
    <w:rsid w:val="00081C75"/>
    <w:pPr>
      <w:pBdr>
        <w:top w:val="dotted" w:sz="6" w:space="2" w:color="549E39" w:themeColor="accent1"/>
      </w:pBdr>
      <w:spacing w:before="200" w:after="0"/>
      <w:outlineLvl w:val="3"/>
    </w:pPr>
    <w:rPr>
      <w:caps/>
      <w:color w:val="3E762A" w:themeColor="accent1" w:themeShade="BF"/>
      <w:spacing w:val="10"/>
    </w:rPr>
  </w:style>
  <w:style w:type="paragraph" w:styleId="Titre5">
    <w:name w:val="heading 5"/>
    <w:basedOn w:val="Normal"/>
    <w:next w:val="Normal"/>
    <w:link w:val="Titre5Car"/>
    <w:uiPriority w:val="9"/>
    <w:unhideWhenUsed/>
    <w:qFormat/>
    <w:rsid w:val="00081C75"/>
    <w:pPr>
      <w:pBdr>
        <w:bottom w:val="single" w:sz="6" w:space="1" w:color="549E39" w:themeColor="accent1"/>
      </w:pBdr>
      <w:spacing w:before="200" w:after="0"/>
      <w:outlineLvl w:val="4"/>
    </w:pPr>
    <w:rPr>
      <w:caps/>
      <w:color w:val="3E762A" w:themeColor="accent1" w:themeShade="BF"/>
      <w:spacing w:val="10"/>
    </w:rPr>
  </w:style>
  <w:style w:type="paragraph" w:styleId="Titre6">
    <w:name w:val="heading 6"/>
    <w:basedOn w:val="Normal"/>
    <w:next w:val="Normal"/>
    <w:link w:val="Titre6Car"/>
    <w:uiPriority w:val="9"/>
    <w:unhideWhenUsed/>
    <w:qFormat/>
    <w:rsid w:val="00081C75"/>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081C75"/>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081C75"/>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081C75"/>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1C75"/>
    <w:rPr>
      <w:caps/>
      <w:color w:val="FFFFFF" w:themeColor="background1"/>
      <w:spacing w:val="15"/>
      <w:sz w:val="22"/>
      <w:szCs w:val="22"/>
      <w:shd w:val="clear" w:color="auto" w:fill="549E39" w:themeFill="accent1"/>
    </w:rPr>
  </w:style>
  <w:style w:type="character" w:customStyle="1" w:styleId="Titre2Car">
    <w:name w:val="Titre 2 Car"/>
    <w:basedOn w:val="Policepardfaut"/>
    <w:link w:val="Titre2"/>
    <w:uiPriority w:val="9"/>
    <w:rsid w:val="00081C75"/>
    <w:rPr>
      <w:caps/>
      <w:spacing w:val="15"/>
      <w:shd w:val="clear" w:color="auto" w:fill="DAEFD3" w:themeFill="accent1" w:themeFillTint="33"/>
    </w:rPr>
  </w:style>
  <w:style w:type="character" w:customStyle="1" w:styleId="Titre3Car">
    <w:name w:val="Titre 3 Car"/>
    <w:basedOn w:val="Policepardfaut"/>
    <w:link w:val="Titre3"/>
    <w:uiPriority w:val="9"/>
    <w:rsid w:val="00081C75"/>
    <w:rPr>
      <w:caps/>
      <w:color w:val="294E1C" w:themeColor="accent1" w:themeShade="7F"/>
      <w:spacing w:val="15"/>
    </w:rPr>
  </w:style>
  <w:style w:type="character" w:customStyle="1" w:styleId="Titre4Car">
    <w:name w:val="Titre 4 Car"/>
    <w:basedOn w:val="Policepardfaut"/>
    <w:link w:val="Titre4"/>
    <w:uiPriority w:val="9"/>
    <w:rsid w:val="00081C75"/>
    <w:rPr>
      <w:caps/>
      <w:color w:val="3E762A" w:themeColor="accent1" w:themeShade="BF"/>
      <w:spacing w:val="10"/>
    </w:rPr>
  </w:style>
  <w:style w:type="character" w:customStyle="1" w:styleId="Titre5Car">
    <w:name w:val="Titre 5 Car"/>
    <w:basedOn w:val="Policepardfaut"/>
    <w:link w:val="Titre5"/>
    <w:uiPriority w:val="9"/>
    <w:rsid w:val="00081C75"/>
    <w:rPr>
      <w:caps/>
      <w:color w:val="3E762A" w:themeColor="accent1" w:themeShade="BF"/>
      <w:spacing w:val="10"/>
    </w:rPr>
  </w:style>
  <w:style w:type="character" w:customStyle="1" w:styleId="Titre6Car">
    <w:name w:val="Titre 6 Car"/>
    <w:basedOn w:val="Policepardfaut"/>
    <w:link w:val="Titre6"/>
    <w:uiPriority w:val="9"/>
    <w:rsid w:val="00081C75"/>
    <w:rPr>
      <w:caps/>
      <w:color w:val="3E762A" w:themeColor="accent1" w:themeShade="BF"/>
      <w:spacing w:val="10"/>
    </w:rPr>
  </w:style>
  <w:style w:type="character" w:customStyle="1" w:styleId="Titre7Car">
    <w:name w:val="Titre 7 Car"/>
    <w:basedOn w:val="Policepardfaut"/>
    <w:link w:val="Titre7"/>
    <w:uiPriority w:val="9"/>
    <w:rsid w:val="00081C75"/>
    <w:rPr>
      <w:caps/>
      <w:color w:val="3E762A" w:themeColor="accent1" w:themeShade="BF"/>
      <w:spacing w:val="10"/>
    </w:rPr>
  </w:style>
  <w:style w:type="character" w:customStyle="1" w:styleId="Titre8Car">
    <w:name w:val="Titre 8 Car"/>
    <w:basedOn w:val="Policepardfaut"/>
    <w:link w:val="Titre8"/>
    <w:uiPriority w:val="9"/>
    <w:rsid w:val="00081C75"/>
    <w:rPr>
      <w:caps/>
      <w:spacing w:val="10"/>
      <w:sz w:val="18"/>
      <w:szCs w:val="18"/>
    </w:rPr>
  </w:style>
  <w:style w:type="character" w:customStyle="1" w:styleId="Titre9Car">
    <w:name w:val="Titre 9 Car"/>
    <w:basedOn w:val="Policepardfaut"/>
    <w:link w:val="Titre9"/>
    <w:uiPriority w:val="9"/>
    <w:rsid w:val="00081C75"/>
    <w:rPr>
      <w:i/>
      <w:iCs/>
      <w:caps/>
      <w:spacing w:val="10"/>
      <w:sz w:val="18"/>
      <w:szCs w:val="18"/>
    </w:rPr>
  </w:style>
  <w:style w:type="paragraph" w:styleId="Lgende">
    <w:name w:val="caption"/>
    <w:aliases w:val="LVT Table Heading,Légende1,Légende21,Légende111,Car111,Car Car Car Car Car Car Car Car Car111,Car Car Car Car Car111,Car Car Car Car111,Car Car Car Car Car Car Car Car211,Car Car Car Car Car Car Car Car Car Car Car Car Car Car Car11,Caption Char"/>
    <w:basedOn w:val="Normal"/>
    <w:next w:val="Normal"/>
    <w:link w:val="LgendeCar"/>
    <w:uiPriority w:val="99"/>
    <w:unhideWhenUsed/>
    <w:qFormat/>
    <w:rsid w:val="00081C75"/>
    <w:rPr>
      <w:b/>
      <w:bCs/>
      <w:color w:val="3E762A" w:themeColor="accent1" w:themeShade="BF"/>
      <w:sz w:val="16"/>
      <w:szCs w:val="16"/>
    </w:rPr>
  </w:style>
  <w:style w:type="paragraph" w:styleId="Titre">
    <w:name w:val="Title"/>
    <w:basedOn w:val="Normal"/>
    <w:next w:val="Normal"/>
    <w:link w:val="TitreCar"/>
    <w:uiPriority w:val="10"/>
    <w:qFormat/>
    <w:rsid w:val="00081C75"/>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itreCar">
    <w:name w:val="Titre Car"/>
    <w:basedOn w:val="Policepardfaut"/>
    <w:link w:val="Titre"/>
    <w:uiPriority w:val="10"/>
    <w:rsid w:val="00081C75"/>
    <w:rPr>
      <w:rFonts w:asciiTheme="majorHAnsi" w:eastAsiaTheme="majorEastAsia" w:hAnsiTheme="majorHAnsi" w:cstheme="majorBidi"/>
      <w:caps/>
      <w:color w:val="549E39" w:themeColor="accent1"/>
      <w:spacing w:val="10"/>
      <w:sz w:val="52"/>
      <w:szCs w:val="52"/>
    </w:rPr>
  </w:style>
  <w:style w:type="paragraph" w:styleId="Sous-titre">
    <w:name w:val="Subtitle"/>
    <w:basedOn w:val="Normal"/>
    <w:next w:val="Normal"/>
    <w:link w:val="Sous-titreCar"/>
    <w:uiPriority w:val="11"/>
    <w:qFormat/>
    <w:rsid w:val="00081C75"/>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081C75"/>
    <w:rPr>
      <w:caps/>
      <w:color w:val="595959" w:themeColor="text1" w:themeTint="A6"/>
      <w:spacing w:val="10"/>
      <w:sz w:val="21"/>
      <w:szCs w:val="21"/>
    </w:rPr>
  </w:style>
  <w:style w:type="character" w:styleId="lev">
    <w:name w:val="Strong"/>
    <w:uiPriority w:val="22"/>
    <w:qFormat/>
    <w:rsid w:val="00081C75"/>
    <w:rPr>
      <w:b/>
      <w:bCs/>
    </w:rPr>
  </w:style>
  <w:style w:type="character" w:styleId="Accentuation">
    <w:name w:val="Emphasis"/>
    <w:uiPriority w:val="20"/>
    <w:qFormat/>
    <w:rsid w:val="00081C75"/>
    <w:rPr>
      <w:caps/>
      <w:color w:val="294E1C" w:themeColor="accent1" w:themeShade="7F"/>
      <w:spacing w:val="5"/>
    </w:rPr>
  </w:style>
  <w:style w:type="paragraph" w:styleId="Sansinterligne">
    <w:name w:val="No Spacing"/>
    <w:link w:val="SansinterligneCar"/>
    <w:uiPriority w:val="1"/>
    <w:qFormat/>
    <w:rsid w:val="00081C75"/>
    <w:pPr>
      <w:spacing w:after="0" w:line="240" w:lineRule="auto"/>
    </w:pPr>
  </w:style>
  <w:style w:type="character" w:customStyle="1" w:styleId="SansinterligneCar">
    <w:name w:val="Sans interligne Car"/>
    <w:basedOn w:val="Policepardfaut"/>
    <w:link w:val="Sansinterligne"/>
    <w:uiPriority w:val="1"/>
    <w:rsid w:val="00BA7D3B"/>
  </w:style>
  <w:style w:type="paragraph" w:styleId="Paragraphedeliste">
    <w:name w:val="List Paragraph"/>
    <w:aliases w:val="Bullets,r2,Paragraphe 2,inspringtekst,Paragraphe de liste1,RM1,Numbered List Paragraph,References,ReferencesCxSpLast,List Bullet Mary,List Paragraph (numbered (a)),List Paragraph1,WB List Paragraph,Liste 1,List Paragraph nowy,AFM puc"/>
    <w:basedOn w:val="Normal"/>
    <w:link w:val="ParagraphedelisteCar"/>
    <w:uiPriority w:val="34"/>
    <w:qFormat/>
    <w:rsid w:val="00081C75"/>
    <w:pPr>
      <w:ind w:left="720"/>
      <w:contextualSpacing/>
    </w:pPr>
  </w:style>
  <w:style w:type="character" w:customStyle="1" w:styleId="ParagraphedelisteCar">
    <w:name w:val="Paragraphe de liste Car"/>
    <w:aliases w:val="Bullets Car,r2 Car,Paragraphe 2 Car,inspringtekst Car,Paragraphe de liste1 Car,RM1 Car,Numbered List Paragraph Car,References Car,ReferencesCxSpLast Car,List Bullet Mary Car,List Paragraph (numbered (a)) Car,List Paragraph1 Car"/>
    <w:link w:val="Paragraphedeliste"/>
    <w:uiPriority w:val="99"/>
    <w:qFormat/>
    <w:locked/>
    <w:rsid w:val="00151AA4"/>
  </w:style>
  <w:style w:type="paragraph" w:styleId="Citation">
    <w:name w:val="Quote"/>
    <w:basedOn w:val="Normal"/>
    <w:next w:val="Normal"/>
    <w:link w:val="CitationCar"/>
    <w:uiPriority w:val="29"/>
    <w:qFormat/>
    <w:rsid w:val="00081C75"/>
    <w:rPr>
      <w:i/>
      <w:iCs/>
      <w:sz w:val="24"/>
      <w:szCs w:val="24"/>
    </w:rPr>
  </w:style>
  <w:style w:type="character" w:customStyle="1" w:styleId="CitationCar">
    <w:name w:val="Citation Car"/>
    <w:basedOn w:val="Policepardfaut"/>
    <w:link w:val="Citation"/>
    <w:uiPriority w:val="29"/>
    <w:rsid w:val="00081C75"/>
    <w:rPr>
      <w:i/>
      <w:iCs/>
      <w:sz w:val="24"/>
      <w:szCs w:val="24"/>
    </w:rPr>
  </w:style>
  <w:style w:type="paragraph" w:styleId="Citationintense">
    <w:name w:val="Intense Quote"/>
    <w:basedOn w:val="Normal"/>
    <w:next w:val="Normal"/>
    <w:link w:val="CitationintenseCar"/>
    <w:uiPriority w:val="30"/>
    <w:qFormat/>
    <w:rsid w:val="00081C75"/>
    <w:pPr>
      <w:spacing w:before="240" w:after="240" w:line="240" w:lineRule="auto"/>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081C75"/>
    <w:rPr>
      <w:color w:val="549E39" w:themeColor="accent1"/>
      <w:sz w:val="24"/>
      <w:szCs w:val="24"/>
    </w:rPr>
  </w:style>
  <w:style w:type="character" w:styleId="Emphaseple">
    <w:name w:val="Subtle Emphasis"/>
    <w:uiPriority w:val="19"/>
    <w:qFormat/>
    <w:rsid w:val="00081C75"/>
    <w:rPr>
      <w:i/>
      <w:iCs/>
      <w:color w:val="294E1C" w:themeColor="accent1" w:themeShade="7F"/>
    </w:rPr>
  </w:style>
  <w:style w:type="character" w:styleId="Emphaseintense">
    <w:name w:val="Intense Emphasis"/>
    <w:uiPriority w:val="21"/>
    <w:qFormat/>
    <w:rsid w:val="00081C75"/>
    <w:rPr>
      <w:b/>
      <w:bCs/>
      <w:caps/>
      <w:color w:val="294E1C" w:themeColor="accent1" w:themeShade="7F"/>
      <w:spacing w:val="10"/>
    </w:rPr>
  </w:style>
  <w:style w:type="character" w:styleId="Rfrenceple">
    <w:name w:val="Subtle Reference"/>
    <w:uiPriority w:val="31"/>
    <w:qFormat/>
    <w:rsid w:val="00081C75"/>
    <w:rPr>
      <w:b/>
      <w:bCs/>
      <w:color w:val="549E39" w:themeColor="accent1"/>
    </w:rPr>
  </w:style>
  <w:style w:type="character" w:styleId="Rfrenceintense">
    <w:name w:val="Intense Reference"/>
    <w:uiPriority w:val="32"/>
    <w:qFormat/>
    <w:rsid w:val="00081C75"/>
    <w:rPr>
      <w:b/>
      <w:bCs/>
      <w:i/>
      <w:iCs/>
      <w:caps/>
      <w:color w:val="549E39" w:themeColor="accent1"/>
    </w:rPr>
  </w:style>
  <w:style w:type="character" w:styleId="Titredulivre">
    <w:name w:val="Book Title"/>
    <w:uiPriority w:val="33"/>
    <w:qFormat/>
    <w:rsid w:val="00081C75"/>
    <w:rPr>
      <w:b/>
      <w:bCs/>
      <w:i/>
      <w:iCs/>
      <w:spacing w:val="0"/>
    </w:rPr>
  </w:style>
  <w:style w:type="paragraph" w:styleId="En-ttedetabledesmatires">
    <w:name w:val="TOC Heading"/>
    <w:basedOn w:val="Titre1"/>
    <w:next w:val="Normal"/>
    <w:uiPriority w:val="39"/>
    <w:unhideWhenUsed/>
    <w:qFormat/>
    <w:rsid w:val="00081C75"/>
    <w:pPr>
      <w:outlineLvl w:val="9"/>
    </w:pPr>
  </w:style>
  <w:style w:type="paragraph" w:styleId="Notedebasdepage">
    <w:name w:val="footnote text"/>
    <w:aliases w:val="FOOTNOTES,fn,single space,ALTS FOOTNOTE Car,ALTS FOOTNOTE,Geneva 9,Font: Geneva 9,Boston 10,f,Footnote Text Char1 Char,Footnote Text Char Char Char1,Footnote Text Char1 Char Char Char1,Footnote Text Char1 Char1 Char,footnote text,ft"/>
    <w:basedOn w:val="Normal"/>
    <w:link w:val="NotedebasdepageCar"/>
    <w:uiPriority w:val="99"/>
    <w:unhideWhenUsed/>
    <w:qFormat/>
    <w:rsid w:val="008B7F4E"/>
    <w:pPr>
      <w:spacing w:before="0" w:after="0" w:line="240" w:lineRule="auto"/>
    </w:pPr>
  </w:style>
  <w:style w:type="character" w:customStyle="1" w:styleId="NotedebasdepageCar">
    <w:name w:val="Note de bas de page Car"/>
    <w:aliases w:val="FOOTNOTES Car,fn Car,single space Car,ALTS FOOTNOTE Car Car,ALTS FOOTNOTE Car1,Geneva 9 Car,Font: Geneva 9 Car,Boston 10 Car,f Car,Footnote Text Char1 Char Car,Footnote Text Char Char Char1 Car,Footnote Text Char1 Char1 Char Car"/>
    <w:basedOn w:val="Policepardfaut"/>
    <w:link w:val="Notedebasdepage"/>
    <w:uiPriority w:val="99"/>
    <w:rsid w:val="008B7F4E"/>
  </w:style>
  <w:style w:type="character" w:styleId="Appelnotedebasdep">
    <w:name w:val="footnote reference"/>
    <w:aliases w:val=" Car Car Char Car Char Car Car Char Car Char Char, Car Car Car Car Car Car Car Car Char Car Car Char Car Car Car Char Car Char Char Char,ftref,Car Car Char Car Char Car Car Char Car Char Char,16 Point,Superscript 6 Point,Ref,R,fr"/>
    <w:basedOn w:val="Policepardfaut"/>
    <w:link w:val="BVIfnrCarCarCarCarChar"/>
    <w:uiPriority w:val="99"/>
    <w:unhideWhenUsed/>
    <w:rsid w:val="008B7F4E"/>
    <w:rPr>
      <w:vertAlign w:val="superscript"/>
    </w:rPr>
  </w:style>
  <w:style w:type="paragraph" w:customStyle="1" w:styleId="BVIfnrCarCarCarCarChar">
    <w:name w:val="BVI fnr Car Car Car Car Char"/>
    <w:basedOn w:val="Normal"/>
    <w:link w:val="Appelnotedebasdep"/>
    <w:rsid w:val="00485C1F"/>
    <w:pPr>
      <w:spacing w:before="0" w:after="160" w:line="240" w:lineRule="exact"/>
    </w:pPr>
    <w:rPr>
      <w:vertAlign w:val="superscript"/>
    </w:rPr>
  </w:style>
  <w:style w:type="paragraph" w:styleId="Corpsdetexte">
    <w:name w:val="Body Text"/>
    <w:basedOn w:val="Normal"/>
    <w:link w:val="CorpsdetexteCar"/>
    <w:rsid w:val="00CB6519"/>
    <w:pPr>
      <w:spacing w:before="120" w:after="120" w:line="320" w:lineRule="exact"/>
      <w:jc w:val="both"/>
    </w:pPr>
    <w:rPr>
      <w:rFonts w:ascii="Arial Narrow" w:eastAsia="Times New Roman" w:hAnsi="Arial Narrow" w:cs="Times New Roman"/>
      <w:sz w:val="22"/>
      <w:szCs w:val="24"/>
      <w:lang w:eastAsia="fr-FR"/>
    </w:rPr>
  </w:style>
  <w:style w:type="character" w:customStyle="1" w:styleId="CorpsdetexteCar">
    <w:name w:val="Corps de texte Car"/>
    <w:basedOn w:val="Policepardfaut"/>
    <w:link w:val="Corpsdetexte"/>
    <w:rsid w:val="00CB6519"/>
    <w:rPr>
      <w:rFonts w:ascii="Arial Narrow" w:eastAsia="Times New Roman" w:hAnsi="Arial Narrow" w:cs="Times New Roman"/>
      <w:sz w:val="22"/>
      <w:szCs w:val="24"/>
      <w:lang w:eastAsia="fr-FR"/>
    </w:rPr>
  </w:style>
  <w:style w:type="paragraph" w:styleId="Textedebulles">
    <w:name w:val="Balloon Text"/>
    <w:basedOn w:val="Normal"/>
    <w:link w:val="TextedebullesCar"/>
    <w:uiPriority w:val="99"/>
    <w:semiHidden/>
    <w:unhideWhenUsed/>
    <w:rsid w:val="0094443F"/>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4443F"/>
    <w:rPr>
      <w:rFonts w:ascii="Segoe UI" w:hAnsi="Segoe UI" w:cs="Segoe UI"/>
      <w:sz w:val="18"/>
      <w:szCs w:val="18"/>
    </w:rPr>
  </w:style>
  <w:style w:type="table" w:styleId="Grilledutableau">
    <w:name w:val="Table Grid"/>
    <w:basedOn w:val="TableauNormal"/>
    <w:uiPriority w:val="39"/>
    <w:rsid w:val="00CB69C0"/>
    <w:pPr>
      <w:spacing w:before="0"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D71749"/>
    <w:pPr>
      <w:tabs>
        <w:tab w:val="center" w:pos="4536"/>
        <w:tab w:val="right" w:pos="9072"/>
      </w:tabs>
      <w:spacing w:before="0" w:after="0" w:line="240" w:lineRule="auto"/>
    </w:pPr>
  </w:style>
  <w:style w:type="character" w:customStyle="1" w:styleId="En-tteCar">
    <w:name w:val="En-tête Car"/>
    <w:basedOn w:val="Policepardfaut"/>
    <w:link w:val="En-tte"/>
    <w:uiPriority w:val="99"/>
    <w:rsid w:val="00D71749"/>
  </w:style>
  <w:style w:type="paragraph" w:styleId="Pieddepage">
    <w:name w:val="footer"/>
    <w:basedOn w:val="Normal"/>
    <w:link w:val="PieddepageCar"/>
    <w:uiPriority w:val="99"/>
    <w:unhideWhenUsed/>
    <w:rsid w:val="00D7174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71749"/>
  </w:style>
  <w:style w:type="paragraph" w:styleId="TM1">
    <w:name w:val="toc 1"/>
    <w:basedOn w:val="Normal"/>
    <w:next w:val="Normal"/>
    <w:autoRedefine/>
    <w:uiPriority w:val="39"/>
    <w:unhideWhenUsed/>
    <w:rsid w:val="00D71749"/>
    <w:pPr>
      <w:spacing w:after="100"/>
    </w:pPr>
  </w:style>
  <w:style w:type="paragraph" w:styleId="TM2">
    <w:name w:val="toc 2"/>
    <w:basedOn w:val="Normal"/>
    <w:next w:val="Normal"/>
    <w:autoRedefine/>
    <w:uiPriority w:val="39"/>
    <w:unhideWhenUsed/>
    <w:rsid w:val="00D71749"/>
    <w:pPr>
      <w:spacing w:after="100"/>
      <w:ind w:left="200"/>
    </w:pPr>
  </w:style>
  <w:style w:type="paragraph" w:styleId="TM3">
    <w:name w:val="toc 3"/>
    <w:basedOn w:val="Normal"/>
    <w:next w:val="Normal"/>
    <w:autoRedefine/>
    <w:uiPriority w:val="39"/>
    <w:unhideWhenUsed/>
    <w:rsid w:val="00D71749"/>
    <w:pPr>
      <w:spacing w:after="100"/>
      <w:ind w:left="400"/>
    </w:pPr>
  </w:style>
  <w:style w:type="character" w:styleId="Lienhypertexte">
    <w:name w:val="Hyperlink"/>
    <w:basedOn w:val="Policepardfaut"/>
    <w:uiPriority w:val="99"/>
    <w:unhideWhenUsed/>
    <w:rsid w:val="00D71749"/>
    <w:rPr>
      <w:color w:val="6B9F25" w:themeColor="hyperlink"/>
      <w:u w:val="single"/>
    </w:rPr>
  </w:style>
  <w:style w:type="character" w:customStyle="1" w:styleId="LgendeCar">
    <w:name w:val="Légende Car"/>
    <w:aliases w:val="LVT Table Heading Car,Légende1 Car,Légende21 Car,Légende111 Car,Car111 Car,Car Car Car Car Car Car Car Car Car111 Car,Car Car Car Car Car111 Car,Car Car Car Car111 Car,Car Car Car Car Car Car Car Car211 Car,Caption Char Car"/>
    <w:link w:val="Lgende"/>
    <w:uiPriority w:val="99"/>
    <w:locked/>
    <w:rsid w:val="00D93038"/>
    <w:rPr>
      <w:b/>
      <w:bCs/>
      <w:color w:val="3E762A" w:themeColor="accent1" w:themeShade="BF"/>
      <w:sz w:val="16"/>
      <w:szCs w:val="16"/>
    </w:rPr>
  </w:style>
  <w:style w:type="paragraph" w:styleId="NormalWeb">
    <w:name w:val="Normal (Web)"/>
    <w:basedOn w:val="Normal"/>
    <w:uiPriority w:val="99"/>
    <w:unhideWhenUsed/>
    <w:rsid w:val="00111F6F"/>
    <w:pPr>
      <w:spacing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link w:val="DefaultCar"/>
    <w:rsid w:val="00DB20A2"/>
    <w:pPr>
      <w:autoSpaceDE w:val="0"/>
      <w:autoSpaceDN w:val="0"/>
      <w:adjustRightInd w:val="0"/>
    </w:pPr>
    <w:rPr>
      <w:rFonts w:ascii="Times New Roman" w:eastAsiaTheme="minorEastAsia" w:hAnsi="Times New Roman"/>
      <w:color w:val="000000"/>
      <w:sz w:val="24"/>
      <w:szCs w:val="24"/>
    </w:rPr>
  </w:style>
  <w:style w:type="character" w:customStyle="1" w:styleId="DefaultCar">
    <w:name w:val="Default Car"/>
    <w:link w:val="Default"/>
    <w:rsid w:val="00DB20A2"/>
    <w:rPr>
      <w:rFonts w:ascii="Times New Roman" w:eastAsiaTheme="minorEastAsia" w:hAnsi="Times New Roman"/>
      <w:color w:val="000000"/>
      <w:sz w:val="24"/>
      <w:szCs w:val="24"/>
    </w:rPr>
  </w:style>
  <w:style w:type="paragraph" w:customStyle="1" w:styleId="ftrefCar">
    <w:name w:val="ftref Car"/>
    <w:aliases w:val="16 Point Car,Superscript 6 Point Car,Car Car Char Car Char Car Car Char Car Char Char Car,Car Car Car Car Car Car Car Car Char Car Car Char Car Car Car Char Car Char Char Char Car,SUPERS Car"/>
    <w:basedOn w:val="Normal"/>
    <w:rsid w:val="00190880"/>
    <w:pPr>
      <w:spacing w:before="0" w:after="160" w:line="240" w:lineRule="exact"/>
      <w:jc w:val="both"/>
    </w:pPr>
    <w:rPr>
      <w:rFonts w:eastAsiaTheme="minorEastAsia"/>
      <w:sz w:val="24"/>
      <w:szCs w:val="24"/>
      <w:vertAlign w:val="superscript"/>
    </w:rPr>
  </w:style>
  <w:style w:type="table" w:customStyle="1" w:styleId="TableauGrille5Fonc-Accentuation51">
    <w:name w:val="Tableau Grille 5 Foncé - Accentuation 51"/>
    <w:basedOn w:val="TableauNormal"/>
    <w:uiPriority w:val="50"/>
    <w:rsid w:val="00732B2B"/>
    <w:pPr>
      <w:spacing w:before="0" w:after="0" w:line="240" w:lineRule="auto"/>
    </w:pPr>
    <w:rPr>
      <w:rFonts w:ascii="Calibri" w:eastAsia="Calibri" w:hAnsi="Calibri" w:cs="Times New Roman"/>
      <w:lang w:val="en-CA" w:eastAsia="fr-F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Tabledesillustrations">
    <w:name w:val="table of figures"/>
    <w:basedOn w:val="Normal"/>
    <w:next w:val="Normal"/>
    <w:uiPriority w:val="99"/>
    <w:unhideWhenUsed/>
    <w:rsid w:val="00263477"/>
    <w:pPr>
      <w:spacing w:after="0"/>
    </w:pPr>
  </w:style>
  <w:style w:type="paragraph" w:customStyle="1" w:styleId="BVIfnrCharCharCharCharCharCar">
    <w:name w:val="BVI fnr Char Char Char Char Char Car"/>
    <w:aliases w:val="BVI fnr Car Car Char Char1 Char Char Char Car,BVI fnr Car Char Char Char Char Char Car,BVI fnr Car Car Car Car Char Char Char Char Char Car,BVI fnr Char Char Char Char Char Char Car Car"/>
    <w:basedOn w:val="Normal"/>
    <w:uiPriority w:val="99"/>
    <w:rsid w:val="004443EC"/>
    <w:pPr>
      <w:spacing w:before="0" w:after="160" w:line="240" w:lineRule="exact"/>
    </w:pPr>
    <w:rPr>
      <w:sz w:val="22"/>
      <w:szCs w:val="22"/>
      <w:vertAlign w:val="superscript"/>
    </w:rPr>
  </w:style>
  <w:style w:type="character" w:styleId="Marquedecommentaire">
    <w:name w:val="annotation reference"/>
    <w:basedOn w:val="Policepardfaut"/>
    <w:uiPriority w:val="99"/>
    <w:semiHidden/>
    <w:unhideWhenUsed/>
    <w:rsid w:val="006866D3"/>
    <w:rPr>
      <w:sz w:val="16"/>
      <w:szCs w:val="16"/>
    </w:rPr>
  </w:style>
  <w:style w:type="paragraph" w:styleId="Commentaire">
    <w:name w:val="annotation text"/>
    <w:basedOn w:val="Normal"/>
    <w:link w:val="CommentaireCar"/>
    <w:uiPriority w:val="99"/>
    <w:unhideWhenUsed/>
    <w:rsid w:val="006866D3"/>
    <w:pPr>
      <w:spacing w:line="240" w:lineRule="auto"/>
    </w:pPr>
  </w:style>
  <w:style w:type="character" w:customStyle="1" w:styleId="CommentaireCar">
    <w:name w:val="Commentaire Car"/>
    <w:basedOn w:val="Policepardfaut"/>
    <w:link w:val="Commentaire"/>
    <w:uiPriority w:val="99"/>
    <w:rsid w:val="006866D3"/>
  </w:style>
  <w:style w:type="paragraph" w:styleId="Objetducommentaire">
    <w:name w:val="annotation subject"/>
    <w:basedOn w:val="Commentaire"/>
    <w:next w:val="Commentaire"/>
    <w:link w:val="ObjetducommentaireCar"/>
    <w:uiPriority w:val="99"/>
    <w:semiHidden/>
    <w:unhideWhenUsed/>
    <w:rsid w:val="006866D3"/>
    <w:rPr>
      <w:b/>
      <w:bCs/>
    </w:rPr>
  </w:style>
  <w:style w:type="character" w:customStyle="1" w:styleId="ObjetducommentaireCar">
    <w:name w:val="Objet du commentaire Car"/>
    <w:basedOn w:val="CommentaireCar"/>
    <w:link w:val="Objetducommentaire"/>
    <w:uiPriority w:val="99"/>
    <w:semiHidden/>
    <w:rsid w:val="006866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52420">
      <w:bodyDiv w:val="1"/>
      <w:marLeft w:val="0"/>
      <w:marRight w:val="0"/>
      <w:marTop w:val="0"/>
      <w:marBottom w:val="0"/>
      <w:divBdr>
        <w:top w:val="none" w:sz="0" w:space="0" w:color="auto"/>
        <w:left w:val="none" w:sz="0" w:space="0" w:color="auto"/>
        <w:bottom w:val="none" w:sz="0" w:space="0" w:color="auto"/>
        <w:right w:val="none" w:sz="0" w:space="0" w:color="auto"/>
      </w:divBdr>
    </w:div>
    <w:div w:id="209997540">
      <w:bodyDiv w:val="1"/>
      <w:marLeft w:val="0"/>
      <w:marRight w:val="0"/>
      <w:marTop w:val="0"/>
      <w:marBottom w:val="0"/>
      <w:divBdr>
        <w:top w:val="none" w:sz="0" w:space="0" w:color="auto"/>
        <w:left w:val="none" w:sz="0" w:space="0" w:color="auto"/>
        <w:bottom w:val="none" w:sz="0" w:space="0" w:color="auto"/>
        <w:right w:val="none" w:sz="0" w:space="0" w:color="auto"/>
      </w:divBdr>
    </w:div>
    <w:div w:id="288248086">
      <w:bodyDiv w:val="1"/>
      <w:marLeft w:val="0"/>
      <w:marRight w:val="0"/>
      <w:marTop w:val="0"/>
      <w:marBottom w:val="0"/>
      <w:divBdr>
        <w:top w:val="none" w:sz="0" w:space="0" w:color="auto"/>
        <w:left w:val="none" w:sz="0" w:space="0" w:color="auto"/>
        <w:bottom w:val="none" w:sz="0" w:space="0" w:color="auto"/>
        <w:right w:val="none" w:sz="0" w:space="0" w:color="auto"/>
      </w:divBdr>
    </w:div>
    <w:div w:id="309747499">
      <w:bodyDiv w:val="1"/>
      <w:marLeft w:val="0"/>
      <w:marRight w:val="0"/>
      <w:marTop w:val="0"/>
      <w:marBottom w:val="0"/>
      <w:divBdr>
        <w:top w:val="none" w:sz="0" w:space="0" w:color="auto"/>
        <w:left w:val="none" w:sz="0" w:space="0" w:color="auto"/>
        <w:bottom w:val="none" w:sz="0" w:space="0" w:color="auto"/>
        <w:right w:val="none" w:sz="0" w:space="0" w:color="auto"/>
      </w:divBdr>
    </w:div>
    <w:div w:id="314844831">
      <w:bodyDiv w:val="1"/>
      <w:marLeft w:val="0"/>
      <w:marRight w:val="0"/>
      <w:marTop w:val="0"/>
      <w:marBottom w:val="0"/>
      <w:divBdr>
        <w:top w:val="none" w:sz="0" w:space="0" w:color="auto"/>
        <w:left w:val="none" w:sz="0" w:space="0" w:color="auto"/>
        <w:bottom w:val="none" w:sz="0" w:space="0" w:color="auto"/>
        <w:right w:val="none" w:sz="0" w:space="0" w:color="auto"/>
      </w:divBdr>
    </w:div>
    <w:div w:id="469905838">
      <w:bodyDiv w:val="1"/>
      <w:marLeft w:val="0"/>
      <w:marRight w:val="0"/>
      <w:marTop w:val="0"/>
      <w:marBottom w:val="0"/>
      <w:divBdr>
        <w:top w:val="none" w:sz="0" w:space="0" w:color="auto"/>
        <w:left w:val="none" w:sz="0" w:space="0" w:color="auto"/>
        <w:bottom w:val="none" w:sz="0" w:space="0" w:color="auto"/>
        <w:right w:val="none" w:sz="0" w:space="0" w:color="auto"/>
      </w:divBdr>
    </w:div>
    <w:div w:id="623973424">
      <w:bodyDiv w:val="1"/>
      <w:marLeft w:val="0"/>
      <w:marRight w:val="0"/>
      <w:marTop w:val="0"/>
      <w:marBottom w:val="0"/>
      <w:divBdr>
        <w:top w:val="none" w:sz="0" w:space="0" w:color="auto"/>
        <w:left w:val="none" w:sz="0" w:space="0" w:color="auto"/>
        <w:bottom w:val="none" w:sz="0" w:space="0" w:color="auto"/>
        <w:right w:val="none" w:sz="0" w:space="0" w:color="auto"/>
      </w:divBdr>
    </w:div>
    <w:div w:id="663433038">
      <w:bodyDiv w:val="1"/>
      <w:marLeft w:val="0"/>
      <w:marRight w:val="0"/>
      <w:marTop w:val="0"/>
      <w:marBottom w:val="0"/>
      <w:divBdr>
        <w:top w:val="none" w:sz="0" w:space="0" w:color="auto"/>
        <w:left w:val="none" w:sz="0" w:space="0" w:color="auto"/>
        <w:bottom w:val="none" w:sz="0" w:space="0" w:color="auto"/>
        <w:right w:val="none" w:sz="0" w:space="0" w:color="auto"/>
      </w:divBdr>
    </w:div>
    <w:div w:id="752355829">
      <w:bodyDiv w:val="1"/>
      <w:marLeft w:val="0"/>
      <w:marRight w:val="0"/>
      <w:marTop w:val="0"/>
      <w:marBottom w:val="0"/>
      <w:divBdr>
        <w:top w:val="none" w:sz="0" w:space="0" w:color="auto"/>
        <w:left w:val="none" w:sz="0" w:space="0" w:color="auto"/>
        <w:bottom w:val="none" w:sz="0" w:space="0" w:color="auto"/>
        <w:right w:val="none" w:sz="0" w:space="0" w:color="auto"/>
      </w:divBdr>
    </w:div>
    <w:div w:id="801113338">
      <w:bodyDiv w:val="1"/>
      <w:marLeft w:val="0"/>
      <w:marRight w:val="0"/>
      <w:marTop w:val="0"/>
      <w:marBottom w:val="0"/>
      <w:divBdr>
        <w:top w:val="none" w:sz="0" w:space="0" w:color="auto"/>
        <w:left w:val="none" w:sz="0" w:space="0" w:color="auto"/>
        <w:bottom w:val="none" w:sz="0" w:space="0" w:color="auto"/>
        <w:right w:val="none" w:sz="0" w:space="0" w:color="auto"/>
      </w:divBdr>
    </w:div>
    <w:div w:id="828641327">
      <w:bodyDiv w:val="1"/>
      <w:marLeft w:val="0"/>
      <w:marRight w:val="0"/>
      <w:marTop w:val="0"/>
      <w:marBottom w:val="0"/>
      <w:divBdr>
        <w:top w:val="none" w:sz="0" w:space="0" w:color="auto"/>
        <w:left w:val="none" w:sz="0" w:space="0" w:color="auto"/>
        <w:bottom w:val="none" w:sz="0" w:space="0" w:color="auto"/>
        <w:right w:val="none" w:sz="0" w:space="0" w:color="auto"/>
      </w:divBdr>
    </w:div>
    <w:div w:id="856889436">
      <w:bodyDiv w:val="1"/>
      <w:marLeft w:val="0"/>
      <w:marRight w:val="0"/>
      <w:marTop w:val="0"/>
      <w:marBottom w:val="0"/>
      <w:divBdr>
        <w:top w:val="none" w:sz="0" w:space="0" w:color="auto"/>
        <w:left w:val="none" w:sz="0" w:space="0" w:color="auto"/>
        <w:bottom w:val="none" w:sz="0" w:space="0" w:color="auto"/>
        <w:right w:val="none" w:sz="0" w:space="0" w:color="auto"/>
      </w:divBdr>
    </w:div>
    <w:div w:id="903368905">
      <w:bodyDiv w:val="1"/>
      <w:marLeft w:val="0"/>
      <w:marRight w:val="0"/>
      <w:marTop w:val="0"/>
      <w:marBottom w:val="0"/>
      <w:divBdr>
        <w:top w:val="none" w:sz="0" w:space="0" w:color="auto"/>
        <w:left w:val="none" w:sz="0" w:space="0" w:color="auto"/>
        <w:bottom w:val="none" w:sz="0" w:space="0" w:color="auto"/>
        <w:right w:val="none" w:sz="0" w:space="0" w:color="auto"/>
      </w:divBdr>
    </w:div>
    <w:div w:id="975064798">
      <w:bodyDiv w:val="1"/>
      <w:marLeft w:val="0"/>
      <w:marRight w:val="0"/>
      <w:marTop w:val="0"/>
      <w:marBottom w:val="0"/>
      <w:divBdr>
        <w:top w:val="none" w:sz="0" w:space="0" w:color="auto"/>
        <w:left w:val="none" w:sz="0" w:space="0" w:color="auto"/>
        <w:bottom w:val="none" w:sz="0" w:space="0" w:color="auto"/>
        <w:right w:val="none" w:sz="0" w:space="0" w:color="auto"/>
      </w:divBdr>
    </w:div>
    <w:div w:id="987127956">
      <w:bodyDiv w:val="1"/>
      <w:marLeft w:val="0"/>
      <w:marRight w:val="0"/>
      <w:marTop w:val="0"/>
      <w:marBottom w:val="0"/>
      <w:divBdr>
        <w:top w:val="none" w:sz="0" w:space="0" w:color="auto"/>
        <w:left w:val="none" w:sz="0" w:space="0" w:color="auto"/>
        <w:bottom w:val="none" w:sz="0" w:space="0" w:color="auto"/>
        <w:right w:val="none" w:sz="0" w:space="0" w:color="auto"/>
      </w:divBdr>
    </w:div>
    <w:div w:id="1003321894">
      <w:bodyDiv w:val="1"/>
      <w:marLeft w:val="0"/>
      <w:marRight w:val="0"/>
      <w:marTop w:val="0"/>
      <w:marBottom w:val="0"/>
      <w:divBdr>
        <w:top w:val="none" w:sz="0" w:space="0" w:color="auto"/>
        <w:left w:val="none" w:sz="0" w:space="0" w:color="auto"/>
        <w:bottom w:val="none" w:sz="0" w:space="0" w:color="auto"/>
        <w:right w:val="none" w:sz="0" w:space="0" w:color="auto"/>
      </w:divBdr>
    </w:div>
    <w:div w:id="1014766141">
      <w:bodyDiv w:val="1"/>
      <w:marLeft w:val="0"/>
      <w:marRight w:val="0"/>
      <w:marTop w:val="0"/>
      <w:marBottom w:val="0"/>
      <w:divBdr>
        <w:top w:val="none" w:sz="0" w:space="0" w:color="auto"/>
        <w:left w:val="none" w:sz="0" w:space="0" w:color="auto"/>
        <w:bottom w:val="none" w:sz="0" w:space="0" w:color="auto"/>
        <w:right w:val="none" w:sz="0" w:space="0" w:color="auto"/>
      </w:divBdr>
    </w:div>
    <w:div w:id="1125848891">
      <w:bodyDiv w:val="1"/>
      <w:marLeft w:val="0"/>
      <w:marRight w:val="0"/>
      <w:marTop w:val="0"/>
      <w:marBottom w:val="0"/>
      <w:divBdr>
        <w:top w:val="none" w:sz="0" w:space="0" w:color="auto"/>
        <w:left w:val="none" w:sz="0" w:space="0" w:color="auto"/>
        <w:bottom w:val="none" w:sz="0" w:space="0" w:color="auto"/>
        <w:right w:val="none" w:sz="0" w:space="0" w:color="auto"/>
      </w:divBdr>
    </w:div>
    <w:div w:id="1163620921">
      <w:bodyDiv w:val="1"/>
      <w:marLeft w:val="0"/>
      <w:marRight w:val="0"/>
      <w:marTop w:val="0"/>
      <w:marBottom w:val="0"/>
      <w:divBdr>
        <w:top w:val="none" w:sz="0" w:space="0" w:color="auto"/>
        <w:left w:val="none" w:sz="0" w:space="0" w:color="auto"/>
        <w:bottom w:val="none" w:sz="0" w:space="0" w:color="auto"/>
        <w:right w:val="none" w:sz="0" w:space="0" w:color="auto"/>
      </w:divBdr>
    </w:div>
    <w:div w:id="1216117000">
      <w:bodyDiv w:val="1"/>
      <w:marLeft w:val="0"/>
      <w:marRight w:val="0"/>
      <w:marTop w:val="0"/>
      <w:marBottom w:val="0"/>
      <w:divBdr>
        <w:top w:val="none" w:sz="0" w:space="0" w:color="auto"/>
        <w:left w:val="none" w:sz="0" w:space="0" w:color="auto"/>
        <w:bottom w:val="none" w:sz="0" w:space="0" w:color="auto"/>
        <w:right w:val="none" w:sz="0" w:space="0" w:color="auto"/>
      </w:divBdr>
    </w:div>
    <w:div w:id="1284263289">
      <w:bodyDiv w:val="1"/>
      <w:marLeft w:val="0"/>
      <w:marRight w:val="0"/>
      <w:marTop w:val="0"/>
      <w:marBottom w:val="0"/>
      <w:divBdr>
        <w:top w:val="none" w:sz="0" w:space="0" w:color="auto"/>
        <w:left w:val="none" w:sz="0" w:space="0" w:color="auto"/>
        <w:bottom w:val="none" w:sz="0" w:space="0" w:color="auto"/>
        <w:right w:val="none" w:sz="0" w:space="0" w:color="auto"/>
      </w:divBdr>
    </w:div>
    <w:div w:id="1286350423">
      <w:bodyDiv w:val="1"/>
      <w:marLeft w:val="0"/>
      <w:marRight w:val="0"/>
      <w:marTop w:val="0"/>
      <w:marBottom w:val="0"/>
      <w:divBdr>
        <w:top w:val="none" w:sz="0" w:space="0" w:color="auto"/>
        <w:left w:val="none" w:sz="0" w:space="0" w:color="auto"/>
        <w:bottom w:val="none" w:sz="0" w:space="0" w:color="auto"/>
        <w:right w:val="none" w:sz="0" w:space="0" w:color="auto"/>
      </w:divBdr>
    </w:div>
    <w:div w:id="1302734551">
      <w:bodyDiv w:val="1"/>
      <w:marLeft w:val="0"/>
      <w:marRight w:val="0"/>
      <w:marTop w:val="0"/>
      <w:marBottom w:val="0"/>
      <w:divBdr>
        <w:top w:val="none" w:sz="0" w:space="0" w:color="auto"/>
        <w:left w:val="none" w:sz="0" w:space="0" w:color="auto"/>
        <w:bottom w:val="none" w:sz="0" w:space="0" w:color="auto"/>
        <w:right w:val="none" w:sz="0" w:space="0" w:color="auto"/>
      </w:divBdr>
    </w:div>
    <w:div w:id="1333606075">
      <w:bodyDiv w:val="1"/>
      <w:marLeft w:val="0"/>
      <w:marRight w:val="0"/>
      <w:marTop w:val="0"/>
      <w:marBottom w:val="0"/>
      <w:divBdr>
        <w:top w:val="none" w:sz="0" w:space="0" w:color="auto"/>
        <w:left w:val="none" w:sz="0" w:space="0" w:color="auto"/>
        <w:bottom w:val="none" w:sz="0" w:space="0" w:color="auto"/>
        <w:right w:val="none" w:sz="0" w:space="0" w:color="auto"/>
      </w:divBdr>
    </w:div>
    <w:div w:id="1350136040">
      <w:bodyDiv w:val="1"/>
      <w:marLeft w:val="0"/>
      <w:marRight w:val="0"/>
      <w:marTop w:val="0"/>
      <w:marBottom w:val="0"/>
      <w:divBdr>
        <w:top w:val="none" w:sz="0" w:space="0" w:color="auto"/>
        <w:left w:val="none" w:sz="0" w:space="0" w:color="auto"/>
        <w:bottom w:val="none" w:sz="0" w:space="0" w:color="auto"/>
        <w:right w:val="none" w:sz="0" w:space="0" w:color="auto"/>
      </w:divBdr>
    </w:div>
    <w:div w:id="1403676595">
      <w:bodyDiv w:val="1"/>
      <w:marLeft w:val="0"/>
      <w:marRight w:val="0"/>
      <w:marTop w:val="0"/>
      <w:marBottom w:val="0"/>
      <w:divBdr>
        <w:top w:val="none" w:sz="0" w:space="0" w:color="auto"/>
        <w:left w:val="none" w:sz="0" w:space="0" w:color="auto"/>
        <w:bottom w:val="none" w:sz="0" w:space="0" w:color="auto"/>
        <w:right w:val="none" w:sz="0" w:space="0" w:color="auto"/>
      </w:divBdr>
    </w:div>
    <w:div w:id="1404717117">
      <w:bodyDiv w:val="1"/>
      <w:marLeft w:val="0"/>
      <w:marRight w:val="0"/>
      <w:marTop w:val="0"/>
      <w:marBottom w:val="0"/>
      <w:divBdr>
        <w:top w:val="none" w:sz="0" w:space="0" w:color="auto"/>
        <w:left w:val="none" w:sz="0" w:space="0" w:color="auto"/>
        <w:bottom w:val="none" w:sz="0" w:space="0" w:color="auto"/>
        <w:right w:val="none" w:sz="0" w:space="0" w:color="auto"/>
      </w:divBdr>
    </w:div>
    <w:div w:id="1464274953">
      <w:bodyDiv w:val="1"/>
      <w:marLeft w:val="0"/>
      <w:marRight w:val="0"/>
      <w:marTop w:val="0"/>
      <w:marBottom w:val="0"/>
      <w:divBdr>
        <w:top w:val="none" w:sz="0" w:space="0" w:color="auto"/>
        <w:left w:val="none" w:sz="0" w:space="0" w:color="auto"/>
        <w:bottom w:val="none" w:sz="0" w:space="0" w:color="auto"/>
        <w:right w:val="none" w:sz="0" w:space="0" w:color="auto"/>
      </w:divBdr>
      <w:divsChild>
        <w:div w:id="1267737932">
          <w:marLeft w:val="432"/>
          <w:marRight w:val="0"/>
          <w:marTop w:val="116"/>
          <w:marBottom w:val="0"/>
          <w:divBdr>
            <w:top w:val="none" w:sz="0" w:space="0" w:color="auto"/>
            <w:left w:val="none" w:sz="0" w:space="0" w:color="auto"/>
            <w:bottom w:val="none" w:sz="0" w:space="0" w:color="auto"/>
            <w:right w:val="none" w:sz="0" w:space="0" w:color="auto"/>
          </w:divBdr>
        </w:div>
      </w:divsChild>
    </w:div>
    <w:div w:id="1515652046">
      <w:bodyDiv w:val="1"/>
      <w:marLeft w:val="0"/>
      <w:marRight w:val="0"/>
      <w:marTop w:val="0"/>
      <w:marBottom w:val="0"/>
      <w:divBdr>
        <w:top w:val="none" w:sz="0" w:space="0" w:color="auto"/>
        <w:left w:val="none" w:sz="0" w:space="0" w:color="auto"/>
        <w:bottom w:val="none" w:sz="0" w:space="0" w:color="auto"/>
        <w:right w:val="none" w:sz="0" w:space="0" w:color="auto"/>
      </w:divBdr>
    </w:div>
    <w:div w:id="1536885748">
      <w:bodyDiv w:val="1"/>
      <w:marLeft w:val="0"/>
      <w:marRight w:val="0"/>
      <w:marTop w:val="0"/>
      <w:marBottom w:val="0"/>
      <w:divBdr>
        <w:top w:val="none" w:sz="0" w:space="0" w:color="auto"/>
        <w:left w:val="none" w:sz="0" w:space="0" w:color="auto"/>
        <w:bottom w:val="none" w:sz="0" w:space="0" w:color="auto"/>
        <w:right w:val="none" w:sz="0" w:space="0" w:color="auto"/>
      </w:divBdr>
      <w:divsChild>
        <w:div w:id="594830555">
          <w:marLeft w:val="576"/>
          <w:marRight w:val="0"/>
          <w:marTop w:val="120"/>
          <w:marBottom w:val="0"/>
          <w:divBdr>
            <w:top w:val="none" w:sz="0" w:space="0" w:color="auto"/>
            <w:left w:val="none" w:sz="0" w:space="0" w:color="auto"/>
            <w:bottom w:val="none" w:sz="0" w:space="0" w:color="auto"/>
            <w:right w:val="none" w:sz="0" w:space="0" w:color="auto"/>
          </w:divBdr>
        </w:div>
      </w:divsChild>
    </w:div>
    <w:div w:id="1717510906">
      <w:bodyDiv w:val="1"/>
      <w:marLeft w:val="0"/>
      <w:marRight w:val="0"/>
      <w:marTop w:val="0"/>
      <w:marBottom w:val="0"/>
      <w:divBdr>
        <w:top w:val="none" w:sz="0" w:space="0" w:color="auto"/>
        <w:left w:val="none" w:sz="0" w:space="0" w:color="auto"/>
        <w:bottom w:val="none" w:sz="0" w:space="0" w:color="auto"/>
        <w:right w:val="none" w:sz="0" w:space="0" w:color="auto"/>
      </w:divBdr>
    </w:div>
    <w:div w:id="1735852252">
      <w:bodyDiv w:val="1"/>
      <w:marLeft w:val="0"/>
      <w:marRight w:val="0"/>
      <w:marTop w:val="0"/>
      <w:marBottom w:val="0"/>
      <w:divBdr>
        <w:top w:val="none" w:sz="0" w:space="0" w:color="auto"/>
        <w:left w:val="none" w:sz="0" w:space="0" w:color="auto"/>
        <w:bottom w:val="none" w:sz="0" w:space="0" w:color="auto"/>
        <w:right w:val="none" w:sz="0" w:space="0" w:color="auto"/>
      </w:divBdr>
    </w:div>
    <w:div w:id="1741517265">
      <w:bodyDiv w:val="1"/>
      <w:marLeft w:val="0"/>
      <w:marRight w:val="0"/>
      <w:marTop w:val="0"/>
      <w:marBottom w:val="0"/>
      <w:divBdr>
        <w:top w:val="none" w:sz="0" w:space="0" w:color="auto"/>
        <w:left w:val="none" w:sz="0" w:space="0" w:color="auto"/>
        <w:bottom w:val="none" w:sz="0" w:space="0" w:color="auto"/>
        <w:right w:val="none" w:sz="0" w:space="0" w:color="auto"/>
      </w:divBdr>
    </w:div>
    <w:div w:id="1765883317">
      <w:bodyDiv w:val="1"/>
      <w:marLeft w:val="0"/>
      <w:marRight w:val="0"/>
      <w:marTop w:val="0"/>
      <w:marBottom w:val="0"/>
      <w:divBdr>
        <w:top w:val="none" w:sz="0" w:space="0" w:color="auto"/>
        <w:left w:val="none" w:sz="0" w:space="0" w:color="auto"/>
        <w:bottom w:val="none" w:sz="0" w:space="0" w:color="auto"/>
        <w:right w:val="none" w:sz="0" w:space="0" w:color="auto"/>
      </w:divBdr>
    </w:div>
    <w:div w:id="2099322386">
      <w:bodyDiv w:val="1"/>
      <w:marLeft w:val="0"/>
      <w:marRight w:val="0"/>
      <w:marTop w:val="0"/>
      <w:marBottom w:val="0"/>
      <w:divBdr>
        <w:top w:val="none" w:sz="0" w:space="0" w:color="auto"/>
        <w:left w:val="none" w:sz="0" w:space="0" w:color="auto"/>
        <w:bottom w:val="none" w:sz="0" w:space="0" w:color="auto"/>
        <w:right w:val="none" w:sz="0" w:space="0" w:color="auto"/>
      </w:divBdr>
      <w:divsChild>
        <w:div w:id="737361239">
          <w:marLeft w:val="1987"/>
          <w:marRight w:val="0"/>
          <w:marTop w:val="0"/>
          <w:marBottom w:val="0"/>
          <w:divBdr>
            <w:top w:val="none" w:sz="0" w:space="0" w:color="auto"/>
            <w:left w:val="none" w:sz="0" w:space="0" w:color="auto"/>
            <w:bottom w:val="none" w:sz="0" w:space="0" w:color="auto"/>
            <w:right w:val="none" w:sz="0" w:space="0" w:color="auto"/>
          </w:divBdr>
        </w:div>
        <w:div w:id="1432821790">
          <w:marLeft w:val="1987"/>
          <w:marRight w:val="0"/>
          <w:marTop w:val="0"/>
          <w:marBottom w:val="0"/>
          <w:divBdr>
            <w:top w:val="none" w:sz="0" w:space="0" w:color="auto"/>
            <w:left w:val="none" w:sz="0" w:space="0" w:color="auto"/>
            <w:bottom w:val="none" w:sz="0" w:space="0" w:color="auto"/>
            <w:right w:val="none" w:sz="0" w:space="0" w:color="auto"/>
          </w:divBdr>
        </w:div>
        <w:div w:id="508570285">
          <w:marLeft w:val="1987"/>
          <w:marRight w:val="0"/>
          <w:marTop w:val="0"/>
          <w:marBottom w:val="0"/>
          <w:divBdr>
            <w:top w:val="none" w:sz="0" w:space="0" w:color="auto"/>
            <w:left w:val="none" w:sz="0" w:space="0" w:color="auto"/>
            <w:bottom w:val="none" w:sz="0" w:space="0" w:color="auto"/>
            <w:right w:val="none" w:sz="0" w:space="0" w:color="auto"/>
          </w:divBdr>
        </w:div>
        <w:div w:id="815755948">
          <w:marLeft w:val="1987"/>
          <w:marRight w:val="0"/>
          <w:marTop w:val="0"/>
          <w:marBottom w:val="0"/>
          <w:divBdr>
            <w:top w:val="none" w:sz="0" w:space="0" w:color="auto"/>
            <w:left w:val="none" w:sz="0" w:space="0" w:color="auto"/>
            <w:bottom w:val="none" w:sz="0" w:space="0" w:color="auto"/>
            <w:right w:val="none" w:sz="0" w:space="0" w:color="auto"/>
          </w:divBdr>
        </w:div>
        <w:div w:id="1800294107">
          <w:marLeft w:val="1987"/>
          <w:marRight w:val="0"/>
          <w:marTop w:val="0"/>
          <w:marBottom w:val="0"/>
          <w:divBdr>
            <w:top w:val="none" w:sz="0" w:space="0" w:color="auto"/>
            <w:left w:val="none" w:sz="0" w:space="0" w:color="auto"/>
            <w:bottom w:val="none" w:sz="0" w:space="0" w:color="auto"/>
            <w:right w:val="none" w:sz="0" w:space="0" w:color="auto"/>
          </w:divBdr>
        </w:div>
        <w:div w:id="55512223">
          <w:marLeft w:val="1987"/>
          <w:marRight w:val="0"/>
          <w:marTop w:val="0"/>
          <w:marBottom w:val="0"/>
          <w:divBdr>
            <w:top w:val="none" w:sz="0" w:space="0" w:color="auto"/>
            <w:left w:val="none" w:sz="0" w:space="0" w:color="auto"/>
            <w:bottom w:val="none" w:sz="0" w:space="0" w:color="auto"/>
            <w:right w:val="none" w:sz="0" w:space="0" w:color="auto"/>
          </w:divBdr>
        </w:div>
        <w:div w:id="669407120">
          <w:marLeft w:val="1987"/>
          <w:marRight w:val="0"/>
          <w:marTop w:val="0"/>
          <w:marBottom w:val="0"/>
          <w:divBdr>
            <w:top w:val="none" w:sz="0" w:space="0" w:color="auto"/>
            <w:left w:val="none" w:sz="0" w:space="0" w:color="auto"/>
            <w:bottom w:val="none" w:sz="0" w:space="0" w:color="auto"/>
            <w:right w:val="none" w:sz="0" w:space="0" w:color="auto"/>
          </w:divBdr>
        </w:div>
        <w:div w:id="136649697">
          <w:marLeft w:val="1987"/>
          <w:marRight w:val="0"/>
          <w:marTop w:val="0"/>
          <w:marBottom w:val="0"/>
          <w:divBdr>
            <w:top w:val="none" w:sz="0" w:space="0" w:color="auto"/>
            <w:left w:val="none" w:sz="0" w:space="0" w:color="auto"/>
            <w:bottom w:val="none" w:sz="0" w:space="0" w:color="auto"/>
            <w:right w:val="none" w:sz="0" w:space="0" w:color="auto"/>
          </w:divBdr>
        </w:div>
        <w:div w:id="422144093">
          <w:marLeft w:val="1987"/>
          <w:marRight w:val="0"/>
          <w:marTop w:val="0"/>
          <w:marBottom w:val="0"/>
          <w:divBdr>
            <w:top w:val="none" w:sz="0" w:space="0" w:color="auto"/>
            <w:left w:val="none" w:sz="0" w:space="0" w:color="auto"/>
            <w:bottom w:val="none" w:sz="0" w:space="0" w:color="auto"/>
            <w:right w:val="none" w:sz="0" w:space="0" w:color="auto"/>
          </w:divBdr>
        </w:div>
        <w:div w:id="335350097">
          <w:marLeft w:val="1987"/>
          <w:marRight w:val="0"/>
          <w:marTop w:val="0"/>
          <w:marBottom w:val="0"/>
          <w:divBdr>
            <w:top w:val="none" w:sz="0" w:space="0" w:color="auto"/>
            <w:left w:val="none" w:sz="0" w:space="0" w:color="auto"/>
            <w:bottom w:val="none" w:sz="0" w:space="0" w:color="auto"/>
            <w:right w:val="none" w:sz="0" w:space="0" w:color="auto"/>
          </w:divBdr>
        </w:div>
      </w:divsChild>
    </w:div>
    <w:div w:id="2120449431">
      <w:bodyDiv w:val="1"/>
      <w:marLeft w:val="0"/>
      <w:marRight w:val="0"/>
      <w:marTop w:val="0"/>
      <w:marBottom w:val="0"/>
      <w:divBdr>
        <w:top w:val="none" w:sz="0" w:space="0" w:color="auto"/>
        <w:left w:val="none" w:sz="0" w:space="0" w:color="auto"/>
        <w:bottom w:val="none" w:sz="0" w:space="0" w:color="auto"/>
        <w:right w:val="none" w:sz="0" w:space="0" w:color="auto"/>
      </w:divBdr>
      <w:divsChild>
        <w:div w:id="739838019">
          <w:marLeft w:val="576"/>
          <w:marRight w:val="0"/>
          <w:marTop w:val="120"/>
          <w:marBottom w:val="0"/>
          <w:divBdr>
            <w:top w:val="none" w:sz="0" w:space="0" w:color="auto"/>
            <w:left w:val="none" w:sz="0" w:space="0" w:color="auto"/>
            <w:bottom w:val="none" w:sz="0" w:space="0" w:color="auto"/>
            <w:right w:val="none" w:sz="0" w:space="0" w:color="auto"/>
          </w:divBdr>
        </w:div>
        <w:div w:id="1584097367">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MAGHA\Documents\MAGHA\PAM-FAIM%20ZERO\rapport%20ODD2\Rapport%20d&#233;finitif\Faim%20Zero%20Rapport%20d&#233;finitif%20amend&#233;.docx" TargetMode="External"/><Relationship Id="rId117" Type="http://schemas.openxmlformats.org/officeDocument/2006/relationships/image" Target="media/image49.emf"/><Relationship Id="rId21" Type="http://schemas.openxmlformats.org/officeDocument/2006/relationships/hyperlink" Target="file:///C:\Users\MAGHA\Documents\MAGHA\PAM-FAIM%20ZERO\rapport%20ODD2\Rapport%20d&#233;finitif\Faim%20Zero%20Rapport%20d&#233;finitif%20amend&#233;.docx" TargetMode="External"/><Relationship Id="rId42" Type="http://schemas.openxmlformats.org/officeDocument/2006/relationships/hyperlink" Target="file:///C:\Users\MAGHA\Documents\MAGHA\PAM-FAIM%20ZERO\rapport%20ODD2\Rapport%20d&#233;finitif\Faim%20Zero%20Rapport%20d&#233;finitif%20amend&#233;.docx" TargetMode="External"/><Relationship Id="rId47" Type="http://schemas.openxmlformats.org/officeDocument/2006/relationships/hyperlink" Target="file:///C:\Users\MAGHA\Documents\MAGHA\PAM-FAIM%20ZERO\rapport%20ODD2\Rapport%20d&#233;finitif\Faim%20Zero%20Rapport%20d&#233;finitif%20amend&#233;.docx" TargetMode="External"/><Relationship Id="rId63" Type="http://schemas.openxmlformats.org/officeDocument/2006/relationships/image" Target="media/image7.wmf"/><Relationship Id="rId68" Type="http://schemas.openxmlformats.org/officeDocument/2006/relationships/image" Target="media/image12.emf"/><Relationship Id="rId84" Type="http://schemas.openxmlformats.org/officeDocument/2006/relationships/image" Target="media/image28.emf"/><Relationship Id="rId89" Type="http://schemas.openxmlformats.org/officeDocument/2006/relationships/image" Target="media/image33.emf"/><Relationship Id="rId112" Type="http://schemas.openxmlformats.org/officeDocument/2006/relationships/diagramColors" Target="diagrams/colors2.xml"/><Relationship Id="rId16" Type="http://schemas.openxmlformats.org/officeDocument/2006/relationships/hyperlink" Target="file:///C:\Users\MAGHA\Documents\MAGHA\PAM-FAIM%20ZERO\rapport%20ODD2\Rapport%20d&#233;finitif\Faim%20Zero%20Rapport%20d&#233;finitif%20amend&#233;.docx" TargetMode="External"/><Relationship Id="rId107" Type="http://schemas.microsoft.com/office/2007/relationships/diagramDrawing" Target="diagrams/drawing1.xml"/><Relationship Id="rId11" Type="http://schemas.openxmlformats.org/officeDocument/2006/relationships/hyperlink" Target="file:///C:\Users\MAGHA\Documents\MAGHA\PAM-FAIM%20ZERO\rapport%20ODD2\Rapport%20d&#233;finitif\Faim%20Zero%20Rapport%20d&#233;finitif%20amend&#233;.docx" TargetMode="External"/><Relationship Id="rId32" Type="http://schemas.openxmlformats.org/officeDocument/2006/relationships/hyperlink" Target="file:///C:\Users\MAGHA\Documents\MAGHA\PAM-FAIM%20ZERO\rapport%20ODD2\Rapport%20d&#233;finitif\Faim%20Zero%20Rapport%20d&#233;finitif%20amend&#233;.docx" TargetMode="External"/><Relationship Id="rId37" Type="http://schemas.openxmlformats.org/officeDocument/2006/relationships/hyperlink" Target="file:///C:\Users\MAGHA\Documents\MAGHA\PAM-FAIM%20ZERO\rapport%20ODD2\Rapport%20d&#233;finitif\Faim%20Zero%20Rapport%20d&#233;finitif%20amend&#233;.docx" TargetMode="External"/><Relationship Id="rId53" Type="http://schemas.openxmlformats.org/officeDocument/2006/relationships/hyperlink" Target="file:///C:\Users\MAGHA\Documents\MAGHA\PAM-FAIM%20ZERO\rapport%20ODD2\Rapport%20d&#233;finitif\Faim%20Zero%20Rapport%20d&#233;finitif%20amend&#233;.docx" TargetMode="External"/><Relationship Id="rId58" Type="http://schemas.openxmlformats.org/officeDocument/2006/relationships/hyperlink" Target="file:///C:\Users\MAGHA\Documents\MAGHA\PAM-FAIM%20ZERO\rapport%20ODD2\Rapport%20d&#233;finitif\Faim%20Zero%20Rapport%20d&#233;finitif%20amend&#233;.docx" TargetMode="External"/><Relationship Id="rId74" Type="http://schemas.openxmlformats.org/officeDocument/2006/relationships/image" Target="media/image18.wmf"/><Relationship Id="rId79" Type="http://schemas.openxmlformats.org/officeDocument/2006/relationships/image" Target="media/image23.png"/><Relationship Id="rId102" Type="http://schemas.openxmlformats.org/officeDocument/2006/relationships/image" Target="media/image46.wmf"/><Relationship Id="rId5" Type="http://schemas.openxmlformats.org/officeDocument/2006/relationships/settings" Target="settings.xml"/><Relationship Id="rId90" Type="http://schemas.openxmlformats.org/officeDocument/2006/relationships/image" Target="media/image34.wmf"/><Relationship Id="rId95" Type="http://schemas.openxmlformats.org/officeDocument/2006/relationships/image" Target="media/image39.emf"/><Relationship Id="rId22" Type="http://schemas.openxmlformats.org/officeDocument/2006/relationships/hyperlink" Target="file:///C:\Users\MAGHA\Documents\MAGHA\PAM-FAIM%20ZERO\rapport%20ODD2\Rapport%20d&#233;finitif\Faim%20Zero%20Rapport%20d&#233;finitif%20amend&#233;.docx" TargetMode="External"/><Relationship Id="rId27" Type="http://schemas.openxmlformats.org/officeDocument/2006/relationships/hyperlink" Target="file:///C:\Users\MAGHA\Documents\MAGHA\PAM-FAIM%20ZERO\rapport%20ODD2\Rapport%20d&#233;finitif\Faim%20Zero%20Rapport%20d&#233;finitif%20amend&#233;.docx" TargetMode="External"/><Relationship Id="rId43" Type="http://schemas.openxmlformats.org/officeDocument/2006/relationships/hyperlink" Target="file:///C:\Users\MAGHA\Documents\MAGHA\PAM-FAIM%20ZERO\rapport%20ODD2\Rapport%20d&#233;finitif\Faim%20Zero%20Rapport%20d&#233;finitif%20amend&#233;.docx" TargetMode="External"/><Relationship Id="rId48" Type="http://schemas.openxmlformats.org/officeDocument/2006/relationships/hyperlink" Target="file:///C:\Users\MAGHA\Documents\MAGHA\PAM-FAIM%20ZERO\rapport%20ODD2\Rapport%20d&#233;finitif\Faim%20Zero%20Rapport%20d&#233;finitif%20amend&#233;.docx" TargetMode="External"/><Relationship Id="rId64" Type="http://schemas.openxmlformats.org/officeDocument/2006/relationships/image" Target="media/image8.emf"/><Relationship Id="rId69" Type="http://schemas.openxmlformats.org/officeDocument/2006/relationships/image" Target="media/image13.emf"/><Relationship Id="rId113" Type="http://schemas.microsoft.com/office/2007/relationships/diagramDrawing" Target="diagrams/drawing2.xml"/><Relationship Id="rId118" Type="http://schemas.openxmlformats.org/officeDocument/2006/relationships/image" Target="media/image50.wmf"/><Relationship Id="rId80" Type="http://schemas.openxmlformats.org/officeDocument/2006/relationships/image" Target="media/image24.png"/><Relationship Id="rId85" Type="http://schemas.openxmlformats.org/officeDocument/2006/relationships/image" Target="media/image29.emf"/><Relationship Id="rId12" Type="http://schemas.openxmlformats.org/officeDocument/2006/relationships/hyperlink" Target="file:///C:\Users\MAGHA\Documents\MAGHA\PAM-FAIM%20ZERO\rapport%20ODD2\Rapport%20d&#233;finitif\Faim%20Zero%20Rapport%20d&#233;finitif%20amend&#233;.docx" TargetMode="External"/><Relationship Id="rId17" Type="http://schemas.openxmlformats.org/officeDocument/2006/relationships/hyperlink" Target="file:///C:\Users\MAGHA\Documents\MAGHA\PAM-FAIM%20ZERO\rapport%20ODD2\Rapport%20d&#233;finitif\Faim%20Zero%20Rapport%20d&#233;finitif%20amend&#233;.docx" TargetMode="External"/><Relationship Id="rId33" Type="http://schemas.openxmlformats.org/officeDocument/2006/relationships/hyperlink" Target="file:///C:\Users\MAGHA\Documents\MAGHA\PAM-FAIM%20ZERO\rapport%20ODD2\Rapport%20d&#233;finitif\Faim%20Zero%20Rapport%20d&#233;finitif%20amend&#233;.docx" TargetMode="External"/><Relationship Id="rId38" Type="http://schemas.openxmlformats.org/officeDocument/2006/relationships/hyperlink" Target="file:///C:\Users\MAGHA\Documents\MAGHA\PAM-FAIM%20ZERO\rapport%20ODD2\Rapport%20d&#233;finitif\Faim%20Zero%20Rapport%20d&#233;finitif%20amend&#233;.docx" TargetMode="External"/><Relationship Id="rId59" Type="http://schemas.openxmlformats.org/officeDocument/2006/relationships/image" Target="media/image3.emf"/><Relationship Id="rId103" Type="http://schemas.openxmlformats.org/officeDocument/2006/relationships/diagramData" Target="diagrams/data1.xml"/><Relationship Id="rId108" Type="http://schemas.openxmlformats.org/officeDocument/2006/relationships/diagramData" Target="diagrams/data2.xml"/><Relationship Id="rId54" Type="http://schemas.openxmlformats.org/officeDocument/2006/relationships/hyperlink" Target="file:///C:\Users\MAGHA\Documents\MAGHA\PAM-FAIM%20ZERO\rapport%20ODD2\Rapport%20d&#233;finitif\Faim%20Zero%20Rapport%20d&#233;finitif%20amend&#233;.docx" TargetMode="External"/><Relationship Id="rId70" Type="http://schemas.openxmlformats.org/officeDocument/2006/relationships/image" Target="media/image14.emf"/><Relationship Id="rId75" Type="http://schemas.openxmlformats.org/officeDocument/2006/relationships/image" Target="media/image19.png"/><Relationship Id="rId91" Type="http://schemas.openxmlformats.org/officeDocument/2006/relationships/image" Target="media/image35.wmf"/><Relationship Id="rId96"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file:///C:\Users\MAGHA\Documents\MAGHA\PAM-FAIM%20ZERO\rapport%20ODD2\Rapport%20d&#233;finitif\Faim%20Zero%20Rapport%20d&#233;finitif%20amend&#233;.docx" TargetMode="External"/><Relationship Id="rId28" Type="http://schemas.openxmlformats.org/officeDocument/2006/relationships/hyperlink" Target="file:///C:\Users\MAGHA\Documents\MAGHA\PAM-FAIM%20ZERO\rapport%20ODD2\Rapport%20d&#233;finitif\Faim%20Zero%20Rapport%20d&#233;finitif%20amend&#233;.docx" TargetMode="External"/><Relationship Id="rId49" Type="http://schemas.openxmlformats.org/officeDocument/2006/relationships/hyperlink" Target="file:///C:\Users\MAGHA\Documents\MAGHA\PAM-FAIM%20ZERO\rapport%20ODD2\Rapport%20d&#233;finitif\Faim%20Zero%20Rapport%20d&#233;finitif%20amend&#233;.docx" TargetMode="External"/><Relationship Id="rId114" Type="http://schemas.openxmlformats.org/officeDocument/2006/relationships/diagramData" Target="diagrams/data4.xml"/><Relationship Id="rId119" Type="http://schemas.openxmlformats.org/officeDocument/2006/relationships/header" Target="header1.xml"/><Relationship Id="rId44" Type="http://schemas.openxmlformats.org/officeDocument/2006/relationships/hyperlink" Target="file:///C:\Users\MAGHA\Documents\MAGHA\PAM-FAIM%20ZERO\rapport%20ODD2\Rapport%20d&#233;finitif\Faim%20Zero%20Rapport%20d&#233;finitif%20amend&#233;.docx" TargetMode="External"/><Relationship Id="rId60" Type="http://schemas.openxmlformats.org/officeDocument/2006/relationships/image" Target="media/image4.emf"/><Relationship Id="rId65" Type="http://schemas.openxmlformats.org/officeDocument/2006/relationships/image" Target="media/image9.wmf"/><Relationship Id="rId81" Type="http://schemas.openxmlformats.org/officeDocument/2006/relationships/image" Target="media/image25.wmf"/><Relationship Id="rId86" Type="http://schemas.openxmlformats.org/officeDocument/2006/relationships/image" Target="media/image30.emf"/><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yperlink" Target="file:///C:\Users\MAGHA\Documents\MAGHA\PAM-FAIM%20ZERO\rapport%20ODD2\Rapport%20d&#233;finitif\Faim%20Zero%20Rapport%20d&#233;finitif%20amend&#233;.docx" TargetMode="External"/><Relationship Id="rId18" Type="http://schemas.openxmlformats.org/officeDocument/2006/relationships/hyperlink" Target="file:///C:\Users\MAGHA\Documents\MAGHA\PAM-FAIM%20ZERO\rapport%20ODD2\Rapport%20d&#233;finitif\Faim%20Zero%20Rapport%20d&#233;finitif%20amend&#233;.docx" TargetMode="External"/><Relationship Id="rId39" Type="http://schemas.openxmlformats.org/officeDocument/2006/relationships/hyperlink" Target="file:///C:\Users\MAGHA\Documents\MAGHA\PAM-FAIM%20ZERO\rapport%20ODD2\Rapport%20d&#233;finitif\Faim%20Zero%20Rapport%20d&#233;finitif%20amend&#233;.docx" TargetMode="External"/><Relationship Id="rId109" Type="http://schemas.openxmlformats.org/officeDocument/2006/relationships/diagramData" Target="diagrams/data3.xml"/><Relationship Id="rId34" Type="http://schemas.openxmlformats.org/officeDocument/2006/relationships/hyperlink" Target="file:///C:\Users\MAGHA\Documents\MAGHA\PAM-FAIM%20ZERO\rapport%20ODD2\Rapport%20d&#233;finitif\Faim%20Zero%20Rapport%20d&#233;finitif%20amend&#233;.docx" TargetMode="External"/><Relationship Id="rId50" Type="http://schemas.openxmlformats.org/officeDocument/2006/relationships/hyperlink" Target="file:///C:\Users\MAGHA\Documents\MAGHA\PAM-FAIM%20ZERO\rapport%20ODD2\Rapport%20d&#233;finitif\Faim%20Zero%20Rapport%20d&#233;finitif%20amend&#233;.docx" TargetMode="External"/><Relationship Id="rId55" Type="http://schemas.openxmlformats.org/officeDocument/2006/relationships/hyperlink" Target="file:///C:\Users\MAGHA\Documents\MAGHA\PAM-FAIM%20ZERO\rapport%20ODD2\Rapport%20d&#233;finitif\Faim%20Zero%20Rapport%20d&#233;finitif%20amend&#233;.docx" TargetMode="External"/><Relationship Id="rId76" Type="http://schemas.openxmlformats.org/officeDocument/2006/relationships/image" Target="media/image20.wmf"/><Relationship Id="rId97" Type="http://schemas.openxmlformats.org/officeDocument/2006/relationships/image" Target="media/image41.wmf"/><Relationship Id="rId104" Type="http://schemas.openxmlformats.org/officeDocument/2006/relationships/diagramLayout" Target="diagrams/layout1.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5.emf"/><Relationship Id="rId92" Type="http://schemas.openxmlformats.org/officeDocument/2006/relationships/image" Target="media/image36.emf"/><Relationship Id="rId2" Type="http://schemas.openxmlformats.org/officeDocument/2006/relationships/customXml" Target="../customXml/item2.xml"/><Relationship Id="rId29" Type="http://schemas.openxmlformats.org/officeDocument/2006/relationships/hyperlink" Target="file:///C:\Users\MAGHA\Documents\MAGHA\PAM-FAIM%20ZERO\rapport%20ODD2\Rapport%20d&#233;finitif\Faim%20Zero%20Rapport%20d&#233;finitif%20amend&#233;.docx" TargetMode="External"/><Relationship Id="rId24" Type="http://schemas.openxmlformats.org/officeDocument/2006/relationships/hyperlink" Target="file:///C:\Users\MAGHA\Documents\MAGHA\PAM-FAIM%20ZERO\rapport%20ODD2\Rapport%20d&#233;finitif\Faim%20Zero%20Rapport%20d&#233;finitif%20amend&#233;.docx" TargetMode="External"/><Relationship Id="rId40" Type="http://schemas.openxmlformats.org/officeDocument/2006/relationships/hyperlink" Target="file:///C:\Users\MAGHA\Documents\MAGHA\PAM-FAIM%20ZERO\rapport%20ODD2\Rapport%20d&#233;finitif\Faim%20Zero%20Rapport%20d&#233;finitif%20amend&#233;.docx" TargetMode="External"/><Relationship Id="rId45" Type="http://schemas.openxmlformats.org/officeDocument/2006/relationships/hyperlink" Target="file:///C:\Users\MAGHA\Documents\MAGHA\PAM-FAIM%20ZERO\rapport%20ODD2\Rapport%20d&#233;finitif\Faim%20Zero%20Rapport%20d&#233;finitif%20amend&#233;.docx" TargetMode="External"/><Relationship Id="rId66" Type="http://schemas.openxmlformats.org/officeDocument/2006/relationships/image" Target="media/image10.emf"/><Relationship Id="rId87" Type="http://schemas.openxmlformats.org/officeDocument/2006/relationships/image" Target="media/image31.emf"/><Relationship Id="rId110" Type="http://schemas.openxmlformats.org/officeDocument/2006/relationships/diagramLayout" Target="diagrams/layout2.xml"/><Relationship Id="rId115" Type="http://schemas.openxmlformats.org/officeDocument/2006/relationships/image" Target="media/image47.wmf"/><Relationship Id="rId61" Type="http://schemas.openxmlformats.org/officeDocument/2006/relationships/image" Target="media/image5.emf"/><Relationship Id="rId82" Type="http://schemas.openxmlformats.org/officeDocument/2006/relationships/image" Target="media/image26.wmf"/><Relationship Id="rId19" Type="http://schemas.openxmlformats.org/officeDocument/2006/relationships/hyperlink" Target="file:///C:\Users\MAGHA\Documents\MAGHA\PAM-FAIM%20ZERO\rapport%20ODD2\Rapport%20d&#233;finitif\Faim%20Zero%20Rapport%20d&#233;finitif%20amend&#233;.docx" TargetMode="External"/><Relationship Id="rId14" Type="http://schemas.openxmlformats.org/officeDocument/2006/relationships/hyperlink" Target="file:///C:\Users\MAGHA\Documents\MAGHA\PAM-FAIM%20ZERO\rapport%20ODD2\Rapport%20d&#233;finitif\Faim%20Zero%20Rapport%20d&#233;finitif%20amend&#233;.docx" TargetMode="External"/><Relationship Id="rId30" Type="http://schemas.openxmlformats.org/officeDocument/2006/relationships/hyperlink" Target="file:///C:\Users\MAGHA\Documents\MAGHA\PAM-FAIM%20ZERO\rapport%20ODD2\Rapport%20d&#233;finitif\Faim%20Zero%20Rapport%20d&#233;finitif%20amend&#233;.docx" TargetMode="External"/><Relationship Id="rId35" Type="http://schemas.openxmlformats.org/officeDocument/2006/relationships/hyperlink" Target="file:///C:\Users\MAGHA\Documents\MAGHA\PAM-FAIM%20ZERO\rapport%20ODD2\Rapport%20d&#233;finitif\Faim%20Zero%20Rapport%20d&#233;finitif%20amend&#233;.docx" TargetMode="External"/><Relationship Id="rId56" Type="http://schemas.openxmlformats.org/officeDocument/2006/relationships/hyperlink" Target="file:///C:\Users\MAGHA\Documents\MAGHA\PAM-FAIM%20ZERO\rapport%20ODD2\Rapport%20d&#233;finitif\Faim%20Zero%20Rapport%20d&#233;finitif%20amend&#233;.docx" TargetMode="External"/><Relationship Id="rId77" Type="http://schemas.openxmlformats.org/officeDocument/2006/relationships/image" Target="media/image21.emf"/><Relationship Id="rId100" Type="http://schemas.openxmlformats.org/officeDocument/2006/relationships/image" Target="media/image44.emf"/><Relationship Id="rId105" Type="http://schemas.openxmlformats.org/officeDocument/2006/relationships/diagramQuickStyle" Target="diagrams/quickStyle1.xml"/><Relationship Id="rId8" Type="http://schemas.openxmlformats.org/officeDocument/2006/relationships/endnotes" Target="endnotes.xml"/><Relationship Id="rId51" Type="http://schemas.openxmlformats.org/officeDocument/2006/relationships/hyperlink" Target="file:///C:\Users\MAGHA\Documents\MAGHA\PAM-FAIM%20ZERO\rapport%20ODD2\Rapport%20d&#233;finitif\Faim%20Zero%20Rapport%20d&#233;finitif%20amend&#233;.docx" TargetMode="External"/><Relationship Id="rId72" Type="http://schemas.openxmlformats.org/officeDocument/2006/relationships/image" Target="media/image16.emf"/><Relationship Id="rId93" Type="http://schemas.openxmlformats.org/officeDocument/2006/relationships/image" Target="media/image37.emf"/><Relationship Id="rId98" Type="http://schemas.openxmlformats.org/officeDocument/2006/relationships/image" Target="media/image42.emf"/><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file:///C:\Users\MAGHA\Documents\MAGHA\PAM-FAIM%20ZERO\rapport%20ODD2\Rapport%20d&#233;finitif\Faim%20Zero%20Rapport%20d&#233;finitif%20amend&#233;.docx" TargetMode="External"/><Relationship Id="rId46" Type="http://schemas.openxmlformats.org/officeDocument/2006/relationships/hyperlink" Target="file:///C:\Users\MAGHA\Documents\MAGHA\PAM-FAIM%20ZERO\rapport%20ODD2\Rapport%20d&#233;finitif\Faim%20Zero%20Rapport%20d&#233;finitif%20amend&#233;.docx" TargetMode="External"/><Relationship Id="rId67" Type="http://schemas.openxmlformats.org/officeDocument/2006/relationships/image" Target="media/image11.emf"/><Relationship Id="rId116" Type="http://schemas.openxmlformats.org/officeDocument/2006/relationships/image" Target="media/image48.emf"/><Relationship Id="rId20" Type="http://schemas.openxmlformats.org/officeDocument/2006/relationships/hyperlink" Target="file:///C:\Users\MAGHA\Documents\MAGHA\PAM-FAIM%20ZERO\rapport%20ODD2\Rapport%20d&#233;finitif\Faim%20Zero%20Rapport%20d&#233;finitif%20amend&#233;.docx" TargetMode="External"/><Relationship Id="rId41" Type="http://schemas.openxmlformats.org/officeDocument/2006/relationships/hyperlink" Target="file:///C:\Users\MAGHA\Documents\MAGHA\PAM-FAIM%20ZERO\rapport%20ODD2\Rapport%20d&#233;finitif\Faim%20Zero%20Rapport%20d&#233;finitif%20amend&#233;.docx" TargetMode="External"/><Relationship Id="rId62" Type="http://schemas.openxmlformats.org/officeDocument/2006/relationships/image" Target="media/image6.emf"/><Relationship Id="rId83" Type="http://schemas.openxmlformats.org/officeDocument/2006/relationships/image" Target="media/image27.wmf"/><Relationship Id="rId88" Type="http://schemas.openxmlformats.org/officeDocument/2006/relationships/image" Target="media/image32.emf"/><Relationship Id="rId111" Type="http://schemas.openxmlformats.org/officeDocument/2006/relationships/diagramQuickStyle" Target="diagrams/quickStyle2.xml"/><Relationship Id="rId15" Type="http://schemas.openxmlformats.org/officeDocument/2006/relationships/hyperlink" Target="file:///C:\Users\MAGHA\Documents\MAGHA\PAM-FAIM%20ZERO\rapport%20ODD2\Rapport%20d&#233;finitif\Faim%20Zero%20Rapport%20d&#233;finitif%20amend&#233;.docx" TargetMode="External"/><Relationship Id="rId36" Type="http://schemas.openxmlformats.org/officeDocument/2006/relationships/hyperlink" Target="file:///C:\Users\MAGHA\Documents\MAGHA\PAM-FAIM%20ZERO\rapport%20ODD2\Rapport%20d&#233;finitif\Faim%20Zero%20Rapport%20d&#233;finitif%20amend&#233;.docx" TargetMode="External"/><Relationship Id="rId57" Type="http://schemas.openxmlformats.org/officeDocument/2006/relationships/hyperlink" Target="file:///C:\Users\MAGHA\Documents\MAGHA\PAM-FAIM%20ZERO\rapport%20ODD2\Rapport%20d&#233;finitif\Faim%20Zero%20Rapport%20d&#233;finitif%20amend&#233;.docx" TargetMode="External"/><Relationship Id="rId106" Type="http://schemas.openxmlformats.org/officeDocument/2006/relationships/diagramColors" Target="diagrams/colors1.xml"/><Relationship Id="rId10" Type="http://schemas.openxmlformats.org/officeDocument/2006/relationships/image" Target="media/image2.wmf"/><Relationship Id="rId31" Type="http://schemas.openxmlformats.org/officeDocument/2006/relationships/hyperlink" Target="file:///C:\Users\MAGHA\Documents\MAGHA\PAM-FAIM%20ZERO\rapport%20ODD2\Rapport%20d&#233;finitif\Faim%20Zero%20Rapport%20d&#233;finitif%20amend&#233;.docx" TargetMode="External"/><Relationship Id="rId52" Type="http://schemas.openxmlformats.org/officeDocument/2006/relationships/hyperlink" Target="file:///C:\Users\MAGHA\Documents\MAGHA\PAM-FAIM%20ZERO\rapport%20ODD2\Rapport%20d&#233;finitif\Faim%20Zero%20Rapport%20d&#233;finitif%20amend&#233;.docx" TargetMode="External"/><Relationship Id="rId73" Type="http://schemas.openxmlformats.org/officeDocument/2006/relationships/image" Target="media/image17.wmf"/><Relationship Id="rId78" Type="http://schemas.openxmlformats.org/officeDocument/2006/relationships/image" Target="media/image22.png"/><Relationship Id="rId94" Type="http://schemas.openxmlformats.org/officeDocument/2006/relationships/image" Target="media/image38.emf"/><Relationship Id="rId99" Type="http://schemas.openxmlformats.org/officeDocument/2006/relationships/image" Target="media/image43.wmf"/><Relationship Id="rId101" Type="http://schemas.openxmlformats.org/officeDocument/2006/relationships/image" Target="media/image45.emf"/></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4186FA-6E81-4766-BCB0-90A66917189B}" type="doc">
      <dgm:prSet loTypeId="urn:microsoft.com/office/officeart/2005/8/layout/radial5" loCatId="relationship" qsTypeId="urn:microsoft.com/office/officeart/2005/8/quickstyle/simple1" qsCatId="simple" csTypeId="urn:microsoft.com/office/officeart/2005/8/colors/accent3_1" csCatId="accent3" phldr="1"/>
      <dgm:spPr/>
      <dgm:t>
        <a:bodyPr/>
        <a:lstStyle/>
        <a:p>
          <a:endParaRPr lang="fr-FR"/>
        </a:p>
      </dgm:t>
    </dgm:pt>
    <dgm:pt modelId="{F2C41AAB-4744-449A-9C5E-FF0400D459BC}">
      <dgm:prSet phldrT="[Texte]" custT="1">
        <dgm:style>
          <a:lnRef idx="1">
            <a:schemeClr val="accent1"/>
          </a:lnRef>
          <a:fillRef idx="2">
            <a:schemeClr val="accent1"/>
          </a:fillRef>
          <a:effectRef idx="1">
            <a:schemeClr val="accent1"/>
          </a:effectRef>
          <a:fontRef idx="minor">
            <a:schemeClr val="dk1"/>
          </a:fontRef>
        </dgm:style>
      </dgm:prSet>
      <dgm:spPr>
        <a:ln/>
      </dgm:spPr>
      <dgm:t>
        <a:bodyPr/>
        <a:lstStyle/>
        <a:p>
          <a:r>
            <a:rPr lang="fr-FR" sz="900" b="1"/>
            <a:t>ODD2</a:t>
          </a:r>
        </a:p>
        <a:p>
          <a:r>
            <a:rPr lang="fr-FR" sz="900" b="1"/>
            <a:t>HC3N</a:t>
          </a:r>
        </a:p>
        <a:p>
          <a:r>
            <a:rPr lang="fr-FR" sz="900" b="1"/>
            <a:t>MP</a:t>
          </a:r>
        </a:p>
      </dgm:t>
    </dgm:pt>
    <dgm:pt modelId="{E2790AC9-FA85-467F-A390-8126EF04DFD1}" type="parTrans" cxnId="{5242646D-4C5E-43CD-8185-96BB351886EC}">
      <dgm:prSet/>
      <dgm:spPr/>
      <dgm:t>
        <a:bodyPr/>
        <a:lstStyle/>
        <a:p>
          <a:endParaRPr lang="fr-FR" sz="700" b="1"/>
        </a:p>
      </dgm:t>
    </dgm:pt>
    <dgm:pt modelId="{88F22EC2-DC8C-48A2-8056-E2D215BA6F0B}" type="sibTrans" cxnId="{5242646D-4C5E-43CD-8185-96BB351886EC}">
      <dgm:prSet/>
      <dgm:spPr/>
      <dgm:t>
        <a:bodyPr/>
        <a:lstStyle/>
        <a:p>
          <a:endParaRPr lang="fr-FR" sz="700" b="1"/>
        </a:p>
      </dgm:t>
    </dgm:pt>
    <dgm:pt modelId="{E6A0C07B-5A59-4E3E-9AAE-F8625AC2BA9D}">
      <dgm:prSet phldrT="[Texte]" custT="1"/>
      <dgm:spPr>
        <a:ln>
          <a:solidFill>
            <a:srgbClr val="FF0000"/>
          </a:solidFill>
        </a:ln>
      </dgm:spPr>
      <dgm:t>
        <a:bodyPr/>
        <a:lstStyle/>
        <a:p>
          <a:r>
            <a:rPr lang="fr-FR" sz="700" b="1"/>
            <a:t>cible 2.1 - DNPGCA -</a:t>
          </a:r>
        </a:p>
      </dgm:t>
    </dgm:pt>
    <dgm:pt modelId="{0575B58F-CA30-47D3-BC8F-57C8212C0D9A}" type="parTrans" cxnId="{5E0A22E1-1A4E-4D66-9F67-C59043411C19}">
      <dgm:prSet custT="1"/>
      <dgm:spPr/>
      <dgm:t>
        <a:bodyPr/>
        <a:lstStyle/>
        <a:p>
          <a:endParaRPr lang="fr-FR" sz="700" b="1"/>
        </a:p>
      </dgm:t>
    </dgm:pt>
    <dgm:pt modelId="{90195D58-3B64-4DCC-8B9B-A66AA57B4840}" type="sibTrans" cxnId="{5E0A22E1-1A4E-4D66-9F67-C59043411C19}">
      <dgm:prSet/>
      <dgm:spPr/>
      <dgm:t>
        <a:bodyPr/>
        <a:lstStyle/>
        <a:p>
          <a:endParaRPr lang="fr-FR" sz="700" b="1"/>
        </a:p>
      </dgm:t>
    </dgm:pt>
    <dgm:pt modelId="{62958F75-D415-4942-A1C8-677FAC23E10B}">
      <dgm:prSet phldrT="[Texte]" custT="1"/>
      <dgm:spPr>
        <a:ln>
          <a:solidFill>
            <a:srgbClr val="FF0000"/>
          </a:solidFill>
        </a:ln>
      </dgm:spPr>
      <dgm:t>
        <a:bodyPr/>
        <a:lstStyle/>
        <a:p>
          <a:r>
            <a:rPr lang="fr-FR" sz="700" b="1"/>
            <a:t>cible 2.2 - DN/MSP - HC3N, MPS</a:t>
          </a:r>
        </a:p>
      </dgm:t>
    </dgm:pt>
    <dgm:pt modelId="{208A3D45-BEF2-4748-BB83-FC7C2CD6E5E7}" type="parTrans" cxnId="{43F71385-1765-4208-9212-00EAD23BAEC1}">
      <dgm:prSet custT="1"/>
      <dgm:spPr/>
      <dgm:t>
        <a:bodyPr/>
        <a:lstStyle/>
        <a:p>
          <a:endParaRPr lang="fr-FR" sz="700" b="1"/>
        </a:p>
      </dgm:t>
    </dgm:pt>
    <dgm:pt modelId="{BF5525E1-FF82-47B0-A6AD-002581DBDD23}" type="sibTrans" cxnId="{43F71385-1765-4208-9212-00EAD23BAEC1}">
      <dgm:prSet/>
      <dgm:spPr/>
      <dgm:t>
        <a:bodyPr/>
        <a:lstStyle/>
        <a:p>
          <a:endParaRPr lang="fr-FR" sz="700" b="1"/>
        </a:p>
      </dgm:t>
    </dgm:pt>
    <dgm:pt modelId="{1F82E047-2AD4-4FE0-BAC2-AC82EDAC30E1}">
      <dgm:prSet phldrT="[Texte]" custT="1"/>
      <dgm:spPr>
        <a:ln>
          <a:solidFill>
            <a:srgbClr val="00B050"/>
          </a:solidFill>
        </a:ln>
      </dgm:spPr>
      <dgm:t>
        <a:bodyPr/>
        <a:lstStyle/>
        <a:p>
          <a:r>
            <a:rPr lang="fr-FR" sz="700" b="1"/>
            <a:t>Cible 2.3 - MAGEL</a:t>
          </a:r>
        </a:p>
      </dgm:t>
    </dgm:pt>
    <dgm:pt modelId="{5189B5B2-8B28-482E-A412-7A9CDC152184}" type="parTrans" cxnId="{61D596B9-6331-4843-873B-378640037E30}">
      <dgm:prSet custT="1"/>
      <dgm:spPr/>
      <dgm:t>
        <a:bodyPr/>
        <a:lstStyle/>
        <a:p>
          <a:endParaRPr lang="fr-FR" sz="700" b="1"/>
        </a:p>
      </dgm:t>
    </dgm:pt>
    <dgm:pt modelId="{B440220F-5F6B-46C3-8BFD-20AD023CE110}" type="sibTrans" cxnId="{61D596B9-6331-4843-873B-378640037E30}">
      <dgm:prSet/>
      <dgm:spPr/>
      <dgm:t>
        <a:bodyPr/>
        <a:lstStyle/>
        <a:p>
          <a:endParaRPr lang="fr-FR" sz="700" b="1"/>
        </a:p>
      </dgm:t>
    </dgm:pt>
    <dgm:pt modelId="{2A021F65-1013-4297-B4A8-ABF0063E2741}">
      <dgm:prSet phldrT="[Texte]" custT="1"/>
      <dgm:spPr>
        <a:ln>
          <a:solidFill>
            <a:srgbClr val="00B050"/>
          </a:solidFill>
        </a:ln>
      </dgm:spPr>
      <dgm:t>
        <a:bodyPr/>
        <a:lstStyle/>
        <a:p>
          <a:r>
            <a:rPr lang="fr-FR" sz="700" b="1"/>
            <a:t>Cible 2.4 - MAG/EL &amp; MEDD; </a:t>
          </a:r>
        </a:p>
      </dgm:t>
    </dgm:pt>
    <dgm:pt modelId="{B276DBF3-4499-4166-AC24-C73D090B1CC4}" type="parTrans" cxnId="{3B50C561-2A53-4E1C-8182-8DC1B63011B4}">
      <dgm:prSet custT="1"/>
      <dgm:spPr/>
      <dgm:t>
        <a:bodyPr/>
        <a:lstStyle/>
        <a:p>
          <a:endParaRPr lang="fr-FR" sz="700" b="1"/>
        </a:p>
      </dgm:t>
    </dgm:pt>
    <dgm:pt modelId="{E667BE73-6829-4217-8B75-35878D2136F8}" type="sibTrans" cxnId="{3B50C561-2A53-4E1C-8182-8DC1B63011B4}">
      <dgm:prSet/>
      <dgm:spPr/>
      <dgm:t>
        <a:bodyPr/>
        <a:lstStyle/>
        <a:p>
          <a:endParaRPr lang="fr-FR" sz="700" b="1"/>
        </a:p>
      </dgm:t>
    </dgm:pt>
    <dgm:pt modelId="{EC2A60DE-CA30-4E31-8B5B-FC642B386018}">
      <dgm:prSet custT="1"/>
      <dgm:spPr>
        <a:ln>
          <a:solidFill>
            <a:srgbClr val="0070C0"/>
          </a:solidFill>
        </a:ln>
      </dgm:spPr>
      <dgm:t>
        <a:bodyPr/>
        <a:lstStyle/>
        <a:p>
          <a:r>
            <a:rPr lang="fr-FR" sz="700" b="1"/>
            <a:t>cible 2.5 - SNRA (INRAN, SNRA, CMB et CNSF)</a:t>
          </a:r>
        </a:p>
      </dgm:t>
    </dgm:pt>
    <dgm:pt modelId="{B2F5BB37-F43D-4498-8E72-F1C4ABAEC138}" type="parTrans" cxnId="{EFCA1190-417A-444D-BBB2-39B1B09CFD77}">
      <dgm:prSet custT="1"/>
      <dgm:spPr/>
      <dgm:t>
        <a:bodyPr/>
        <a:lstStyle/>
        <a:p>
          <a:endParaRPr lang="fr-FR" sz="700" b="1"/>
        </a:p>
      </dgm:t>
    </dgm:pt>
    <dgm:pt modelId="{6B76E58D-BDC0-4418-87F9-DDB32DCAE083}" type="sibTrans" cxnId="{EFCA1190-417A-444D-BBB2-39B1B09CFD77}">
      <dgm:prSet/>
      <dgm:spPr/>
      <dgm:t>
        <a:bodyPr/>
        <a:lstStyle/>
        <a:p>
          <a:endParaRPr lang="fr-FR" sz="700" b="1"/>
        </a:p>
      </dgm:t>
    </dgm:pt>
    <dgm:pt modelId="{A0193504-47E4-4A2D-88A0-B9D49236CC53}">
      <dgm:prSet custT="1"/>
      <dgm:spPr/>
      <dgm:t>
        <a:bodyPr/>
        <a:lstStyle/>
        <a:p>
          <a:r>
            <a:rPr lang="fr-FR" sz="700" b="1"/>
            <a:t>cibles 2a; 2b; 2c </a:t>
          </a:r>
        </a:p>
        <a:p>
          <a:r>
            <a:rPr lang="fr-FR" sz="700" b="1"/>
            <a:t>HC3N</a:t>
          </a:r>
        </a:p>
      </dgm:t>
    </dgm:pt>
    <dgm:pt modelId="{545DC0F7-C2D0-48EC-9407-DF4B44C2BAD0}" type="parTrans" cxnId="{A1AA7C58-29C2-4E8A-AFC0-FF2DD48C68A6}">
      <dgm:prSet custT="1"/>
      <dgm:spPr/>
      <dgm:t>
        <a:bodyPr/>
        <a:lstStyle/>
        <a:p>
          <a:endParaRPr lang="fr-FR" sz="700" b="1"/>
        </a:p>
      </dgm:t>
    </dgm:pt>
    <dgm:pt modelId="{2C75F011-9F8E-4683-A630-AA1D0F57C1E3}" type="sibTrans" cxnId="{A1AA7C58-29C2-4E8A-AFC0-FF2DD48C68A6}">
      <dgm:prSet/>
      <dgm:spPr/>
      <dgm:t>
        <a:bodyPr/>
        <a:lstStyle/>
        <a:p>
          <a:endParaRPr lang="fr-FR" sz="700" b="1"/>
        </a:p>
      </dgm:t>
    </dgm:pt>
    <dgm:pt modelId="{F26A643E-AC6F-400E-B952-29D8AAE5EF43}" type="pres">
      <dgm:prSet presAssocID="{854186FA-6E81-4766-BCB0-90A66917189B}" presName="Name0" presStyleCnt="0">
        <dgm:presLayoutVars>
          <dgm:chMax val="1"/>
          <dgm:dir/>
          <dgm:animLvl val="ctr"/>
          <dgm:resizeHandles val="exact"/>
        </dgm:presLayoutVars>
      </dgm:prSet>
      <dgm:spPr/>
      <dgm:t>
        <a:bodyPr/>
        <a:lstStyle/>
        <a:p>
          <a:endParaRPr lang="fr-FR"/>
        </a:p>
      </dgm:t>
    </dgm:pt>
    <dgm:pt modelId="{D0FD0767-9103-41B3-955E-FD64BE6604A9}" type="pres">
      <dgm:prSet presAssocID="{F2C41AAB-4744-449A-9C5E-FF0400D459BC}" presName="centerShape" presStyleLbl="node0" presStyleIdx="0" presStyleCnt="1"/>
      <dgm:spPr/>
      <dgm:t>
        <a:bodyPr/>
        <a:lstStyle/>
        <a:p>
          <a:endParaRPr lang="fr-FR"/>
        </a:p>
      </dgm:t>
    </dgm:pt>
    <dgm:pt modelId="{DE9118B4-B516-43C2-AAD9-AA20ACCCBB1C}" type="pres">
      <dgm:prSet presAssocID="{0575B58F-CA30-47D3-BC8F-57C8212C0D9A}" presName="parTrans" presStyleLbl="sibTrans2D1" presStyleIdx="0" presStyleCnt="6"/>
      <dgm:spPr>
        <a:prstGeom prst="leftArrow">
          <a:avLst/>
        </a:prstGeom>
      </dgm:spPr>
      <dgm:t>
        <a:bodyPr/>
        <a:lstStyle/>
        <a:p>
          <a:endParaRPr lang="fr-FR"/>
        </a:p>
      </dgm:t>
    </dgm:pt>
    <dgm:pt modelId="{B8891EDC-C397-4C52-B081-2D0F26658DEC}" type="pres">
      <dgm:prSet presAssocID="{0575B58F-CA30-47D3-BC8F-57C8212C0D9A}" presName="connectorText" presStyleLbl="sibTrans2D1" presStyleIdx="0" presStyleCnt="6"/>
      <dgm:spPr/>
      <dgm:t>
        <a:bodyPr/>
        <a:lstStyle/>
        <a:p>
          <a:endParaRPr lang="fr-FR"/>
        </a:p>
      </dgm:t>
    </dgm:pt>
    <dgm:pt modelId="{5DFE651D-F475-427C-AB7B-3CDD68093338}" type="pres">
      <dgm:prSet presAssocID="{E6A0C07B-5A59-4E3E-9AAE-F8625AC2BA9D}" presName="node" presStyleLbl="node1" presStyleIdx="0" presStyleCnt="6">
        <dgm:presLayoutVars>
          <dgm:bulletEnabled val="1"/>
        </dgm:presLayoutVars>
      </dgm:prSet>
      <dgm:spPr/>
      <dgm:t>
        <a:bodyPr/>
        <a:lstStyle/>
        <a:p>
          <a:endParaRPr lang="fr-FR"/>
        </a:p>
      </dgm:t>
    </dgm:pt>
    <dgm:pt modelId="{25C0E5D6-813E-494A-8263-6A2E796B7710}" type="pres">
      <dgm:prSet presAssocID="{208A3D45-BEF2-4748-BB83-FC7C2CD6E5E7}" presName="parTrans" presStyleLbl="sibTrans2D1" presStyleIdx="1" presStyleCnt="6"/>
      <dgm:spPr>
        <a:prstGeom prst="leftArrow">
          <a:avLst/>
        </a:prstGeom>
      </dgm:spPr>
      <dgm:t>
        <a:bodyPr/>
        <a:lstStyle/>
        <a:p>
          <a:endParaRPr lang="fr-FR"/>
        </a:p>
      </dgm:t>
    </dgm:pt>
    <dgm:pt modelId="{61E04AE2-369B-4775-AE12-C970DAFE2A7C}" type="pres">
      <dgm:prSet presAssocID="{208A3D45-BEF2-4748-BB83-FC7C2CD6E5E7}" presName="connectorText" presStyleLbl="sibTrans2D1" presStyleIdx="1" presStyleCnt="6"/>
      <dgm:spPr/>
      <dgm:t>
        <a:bodyPr/>
        <a:lstStyle/>
        <a:p>
          <a:endParaRPr lang="fr-FR"/>
        </a:p>
      </dgm:t>
    </dgm:pt>
    <dgm:pt modelId="{595A9794-E8BB-4497-A253-A7A297749CC5}" type="pres">
      <dgm:prSet presAssocID="{62958F75-D415-4942-A1C8-677FAC23E10B}" presName="node" presStyleLbl="node1" presStyleIdx="1" presStyleCnt="6">
        <dgm:presLayoutVars>
          <dgm:bulletEnabled val="1"/>
        </dgm:presLayoutVars>
      </dgm:prSet>
      <dgm:spPr/>
      <dgm:t>
        <a:bodyPr/>
        <a:lstStyle/>
        <a:p>
          <a:endParaRPr lang="fr-FR"/>
        </a:p>
      </dgm:t>
    </dgm:pt>
    <dgm:pt modelId="{785DD06A-A6BB-42C8-B07D-7DE9BD182E05}" type="pres">
      <dgm:prSet presAssocID="{5189B5B2-8B28-482E-A412-7A9CDC152184}" presName="parTrans" presStyleLbl="sibTrans2D1" presStyleIdx="2" presStyleCnt="6"/>
      <dgm:spPr>
        <a:prstGeom prst="leftArrow">
          <a:avLst/>
        </a:prstGeom>
      </dgm:spPr>
      <dgm:t>
        <a:bodyPr/>
        <a:lstStyle/>
        <a:p>
          <a:endParaRPr lang="fr-FR"/>
        </a:p>
      </dgm:t>
    </dgm:pt>
    <dgm:pt modelId="{FE1D4BB1-5571-4452-9A4A-F638B9249385}" type="pres">
      <dgm:prSet presAssocID="{5189B5B2-8B28-482E-A412-7A9CDC152184}" presName="connectorText" presStyleLbl="sibTrans2D1" presStyleIdx="2" presStyleCnt="6"/>
      <dgm:spPr/>
      <dgm:t>
        <a:bodyPr/>
        <a:lstStyle/>
        <a:p>
          <a:endParaRPr lang="fr-FR"/>
        </a:p>
      </dgm:t>
    </dgm:pt>
    <dgm:pt modelId="{457FAEF6-3E1F-49B6-B04C-A2652B86EAC0}" type="pres">
      <dgm:prSet presAssocID="{1F82E047-2AD4-4FE0-BAC2-AC82EDAC30E1}" presName="node" presStyleLbl="node1" presStyleIdx="2" presStyleCnt="6">
        <dgm:presLayoutVars>
          <dgm:bulletEnabled val="1"/>
        </dgm:presLayoutVars>
      </dgm:prSet>
      <dgm:spPr/>
      <dgm:t>
        <a:bodyPr/>
        <a:lstStyle/>
        <a:p>
          <a:endParaRPr lang="fr-FR"/>
        </a:p>
      </dgm:t>
    </dgm:pt>
    <dgm:pt modelId="{E6CD8D5F-E477-42F3-BAAB-31E28A18B091}" type="pres">
      <dgm:prSet presAssocID="{B276DBF3-4499-4166-AC24-C73D090B1CC4}" presName="parTrans" presStyleLbl="sibTrans2D1" presStyleIdx="3" presStyleCnt="6"/>
      <dgm:spPr>
        <a:prstGeom prst="leftArrow">
          <a:avLst/>
        </a:prstGeom>
      </dgm:spPr>
      <dgm:t>
        <a:bodyPr/>
        <a:lstStyle/>
        <a:p>
          <a:endParaRPr lang="fr-FR"/>
        </a:p>
      </dgm:t>
    </dgm:pt>
    <dgm:pt modelId="{88C82B81-B570-4C06-BD54-E66DDB595ABD}" type="pres">
      <dgm:prSet presAssocID="{B276DBF3-4499-4166-AC24-C73D090B1CC4}" presName="connectorText" presStyleLbl="sibTrans2D1" presStyleIdx="3" presStyleCnt="6"/>
      <dgm:spPr/>
      <dgm:t>
        <a:bodyPr/>
        <a:lstStyle/>
        <a:p>
          <a:endParaRPr lang="fr-FR"/>
        </a:p>
      </dgm:t>
    </dgm:pt>
    <dgm:pt modelId="{BF83298E-4273-4DA7-813B-AC1E972716F8}" type="pres">
      <dgm:prSet presAssocID="{2A021F65-1013-4297-B4A8-ABF0063E2741}" presName="node" presStyleLbl="node1" presStyleIdx="3" presStyleCnt="6">
        <dgm:presLayoutVars>
          <dgm:bulletEnabled val="1"/>
        </dgm:presLayoutVars>
      </dgm:prSet>
      <dgm:spPr/>
      <dgm:t>
        <a:bodyPr/>
        <a:lstStyle/>
        <a:p>
          <a:endParaRPr lang="fr-FR"/>
        </a:p>
      </dgm:t>
    </dgm:pt>
    <dgm:pt modelId="{BBA47D31-385A-4C3D-8978-BCE9AF311639}" type="pres">
      <dgm:prSet presAssocID="{B2F5BB37-F43D-4498-8E72-F1C4ABAEC138}" presName="parTrans" presStyleLbl="sibTrans2D1" presStyleIdx="4" presStyleCnt="6"/>
      <dgm:spPr>
        <a:prstGeom prst="leftArrow">
          <a:avLst/>
        </a:prstGeom>
      </dgm:spPr>
      <dgm:t>
        <a:bodyPr/>
        <a:lstStyle/>
        <a:p>
          <a:endParaRPr lang="fr-FR"/>
        </a:p>
      </dgm:t>
    </dgm:pt>
    <dgm:pt modelId="{BDC85189-24FD-4D3D-BF3F-65F7C54ECFDB}" type="pres">
      <dgm:prSet presAssocID="{B2F5BB37-F43D-4498-8E72-F1C4ABAEC138}" presName="connectorText" presStyleLbl="sibTrans2D1" presStyleIdx="4" presStyleCnt="6"/>
      <dgm:spPr/>
      <dgm:t>
        <a:bodyPr/>
        <a:lstStyle/>
        <a:p>
          <a:endParaRPr lang="fr-FR"/>
        </a:p>
      </dgm:t>
    </dgm:pt>
    <dgm:pt modelId="{5A8E0C70-C4BD-4D58-9B48-7C680034D8D9}" type="pres">
      <dgm:prSet presAssocID="{EC2A60DE-CA30-4E31-8B5B-FC642B386018}" presName="node" presStyleLbl="node1" presStyleIdx="4" presStyleCnt="6">
        <dgm:presLayoutVars>
          <dgm:bulletEnabled val="1"/>
        </dgm:presLayoutVars>
      </dgm:prSet>
      <dgm:spPr/>
      <dgm:t>
        <a:bodyPr/>
        <a:lstStyle/>
        <a:p>
          <a:endParaRPr lang="fr-FR"/>
        </a:p>
      </dgm:t>
    </dgm:pt>
    <dgm:pt modelId="{63D6762C-981A-468F-8558-554CC8E33808}" type="pres">
      <dgm:prSet presAssocID="{545DC0F7-C2D0-48EC-9407-DF4B44C2BAD0}" presName="parTrans" presStyleLbl="sibTrans2D1" presStyleIdx="5" presStyleCnt="6"/>
      <dgm:spPr>
        <a:prstGeom prst="leftArrow">
          <a:avLst/>
        </a:prstGeom>
      </dgm:spPr>
      <dgm:t>
        <a:bodyPr/>
        <a:lstStyle/>
        <a:p>
          <a:endParaRPr lang="fr-FR"/>
        </a:p>
      </dgm:t>
    </dgm:pt>
    <dgm:pt modelId="{41282163-61C6-4256-84AD-827D9C0D7150}" type="pres">
      <dgm:prSet presAssocID="{545DC0F7-C2D0-48EC-9407-DF4B44C2BAD0}" presName="connectorText" presStyleLbl="sibTrans2D1" presStyleIdx="5" presStyleCnt="6"/>
      <dgm:spPr/>
      <dgm:t>
        <a:bodyPr/>
        <a:lstStyle/>
        <a:p>
          <a:endParaRPr lang="fr-FR"/>
        </a:p>
      </dgm:t>
    </dgm:pt>
    <dgm:pt modelId="{C0DBE9BA-15CB-4923-B7FF-39974BCF74D1}" type="pres">
      <dgm:prSet presAssocID="{A0193504-47E4-4A2D-88A0-B9D49236CC53}" presName="node" presStyleLbl="node1" presStyleIdx="5" presStyleCnt="6">
        <dgm:presLayoutVars>
          <dgm:bulletEnabled val="1"/>
        </dgm:presLayoutVars>
      </dgm:prSet>
      <dgm:spPr/>
      <dgm:t>
        <a:bodyPr/>
        <a:lstStyle/>
        <a:p>
          <a:endParaRPr lang="fr-FR"/>
        </a:p>
      </dgm:t>
    </dgm:pt>
  </dgm:ptLst>
  <dgm:cxnLst>
    <dgm:cxn modelId="{93132F76-9C5C-4CDE-B7EE-7D26C67AB7CC}" type="presOf" srcId="{545DC0F7-C2D0-48EC-9407-DF4B44C2BAD0}" destId="{63D6762C-981A-468F-8558-554CC8E33808}" srcOrd="0" destOrd="0" presId="urn:microsoft.com/office/officeart/2005/8/layout/radial5"/>
    <dgm:cxn modelId="{A1AA7C58-29C2-4E8A-AFC0-FF2DD48C68A6}" srcId="{F2C41AAB-4744-449A-9C5E-FF0400D459BC}" destId="{A0193504-47E4-4A2D-88A0-B9D49236CC53}" srcOrd="5" destOrd="0" parTransId="{545DC0F7-C2D0-48EC-9407-DF4B44C2BAD0}" sibTransId="{2C75F011-9F8E-4683-A630-AA1D0F57C1E3}"/>
    <dgm:cxn modelId="{C7379F85-DAE8-4BAD-BF4B-F71C6FD6C390}" type="presOf" srcId="{B2F5BB37-F43D-4498-8E72-F1C4ABAEC138}" destId="{BBA47D31-385A-4C3D-8978-BCE9AF311639}" srcOrd="0" destOrd="0" presId="urn:microsoft.com/office/officeart/2005/8/layout/radial5"/>
    <dgm:cxn modelId="{A4960917-E36C-47EB-B0D9-72289DCAB705}" type="presOf" srcId="{E6A0C07B-5A59-4E3E-9AAE-F8625AC2BA9D}" destId="{5DFE651D-F475-427C-AB7B-3CDD68093338}" srcOrd="0" destOrd="0" presId="urn:microsoft.com/office/officeart/2005/8/layout/radial5"/>
    <dgm:cxn modelId="{4CB2ACEB-AB40-4B4F-A423-50E03C833245}" type="presOf" srcId="{B2F5BB37-F43D-4498-8E72-F1C4ABAEC138}" destId="{BDC85189-24FD-4D3D-BF3F-65F7C54ECFDB}" srcOrd="1" destOrd="0" presId="urn:microsoft.com/office/officeart/2005/8/layout/radial5"/>
    <dgm:cxn modelId="{59D5440F-342D-4DD2-AA37-1D9F7F3EAF80}" type="presOf" srcId="{62958F75-D415-4942-A1C8-677FAC23E10B}" destId="{595A9794-E8BB-4497-A253-A7A297749CC5}" srcOrd="0" destOrd="0" presId="urn:microsoft.com/office/officeart/2005/8/layout/radial5"/>
    <dgm:cxn modelId="{EFCA1190-417A-444D-BBB2-39B1B09CFD77}" srcId="{F2C41AAB-4744-449A-9C5E-FF0400D459BC}" destId="{EC2A60DE-CA30-4E31-8B5B-FC642B386018}" srcOrd="4" destOrd="0" parTransId="{B2F5BB37-F43D-4498-8E72-F1C4ABAEC138}" sibTransId="{6B76E58D-BDC0-4418-87F9-DDB32DCAE083}"/>
    <dgm:cxn modelId="{D4326076-0C8F-4C1A-939C-9749029D676C}" type="presOf" srcId="{5189B5B2-8B28-482E-A412-7A9CDC152184}" destId="{785DD06A-A6BB-42C8-B07D-7DE9BD182E05}" srcOrd="0" destOrd="0" presId="urn:microsoft.com/office/officeart/2005/8/layout/radial5"/>
    <dgm:cxn modelId="{84C42B8D-E3F4-4042-BF1C-8675AD7295B6}" type="presOf" srcId="{854186FA-6E81-4766-BCB0-90A66917189B}" destId="{F26A643E-AC6F-400E-B952-29D8AAE5EF43}" srcOrd="0" destOrd="0" presId="urn:microsoft.com/office/officeart/2005/8/layout/radial5"/>
    <dgm:cxn modelId="{A0420415-9EEA-423C-A713-DCA66194C588}" type="presOf" srcId="{B276DBF3-4499-4166-AC24-C73D090B1CC4}" destId="{E6CD8D5F-E477-42F3-BAAB-31E28A18B091}" srcOrd="0" destOrd="0" presId="urn:microsoft.com/office/officeart/2005/8/layout/radial5"/>
    <dgm:cxn modelId="{97417F58-C714-4DEA-929D-C200FF32B59A}" type="presOf" srcId="{1F82E047-2AD4-4FE0-BAC2-AC82EDAC30E1}" destId="{457FAEF6-3E1F-49B6-B04C-A2652B86EAC0}" srcOrd="0" destOrd="0" presId="urn:microsoft.com/office/officeart/2005/8/layout/radial5"/>
    <dgm:cxn modelId="{B88E3EF1-C1DF-4CDE-B4CC-2F2C6CF1B31D}" type="presOf" srcId="{545DC0F7-C2D0-48EC-9407-DF4B44C2BAD0}" destId="{41282163-61C6-4256-84AD-827D9C0D7150}" srcOrd="1" destOrd="0" presId="urn:microsoft.com/office/officeart/2005/8/layout/radial5"/>
    <dgm:cxn modelId="{3B50C561-2A53-4E1C-8182-8DC1B63011B4}" srcId="{F2C41AAB-4744-449A-9C5E-FF0400D459BC}" destId="{2A021F65-1013-4297-B4A8-ABF0063E2741}" srcOrd="3" destOrd="0" parTransId="{B276DBF3-4499-4166-AC24-C73D090B1CC4}" sibTransId="{E667BE73-6829-4217-8B75-35878D2136F8}"/>
    <dgm:cxn modelId="{C1C6D1C0-897C-4216-83E7-EC64979E460D}" type="presOf" srcId="{A0193504-47E4-4A2D-88A0-B9D49236CC53}" destId="{C0DBE9BA-15CB-4923-B7FF-39974BCF74D1}" srcOrd="0" destOrd="0" presId="urn:microsoft.com/office/officeart/2005/8/layout/radial5"/>
    <dgm:cxn modelId="{12ABD0B5-3167-4683-A88B-7F3B612EB75B}" type="presOf" srcId="{B276DBF3-4499-4166-AC24-C73D090B1CC4}" destId="{88C82B81-B570-4C06-BD54-E66DDB595ABD}" srcOrd="1" destOrd="0" presId="urn:microsoft.com/office/officeart/2005/8/layout/radial5"/>
    <dgm:cxn modelId="{B4A4A8C6-1091-488E-BF23-AB95ED0ACE80}" type="presOf" srcId="{208A3D45-BEF2-4748-BB83-FC7C2CD6E5E7}" destId="{61E04AE2-369B-4775-AE12-C970DAFE2A7C}" srcOrd="1" destOrd="0" presId="urn:microsoft.com/office/officeart/2005/8/layout/radial5"/>
    <dgm:cxn modelId="{229F8214-0675-4E1B-B491-DCACA59A4BA0}" type="presOf" srcId="{2A021F65-1013-4297-B4A8-ABF0063E2741}" destId="{BF83298E-4273-4DA7-813B-AC1E972716F8}" srcOrd="0" destOrd="0" presId="urn:microsoft.com/office/officeart/2005/8/layout/radial5"/>
    <dgm:cxn modelId="{43F71385-1765-4208-9212-00EAD23BAEC1}" srcId="{F2C41AAB-4744-449A-9C5E-FF0400D459BC}" destId="{62958F75-D415-4942-A1C8-677FAC23E10B}" srcOrd="1" destOrd="0" parTransId="{208A3D45-BEF2-4748-BB83-FC7C2CD6E5E7}" sibTransId="{BF5525E1-FF82-47B0-A6AD-002581DBDD23}"/>
    <dgm:cxn modelId="{539156FF-3166-4226-80FC-EE7986696617}" type="presOf" srcId="{0575B58F-CA30-47D3-BC8F-57C8212C0D9A}" destId="{DE9118B4-B516-43C2-AAD9-AA20ACCCBB1C}" srcOrd="0" destOrd="0" presId="urn:microsoft.com/office/officeart/2005/8/layout/radial5"/>
    <dgm:cxn modelId="{C14699EE-90D8-4124-A7EB-4DB135BE7709}" type="presOf" srcId="{5189B5B2-8B28-482E-A412-7A9CDC152184}" destId="{FE1D4BB1-5571-4452-9A4A-F638B9249385}" srcOrd="1" destOrd="0" presId="urn:microsoft.com/office/officeart/2005/8/layout/radial5"/>
    <dgm:cxn modelId="{98719FF1-791E-4328-88B5-270FC8966330}" type="presOf" srcId="{0575B58F-CA30-47D3-BC8F-57C8212C0D9A}" destId="{B8891EDC-C397-4C52-B081-2D0F26658DEC}" srcOrd="1" destOrd="0" presId="urn:microsoft.com/office/officeart/2005/8/layout/radial5"/>
    <dgm:cxn modelId="{61D596B9-6331-4843-873B-378640037E30}" srcId="{F2C41AAB-4744-449A-9C5E-FF0400D459BC}" destId="{1F82E047-2AD4-4FE0-BAC2-AC82EDAC30E1}" srcOrd="2" destOrd="0" parTransId="{5189B5B2-8B28-482E-A412-7A9CDC152184}" sibTransId="{B440220F-5F6B-46C3-8BFD-20AD023CE110}"/>
    <dgm:cxn modelId="{EAEEECB6-2DFB-496F-AB77-EB197AF19515}" type="presOf" srcId="{F2C41AAB-4744-449A-9C5E-FF0400D459BC}" destId="{D0FD0767-9103-41B3-955E-FD64BE6604A9}" srcOrd="0" destOrd="0" presId="urn:microsoft.com/office/officeart/2005/8/layout/radial5"/>
    <dgm:cxn modelId="{1FA74959-58B2-4CBB-B7D6-479E2C4E0FD4}" type="presOf" srcId="{208A3D45-BEF2-4748-BB83-FC7C2CD6E5E7}" destId="{25C0E5D6-813E-494A-8263-6A2E796B7710}" srcOrd="0" destOrd="0" presId="urn:microsoft.com/office/officeart/2005/8/layout/radial5"/>
    <dgm:cxn modelId="{8902A8DE-9346-44D5-8561-48E9A173CBB8}" type="presOf" srcId="{EC2A60DE-CA30-4E31-8B5B-FC642B386018}" destId="{5A8E0C70-C4BD-4D58-9B48-7C680034D8D9}" srcOrd="0" destOrd="0" presId="urn:microsoft.com/office/officeart/2005/8/layout/radial5"/>
    <dgm:cxn modelId="{5242646D-4C5E-43CD-8185-96BB351886EC}" srcId="{854186FA-6E81-4766-BCB0-90A66917189B}" destId="{F2C41AAB-4744-449A-9C5E-FF0400D459BC}" srcOrd="0" destOrd="0" parTransId="{E2790AC9-FA85-467F-A390-8126EF04DFD1}" sibTransId="{88F22EC2-DC8C-48A2-8056-E2D215BA6F0B}"/>
    <dgm:cxn modelId="{5E0A22E1-1A4E-4D66-9F67-C59043411C19}" srcId="{F2C41AAB-4744-449A-9C5E-FF0400D459BC}" destId="{E6A0C07B-5A59-4E3E-9AAE-F8625AC2BA9D}" srcOrd="0" destOrd="0" parTransId="{0575B58F-CA30-47D3-BC8F-57C8212C0D9A}" sibTransId="{90195D58-3B64-4DCC-8B9B-A66AA57B4840}"/>
    <dgm:cxn modelId="{B6E84FA0-A156-48A6-AC9A-DDC444FC2914}" type="presParOf" srcId="{F26A643E-AC6F-400E-B952-29D8AAE5EF43}" destId="{D0FD0767-9103-41B3-955E-FD64BE6604A9}" srcOrd="0" destOrd="0" presId="urn:microsoft.com/office/officeart/2005/8/layout/radial5"/>
    <dgm:cxn modelId="{BE17C7A0-AD97-4538-976C-23987AB08FAA}" type="presParOf" srcId="{F26A643E-AC6F-400E-B952-29D8AAE5EF43}" destId="{DE9118B4-B516-43C2-AAD9-AA20ACCCBB1C}" srcOrd="1" destOrd="0" presId="urn:microsoft.com/office/officeart/2005/8/layout/radial5"/>
    <dgm:cxn modelId="{D71D11D7-B151-4A6D-80C9-4B4D85BE237A}" type="presParOf" srcId="{DE9118B4-B516-43C2-AAD9-AA20ACCCBB1C}" destId="{B8891EDC-C397-4C52-B081-2D0F26658DEC}" srcOrd="0" destOrd="0" presId="urn:microsoft.com/office/officeart/2005/8/layout/radial5"/>
    <dgm:cxn modelId="{7870214E-5432-40E5-BEB5-D35D16194CB6}" type="presParOf" srcId="{F26A643E-AC6F-400E-B952-29D8AAE5EF43}" destId="{5DFE651D-F475-427C-AB7B-3CDD68093338}" srcOrd="2" destOrd="0" presId="urn:microsoft.com/office/officeart/2005/8/layout/radial5"/>
    <dgm:cxn modelId="{320258CC-84C7-4600-BC77-4869C199EF27}" type="presParOf" srcId="{F26A643E-AC6F-400E-B952-29D8AAE5EF43}" destId="{25C0E5D6-813E-494A-8263-6A2E796B7710}" srcOrd="3" destOrd="0" presId="urn:microsoft.com/office/officeart/2005/8/layout/radial5"/>
    <dgm:cxn modelId="{4EC72EDC-9B9D-4B7C-BDDD-E829C54E0CB0}" type="presParOf" srcId="{25C0E5D6-813E-494A-8263-6A2E796B7710}" destId="{61E04AE2-369B-4775-AE12-C970DAFE2A7C}" srcOrd="0" destOrd="0" presId="urn:microsoft.com/office/officeart/2005/8/layout/radial5"/>
    <dgm:cxn modelId="{54F34800-EBBE-4B22-8222-CEC04AC6D0AC}" type="presParOf" srcId="{F26A643E-AC6F-400E-B952-29D8AAE5EF43}" destId="{595A9794-E8BB-4497-A253-A7A297749CC5}" srcOrd="4" destOrd="0" presId="urn:microsoft.com/office/officeart/2005/8/layout/radial5"/>
    <dgm:cxn modelId="{57654ED2-F616-4C58-A10F-D7B3D3844337}" type="presParOf" srcId="{F26A643E-AC6F-400E-B952-29D8AAE5EF43}" destId="{785DD06A-A6BB-42C8-B07D-7DE9BD182E05}" srcOrd="5" destOrd="0" presId="urn:microsoft.com/office/officeart/2005/8/layout/radial5"/>
    <dgm:cxn modelId="{0A7DE443-256C-4568-A350-EA78DB7AB07F}" type="presParOf" srcId="{785DD06A-A6BB-42C8-B07D-7DE9BD182E05}" destId="{FE1D4BB1-5571-4452-9A4A-F638B9249385}" srcOrd="0" destOrd="0" presId="urn:microsoft.com/office/officeart/2005/8/layout/radial5"/>
    <dgm:cxn modelId="{5C6ECC4F-690E-417C-B4B7-AB93F9662897}" type="presParOf" srcId="{F26A643E-AC6F-400E-B952-29D8AAE5EF43}" destId="{457FAEF6-3E1F-49B6-B04C-A2652B86EAC0}" srcOrd="6" destOrd="0" presId="urn:microsoft.com/office/officeart/2005/8/layout/radial5"/>
    <dgm:cxn modelId="{EFF8A50F-4854-41C6-A0CF-D672502DBC79}" type="presParOf" srcId="{F26A643E-AC6F-400E-B952-29D8AAE5EF43}" destId="{E6CD8D5F-E477-42F3-BAAB-31E28A18B091}" srcOrd="7" destOrd="0" presId="urn:microsoft.com/office/officeart/2005/8/layout/radial5"/>
    <dgm:cxn modelId="{58FF97A4-0DEE-4E4E-9BAD-6029E278BAE1}" type="presParOf" srcId="{E6CD8D5F-E477-42F3-BAAB-31E28A18B091}" destId="{88C82B81-B570-4C06-BD54-E66DDB595ABD}" srcOrd="0" destOrd="0" presId="urn:microsoft.com/office/officeart/2005/8/layout/radial5"/>
    <dgm:cxn modelId="{A2838D90-3859-4B62-90A0-4F3901E39E58}" type="presParOf" srcId="{F26A643E-AC6F-400E-B952-29D8AAE5EF43}" destId="{BF83298E-4273-4DA7-813B-AC1E972716F8}" srcOrd="8" destOrd="0" presId="urn:microsoft.com/office/officeart/2005/8/layout/radial5"/>
    <dgm:cxn modelId="{1E4B50D7-CA96-4C1F-84F1-041477CEF4CB}" type="presParOf" srcId="{F26A643E-AC6F-400E-B952-29D8AAE5EF43}" destId="{BBA47D31-385A-4C3D-8978-BCE9AF311639}" srcOrd="9" destOrd="0" presId="urn:microsoft.com/office/officeart/2005/8/layout/radial5"/>
    <dgm:cxn modelId="{AE6FC488-145D-499F-B537-96C11C32D54C}" type="presParOf" srcId="{BBA47D31-385A-4C3D-8978-BCE9AF311639}" destId="{BDC85189-24FD-4D3D-BF3F-65F7C54ECFDB}" srcOrd="0" destOrd="0" presId="urn:microsoft.com/office/officeart/2005/8/layout/radial5"/>
    <dgm:cxn modelId="{46D174F9-D92D-471F-9B7B-9964C8C1AB19}" type="presParOf" srcId="{F26A643E-AC6F-400E-B952-29D8AAE5EF43}" destId="{5A8E0C70-C4BD-4D58-9B48-7C680034D8D9}" srcOrd="10" destOrd="0" presId="urn:microsoft.com/office/officeart/2005/8/layout/radial5"/>
    <dgm:cxn modelId="{5EC35CF0-EA79-4DBF-BC52-DBF668145588}" type="presParOf" srcId="{F26A643E-AC6F-400E-B952-29D8AAE5EF43}" destId="{63D6762C-981A-468F-8558-554CC8E33808}" srcOrd="11" destOrd="0" presId="urn:microsoft.com/office/officeart/2005/8/layout/radial5"/>
    <dgm:cxn modelId="{B1557AD5-1F5E-4B25-A2F0-F420C8B4078A}" type="presParOf" srcId="{63D6762C-981A-468F-8558-554CC8E33808}" destId="{41282163-61C6-4256-84AD-827D9C0D7150}" srcOrd="0" destOrd="0" presId="urn:microsoft.com/office/officeart/2005/8/layout/radial5"/>
    <dgm:cxn modelId="{52D71FBD-EE2B-4FCC-BC0E-DA6C917B8304}" type="presParOf" srcId="{F26A643E-AC6F-400E-B952-29D8AAE5EF43}" destId="{C0DBE9BA-15CB-4923-B7FF-39974BCF74D1}" srcOrd="12" destOrd="0" presId="urn:microsoft.com/office/officeart/2005/8/layout/radial5"/>
  </dgm:cxnLst>
  <dgm:bg/>
  <dgm:whole>
    <a:ln>
      <a:noFill/>
    </a:ln>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4186FA-6E81-4766-BCB0-90A66917189B}" type="doc">
      <dgm:prSet loTypeId="urn:microsoft.com/office/officeart/2005/8/layout/radial5" loCatId="relationship" qsTypeId="urn:microsoft.com/office/officeart/2005/8/quickstyle/simple1" qsCatId="simple" csTypeId="urn:microsoft.com/office/officeart/2005/8/colors/accent3_1" csCatId="accent3" phldr="1"/>
      <dgm:spPr/>
      <dgm:t>
        <a:bodyPr/>
        <a:lstStyle/>
        <a:p>
          <a:endParaRPr lang="fr-FR"/>
        </a:p>
      </dgm:t>
    </dgm:pt>
    <dgm:pt modelId="{F2C41AAB-4744-449A-9C5E-FF0400D459BC}">
      <dgm:prSet phldrT="[Texte]" custT="1">
        <dgm:style>
          <a:lnRef idx="1">
            <a:schemeClr val="accent1"/>
          </a:lnRef>
          <a:fillRef idx="2">
            <a:schemeClr val="accent1"/>
          </a:fillRef>
          <a:effectRef idx="1">
            <a:schemeClr val="accent1"/>
          </a:effectRef>
          <a:fontRef idx="minor">
            <a:schemeClr val="dk1"/>
          </a:fontRef>
        </dgm:style>
      </dgm:prSet>
      <dgm:spPr>
        <a:ln/>
      </dgm:spPr>
      <dgm:t>
        <a:bodyPr/>
        <a:lstStyle/>
        <a:p>
          <a:r>
            <a:rPr lang="fr-FR" sz="900" b="1"/>
            <a:t>ODD2</a:t>
          </a:r>
        </a:p>
        <a:p>
          <a:r>
            <a:rPr lang="fr-FR" sz="900" b="1"/>
            <a:t>HC3N</a:t>
          </a:r>
        </a:p>
        <a:p>
          <a:r>
            <a:rPr lang="fr-FR" sz="900" b="1"/>
            <a:t>MP</a:t>
          </a:r>
        </a:p>
      </dgm:t>
    </dgm:pt>
    <dgm:pt modelId="{E2790AC9-FA85-467F-A390-8126EF04DFD1}" type="parTrans" cxnId="{5242646D-4C5E-43CD-8185-96BB351886EC}">
      <dgm:prSet/>
      <dgm:spPr/>
      <dgm:t>
        <a:bodyPr/>
        <a:lstStyle/>
        <a:p>
          <a:endParaRPr lang="fr-FR" sz="700" b="1"/>
        </a:p>
      </dgm:t>
    </dgm:pt>
    <dgm:pt modelId="{88F22EC2-DC8C-48A2-8056-E2D215BA6F0B}" type="sibTrans" cxnId="{5242646D-4C5E-43CD-8185-96BB351886EC}">
      <dgm:prSet/>
      <dgm:spPr/>
      <dgm:t>
        <a:bodyPr/>
        <a:lstStyle/>
        <a:p>
          <a:endParaRPr lang="fr-FR" sz="700" b="1"/>
        </a:p>
      </dgm:t>
    </dgm:pt>
    <dgm:pt modelId="{E6A0C07B-5A59-4E3E-9AAE-F8625AC2BA9D}">
      <dgm:prSet phldrT="[Texte]" custT="1"/>
      <dgm:spPr>
        <a:ln>
          <a:solidFill>
            <a:srgbClr val="FF0000"/>
          </a:solidFill>
        </a:ln>
      </dgm:spPr>
      <dgm:t>
        <a:bodyPr/>
        <a:lstStyle/>
        <a:p>
          <a:r>
            <a:rPr lang="fr-FR" sz="700" b="1"/>
            <a:t>cible 2.1 - DNPGCA -</a:t>
          </a:r>
        </a:p>
      </dgm:t>
    </dgm:pt>
    <dgm:pt modelId="{0575B58F-CA30-47D3-BC8F-57C8212C0D9A}" type="parTrans" cxnId="{5E0A22E1-1A4E-4D66-9F67-C59043411C19}">
      <dgm:prSet custT="1"/>
      <dgm:spPr/>
      <dgm:t>
        <a:bodyPr/>
        <a:lstStyle/>
        <a:p>
          <a:endParaRPr lang="fr-FR" sz="700" b="1"/>
        </a:p>
      </dgm:t>
    </dgm:pt>
    <dgm:pt modelId="{90195D58-3B64-4DCC-8B9B-A66AA57B4840}" type="sibTrans" cxnId="{5E0A22E1-1A4E-4D66-9F67-C59043411C19}">
      <dgm:prSet/>
      <dgm:spPr/>
      <dgm:t>
        <a:bodyPr/>
        <a:lstStyle/>
        <a:p>
          <a:endParaRPr lang="fr-FR" sz="700" b="1"/>
        </a:p>
      </dgm:t>
    </dgm:pt>
    <dgm:pt modelId="{62958F75-D415-4942-A1C8-677FAC23E10B}">
      <dgm:prSet phldrT="[Texte]" custT="1"/>
      <dgm:spPr>
        <a:ln>
          <a:solidFill>
            <a:srgbClr val="FF0000"/>
          </a:solidFill>
        </a:ln>
      </dgm:spPr>
      <dgm:t>
        <a:bodyPr/>
        <a:lstStyle/>
        <a:p>
          <a:r>
            <a:rPr lang="fr-FR" sz="700" b="1"/>
            <a:t>cible 2.2 - DN/MSP - HC3N, MPS</a:t>
          </a:r>
        </a:p>
      </dgm:t>
    </dgm:pt>
    <dgm:pt modelId="{208A3D45-BEF2-4748-BB83-FC7C2CD6E5E7}" type="parTrans" cxnId="{43F71385-1765-4208-9212-00EAD23BAEC1}">
      <dgm:prSet custT="1"/>
      <dgm:spPr/>
      <dgm:t>
        <a:bodyPr/>
        <a:lstStyle/>
        <a:p>
          <a:endParaRPr lang="fr-FR" sz="700" b="1"/>
        </a:p>
      </dgm:t>
    </dgm:pt>
    <dgm:pt modelId="{BF5525E1-FF82-47B0-A6AD-002581DBDD23}" type="sibTrans" cxnId="{43F71385-1765-4208-9212-00EAD23BAEC1}">
      <dgm:prSet/>
      <dgm:spPr/>
      <dgm:t>
        <a:bodyPr/>
        <a:lstStyle/>
        <a:p>
          <a:endParaRPr lang="fr-FR" sz="700" b="1"/>
        </a:p>
      </dgm:t>
    </dgm:pt>
    <dgm:pt modelId="{1F82E047-2AD4-4FE0-BAC2-AC82EDAC30E1}">
      <dgm:prSet phldrT="[Texte]" custT="1"/>
      <dgm:spPr>
        <a:ln>
          <a:solidFill>
            <a:srgbClr val="00B050"/>
          </a:solidFill>
        </a:ln>
      </dgm:spPr>
      <dgm:t>
        <a:bodyPr/>
        <a:lstStyle/>
        <a:p>
          <a:r>
            <a:rPr lang="fr-FR" sz="700" b="1"/>
            <a:t>Cible 2.3 - MAGEL</a:t>
          </a:r>
        </a:p>
      </dgm:t>
    </dgm:pt>
    <dgm:pt modelId="{5189B5B2-8B28-482E-A412-7A9CDC152184}" type="parTrans" cxnId="{61D596B9-6331-4843-873B-378640037E30}">
      <dgm:prSet custT="1"/>
      <dgm:spPr/>
      <dgm:t>
        <a:bodyPr/>
        <a:lstStyle/>
        <a:p>
          <a:endParaRPr lang="fr-FR" sz="700" b="1"/>
        </a:p>
      </dgm:t>
    </dgm:pt>
    <dgm:pt modelId="{B440220F-5F6B-46C3-8BFD-20AD023CE110}" type="sibTrans" cxnId="{61D596B9-6331-4843-873B-378640037E30}">
      <dgm:prSet/>
      <dgm:spPr/>
      <dgm:t>
        <a:bodyPr/>
        <a:lstStyle/>
        <a:p>
          <a:endParaRPr lang="fr-FR" sz="700" b="1"/>
        </a:p>
      </dgm:t>
    </dgm:pt>
    <dgm:pt modelId="{2A021F65-1013-4297-B4A8-ABF0063E2741}">
      <dgm:prSet phldrT="[Texte]" custT="1"/>
      <dgm:spPr>
        <a:ln>
          <a:solidFill>
            <a:srgbClr val="00B050"/>
          </a:solidFill>
        </a:ln>
      </dgm:spPr>
      <dgm:t>
        <a:bodyPr/>
        <a:lstStyle/>
        <a:p>
          <a:r>
            <a:rPr lang="fr-FR" sz="700" b="1"/>
            <a:t>Cible 2.4 - MAG/EL &amp; MEDD; </a:t>
          </a:r>
        </a:p>
      </dgm:t>
    </dgm:pt>
    <dgm:pt modelId="{B276DBF3-4499-4166-AC24-C73D090B1CC4}" type="parTrans" cxnId="{3B50C561-2A53-4E1C-8182-8DC1B63011B4}">
      <dgm:prSet custT="1"/>
      <dgm:spPr/>
      <dgm:t>
        <a:bodyPr/>
        <a:lstStyle/>
        <a:p>
          <a:endParaRPr lang="fr-FR" sz="700" b="1"/>
        </a:p>
      </dgm:t>
    </dgm:pt>
    <dgm:pt modelId="{E667BE73-6829-4217-8B75-35878D2136F8}" type="sibTrans" cxnId="{3B50C561-2A53-4E1C-8182-8DC1B63011B4}">
      <dgm:prSet/>
      <dgm:spPr/>
      <dgm:t>
        <a:bodyPr/>
        <a:lstStyle/>
        <a:p>
          <a:endParaRPr lang="fr-FR" sz="700" b="1"/>
        </a:p>
      </dgm:t>
    </dgm:pt>
    <dgm:pt modelId="{EC2A60DE-CA30-4E31-8B5B-FC642B386018}">
      <dgm:prSet custT="1"/>
      <dgm:spPr>
        <a:ln>
          <a:solidFill>
            <a:srgbClr val="0070C0"/>
          </a:solidFill>
        </a:ln>
      </dgm:spPr>
      <dgm:t>
        <a:bodyPr/>
        <a:lstStyle/>
        <a:p>
          <a:r>
            <a:rPr lang="fr-FR" sz="700" b="1"/>
            <a:t>cible 2.5 - SNRA (INRAN, SNRA, CMB et CNSF)</a:t>
          </a:r>
        </a:p>
      </dgm:t>
    </dgm:pt>
    <dgm:pt modelId="{B2F5BB37-F43D-4498-8E72-F1C4ABAEC138}" type="parTrans" cxnId="{EFCA1190-417A-444D-BBB2-39B1B09CFD77}">
      <dgm:prSet custT="1"/>
      <dgm:spPr/>
      <dgm:t>
        <a:bodyPr/>
        <a:lstStyle/>
        <a:p>
          <a:endParaRPr lang="fr-FR" sz="700" b="1"/>
        </a:p>
      </dgm:t>
    </dgm:pt>
    <dgm:pt modelId="{6B76E58D-BDC0-4418-87F9-DDB32DCAE083}" type="sibTrans" cxnId="{EFCA1190-417A-444D-BBB2-39B1B09CFD77}">
      <dgm:prSet/>
      <dgm:spPr/>
      <dgm:t>
        <a:bodyPr/>
        <a:lstStyle/>
        <a:p>
          <a:endParaRPr lang="fr-FR" sz="700" b="1"/>
        </a:p>
      </dgm:t>
    </dgm:pt>
    <dgm:pt modelId="{A0193504-47E4-4A2D-88A0-B9D49236CC53}">
      <dgm:prSet custT="1"/>
      <dgm:spPr/>
      <dgm:t>
        <a:bodyPr/>
        <a:lstStyle/>
        <a:p>
          <a:r>
            <a:rPr lang="fr-FR" sz="700" b="1"/>
            <a:t>cibles 2a; 2b; 2c </a:t>
          </a:r>
        </a:p>
        <a:p>
          <a:r>
            <a:rPr lang="fr-FR" sz="700" b="1"/>
            <a:t>HC3N</a:t>
          </a:r>
        </a:p>
      </dgm:t>
    </dgm:pt>
    <dgm:pt modelId="{545DC0F7-C2D0-48EC-9407-DF4B44C2BAD0}" type="parTrans" cxnId="{A1AA7C58-29C2-4E8A-AFC0-FF2DD48C68A6}">
      <dgm:prSet custT="1"/>
      <dgm:spPr/>
      <dgm:t>
        <a:bodyPr/>
        <a:lstStyle/>
        <a:p>
          <a:endParaRPr lang="fr-FR" sz="700" b="1"/>
        </a:p>
      </dgm:t>
    </dgm:pt>
    <dgm:pt modelId="{2C75F011-9F8E-4683-A630-AA1D0F57C1E3}" type="sibTrans" cxnId="{A1AA7C58-29C2-4E8A-AFC0-FF2DD48C68A6}">
      <dgm:prSet/>
      <dgm:spPr/>
      <dgm:t>
        <a:bodyPr/>
        <a:lstStyle/>
        <a:p>
          <a:endParaRPr lang="fr-FR" sz="700" b="1"/>
        </a:p>
      </dgm:t>
    </dgm:pt>
    <dgm:pt modelId="{F26A643E-AC6F-400E-B952-29D8AAE5EF43}" type="pres">
      <dgm:prSet presAssocID="{854186FA-6E81-4766-BCB0-90A66917189B}" presName="Name0" presStyleCnt="0">
        <dgm:presLayoutVars>
          <dgm:chMax val="1"/>
          <dgm:dir/>
          <dgm:animLvl val="ctr"/>
          <dgm:resizeHandles val="exact"/>
        </dgm:presLayoutVars>
      </dgm:prSet>
      <dgm:spPr/>
      <dgm:t>
        <a:bodyPr/>
        <a:lstStyle/>
        <a:p>
          <a:endParaRPr lang="fr-FR"/>
        </a:p>
      </dgm:t>
    </dgm:pt>
    <dgm:pt modelId="{D0FD0767-9103-41B3-955E-FD64BE6604A9}" type="pres">
      <dgm:prSet presAssocID="{F2C41AAB-4744-449A-9C5E-FF0400D459BC}" presName="centerShape" presStyleLbl="node0" presStyleIdx="0" presStyleCnt="1"/>
      <dgm:spPr/>
      <dgm:t>
        <a:bodyPr/>
        <a:lstStyle/>
        <a:p>
          <a:endParaRPr lang="fr-FR"/>
        </a:p>
      </dgm:t>
    </dgm:pt>
    <dgm:pt modelId="{DE9118B4-B516-43C2-AAD9-AA20ACCCBB1C}" type="pres">
      <dgm:prSet presAssocID="{0575B58F-CA30-47D3-BC8F-57C8212C0D9A}" presName="parTrans" presStyleLbl="sibTrans2D1" presStyleIdx="0" presStyleCnt="6"/>
      <dgm:spPr>
        <a:prstGeom prst="leftArrow">
          <a:avLst/>
        </a:prstGeom>
      </dgm:spPr>
      <dgm:t>
        <a:bodyPr/>
        <a:lstStyle/>
        <a:p>
          <a:endParaRPr lang="fr-FR"/>
        </a:p>
      </dgm:t>
    </dgm:pt>
    <dgm:pt modelId="{B8891EDC-C397-4C52-B081-2D0F26658DEC}" type="pres">
      <dgm:prSet presAssocID="{0575B58F-CA30-47D3-BC8F-57C8212C0D9A}" presName="connectorText" presStyleLbl="sibTrans2D1" presStyleIdx="0" presStyleCnt="6"/>
      <dgm:spPr/>
      <dgm:t>
        <a:bodyPr/>
        <a:lstStyle/>
        <a:p>
          <a:endParaRPr lang="fr-FR"/>
        </a:p>
      </dgm:t>
    </dgm:pt>
    <dgm:pt modelId="{5DFE651D-F475-427C-AB7B-3CDD68093338}" type="pres">
      <dgm:prSet presAssocID="{E6A0C07B-5A59-4E3E-9AAE-F8625AC2BA9D}" presName="node" presStyleLbl="node1" presStyleIdx="0" presStyleCnt="6">
        <dgm:presLayoutVars>
          <dgm:bulletEnabled val="1"/>
        </dgm:presLayoutVars>
      </dgm:prSet>
      <dgm:spPr/>
      <dgm:t>
        <a:bodyPr/>
        <a:lstStyle/>
        <a:p>
          <a:endParaRPr lang="fr-FR"/>
        </a:p>
      </dgm:t>
    </dgm:pt>
    <dgm:pt modelId="{25C0E5D6-813E-494A-8263-6A2E796B7710}" type="pres">
      <dgm:prSet presAssocID="{208A3D45-BEF2-4748-BB83-FC7C2CD6E5E7}" presName="parTrans" presStyleLbl="sibTrans2D1" presStyleIdx="1" presStyleCnt="6"/>
      <dgm:spPr>
        <a:prstGeom prst="leftArrow">
          <a:avLst/>
        </a:prstGeom>
      </dgm:spPr>
      <dgm:t>
        <a:bodyPr/>
        <a:lstStyle/>
        <a:p>
          <a:endParaRPr lang="fr-FR"/>
        </a:p>
      </dgm:t>
    </dgm:pt>
    <dgm:pt modelId="{61E04AE2-369B-4775-AE12-C970DAFE2A7C}" type="pres">
      <dgm:prSet presAssocID="{208A3D45-BEF2-4748-BB83-FC7C2CD6E5E7}" presName="connectorText" presStyleLbl="sibTrans2D1" presStyleIdx="1" presStyleCnt="6"/>
      <dgm:spPr/>
      <dgm:t>
        <a:bodyPr/>
        <a:lstStyle/>
        <a:p>
          <a:endParaRPr lang="fr-FR"/>
        </a:p>
      </dgm:t>
    </dgm:pt>
    <dgm:pt modelId="{595A9794-E8BB-4497-A253-A7A297749CC5}" type="pres">
      <dgm:prSet presAssocID="{62958F75-D415-4942-A1C8-677FAC23E10B}" presName="node" presStyleLbl="node1" presStyleIdx="1" presStyleCnt="6">
        <dgm:presLayoutVars>
          <dgm:bulletEnabled val="1"/>
        </dgm:presLayoutVars>
      </dgm:prSet>
      <dgm:spPr/>
      <dgm:t>
        <a:bodyPr/>
        <a:lstStyle/>
        <a:p>
          <a:endParaRPr lang="fr-FR"/>
        </a:p>
      </dgm:t>
    </dgm:pt>
    <dgm:pt modelId="{785DD06A-A6BB-42C8-B07D-7DE9BD182E05}" type="pres">
      <dgm:prSet presAssocID="{5189B5B2-8B28-482E-A412-7A9CDC152184}" presName="parTrans" presStyleLbl="sibTrans2D1" presStyleIdx="2" presStyleCnt="6"/>
      <dgm:spPr>
        <a:prstGeom prst="leftArrow">
          <a:avLst/>
        </a:prstGeom>
      </dgm:spPr>
      <dgm:t>
        <a:bodyPr/>
        <a:lstStyle/>
        <a:p>
          <a:endParaRPr lang="fr-FR"/>
        </a:p>
      </dgm:t>
    </dgm:pt>
    <dgm:pt modelId="{FE1D4BB1-5571-4452-9A4A-F638B9249385}" type="pres">
      <dgm:prSet presAssocID="{5189B5B2-8B28-482E-A412-7A9CDC152184}" presName="connectorText" presStyleLbl="sibTrans2D1" presStyleIdx="2" presStyleCnt="6"/>
      <dgm:spPr/>
      <dgm:t>
        <a:bodyPr/>
        <a:lstStyle/>
        <a:p>
          <a:endParaRPr lang="fr-FR"/>
        </a:p>
      </dgm:t>
    </dgm:pt>
    <dgm:pt modelId="{457FAEF6-3E1F-49B6-B04C-A2652B86EAC0}" type="pres">
      <dgm:prSet presAssocID="{1F82E047-2AD4-4FE0-BAC2-AC82EDAC30E1}" presName="node" presStyleLbl="node1" presStyleIdx="2" presStyleCnt="6">
        <dgm:presLayoutVars>
          <dgm:bulletEnabled val="1"/>
        </dgm:presLayoutVars>
      </dgm:prSet>
      <dgm:spPr/>
      <dgm:t>
        <a:bodyPr/>
        <a:lstStyle/>
        <a:p>
          <a:endParaRPr lang="fr-FR"/>
        </a:p>
      </dgm:t>
    </dgm:pt>
    <dgm:pt modelId="{E6CD8D5F-E477-42F3-BAAB-31E28A18B091}" type="pres">
      <dgm:prSet presAssocID="{B276DBF3-4499-4166-AC24-C73D090B1CC4}" presName="parTrans" presStyleLbl="sibTrans2D1" presStyleIdx="3" presStyleCnt="6"/>
      <dgm:spPr>
        <a:prstGeom prst="leftArrow">
          <a:avLst/>
        </a:prstGeom>
      </dgm:spPr>
      <dgm:t>
        <a:bodyPr/>
        <a:lstStyle/>
        <a:p>
          <a:endParaRPr lang="fr-FR"/>
        </a:p>
      </dgm:t>
    </dgm:pt>
    <dgm:pt modelId="{88C82B81-B570-4C06-BD54-E66DDB595ABD}" type="pres">
      <dgm:prSet presAssocID="{B276DBF3-4499-4166-AC24-C73D090B1CC4}" presName="connectorText" presStyleLbl="sibTrans2D1" presStyleIdx="3" presStyleCnt="6"/>
      <dgm:spPr/>
      <dgm:t>
        <a:bodyPr/>
        <a:lstStyle/>
        <a:p>
          <a:endParaRPr lang="fr-FR"/>
        </a:p>
      </dgm:t>
    </dgm:pt>
    <dgm:pt modelId="{BF83298E-4273-4DA7-813B-AC1E972716F8}" type="pres">
      <dgm:prSet presAssocID="{2A021F65-1013-4297-B4A8-ABF0063E2741}" presName="node" presStyleLbl="node1" presStyleIdx="3" presStyleCnt="6">
        <dgm:presLayoutVars>
          <dgm:bulletEnabled val="1"/>
        </dgm:presLayoutVars>
      </dgm:prSet>
      <dgm:spPr/>
      <dgm:t>
        <a:bodyPr/>
        <a:lstStyle/>
        <a:p>
          <a:endParaRPr lang="fr-FR"/>
        </a:p>
      </dgm:t>
    </dgm:pt>
    <dgm:pt modelId="{BBA47D31-385A-4C3D-8978-BCE9AF311639}" type="pres">
      <dgm:prSet presAssocID="{B2F5BB37-F43D-4498-8E72-F1C4ABAEC138}" presName="parTrans" presStyleLbl="sibTrans2D1" presStyleIdx="4" presStyleCnt="6"/>
      <dgm:spPr>
        <a:prstGeom prst="leftArrow">
          <a:avLst/>
        </a:prstGeom>
      </dgm:spPr>
      <dgm:t>
        <a:bodyPr/>
        <a:lstStyle/>
        <a:p>
          <a:endParaRPr lang="fr-FR"/>
        </a:p>
      </dgm:t>
    </dgm:pt>
    <dgm:pt modelId="{BDC85189-24FD-4D3D-BF3F-65F7C54ECFDB}" type="pres">
      <dgm:prSet presAssocID="{B2F5BB37-F43D-4498-8E72-F1C4ABAEC138}" presName="connectorText" presStyleLbl="sibTrans2D1" presStyleIdx="4" presStyleCnt="6"/>
      <dgm:spPr/>
      <dgm:t>
        <a:bodyPr/>
        <a:lstStyle/>
        <a:p>
          <a:endParaRPr lang="fr-FR"/>
        </a:p>
      </dgm:t>
    </dgm:pt>
    <dgm:pt modelId="{5A8E0C70-C4BD-4D58-9B48-7C680034D8D9}" type="pres">
      <dgm:prSet presAssocID="{EC2A60DE-CA30-4E31-8B5B-FC642B386018}" presName="node" presStyleLbl="node1" presStyleIdx="4" presStyleCnt="6">
        <dgm:presLayoutVars>
          <dgm:bulletEnabled val="1"/>
        </dgm:presLayoutVars>
      </dgm:prSet>
      <dgm:spPr/>
      <dgm:t>
        <a:bodyPr/>
        <a:lstStyle/>
        <a:p>
          <a:endParaRPr lang="fr-FR"/>
        </a:p>
      </dgm:t>
    </dgm:pt>
    <dgm:pt modelId="{63D6762C-981A-468F-8558-554CC8E33808}" type="pres">
      <dgm:prSet presAssocID="{545DC0F7-C2D0-48EC-9407-DF4B44C2BAD0}" presName="parTrans" presStyleLbl="sibTrans2D1" presStyleIdx="5" presStyleCnt="6"/>
      <dgm:spPr>
        <a:prstGeom prst="leftArrow">
          <a:avLst/>
        </a:prstGeom>
      </dgm:spPr>
      <dgm:t>
        <a:bodyPr/>
        <a:lstStyle/>
        <a:p>
          <a:endParaRPr lang="fr-FR"/>
        </a:p>
      </dgm:t>
    </dgm:pt>
    <dgm:pt modelId="{41282163-61C6-4256-84AD-827D9C0D7150}" type="pres">
      <dgm:prSet presAssocID="{545DC0F7-C2D0-48EC-9407-DF4B44C2BAD0}" presName="connectorText" presStyleLbl="sibTrans2D1" presStyleIdx="5" presStyleCnt="6"/>
      <dgm:spPr/>
      <dgm:t>
        <a:bodyPr/>
        <a:lstStyle/>
        <a:p>
          <a:endParaRPr lang="fr-FR"/>
        </a:p>
      </dgm:t>
    </dgm:pt>
    <dgm:pt modelId="{C0DBE9BA-15CB-4923-B7FF-39974BCF74D1}" type="pres">
      <dgm:prSet presAssocID="{A0193504-47E4-4A2D-88A0-B9D49236CC53}" presName="node" presStyleLbl="node1" presStyleIdx="5" presStyleCnt="6">
        <dgm:presLayoutVars>
          <dgm:bulletEnabled val="1"/>
        </dgm:presLayoutVars>
      </dgm:prSet>
      <dgm:spPr/>
      <dgm:t>
        <a:bodyPr/>
        <a:lstStyle/>
        <a:p>
          <a:endParaRPr lang="fr-FR"/>
        </a:p>
      </dgm:t>
    </dgm:pt>
  </dgm:ptLst>
  <dgm:cxnLst>
    <dgm:cxn modelId="{93132F76-9C5C-4CDE-B7EE-7D26C67AB7CC}" type="presOf" srcId="{545DC0F7-C2D0-48EC-9407-DF4B44C2BAD0}" destId="{63D6762C-981A-468F-8558-554CC8E33808}" srcOrd="0" destOrd="0" presId="urn:microsoft.com/office/officeart/2005/8/layout/radial5"/>
    <dgm:cxn modelId="{A1AA7C58-29C2-4E8A-AFC0-FF2DD48C68A6}" srcId="{F2C41AAB-4744-449A-9C5E-FF0400D459BC}" destId="{A0193504-47E4-4A2D-88A0-B9D49236CC53}" srcOrd="5" destOrd="0" parTransId="{545DC0F7-C2D0-48EC-9407-DF4B44C2BAD0}" sibTransId="{2C75F011-9F8E-4683-A630-AA1D0F57C1E3}"/>
    <dgm:cxn modelId="{C7379F85-DAE8-4BAD-BF4B-F71C6FD6C390}" type="presOf" srcId="{B2F5BB37-F43D-4498-8E72-F1C4ABAEC138}" destId="{BBA47D31-385A-4C3D-8978-BCE9AF311639}" srcOrd="0" destOrd="0" presId="urn:microsoft.com/office/officeart/2005/8/layout/radial5"/>
    <dgm:cxn modelId="{A4960917-E36C-47EB-B0D9-72289DCAB705}" type="presOf" srcId="{E6A0C07B-5A59-4E3E-9AAE-F8625AC2BA9D}" destId="{5DFE651D-F475-427C-AB7B-3CDD68093338}" srcOrd="0" destOrd="0" presId="urn:microsoft.com/office/officeart/2005/8/layout/radial5"/>
    <dgm:cxn modelId="{4CB2ACEB-AB40-4B4F-A423-50E03C833245}" type="presOf" srcId="{B2F5BB37-F43D-4498-8E72-F1C4ABAEC138}" destId="{BDC85189-24FD-4D3D-BF3F-65F7C54ECFDB}" srcOrd="1" destOrd="0" presId="urn:microsoft.com/office/officeart/2005/8/layout/radial5"/>
    <dgm:cxn modelId="{59D5440F-342D-4DD2-AA37-1D9F7F3EAF80}" type="presOf" srcId="{62958F75-D415-4942-A1C8-677FAC23E10B}" destId="{595A9794-E8BB-4497-A253-A7A297749CC5}" srcOrd="0" destOrd="0" presId="urn:microsoft.com/office/officeart/2005/8/layout/radial5"/>
    <dgm:cxn modelId="{EFCA1190-417A-444D-BBB2-39B1B09CFD77}" srcId="{F2C41AAB-4744-449A-9C5E-FF0400D459BC}" destId="{EC2A60DE-CA30-4E31-8B5B-FC642B386018}" srcOrd="4" destOrd="0" parTransId="{B2F5BB37-F43D-4498-8E72-F1C4ABAEC138}" sibTransId="{6B76E58D-BDC0-4418-87F9-DDB32DCAE083}"/>
    <dgm:cxn modelId="{D4326076-0C8F-4C1A-939C-9749029D676C}" type="presOf" srcId="{5189B5B2-8B28-482E-A412-7A9CDC152184}" destId="{785DD06A-A6BB-42C8-B07D-7DE9BD182E05}" srcOrd="0" destOrd="0" presId="urn:microsoft.com/office/officeart/2005/8/layout/radial5"/>
    <dgm:cxn modelId="{84C42B8D-E3F4-4042-BF1C-8675AD7295B6}" type="presOf" srcId="{854186FA-6E81-4766-BCB0-90A66917189B}" destId="{F26A643E-AC6F-400E-B952-29D8AAE5EF43}" srcOrd="0" destOrd="0" presId="urn:microsoft.com/office/officeart/2005/8/layout/radial5"/>
    <dgm:cxn modelId="{A0420415-9EEA-423C-A713-DCA66194C588}" type="presOf" srcId="{B276DBF3-4499-4166-AC24-C73D090B1CC4}" destId="{E6CD8D5F-E477-42F3-BAAB-31E28A18B091}" srcOrd="0" destOrd="0" presId="urn:microsoft.com/office/officeart/2005/8/layout/radial5"/>
    <dgm:cxn modelId="{97417F58-C714-4DEA-929D-C200FF32B59A}" type="presOf" srcId="{1F82E047-2AD4-4FE0-BAC2-AC82EDAC30E1}" destId="{457FAEF6-3E1F-49B6-B04C-A2652B86EAC0}" srcOrd="0" destOrd="0" presId="urn:microsoft.com/office/officeart/2005/8/layout/radial5"/>
    <dgm:cxn modelId="{B88E3EF1-C1DF-4CDE-B4CC-2F2C6CF1B31D}" type="presOf" srcId="{545DC0F7-C2D0-48EC-9407-DF4B44C2BAD0}" destId="{41282163-61C6-4256-84AD-827D9C0D7150}" srcOrd="1" destOrd="0" presId="urn:microsoft.com/office/officeart/2005/8/layout/radial5"/>
    <dgm:cxn modelId="{3B50C561-2A53-4E1C-8182-8DC1B63011B4}" srcId="{F2C41AAB-4744-449A-9C5E-FF0400D459BC}" destId="{2A021F65-1013-4297-B4A8-ABF0063E2741}" srcOrd="3" destOrd="0" parTransId="{B276DBF3-4499-4166-AC24-C73D090B1CC4}" sibTransId="{E667BE73-6829-4217-8B75-35878D2136F8}"/>
    <dgm:cxn modelId="{C1C6D1C0-897C-4216-83E7-EC64979E460D}" type="presOf" srcId="{A0193504-47E4-4A2D-88A0-B9D49236CC53}" destId="{C0DBE9BA-15CB-4923-B7FF-39974BCF74D1}" srcOrd="0" destOrd="0" presId="urn:microsoft.com/office/officeart/2005/8/layout/radial5"/>
    <dgm:cxn modelId="{12ABD0B5-3167-4683-A88B-7F3B612EB75B}" type="presOf" srcId="{B276DBF3-4499-4166-AC24-C73D090B1CC4}" destId="{88C82B81-B570-4C06-BD54-E66DDB595ABD}" srcOrd="1" destOrd="0" presId="urn:microsoft.com/office/officeart/2005/8/layout/radial5"/>
    <dgm:cxn modelId="{B4A4A8C6-1091-488E-BF23-AB95ED0ACE80}" type="presOf" srcId="{208A3D45-BEF2-4748-BB83-FC7C2CD6E5E7}" destId="{61E04AE2-369B-4775-AE12-C970DAFE2A7C}" srcOrd="1" destOrd="0" presId="urn:microsoft.com/office/officeart/2005/8/layout/radial5"/>
    <dgm:cxn modelId="{229F8214-0675-4E1B-B491-DCACA59A4BA0}" type="presOf" srcId="{2A021F65-1013-4297-B4A8-ABF0063E2741}" destId="{BF83298E-4273-4DA7-813B-AC1E972716F8}" srcOrd="0" destOrd="0" presId="urn:microsoft.com/office/officeart/2005/8/layout/radial5"/>
    <dgm:cxn modelId="{43F71385-1765-4208-9212-00EAD23BAEC1}" srcId="{F2C41AAB-4744-449A-9C5E-FF0400D459BC}" destId="{62958F75-D415-4942-A1C8-677FAC23E10B}" srcOrd="1" destOrd="0" parTransId="{208A3D45-BEF2-4748-BB83-FC7C2CD6E5E7}" sibTransId="{BF5525E1-FF82-47B0-A6AD-002581DBDD23}"/>
    <dgm:cxn modelId="{539156FF-3166-4226-80FC-EE7986696617}" type="presOf" srcId="{0575B58F-CA30-47D3-BC8F-57C8212C0D9A}" destId="{DE9118B4-B516-43C2-AAD9-AA20ACCCBB1C}" srcOrd="0" destOrd="0" presId="urn:microsoft.com/office/officeart/2005/8/layout/radial5"/>
    <dgm:cxn modelId="{C14699EE-90D8-4124-A7EB-4DB135BE7709}" type="presOf" srcId="{5189B5B2-8B28-482E-A412-7A9CDC152184}" destId="{FE1D4BB1-5571-4452-9A4A-F638B9249385}" srcOrd="1" destOrd="0" presId="urn:microsoft.com/office/officeart/2005/8/layout/radial5"/>
    <dgm:cxn modelId="{98719FF1-791E-4328-88B5-270FC8966330}" type="presOf" srcId="{0575B58F-CA30-47D3-BC8F-57C8212C0D9A}" destId="{B8891EDC-C397-4C52-B081-2D0F26658DEC}" srcOrd="1" destOrd="0" presId="urn:microsoft.com/office/officeart/2005/8/layout/radial5"/>
    <dgm:cxn modelId="{61D596B9-6331-4843-873B-378640037E30}" srcId="{F2C41AAB-4744-449A-9C5E-FF0400D459BC}" destId="{1F82E047-2AD4-4FE0-BAC2-AC82EDAC30E1}" srcOrd="2" destOrd="0" parTransId="{5189B5B2-8B28-482E-A412-7A9CDC152184}" sibTransId="{B440220F-5F6B-46C3-8BFD-20AD023CE110}"/>
    <dgm:cxn modelId="{EAEEECB6-2DFB-496F-AB77-EB197AF19515}" type="presOf" srcId="{F2C41AAB-4744-449A-9C5E-FF0400D459BC}" destId="{D0FD0767-9103-41B3-955E-FD64BE6604A9}" srcOrd="0" destOrd="0" presId="urn:microsoft.com/office/officeart/2005/8/layout/radial5"/>
    <dgm:cxn modelId="{1FA74959-58B2-4CBB-B7D6-479E2C4E0FD4}" type="presOf" srcId="{208A3D45-BEF2-4748-BB83-FC7C2CD6E5E7}" destId="{25C0E5D6-813E-494A-8263-6A2E796B7710}" srcOrd="0" destOrd="0" presId="urn:microsoft.com/office/officeart/2005/8/layout/radial5"/>
    <dgm:cxn modelId="{8902A8DE-9346-44D5-8561-48E9A173CBB8}" type="presOf" srcId="{EC2A60DE-CA30-4E31-8B5B-FC642B386018}" destId="{5A8E0C70-C4BD-4D58-9B48-7C680034D8D9}" srcOrd="0" destOrd="0" presId="urn:microsoft.com/office/officeart/2005/8/layout/radial5"/>
    <dgm:cxn modelId="{5242646D-4C5E-43CD-8185-96BB351886EC}" srcId="{854186FA-6E81-4766-BCB0-90A66917189B}" destId="{F2C41AAB-4744-449A-9C5E-FF0400D459BC}" srcOrd="0" destOrd="0" parTransId="{E2790AC9-FA85-467F-A390-8126EF04DFD1}" sibTransId="{88F22EC2-DC8C-48A2-8056-E2D215BA6F0B}"/>
    <dgm:cxn modelId="{5E0A22E1-1A4E-4D66-9F67-C59043411C19}" srcId="{F2C41AAB-4744-449A-9C5E-FF0400D459BC}" destId="{E6A0C07B-5A59-4E3E-9AAE-F8625AC2BA9D}" srcOrd="0" destOrd="0" parTransId="{0575B58F-CA30-47D3-BC8F-57C8212C0D9A}" sibTransId="{90195D58-3B64-4DCC-8B9B-A66AA57B4840}"/>
    <dgm:cxn modelId="{B6E84FA0-A156-48A6-AC9A-DDC444FC2914}" type="presParOf" srcId="{F26A643E-AC6F-400E-B952-29D8AAE5EF43}" destId="{D0FD0767-9103-41B3-955E-FD64BE6604A9}" srcOrd="0" destOrd="0" presId="urn:microsoft.com/office/officeart/2005/8/layout/radial5"/>
    <dgm:cxn modelId="{BE17C7A0-AD97-4538-976C-23987AB08FAA}" type="presParOf" srcId="{F26A643E-AC6F-400E-B952-29D8AAE5EF43}" destId="{DE9118B4-B516-43C2-AAD9-AA20ACCCBB1C}" srcOrd="1" destOrd="0" presId="urn:microsoft.com/office/officeart/2005/8/layout/radial5"/>
    <dgm:cxn modelId="{D71D11D7-B151-4A6D-80C9-4B4D85BE237A}" type="presParOf" srcId="{DE9118B4-B516-43C2-AAD9-AA20ACCCBB1C}" destId="{B8891EDC-C397-4C52-B081-2D0F26658DEC}" srcOrd="0" destOrd="0" presId="urn:microsoft.com/office/officeart/2005/8/layout/radial5"/>
    <dgm:cxn modelId="{7870214E-5432-40E5-BEB5-D35D16194CB6}" type="presParOf" srcId="{F26A643E-AC6F-400E-B952-29D8AAE5EF43}" destId="{5DFE651D-F475-427C-AB7B-3CDD68093338}" srcOrd="2" destOrd="0" presId="urn:microsoft.com/office/officeart/2005/8/layout/radial5"/>
    <dgm:cxn modelId="{320258CC-84C7-4600-BC77-4869C199EF27}" type="presParOf" srcId="{F26A643E-AC6F-400E-B952-29D8AAE5EF43}" destId="{25C0E5D6-813E-494A-8263-6A2E796B7710}" srcOrd="3" destOrd="0" presId="urn:microsoft.com/office/officeart/2005/8/layout/radial5"/>
    <dgm:cxn modelId="{4EC72EDC-9B9D-4B7C-BDDD-E829C54E0CB0}" type="presParOf" srcId="{25C0E5D6-813E-494A-8263-6A2E796B7710}" destId="{61E04AE2-369B-4775-AE12-C970DAFE2A7C}" srcOrd="0" destOrd="0" presId="urn:microsoft.com/office/officeart/2005/8/layout/radial5"/>
    <dgm:cxn modelId="{54F34800-EBBE-4B22-8222-CEC04AC6D0AC}" type="presParOf" srcId="{F26A643E-AC6F-400E-B952-29D8AAE5EF43}" destId="{595A9794-E8BB-4497-A253-A7A297749CC5}" srcOrd="4" destOrd="0" presId="urn:microsoft.com/office/officeart/2005/8/layout/radial5"/>
    <dgm:cxn modelId="{57654ED2-F616-4C58-A10F-D7B3D3844337}" type="presParOf" srcId="{F26A643E-AC6F-400E-B952-29D8AAE5EF43}" destId="{785DD06A-A6BB-42C8-B07D-7DE9BD182E05}" srcOrd="5" destOrd="0" presId="urn:microsoft.com/office/officeart/2005/8/layout/radial5"/>
    <dgm:cxn modelId="{0A7DE443-256C-4568-A350-EA78DB7AB07F}" type="presParOf" srcId="{785DD06A-A6BB-42C8-B07D-7DE9BD182E05}" destId="{FE1D4BB1-5571-4452-9A4A-F638B9249385}" srcOrd="0" destOrd="0" presId="urn:microsoft.com/office/officeart/2005/8/layout/radial5"/>
    <dgm:cxn modelId="{5C6ECC4F-690E-417C-B4B7-AB93F9662897}" type="presParOf" srcId="{F26A643E-AC6F-400E-B952-29D8AAE5EF43}" destId="{457FAEF6-3E1F-49B6-B04C-A2652B86EAC0}" srcOrd="6" destOrd="0" presId="urn:microsoft.com/office/officeart/2005/8/layout/radial5"/>
    <dgm:cxn modelId="{EFF8A50F-4854-41C6-A0CF-D672502DBC79}" type="presParOf" srcId="{F26A643E-AC6F-400E-B952-29D8AAE5EF43}" destId="{E6CD8D5F-E477-42F3-BAAB-31E28A18B091}" srcOrd="7" destOrd="0" presId="urn:microsoft.com/office/officeart/2005/8/layout/radial5"/>
    <dgm:cxn modelId="{58FF97A4-0DEE-4E4E-9BAD-6029E278BAE1}" type="presParOf" srcId="{E6CD8D5F-E477-42F3-BAAB-31E28A18B091}" destId="{88C82B81-B570-4C06-BD54-E66DDB595ABD}" srcOrd="0" destOrd="0" presId="urn:microsoft.com/office/officeart/2005/8/layout/radial5"/>
    <dgm:cxn modelId="{A2838D90-3859-4B62-90A0-4F3901E39E58}" type="presParOf" srcId="{F26A643E-AC6F-400E-B952-29D8AAE5EF43}" destId="{BF83298E-4273-4DA7-813B-AC1E972716F8}" srcOrd="8" destOrd="0" presId="urn:microsoft.com/office/officeart/2005/8/layout/radial5"/>
    <dgm:cxn modelId="{1E4B50D7-CA96-4C1F-84F1-041477CEF4CB}" type="presParOf" srcId="{F26A643E-AC6F-400E-B952-29D8AAE5EF43}" destId="{BBA47D31-385A-4C3D-8978-BCE9AF311639}" srcOrd="9" destOrd="0" presId="urn:microsoft.com/office/officeart/2005/8/layout/radial5"/>
    <dgm:cxn modelId="{AE6FC488-145D-499F-B537-96C11C32D54C}" type="presParOf" srcId="{BBA47D31-385A-4C3D-8978-BCE9AF311639}" destId="{BDC85189-24FD-4D3D-BF3F-65F7C54ECFDB}" srcOrd="0" destOrd="0" presId="urn:microsoft.com/office/officeart/2005/8/layout/radial5"/>
    <dgm:cxn modelId="{46D174F9-D92D-471F-9B7B-9964C8C1AB19}" type="presParOf" srcId="{F26A643E-AC6F-400E-B952-29D8AAE5EF43}" destId="{5A8E0C70-C4BD-4D58-9B48-7C680034D8D9}" srcOrd="10" destOrd="0" presId="urn:microsoft.com/office/officeart/2005/8/layout/radial5"/>
    <dgm:cxn modelId="{5EC35CF0-EA79-4DBF-BC52-DBF668145588}" type="presParOf" srcId="{F26A643E-AC6F-400E-B952-29D8AAE5EF43}" destId="{63D6762C-981A-468F-8558-554CC8E33808}" srcOrd="11" destOrd="0" presId="urn:microsoft.com/office/officeart/2005/8/layout/radial5"/>
    <dgm:cxn modelId="{B1557AD5-1F5E-4B25-A2F0-F420C8B4078A}" type="presParOf" srcId="{63D6762C-981A-468F-8558-554CC8E33808}" destId="{41282163-61C6-4256-84AD-827D9C0D7150}" srcOrd="0" destOrd="0" presId="urn:microsoft.com/office/officeart/2005/8/layout/radial5"/>
    <dgm:cxn modelId="{52D71FBD-EE2B-4FCC-BC0E-DA6C917B8304}" type="presParOf" srcId="{F26A643E-AC6F-400E-B952-29D8AAE5EF43}" destId="{C0DBE9BA-15CB-4923-B7FF-39974BCF74D1}" srcOrd="12" destOrd="0" presId="urn:microsoft.com/office/officeart/2005/8/layout/radial5"/>
  </dgm:cxnLst>
  <dgm:bg/>
  <dgm:whole>
    <a:ln>
      <a:noFill/>
    </a:ln>
  </dgm:whole>
  <dgm:extLst>
    <a:ext uri="http://schemas.microsoft.com/office/drawing/2008/diagram">
      <dsp:dataModelExt xmlns:dsp="http://schemas.microsoft.com/office/drawing/2008/diagram" relId="rId10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D725098-C099-4852-9616-BE36E4793A95}" type="doc">
      <dgm:prSet loTypeId="urn:microsoft.com/office/officeart/2005/8/layout/hierarchy2" loCatId="hierarchy" qsTypeId="urn:microsoft.com/office/officeart/2005/8/quickstyle/simple1" qsCatId="simple" csTypeId="urn:microsoft.com/office/officeart/2005/8/colors/accent2_1" csCatId="accent2" phldr="1"/>
      <dgm:spPr/>
      <dgm:t>
        <a:bodyPr/>
        <a:lstStyle/>
        <a:p>
          <a:endParaRPr lang="fr-FR"/>
        </a:p>
      </dgm:t>
    </dgm:pt>
    <dgm:pt modelId="{9A2BBCC9-08C9-4BCC-BD7A-012332C8B990}">
      <dgm:prSet phldrT="[Texte]" custT="1">
        <dgm:style>
          <a:lnRef idx="1">
            <a:schemeClr val="accent2"/>
          </a:lnRef>
          <a:fillRef idx="2">
            <a:schemeClr val="accent2"/>
          </a:fillRef>
          <a:effectRef idx="1">
            <a:schemeClr val="accent2"/>
          </a:effectRef>
          <a:fontRef idx="minor">
            <a:schemeClr val="dk1"/>
          </a:fontRef>
        </dgm:style>
      </dgm:prSet>
      <dgm:spPr/>
      <dgm:t>
        <a:bodyPr/>
        <a:lstStyle/>
        <a:p>
          <a:pPr algn="ctr"/>
          <a:r>
            <a:rPr lang="fr-FR" sz="800" b="1"/>
            <a:t>S&amp;E HC3N</a:t>
          </a:r>
        </a:p>
      </dgm:t>
    </dgm:pt>
    <dgm:pt modelId="{65EA317C-3767-49D7-B3FE-040F41827F8C}" type="parTrans" cxnId="{547496E5-7B48-4A59-9A1E-E93DDA532CBF}">
      <dgm:prSet custT="1"/>
      <dgm:spPr/>
      <dgm:t>
        <a:bodyPr/>
        <a:lstStyle/>
        <a:p>
          <a:endParaRPr lang="fr-FR" sz="800"/>
        </a:p>
      </dgm:t>
    </dgm:pt>
    <dgm:pt modelId="{F03B07A7-92C2-40E9-BF62-D6CF9FAC0F04}" type="sibTrans" cxnId="{547496E5-7B48-4A59-9A1E-E93DDA532CBF}">
      <dgm:prSet/>
      <dgm:spPr/>
      <dgm:t>
        <a:bodyPr/>
        <a:lstStyle/>
        <a:p>
          <a:endParaRPr lang="fr-FR" sz="800"/>
        </a:p>
      </dgm:t>
    </dgm:pt>
    <dgm:pt modelId="{08B9910C-9198-4144-A180-308DE3A63F62}">
      <dgm:prSet phldrT="[Texte]" custT="1"/>
      <dgm:spPr/>
      <dgm:t>
        <a:bodyPr/>
        <a:lstStyle/>
        <a:p>
          <a:r>
            <a:rPr lang="fr-FR" sz="800" b="1"/>
            <a:t>cible 1.1</a:t>
          </a:r>
        </a:p>
      </dgm:t>
    </dgm:pt>
    <dgm:pt modelId="{760DF523-6ED4-4ACB-8497-57CEBE39C532}" type="parTrans" cxnId="{E9E7F3BC-E28E-442A-AD2D-14E83BBEDA65}">
      <dgm:prSet custT="1"/>
      <dgm:spPr/>
      <dgm:t>
        <a:bodyPr/>
        <a:lstStyle/>
        <a:p>
          <a:endParaRPr lang="fr-FR" sz="800"/>
        </a:p>
      </dgm:t>
    </dgm:pt>
    <dgm:pt modelId="{62BFAFF4-9E68-4A45-9249-46CBAE5BCD7A}" type="sibTrans" cxnId="{E9E7F3BC-E28E-442A-AD2D-14E83BBEDA65}">
      <dgm:prSet/>
      <dgm:spPr/>
      <dgm:t>
        <a:bodyPr/>
        <a:lstStyle/>
        <a:p>
          <a:endParaRPr lang="fr-FR" sz="800"/>
        </a:p>
      </dgm:t>
    </dgm:pt>
    <dgm:pt modelId="{EEDB03C6-0932-431B-8AEB-D01782B0736E}">
      <dgm:prSet phldrT="[Texte]" custT="1"/>
      <dgm:spPr/>
      <dgm:t>
        <a:bodyPr/>
        <a:lstStyle/>
        <a:p>
          <a:r>
            <a:rPr lang="fr-FR" sz="800" b="1"/>
            <a:t>cible 2.2</a:t>
          </a:r>
        </a:p>
      </dgm:t>
    </dgm:pt>
    <dgm:pt modelId="{7AE11443-8B5E-4300-8BD1-F9598AD3D1C1}" type="parTrans" cxnId="{0ECE1215-C948-4DE2-824B-50DAD63E9D09}">
      <dgm:prSet custT="1"/>
      <dgm:spPr/>
      <dgm:t>
        <a:bodyPr/>
        <a:lstStyle/>
        <a:p>
          <a:endParaRPr lang="fr-FR" sz="800"/>
        </a:p>
      </dgm:t>
    </dgm:pt>
    <dgm:pt modelId="{5DEE4D77-9C45-4EF7-A6CB-D1F01C4A37CE}" type="sibTrans" cxnId="{0ECE1215-C948-4DE2-824B-50DAD63E9D09}">
      <dgm:prSet/>
      <dgm:spPr/>
      <dgm:t>
        <a:bodyPr/>
        <a:lstStyle/>
        <a:p>
          <a:endParaRPr lang="fr-FR" sz="800"/>
        </a:p>
      </dgm:t>
    </dgm:pt>
    <dgm:pt modelId="{EB4F00DA-8D1C-4BD3-A918-6A195C5FCA16}">
      <dgm:prSet phldrT="[Texte]" custT="1"/>
      <dgm:spPr/>
      <dgm:t>
        <a:bodyPr/>
        <a:lstStyle/>
        <a:p>
          <a:r>
            <a:rPr lang="fr-FR" sz="800" b="1"/>
            <a:t>Cible 2.3</a:t>
          </a:r>
        </a:p>
      </dgm:t>
    </dgm:pt>
    <dgm:pt modelId="{E2CB8E83-F6FD-41A9-B093-5371EBDBBECE}" type="parTrans" cxnId="{4BD83E01-DC01-4541-90E5-021442C9B916}">
      <dgm:prSet custT="1"/>
      <dgm:spPr/>
      <dgm:t>
        <a:bodyPr/>
        <a:lstStyle/>
        <a:p>
          <a:endParaRPr lang="fr-FR" sz="800"/>
        </a:p>
      </dgm:t>
    </dgm:pt>
    <dgm:pt modelId="{B3F438CA-3B03-4FAC-A16B-DB2469C30665}" type="sibTrans" cxnId="{4BD83E01-DC01-4541-90E5-021442C9B916}">
      <dgm:prSet/>
      <dgm:spPr/>
      <dgm:t>
        <a:bodyPr/>
        <a:lstStyle/>
        <a:p>
          <a:endParaRPr lang="fr-FR" sz="800"/>
        </a:p>
      </dgm:t>
    </dgm:pt>
    <dgm:pt modelId="{B864E2C4-FC59-4990-B023-570F9750BBF4}">
      <dgm:prSet custT="1"/>
      <dgm:spPr/>
      <dgm:t>
        <a:bodyPr/>
        <a:lstStyle/>
        <a:p>
          <a:r>
            <a:rPr lang="fr-FR" sz="800" b="1"/>
            <a:t>Cible 2.4</a:t>
          </a:r>
        </a:p>
      </dgm:t>
    </dgm:pt>
    <dgm:pt modelId="{AAEB49C7-DD80-47C3-B2BE-815DE08EC8FF}" type="parTrans" cxnId="{DEB31032-5198-4314-ACA8-7E1D7BB4A146}">
      <dgm:prSet custT="1"/>
      <dgm:spPr/>
      <dgm:t>
        <a:bodyPr/>
        <a:lstStyle/>
        <a:p>
          <a:endParaRPr lang="fr-FR" sz="800"/>
        </a:p>
      </dgm:t>
    </dgm:pt>
    <dgm:pt modelId="{4F98DAF9-B190-4138-9730-B8D03730ACF3}" type="sibTrans" cxnId="{DEB31032-5198-4314-ACA8-7E1D7BB4A146}">
      <dgm:prSet/>
      <dgm:spPr/>
      <dgm:t>
        <a:bodyPr/>
        <a:lstStyle/>
        <a:p>
          <a:endParaRPr lang="fr-FR" sz="800"/>
        </a:p>
      </dgm:t>
    </dgm:pt>
    <dgm:pt modelId="{3450464A-F293-4BBC-9F65-1EF129D500D9}">
      <dgm:prSet custT="1"/>
      <dgm:spPr/>
      <dgm:t>
        <a:bodyPr/>
        <a:lstStyle/>
        <a:p>
          <a:r>
            <a:rPr lang="fr-FR" sz="800" b="1"/>
            <a:t>Cible 2.5</a:t>
          </a:r>
        </a:p>
      </dgm:t>
    </dgm:pt>
    <dgm:pt modelId="{444659E9-0466-4D88-9E79-AA9EB8CB4884}" type="parTrans" cxnId="{EEBA7EB0-7D7F-45B9-A337-7A8935A5B2A4}">
      <dgm:prSet custT="1"/>
      <dgm:spPr/>
      <dgm:t>
        <a:bodyPr/>
        <a:lstStyle/>
        <a:p>
          <a:endParaRPr lang="fr-FR" sz="800"/>
        </a:p>
      </dgm:t>
    </dgm:pt>
    <dgm:pt modelId="{7240D344-B619-43F2-90AB-19DA98275511}" type="sibTrans" cxnId="{EEBA7EB0-7D7F-45B9-A337-7A8935A5B2A4}">
      <dgm:prSet/>
      <dgm:spPr/>
      <dgm:t>
        <a:bodyPr/>
        <a:lstStyle/>
        <a:p>
          <a:endParaRPr lang="fr-FR" sz="800"/>
        </a:p>
      </dgm:t>
    </dgm:pt>
    <dgm:pt modelId="{A42D4249-0084-465C-9159-157DC77C4D1B}">
      <dgm:prSet custT="1"/>
      <dgm:spPr/>
      <dgm:t>
        <a:bodyPr/>
        <a:lstStyle/>
        <a:p>
          <a:r>
            <a:rPr lang="fr-FR" sz="800" b="1"/>
            <a:t>Cible 2.a</a:t>
          </a:r>
        </a:p>
      </dgm:t>
    </dgm:pt>
    <dgm:pt modelId="{865B70A7-EBAC-464E-8025-AF3605DD4CA1}" type="parTrans" cxnId="{467D7CD2-382E-4D84-BD2E-B8AE195C2788}">
      <dgm:prSet custT="1"/>
      <dgm:spPr/>
      <dgm:t>
        <a:bodyPr/>
        <a:lstStyle/>
        <a:p>
          <a:endParaRPr lang="fr-FR" sz="800"/>
        </a:p>
      </dgm:t>
    </dgm:pt>
    <dgm:pt modelId="{046A8608-ABA3-4201-A1D0-6C0947C733A7}" type="sibTrans" cxnId="{467D7CD2-382E-4D84-BD2E-B8AE195C2788}">
      <dgm:prSet/>
      <dgm:spPr/>
      <dgm:t>
        <a:bodyPr/>
        <a:lstStyle/>
        <a:p>
          <a:endParaRPr lang="fr-FR" sz="800"/>
        </a:p>
      </dgm:t>
    </dgm:pt>
    <dgm:pt modelId="{07CEEA0F-4DFF-4C48-B218-31654E86A1BA}">
      <dgm:prSet custT="1"/>
      <dgm:spPr/>
      <dgm:t>
        <a:bodyPr/>
        <a:lstStyle/>
        <a:p>
          <a:r>
            <a:rPr lang="fr-FR" sz="800" b="1"/>
            <a:t>Cible 2.b</a:t>
          </a:r>
        </a:p>
      </dgm:t>
    </dgm:pt>
    <dgm:pt modelId="{CDF3B96D-0085-490F-B19A-1FA0D188E6F9}" type="parTrans" cxnId="{9279E807-DAAA-4236-860A-FB59FFD314D1}">
      <dgm:prSet custT="1"/>
      <dgm:spPr/>
      <dgm:t>
        <a:bodyPr/>
        <a:lstStyle/>
        <a:p>
          <a:endParaRPr lang="fr-FR" sz="800"/>
        </a:p>
      </dgm:t>
    </dgm:pt>
    <dgm:pt modelId="{14716E41-1E26-48DD-99A0-569C09187D02}" type="sibTrans" cxnId="{9279E807-DAAA-4236-860A-FB59FFD314D1}">
      <dgm:prSet/>
      <dgm:spPr/>
      <dgm:t>
        <a:bodyPr/>
        <a:lstStyle/>
        <a:p>
          <a:endParaRPr lang="fr-FR" sz="800"/>
        </a:p>
      </dgm:t>
    </dgm:pt>
    <dgm:pt modelId="{A0E69DC9-8CEA-4B73-A3A2-46432E430C31}">
      <dgm:prSet custT="1"/>
      <dgm:spPr/>
      <dgm:t>
        <a:bodyPr/>
        <a:lstStyle/>
        <a:p>
          <a:r>
            <a:rPr lang="fr-FR" sz="800" b="1"/>
            <a:t>Cible 2.c</a:t>
          </a:r>
        </a:p>
      </dgm:t>
    </dgm:pt>
    <dgm:pt modelId="{34965BF0-A1E5-4590-B4B5-79BD30858559}" type="parTrans" cxnId="{0DB2217D-141F-4C1E-9608-845DDF6301FA}">
      <dgm:prSet custT="1"/>
      <dgm:spPr/>
      <dgm:t>
        <a:bodyPr/>
        <a:lstStyle/>
        <a:p>
          <a:endParaRPr lang="fr-FR" sz="800"/>
        </a:p>
      </dgm:t>
    </dgm:pt>
    <dgm:pt modelId="{82F6334F-0B5B-4270-961C-A4B93DF1B701}" type="sibTrans" cxnId="{0DB2217D-141F-4C1E-9608-845DDF6301FA}">
      <dgm:prSet/>
      <dgm:spPr/>
      <dgm:t>
        <a:bodyPr/>
        <a:lstStyle/>
        <a:p>
          <a:endParaRPr lang="fr-FR" sz="800"/>
        </a:p>
      </dgm:t>
    </dgm:pt>
    <dgm:pt modelId="{164D2F9C-032D-4CAE-BC19-80EDC9E68C1F}">
      <dgm:prSet custT="1"/>
      <dgm:spPr/>
      <dgm:t>
        <a:bodyPr/>
        <a:lstStyle/>
        <a:p>
          <a:pPr algn="just"/>
          <a:r>
            <a:rPr lang="fr-FR" sz="800"/>
            <a:t>Indic. 2.1.1 - </a:t>
          </a:r>
          <a:r>
            <a:rPr lang="fr-FR" sz="800" b="1"/>
            <a:t>INS, DNPGCA</a:t>
          </a:r>
          <a:endParaRPr lang="fr-FR" sz="800"/>
        </a:p>
      </dgm:t>
    </dgm:pt>
    <dgm:pt modelId="{95AD826F-7D06-497C-A4E5-4166A3881BC2}" type="parTrans" cxnId="{73BD358A-F29F-4F39-A423-F168E7A4CD57}">
      <dgm:prSet custT="1"/>
      <dgm:spPr/>
      <dgm:t>
        <a:bodyPr/>
        <a:lstStyle/>
        <a:p>
          <a:endParaRPr lang="fr-FR" sz="800"/>
        </a:p>
      </dgm:t>
    </dgm:pt>
    <dgm:pt modelId="{DE78B0DF-C46F-414C-B7A6-B1862FCABBCD}" type="sibTrans" cxnId="{73BD358A-F29F-4F39-A423-F168E7A4CD57}">
      <dgm:prSet/>
      <dgm:spPr/>
      <dgm:t>
        <a:bodyPr/>
        <a:lstStyle/>
        <a:p>
          <a:endParaRPr lang="fr-FR" sz="800"/>
        </a:p>
      </dgm:t>
    </dgm:pt>
    <dgm:pt modelId="{1140E27E-AC06-4904-B7A6-C3ACE2B16664}">
      <dgm:prSet custT="1"/>
      <dgm:spPr/>
      <dgm:t>
        <a:bodyPr/>
        <a:lstStyle/>
        <a:p>
          <a:pPr algn="just"/>
          <a:r>
            <a:rPr lang="fr-FR" sz="800"/>
            <a:t>Indic 2.1.2 -  </a:t>
          </a:r>
          <a:r>
            <a:rPr lang="fr-FR" sz="800" b="1"/>
            <a:t>INS, DNPGCA</a:t>
          </a:r>
          <a:endParaRPr lang="fr-FR" sz="800"/>
        </a:p>
      </dgm:t>
    </dgm:pt>
    <dgm:pt modelId="{BC4E36C4-BFD1-4D9B-B498-7B090A0D9557}" type="parTrans" cxnId="{3164C5A3-70C1-48B8-86C1-837FE27D623E}">
      <dgm:prSet custT="1"/>
      <dgm:spPr/>
      <dgm:t>
        <a:bodyPr/>
        <a:lstStyle/>
        <a:p>
          <a:endParaRPr lang="fr-FR" sz="800"/>
        </a:p>
      </dgm:t>
    </dgm:pt>
    <dgm:pt modelId="{B3046DAD-4F9D-4718-B66F-CA9F7552BB51}" type="sibTrans" cxnId="{3164C5A3-70C1-48B8-86C1-837FE27D623E}">
      <dgm:prSet/>
      <dgm:spPr/>
      <dgm:t>
        <a:bodyPr/>
        <a:lstStyle/>
        <a:p>
          <a:endParaRPr lang="fr-FR" sz="800"/>
        </a:p>
      </dgm:t>
    </dgm:pt>
    <dgm:pt modelId="{5DE4A063-D8AC-491D-AA02-8602FEF9D578}">
      <dgm:prSet custT="1"/>
      <dgm:spPr/>
      <dgm:t>
        <a:bodyPr/>
        <a:lstStyle/>
        <a:p>
          <a:pPr algn="just"/>
          <a:r>
            <a:rPr lang="fr-FR" sz="800"/>
            <a:t>Indic 2.2.1 - </a:t>
          </a:r>
          <a:r>
            <a:rPr lang="fr-FR" sz="800" b="1"/>
            <a:t>INS, MSP</a:t>
          </a:r>
          <a:endParaRPr lang="fr-FR" sz="800"/>
        </a:p>
      </dgm:t>
    </dgm:pt>
    <dgm:pt modelId="{20ED08B4-8EA0-4BB3-ACE2-4ADBCFD5B8E9}" type="parTrans" cxnId="{1AC507E4-69AC-4DE5-A822-29B5AF23A47F}">
      <dgm:prSet custT="1"/>
      <dgm:spPr/>
      <dgm:t>
        <a:bodyPr/>
        <a:lstStyle/>
        <a:p>
          <a:endParaRPr lang="fr-FR" sz="800"/>
        </a:p>
      </dgm:t>
    </dgm:pt>
    <dgm:pt modelId="{E9706134-D946-447E-8EF8-8180D86C6202}" type="sibTrans" cxnId="{1AC507E4-69AC-4DE5-A822-29B5AF23A47F}">
      <dgm:prSet/>
      <dgm:spPr/>
      <dgm:t>
        <a:bodyPr/>
        <a:lstStyle/>
        <a:p>
          <a:endParaRPr lang="fr-FR" sz="800"/>
        </a:p>
      </dgm:t>
    </dgm:pt>
    <dgm:pt modelId="{C0B2AFD4-38F1-4053-A92C-2A86B1B56302}">
      <dgm:prSet custT="1"/>
      <dgm:spPr/>
      <dgm:t>
        <a:bodyPr/>
        <a:lstStyle/>
        <a:p>
          <a:pPr algn="just"/>
          <a:r>
            <a:rPr lang="fr-FR" sz="800"/>
            <a:t>Indic 2.2.2 - </a:t>
          </a:r>
          <a:r>
            <a:rPr lang="fr-FR" sz="800" b="1"/>
            <a:t>INS, MSP</a:t>
          </a:r>
          <a:endParaRPr lang="fr-FR" sz="800"/>
        </a:p>
      </dgm:t>
    </dgm:pt>
    <dgm:pt modelId="{F2C449B2-F855-4B6C-A468-E69C4A91DD92}" type="parTrans" cxnId="{86139243-00F5-414E-836C-2C31BC66576D}">
      <dgm:prSet custT="1"/>
      <dgm:spPr/>
      <dgm:t>
        <a:bodyPr/>
        <a:lstStyle/>
        <a:p>
          <a:endParaRPr lang="fr-FR" sz="800"/>
        </a:p>
      </dgm:t>
    </dgm:pt>
    <dgm:pt modelId="{3D3BF331-99A5-4982-8ABF-37671ED0695F}" type="sibTrans" cxnId="{86139243-00F5-414E-836C-2C31BC66576D}">
      <dgm:prSet/>
      <dgm:spPr/>
      <dgm:t>
        <a:bodyPr/>
        <a:lstStyle/>
        <a:p>
          <a:endParaRPr lang="fr-FR" sz="800"/>
        </a:p>
      </dgm:t>
    </dgm:pt>
    <dgm:pt modelId="{DBC3A8B6-6B27-4595-B884-13B91EB914F9}">
      <dgm:prSet custT="1"/>
      <dgm:spPr/>
      <dgm:t>
        <a:bodyPr/>
        <a:lstStyle/>
        <a:p>
          <a:pPr algn="just"/>
          <a:r>
            <a:rPr lang="fr-FR" sz="800"/>
            <a:t>Indic 2.3.1 - </a:t>
          </a:r>
          <a:r>
            <a:rPr lang="fr-FR" sz="800" b="1"/>
            <a:t>INS, MAGEL</a:t>
          </a:r>
          <a:endParaRPr lang="fr-FR" sz="800"/>
        </a:p>
      </dgm:t>
    </dgm:pt>
    <dgm:pt modelId="{DF0C55A6-AAFE-4CB6-90A6-7EEAC57E98D2}" type="parTrans" cxnId="{800AAC49-82A5-4A5A-B54E-B132B26A854A}">
      <dgm:prSet custT="1"/>
      <dgm:spPr/>
      <dgm:t>
        <a:bodyPr/>
        <a:lstStyle/>
        <a:p>
          <a:endParaRPr lang="fr-FR" sz="800"/>
        </a:p>
      </dgm:t>
    </dgm:pt>
    <dgm:pt modelId="{CEED5C29-7D1E-44DB-923E-D13383C8ACB3}" type="sibTrans" cxnId="{800AAC49-82A5-4A5A-B54E-B132B26A854A}">
      <dgm:prSet/>
      <dgm:spPr/>
      <dgm:t>
        <a:bodyPr/>
        <a:lstStyle/>
        <a:p>
          <a:endParaRPr lang="fr-FR" sz="800"/>
        </a:p>
      </dgm:t>
    </dgm:pt>
    <dgm:pt modelId="{45BEC6CB-CEAE-4D3A-BB74-9710661E5495}">
      <dgm:prSet custT="1"/>
      <dgm:spPr/>
      <dgm:t>
        <a:bodyPr/>
        <a:lstStyle/>
        <a:p>
          <a:pPr algn="just"/>
          <a:r>
            <a:rPr lang="fr-FR" sz="800"/>
            <a:t>Indic 2.3.2- </a:t>
          </a:r>
          <a:r>
            <a:rPr lang="fr-FR" sz="800" b="1"/>
            <a:t>INS, MAGEL</a:t>
          </a:r>
          <a:endParaRPr lang="fr-FR" sz="800"/>
        </a:p>
      </dgm:t>
    </dgm:pt>
    <dgm:pt modelId="{931A342A-6F1C-4E88-8B1A-DF5B743D63C9}" type="parTrans" cxnId="{32C07FE2-A8A8-4EA5-8EF0-B429F8BE8AB6}">
      <dgm:prSet custT="1"/>
      <dgm:spPr/>
      <dgm:t>
        <a:bodyPr/>
        <a:lstStyle/>
        <a:p>
          <a:endParaRPr lang="fr-FR" sz="800"/>
        </a:p>
      </dgm:t>
    </dgm:pt>
    <dgm:pt modelId="{973A707F-A284-4971-9054-58E675E218C7}" type="sibTrans" cxnId="{32C07FE2-A8A8-4EA5-8EF0-B429F8BE8AB6}">
      <dgm:prSet/>
      <dgm:spPr/>
      <dgm:t>
        <a:bodyPr/>
        <a:lstStyle/>
        <a:p>
          <a:endParaRPr lang="fr-FR" sz="800"/>
        </a:p>
      </dgm:t>
    </dgm:pt>
    <dgm:pt modelId="{ADA01EFF-B7C1-44C7-83BA-B2D0F0683985}">
      <dgm:prSet custT="1"/>
      <dgm:spPr/>
      <dgm:t>
        <a:bodyPr/>
        <a:lstStyle/>
        <a:p>
          <a:pPr algn="just"/>
          <a:r>
            <a:rPr lang="fr-FR" sz="800"/>
            <a:t>Indic 2.4.1 - </a:t>
          </a:r>
          <a:r>
            <a:rPr lang="fr-FR" sz="800" b="1"/>
            <a:t>MAGEL &amp; MEDD</a:t>
          </a:r>
        </a:p>
      </dgm:t>
    </dgm:pt>
    <dgm:pt modelId="{C2293203-D35E-46B2-B033-5C91B313FF5A}" type="parTrans" cxnId="{A254FD51-078A-4BBA-9510-16B45347B6DE}">
      <dgm:prSet custT="1"/>
      <dgm:spPr/>
      <dgm:t>
        <a:bodyPr/>
        <a:lstStyle/>
        <a:p>
          <a:endParaRPr lang="fr-FR" sz="800"/>
        </a:p>
      </dgm:t>
    </dgm:pt>
    <dgm:pt modelId="{A1144498-DCB8-49F9-8D7F-93E0684DB68B}" type="sibTrans" cxnId="{A254FD51-078A-4BBA-9510-16B45347B6DE}">
      <dgm:prSet/>
      <dgm:spPr/>
      <dgm:t>
        <a:bodyPr/>
        <a:lstStyle/>
        <a:p>
          <a:endParaRPr lang="fr-FR" sz="800"/>
        </a:p>
      </dgm:t>
    </dgm:pt>
    <dgm:pt modelId="{8C6FC27F-8871-4BB4-9124-A6D5184963C4}">
      <dgm:prSet custT="1"/>
      <dgm:spPr/>
      <dgm:t>
        <a:bodyPr/>
        <a:lstStyle/>
        <a:p>
          <a:pPr algn="just"/>
          <a:r>
            <a:rPr lang="fr-FR" sz="800"/>
            <a:t>Indic 2.5.1 - </a:t>
          </a:r>
          <a:r>
            <a:rPr lang="fr-FR" sz="800" b="1"/>
            <a:t>INRAN/CNSF</a:t>
          </a:r>
        </a:p>
      </dgm:t>
    </dgm:pt>
    <dgm:pt modelId="{0EBF36AD-479B-43F5-9D1F-B2BED5E0CA2F}" type="parTrans" cxnId="{AF047A95-131B-4BFB-9631-80BFCCEF76D0}">
      <dgm:prSet custT="1"/>
      <dgm:spPr/>
      <dgm:t>
        <a:bodyPr/>
        <a:lstStyle/>
        <a:p>
          <a:endParaRPr lang="fr-FR" sz="800"/>
        </a:p>
      </dgm:t>
    </dgm:pt>
    <dgm:pt modelId="{0AC3EF04-D70E-4BDB-B386-6FACA0DB0C2A}" type="sibTrans" cxnId="{AF047A95-131B-4BFB-9631-80BFCCEF76D0}">
      <dgm:prSet/>
      <dgm:spPr/>
      <dgm:t>
        <a:bodyPr/>
        <a:lstStyle/>
        <a:p>
          <a:endParaRPr lang="fr-FR" sz="800"/>
        </a:p>
      </dgm:t>
    </dgm:pt>
    <dgm:pt modelId="{EBA38D79-F51F-43CF-9B3C-FF3649A2B3E0}">
      <dgm:prSet custT="1"/>
      <dgm:spPr/>
      <dgm:t>
        <a:bodyPr/>
        <a:lstStyle/>
        <a:p>
          <a:pPr algn="just"/>
          <a:r>
            <a:rPr lang="fr-FR" sz="800"/>
            <a:t>Indic 2.5.2 </a:t>
          </a:r>
          <a:r>
            <a:rPr lang="fr-FR" sz="800" b="1"/>
            <a:t>INRAN/CNSF/CMB</a:t>
          </a:r>
        </a:p>
      </dgm:t>
    </dgm:pt>
    <dgm:pt modelId="{ED76FACE-DD45-4E6C-A7E6-68DBFFB366FB}" type="parTrans" cxnId="{5A1806B5-3057-44B5-8A85-B17C86E4B1CE}">
      <dgm:prSet custT="1"/>
      <dgm:spPr/>
      <dgm:t>
        <a:bodyPr/>
        <a:lstStyle/>
        <a:p>
          <a:endParaRPr lang="fr-FR" sz="800"/>
        </a:p>
      </dgm:t>
    </dgm:pt>
    <dgm:pt modelId="{EFA23F10-3FAD-475A-A606-536F8586EF2A}" type="sibTrans" cxnId="{5A1806B5-3057-44B5-8A85-B17C86E4B1CE}">
      <dgm:prSet/>
      <dgm:spPr/>
      <dgm:t>
        <a:bodyPr/>
        <a:lstStyle/>
        <a:p>
          <a:endParaRPr lang="fr-FR" sz="800"/>
        </a:p>
      </dgm:t>
    </dgm:pt>
    <dgm:pt modelId="{941345CC-BA76-4C44-BF31-ADCB4CB8B12E}">
      <dgm:prSet custT="1"/>
      <dgm:spPr/>
      <dgm:t>
        <a:bodyPr/>
        <a:lstStyle/>
        <a:p>
          <a:pPr algn="just"/>
          <a:r>
            <a:rPr lang="fr-FR" sz="800"/>
            <a:t>Indic 2.a.1 </a:t>
          </a:r>
          <a:r>
            <a:rPr lang="fr-FR" sz="800" b="1"/>
            <a:t>HC3N, MAGEL &amp; MF</a:t>
          </a:r>
        </a:p>
      </dgm:t>
    </dgm:pt>
    <dgm:pt modelId="{70C6C7D8-B2B0-4A48-BAE1-5D8E9AAD9355}" type="parTrans" cxnId="{89FA5750-5F3C-4C79-A359-C0E8CB6E5E46}">
      <dgm:prSet custT="1"/>
      <dgm:spPr/>
      <dgm:t>
        <a:bodyPr/>
        <a:lstStyle/>
        <a:p>
          <a:endParaRPr lang="fr-FR" sz="800"/>
        </a:p>
      </dgm:t>
    </dgm:pt>
    <dgm:pt modelId="{F428241B-7593-4299-8F81-59285A01B7A6}" type="sibTrans" cxnId="{89FA5750-5F3C-4C79-A359-C0E8CB6E5E46}">
      <dgm:prSet/>
      <dgm:spPr/>
      <dgm:t>
        <a:bodyPr/>
        <a:lstStyle/>
        <a:p>
          <a:endParaRPr lang="fr-FR" sz="800"/>
        </a:p>
      </dgm:t>
    </dgm:pt>
    <dgm:pt modelId="{46D838E6-B0F9-4C38-93B8-3F2ED5C135BF}">
      <dgm:prSet custT="1"/>
      <dgm:spPr/>
      <dgm:t>
        <a:bodyPr/>
        <a:lstStyle/>
        <a:p>
          <a:pPr algn="just"/>
          <a:r>
            <a:rPr lang="fr-FR" sz="800"/>
            <a:t>Indic 2.a.2 </a:t>
          </a:r>
          <a:r>
            <a:rPr lang="fr-FR" sz="800" b="1"/>
            <a:t>HC3N,  MAG/EL &amp; MF</a:t>
          </a:r>
        </a:p>
      </dgm:t>
    </dgm:pt>
    <dgm:pt modelId="{8390ABD8-2AE3-46A7-B7BD-7F4C2CED8209}" type="parTrans" cxnId="{BB15A3C4-8B01-44E3-ACB5-2D8F9810B86C}">
      <dgm:prSet custT="1"/>
      <dgm:spPr/>
      <dgm:t>
        <a:bodyPr/>
        <a:lstStyle/>
        <a:p>
          <a:endParaRPr lang="fr-FR" sz="800"/>
        </a:p>
      </dgm:t>
    </dgm:pt>
    <dgm:pt modelId="{15310B65-9182-4BDC-94C7-D8BE66EC020B}" type="sibTrans" cxnId="{BB15A3C4-8B01-44E3-ACB5-2D8F9810B86C}">
      <dgm:prSet/>
      <dgm:spPr/>
      <dgm:t>
        <a:bodyPr/>
        <a:lstStyle/>
        <a:p>
          <a:endParaRPr lang="fr-FR" sz="800"/>
        </a:p>
      </dgm:t>
    </dgm:pt>
    <dgm:pt modelId="{3209CA17-350F-45CD-8922-98CF5B782F66}">
      <dgm:prSet custT="1"/>
      <dgm:spPr/>
      <dgm:t>
        <a:bodyPr/>
        <a:lstStyle/>
        <a:p>
          <a:pPr algn="just"/>
          <a:r>
            <a:rPr lang="fr-FR" sz="800"/>
            <a:t>Indic 2.b.1 </a:t>
          </a:r>
          <a:r>
            <a:rPr lang="fr-FR" sz="800" b="1"/>
            <a:t>HC3N, MAGEL &amp; MF</a:t>
          </a:r>
        </a:p>
      </dgm:t>
    </dgm:pt>
    <dgm:pt modelId="{CE57DA39-381E-4784-9207-0FCE71FF337B}" type="parTrans" cxnId="{7864EC15-CA99-4476-9840-5C417A7E4B34}">
      <dgm:prSet custT="1"/>
      <dgm:spPr/>
      <dgm:t>
        <a:bodyPr/>
        <a:lstStyle/>
        <a:p>
          <a:endParaRPr lang="fr-FR" sz="800"/>
        </a:p>
      </dgm:t>
    </dgm:pt>
    <dgm:pt modelId="{B6F70BD0-D84F-4629-952E-30876ABBE47E}" type="sibTrans" cxnId="{7864EC15-CA99-4476-9840-5C417A7E4B34}">
      <dgm:prSet/>
      <dgm:spPr/>
      <dgm:t>
        <a:bodyPr/>
        <a:lstStyle/>
        <a:p>
          <a:endParaRPr lang="fr-FR" sz="800"/>
        </a:p>
      </dgm:t>
    </dgm:pt>
    <dgm:pt modelId="{BEF2D3F9-E3F0-41B3-ACF0-DB08FC8991B4}">
      <dgm:prSet custT="1"/>
      <dgm:spPr/>
      <dgm:t>
        <a:bodyPr/>
        <a:lstStyle/>
        <a:p>
          <a:pPr algn="just"/>
          <a:r>
            <a:rPr lang="fr-FR" sz="800"/>
            <a:t>Indic 2.b.2 </a:t>
          </a:r>
          <a:r>
            <a:rPr lang="fr-FR" sz="800" b="1"/>
            <a:t>- INS, MAGEL, HC3N</a:t>
          </a:r>
        </a:p>
      </dgm:t>
    </dgm:pt>
    <dgm:pt modelId="{596D6E0B-2037-461D-B2D2-C608FF8EC4B4}" type="parTrans" cxnId="{4CB916F6-96D1-4FB9-BDB9-693362B629C3}">
      <dgm:prSet custT="1"/>
      <dgm:spPr/>
      <dgm:t>
        <a:bodyPr/>
        <a:lstStyle/>
        <a:p>
          <a:endParaRPr lang="fr-FR" sz="800"/>
        </a:p>
      </dgm:t>
    </dgm:pt>
    <dgm:pt modelId="{8A4E4D30-FEE5-44FA-989B-87E0A58784B0}" type="sibTrans" cxnId="{4CB916F6-96D1-4FB9-BDB9-693362B629C3}">
      <dgm:prSet/>
      <dgm:spPr/>
      <dgm:t>
        <a:bodyPr/>
        <a:lstStyle/>
        <a:p>
          <a:endParaRPr lang="fr-FR" sz="800"/>
        </a:p>
      </dgm:t>
    </dgm:pt>
    <dgm:pt modelId="{7DA4F440-7F9A-4842-B774-6E2D7E35B34A}">
      <dgm:prSet custT="1"/>
      <dgm:spPr/>
      <dgm:t>
        <a:bodyPr/>
        <a:lstStyle/>
        <a:p>
          <a:pPr algn="just"/>
          <a:r>
            <a:rPr lang="fr-FR" sz="800"/>
            <a:t>Indic 2c1 </a:t>
          </a:r>
          <a:r>
            <a:rPr lang="fr-FR" sz="800" b="1"/>
            <a:t>- INS, HC3N</a:t>
          </a:r>
        </a:p>
      </dgm:t>
    </dgm:pt>
    <dgm:pt modelId="{8DD1037C-312B-455B-953C-39D3CE047B41}" type="parTrans" cxnId="{EE49E910-39CB-4DDD-AD03-B455F7F8165B}">
      <dgm:prSet custT="1"/>
      <dgm:spPr/>
      <dgm:t>
        <a:bodyPr/>
        <a:lstStyle/>
        <a:p>
          <a:endParaRPr lang="fr-FR" sz="800"/>
        </a:p>
      </dgm:t>
    </dgm:pt>
    <dgm:pt modelId="{85E9FCE4-BF10-4A8B-8717-6157EBB7BE11}" type="sibTrans" cxnId="{EE49E910-39CB-4DDD-AD03-B455F7F8165B}">
      <dgm:prSet/>
      <dgm:spPr/>
      <dgm:t>
        <a:bodyPr/>
        <a:lstStyle/>
        <a:p>
          <a:endParaRPr lang="fr-FR" sz="800"/>
        </a:p>
      </dgm:t>
    </dgm:pt>
    <dgm:pt modelId="{D509E99B-8A2C-460C-9F7A-465650F4EBA1}">
      <dgm:prSet custT="1"/>
      <dgm:spPr/>
      <dgm:t>
        <a:bodyPr/>
        <a:lstStyle/>
        <a:p>
          <a:r>
            <a:rPr lang="fr-FR" sz="800"/>
            <a:t>S&amp;E ODD</a:t>
          </a:r>
        </a:p>
      </dgm:t>
    </dgm:pt>
    <dgm:pt modelId="{6A67C091-F1C0-40B6-BAF2-E849A2739EE5}" type="parTrans" cxnId="{94526970-E915-4984-8DA9-EF6115769730}">
      <dgm:prSet/>
      <dgm:spPr/>
      <dgm:t>
        <a:bodyPr/>
        <a:lstStyle/>
        <a:p>
          <a:endParaRPr lang="fr-FR" sz="800"/>
        </a:p>
      </dgm:t>
    </dgm:pt>
    <dgm:pt modelId="{F69D8CA4-0AB5-4172-9149-5B09AD37E246}" type="sibTrans" cxnId="{94526970-E915-4984-8DA9-EF6115769730}">
      <dgm:prSet/>
      <dgm:spPr/>
      <dgm:t>
        <a:bodyPr/>
        <a:lstStyle/>
        <a:p>
          <a:endParaRPr lang="fr-FR" sz="800"/>
        </a:p>
      </dgm:t>
    </dgm:pt>
    <dgm:pt modelId="{7CC9B070-6E1E-4234-983B-54526D34233E}" type="pres">
      <dgm:prSet presAssocID="{AD725098-C099-4852-9616-BE36E4793A95}" presName="diagram" presStyleCnt="0">
        <dgm:presLayoutVars>
          <dgm:chPref val="1"/>
          <dgm:dir/>
          <dgm:animOne val="branch"/>
          <dgm:animLvl val="lvl"/>
          <dgm:resizeHandles val="exact"/>
        </dgm:presLayoutVars>
      </dgm:prSet>
      <dgm:spPr/>
      <dgm:t>
        <a:bodyPr/>
        <a:lstStyle/>
        <a:p>
          <a:endParaRPr lang="fr-FR"/>
        </a:p>
      </dgm:t>
    </dgm:pt>
    <dgm:pt modelId="{73CEC9FE-B5C9-465F-B257-0C564CDB4878}" type="pres">
      <dgm:prSet presAssocID="{D509E99B-8A2C-460C-9F7A-465650F4EBA1}" presName="root1" presStyleCnt="0"/>
      <dgm:spPr/>
    </dgm:pt>
    <dgm:pt modelId="{088128DA-8168-490F-BFAB-DFD46BA34800}" type="pres">
      <dgm:prSet presAssocID="{D509E99B-8A2C-460C-9F7A-465650F4EBA1}" presName="LevelOneTextNode" presStyleLbl="node0" presStyleIdx="0" presStyleCnt="1" custScaleX="186923" custLinFactX="-100000" custLinFactNeighborX="-125531">
        <dgm:presLayoutVars>
          <dgm:chPref val="3"/>
        </dgm:presLayoutVars>
      </dgm:prSet>
      <dgm:spPr/>
      <dgm:t>
        <a:bodyPr/>
        <a:lstStyle/>
        <a:p>
          <a:endParaRPr lang="fr-FR"/>
        </a:p>
      </dgm:t>
    </dgm:pt>
    <dgm:pt modelId="{ECF3C374-C93F-4895-8039-28B472362CC8}" type="pres">
      <dgm:prSet presAssocID="{D509E99B-8A2C-460C-9F7A-465650F4EBA1}" presName="level2hierChild" presStyleCnt="0"/>
      <dgm:spPr/>
    </dgm:pt>
    <dgm:pt modelId="{15B0DCBA-4087-4376-83B2-C78524BA444B}" type="pres">
      <dgm:prSet presAssocID="{65EA317C-3767-49D7-B3FE-040F41827F8C}" presName="conn2-1" presStyleLbl="parChTrans1D2" presStyleIdx="0" presStyleCnt="1"/>
      <dgm:spPr/>
      <dgm:t>
        <a:bodyPr/>
        <a:lstStyle/>
        <a:p>
          <a:endParaRPr lang="fr-FR"/>
        </a:p>
      </dgm:t>
    </dgm:pt>
    <dgm:pt modelId="{18FF8E60-66CF-416D-9D66-3A548EDBC5BF}" type="pres">
      <dgm:prSet presAssocID="{65EA317C-3767-49D7-B3FE-040F41827F8C}" presName="connTx" presStyleLbl="parChTrans1D2" presStyleIdx="0" presStyleCnt="1"/>
      <dgm:spPr/>
      <dgm:t>
        <a:bodyPr/>
        <a:lstStyle/>
        <a:p>
          <a:endParaRPr lang="fr-FR"/>
        </a:p>
      </dgm:t>
    </dgm:pt>
    <dgm:pt modelId="{B921E263-21A4-4AA9-9F04-E1155337CE0B}" type="pres">
      <dgm:prSet presAssocID="{9A2BBCC9-08C9-4BCC-BD7A-012332C8B990}" presName="root2" presStyleCnt="0"/>
      <dgm:spPr/>
    </dgm:pt>
    <dgm:pt modelId="{9756CD15-2B6E-410B-B794-1B3B9CE85A61}" type="pres">
      <dgm:prSet presAssocID="{9A2BBCC9-08C9-4BCC-BD7A-012332C8B990}" presName="LevelTwoTextNode" presStyleLbl="node2" presStyleIdx="0" presStyleCnt="1" custScaleX="186923" custLinFactX="-100000" custLinFactNeighborX="-125531">
        <dgm:presLayoutVars>
          <dgm:chPref val="3"/>
        </dgm:presLayoutVars>
      </dgm:prSet>
      <dgm:spPr/>
      <dgm:t>
        <a:bodyPr/>
        <a:lstStyle/>
        <a:p>
          <a:endParaRPr lang="fr-FR"/>
        </a:p>
      </dgm:t>
    </dgm:pt>
    <dgm:pt modelId="{01490941-3312-44E5-A7CC-41EEEB8E25CB}" type="pres">
      <dgm:prSet presAssocID="{9A2BBCC9-08C9-4BCC-BD7A-012332C8B990}" presName="level3hierChild" presStyleCnt="0"/>
      <dgm:spPr/>
    </dgm:pt>
    <dgm:pt modelId="{6C4DA581-16BC-428A-83B1-6E7731BDC8EA}" type="pres">
      <dgm:prSet presAssocID="{760DF523-6ED4-4ACB-8497-57CEBE39C532}" presName="conn2-1" presStyleLbl="parChTrans1D3" presStyleIdx="0" presStyleCnt="8"/>
      <dgm:spPr/>
      <dgm:t>
        <a:bodyPr/>
        <a:lstStyle/>
        <a:p>
          <a:endParaRPr lang="fr-FR"/>
        </a:p>
      </dgm:t>
    </dgm:pt>
    <dgm:pt modelId="{7587AFEA-86B7-4E61-A4AF-8DC12CE40F2A}" type="pres">
      <dgm:prSet presAssocID="{760DF523-6ED4-4ACB-8497-57CEBE39C532}" presName="connTx" presStyleLbl="parChTrans1D3" presStyleIdx="0" presStyleCnt="8"/>
      <dgm:spPr/>
      <dgm:t>
        <a:bodyPr/>
        <a:lstStyle/>
        <a:p>
          <a:endParaRPr lang="fr-FR"/>
        </a:p>
      </dgm:t>
    </dgm:pt>
    <dgm:pt modelId="{1E84CA23-0954-4953-B40D-37583CC920D3}" type="pres">
      <dgm:prSet presAssocID="{08B9910C-9198-4144-A180-308DE3A63F62}" presName="root2" presStyleCnt="0"/>
      <dgm:spPr/>
    </dgm:pt>
    <dgm:pt modelId="{BE893CAB-BE9D-476E-AB38-B5C755F976FC}" type="pres">
      <dgm:prSet presAssocID="{08B9910C-9198-4144-A180-308DE3A63F62}" presName="LevelTwoTextNode" presStyleLbl="node3" presStyleIdx="0" presStyleCnt="8" custScaleX="201877">
        <dgm:presLayoutVars>
          <dgm:chPref val="3"/>
        </dgm:presLayoutVars>
      </dgm:prSet>
      <dgm:spPr/>
      <dgm:t>
        <a:bodyPr/>
        <a:lstStyle/>
        <a:p>
          <a:endParaRPr lang="fr-FR"/>
        </a:p>
      </dgm:t>
    </dgm:pt>
    <dgm:pt modelId="{3FAF4641-6DB6-476D-BAC0-AD32DABAC3E3}" type="pres">
      <dgm:prSet presAssocID="{08B9910C-9198-4144-A180-308DE3A63F62}" presName="level3hierChild" presStyleCnt="0"/>
      <dgm:spPr/>
    </dgm:pt>
    <dgm:pt modelId="{5ECCB816-2ED2-4E01-B916-A5B57E3FDA87}" type="pres">
      <dgm:prSet presAssocID="{95AD826F-7D06-497C-A4E5-4166A3881BC2}" presName="conn2-1" presStyleLbl="parChTrans1D4" presStyleIdx="0" presStyleCnt="14"/>
      <dgm:spPr/>
      <dgm:t>
        <a:bodyPr/>
        <a:lstStyle/>
        <a:p>
          <a:endParaRPr lang="fr-FR"/>
        </a:p>
      </dgm:t>
    </dgm:pt>
    <dgm:pt modelId="{2DB7C7B3-9ACC-40BD-9CD8-AF4E25D7E57B}" type="pres">
      <dgm:prSet presAssocID="{95AD826F-7D06-497C-A4E5-4166A3881BC2}" presName="connTx" presStyleLbl="parChTrans1D4" presStyleIdx="0" presStyleCnt="14"/>
      <dgm:spPr/>
      <dgm:t>
        <a:bodyPr/>
        <a:lstStyle/>
        <a:p>
          <a:endParaRPr lang="fr-FR"/>
        </a:p>
      </dgm:t>
    </dgm:pt>
    <dgm:pt modelId="{4F4FF27D-7879-42F9-8036-F22D9DC69046}" type="pres">
      <dgm:prSet presAssocID="{164D2F9C-032D-4CAE-BC19-80EDC9E68C1F}" presName="root2" presStyleCnt="0"/>
      <dgm:spPr/>
    </dgm:pt>
    <dgm:pt modelId="{4407AE97-A298-40DA-BC7A-BAAE5C66AF72}" type="pres">
      <dgm:prSet presAssocID="{164D2F9C-032D-4CAE-BC19-80EDC9E68C1F}" presName="LevelTwoTextNode" presStyleLbl="node4" presStyleIdx="0" presStyleCnt="14" custScaleX="523385" custLinFactX="78021" custLinFactNeighborX="100000">
        <dgm:presLayoutVars>
          <dgm:chPref val="3"/>
        </dgm:presLayoutVars>
      </dgm:prSet>
      <dgm:spPr/>
      <dgm:t>
        <a:bodyPr/>
        <a:lstStyle/>
        <a:p>
          <a:endParaRPr lang="fr-FR"/>
        </a:p>
      </dgm:t>
    </dgm:pt>
    <dgm:pt modelId="{D0BF6ECC-83E7-4318-A7CF-D8251A8939D3}" type="pres">
      <dgm:prSet presAssocID="{164D2F9C-032D-4CAE-BC19-80EDC9E68C1F}" presName="level3hierChild" presStyleCnt="0"/>
      <dgm:spPr/>
    </dgm:pt>
    <dgm:pt modelId="{5E1F2220-05C4-438F-A081-99DAF64F7142}" type="pres">
      <dgm:prSet presAssocID="{BC4E36C4-BFD1-4D9B-B498-7B090A0D9557}" presName="conn2-1" presStyleLbl="parChTrans1D4" presStyleIdx="1" presStyleCnt="14"/>
      <dgm:spPr/>
      <dgm:t>
        <a:bodyPr/>
        <a:lstStyle/>
        <a:p>
          <a:endParaRPr lang="fr-FR"/>
        </a:p>
      </dgm:t>
    </dgm:pt>
    <dgm:pt modelId="{C31F0DCA-B9E8-451A-807F-B8810F7AFD98}" type="pres">
      <dgm:prSet presAssocID="{BC4E36C4-BFD1-4D9B-B498-7B090A0D9557}" presName="connTx" presStyleLbl="parChTrans1D4" presStyleIdx="1" presStyleCnt="14"/>
      <dgm:spPr/>
      <dgm:t>
        <a:bodyPr/>
        <a:lstStyle/>
        <a:p>
          <a:endParaRPr lang="fr-FR"/>
        </a:p>
      </dgm:t>
    </dgm:pt>
    <dgm:pt modelId="{C5CD5DD0-F4F6-491C-B29E-744E59B909A8}" type="pres">
      <dgm:prSet presAssocID="{1140E27E-AC06-4904-B7A6-C3ACE2B16664}" presName="root2" presStyleCnt="0"/>
      <dgm:spPr/>
    </dgm:pt>
    <dgm:pt modelId="{69C98D25-E49C-4FDB-82C0-18575914304D}" type="pres">
      <dgm:prSet presAssocID="{1140E27E-AC06-4904-B7A6-C3ACE2B16664}" presName="LevelTwoTextNode" presStyleLbl="node4" presStyleIdx="1" presStyleCnt="14" custScaleX="523385" custLinFactX="78021" custLinFactNeighborX="100000">
        <dgm:presLayoutVars>
          <dgm:chPref val="3"/>
        </dgm:presLayoutVars>
      </dgm:prSet>
      <dgm:spPr/>
      <dgm:t>
        <a:bodyPr/>
        <a:lstStyle/>
        <a:p>
          <a:endParaRPr lang="fr-FR"/>
        </a:p>
      </dgm:t>
    </dgm:pt>
    <dgm:pt modelId="{783B5E1C-E364-46F3-94C7-6ABB35B57BA2}" type="pres">
      <dgm:prSet presAssocID="{1140E27E-AC06-4904-B7A6-C3ACE2B16664}" presName="level3hierChild" presStyleCnt="0"/>
      <dgm:spPr/>
    </dgm:pt>
    <dgm:pt modelId="{B140A170-4400-4B82-A785-C4B654D02547}" type="pres">
      <dgm:prSet presAssocID="{7AE11443-8B5E-4300-8BD1-F9598AD3D1C1}" presName="conn2-1" presStyleLbl="parChTrans1D3" presStyleIdx="1" presStyleCnt="8"/>
      <dgm:spPr/>
      <dgm:t>
        <a:bodyPr/>
        <a:lstStyle/>
        <a:p>
          <a:endParaRPr lang="fr-FR"/>
        </a:p>
      </dgm:t>
    </dgm:pt>
    <dgm:pt modelId="{9B461326-7A9D-4434-A4D2-D6BC30EA4719}" type="pres">
      <dgm:prSet presAssocID="{7AE11443-8B5E-4300-8BD1-F9598AD3D1C1}" presName="connTx" presStyleLbl="parChTrans1D3" presStyleIdx="1" presStyleCnt="8"/>
      <dgm:spPr/>
      <dgm:t>
        <a:bodyPr/>
        <a:lstStyle/>
        <a:p>
          <a:endParaRPr lang="fr-FR"/>
        </a:p>
      </dgm:t>
    </dgm:pt>
    <dgm:pt modelId="{B5A72FF5-3550-4848-8E0F-498FEFB4A59E}" type="pres">
      <dgm:prSet presAssocID="{EEDB03C6-0932-431B-8AEB-D01782B0736E}" presName="root2" presStyleCnt="0"/>
      <dgm:spPr/>
    </dgm:pt>
    <dgm:pt modelId="{0DF05AF9-9D40-47F4-AC6D-2625AE7508D8}" type="pres">
      <dgm:prSet presAssocID="{EEDB03C6-0932-431B-8AEB-D01782B0736E}" presName="LevelTwoTextNode" presStyleLbl="node3" presStyleIdx="1" presStyleCnt="8" custScaleX="201877">
        <dgm:presLayoutVars>
          <dgm:chPref val="3"/>
        </dgm:presLayoutVars>
      </dgm:prSet>
      <dgm:spPr/>
      <dgm:t>
        <a:bodyPr/>
        <a:lstStyle/>
        <a:p>
          <a:endParaRPr lang="fr-FR"/>
        </a:p>
      </dgm:t>
    </dgm:pt>
    <dgm:pt modelId="{4ADF5BE8-9254-49E3-AB64-D5E4C31CDF33}" type="pres">
      <dgm:prSet presAssocID="{EEDB03C6-0932-431B-8AEB-D01782B0736E}" presName="level3hierChild" presStyleCnt="0"/>
      <dgm:spPr/>
    </dgm:pt>
    <dgm:pt modelId="{96487D65-A56A-44F9-8DAB-84C5013DD3D7}" type="pres">
      <dgm:prSet presAssocID="{20ED08B4-8EA0-4BB3-ACE2-4ADBCFD5B8E9}" presName="conn2-1" presStyleLbl="parChTrans1D4" presStyleIdx="2" presStyleCnt="14"/>
      <dgm:spPr/>
      <dgm:t>
        <a:bodyPr/>
        <a:lstStyle/>
        <a:p>
          <a:endParaRPr lang="fr-FR"/>
        </a:p>
      </dgm:t>
    </dgm:pt>
    <dgm:pt modelId="{6CABBADA-9953-48C2-BF15-74EF1D41B237}" type="pres">
      <dgm:prSet presAssocID="{20ED08B4-8EA0-4BB3-ACE2-4ADBCFD5B8E9}" presName="connTx" presStyleLbl="parChTrans1D4" presStyleIdx="2" presStyleCnt="14"/>
      <dgm:spPr/>
      <dgm:t>
        <a:bodyPr/>
        <a:lstStyle/>
        <a:p>
          <a:endParaRPr lang="fr-FR"/>
        </a:p>
      </dgm:t>
    </dgm:pt>
    <dgm:pt modelId="{E375240D-6082-420D-A3B0-58B0FF2766EC}" type="pres">
      <dgm:prSet presAssocID="{5DE4A063-D8AC-491D-AA02-8602FEF9D578}" presName="root2" presStyleCnt="0"/>
      <dgm:spPr/>
    </dgm:pt>
    <dgm:pt modelId="{28D73A6C-178E-4142-8442-5C8CC1E482D2}" type="pres">
      <dgm:prSet presAssocID="{5DE4A063-D8AC-491D-AA02-8602FEF9D578}" presName="LevelTwoTextNode" presStyleLbl="node4" presStyleIdx="2" presStyleCnt="14" custScaleX="523385" custLinFactX="78021" custLinFactNeighborX="100000">
        <dgm:presLayoutVars>
          <dgm:chPref val="3"/>
        </dgm:presLayoutVars>
      </dgm:prSet>
      <dgm:spPr/>
      <dgm:t>
        <a:bodyPr/>
        <a:lstStyle/>
        <a:p>
          <a:endParaRPr lang="fr-FR"/>
        </a:p>
      </dgm:t>
    </dgm:pt>
    <dgm:pt modelId="{C9563CD1-A961-4C92-93C6-26DF4F028184}" type="pres">
      <dgm:prSet presAssocID="{5DE4A063-D8AC-491D-AA02-8602FEF9D578}" presName="level3hierChild" presStyleCnt="0"/>
      <dgm:spPr/>
    </dgm:pt>
    <dgm:pt modelId="{9E4C8E60-01F6-4549-AD4C-FD6D0BD324E3}" type="pres">
      <dgm:prSet presAssocID="{F2C449B2-F855-4B6C-A468-E69C4A91DD92}" presName="conn2-1" presStyleLbl="parChTrans1D4" presStyleIdx="3" presStyleCnt="14"/>
      <dgm:spPr/>
      <dgm:t>
        <a:bodyPr/>
        <a:lstStyle/>
        <a:p>
          <a:endParaRPr lang="fr-FR"/>
        </a:p>
      </dgm:t>
    </dgm:pt>
    <dgm:pt modelId="{E0B09C65-7622-4CA0-90EC-31A55E45505E}" type="pres">
      <dgm:prSet presAssocID="{F2C449B2-F855-4B6C-A468-E69C4A91DD92}" presName="connTx" presStyleLbl="parChTrans1D4" presStyleIdx="3" presStyleCnt="14"/>
      <dgm:spPr/>
      <dgm:t>
        <a:bodyPr/>
        <a:lstStyle/>
        <a:p>
          <a:endParaRPr lang="fr-FR"/>
        </a:p>
      </dgm:t>
    </dgm:pt>
    <dgm:pt modelId="{42A0FD2A-2793-4344-AD73-94845C3EC548}" type="pres">
      <dgm:prSet presAssocID="{C0B2AFD4-38F1-4053-A92C-2A86B1B56302}" presName="root2" presStyleCnt="0"/>
      <dgm:spPr/>
    </dgm:pt>
    <dgm:pt modelId="{6138564E-0996-4ADF-9393-B53CF69D6151}" type="pres">
      <dgm:prSet presAssocID="{C0B2AFD4-38F1-4053-A92C-2A86B1B56302}" presName="LevelTwoTextNode" presStyleLbl="node4" presStyleIdx="3" presStyleCnt="14" custScaleX="523385" custLinFactX="72086" custLinFactNeighborX="100000">
        <dgm:presLayoutVars>
          <dgm:chPref val="3"/>
        </dgm:presLayoutVars>
      </dgm:prSet>
      <dgm:spPr/>
      <dgm:t>
        <a:bodyPr/>
        <a:lstStyle/>
        <a:p>
          <a:endParaRPr lang="fr-FR"/>
        </a:p>
      </dgm:t>
    </dgm:pt>
    <dgm:pt modelId="{21E82865-73DC-420B-8339-F43F081DFFBD}" type="pres">
      <dgm:prSet presAssocID="{C0B2AFD4-38F1-4053-A92C-2A86B1B56302}" presName="level3hierChild" presStyleCnt="0"/>
      <dgm:spPr/>
    </dgm:pt>
    <dgm:pt modelId="{2B0FFCEB-18DE-4569-B960-9828A63492FC}" type="pres">
      <dgm:prSet presAssocID="{E2CB8E83-F6FD-41A9-B093-5371EBDBBECE}" presName="conn2-1" presStyleLbl="parChTrans1D3" presStyleIdx="2" presStyleCnt="8"/>
      <dgm:spPr/>
      <dgm:t>
        <a:bodyPr/>
        <a:lstStyle/>
        <a:p>
          <a:endParaRPr lang="fr-FR"/>
        </a:p>
      </dgm:t>
    </dgm:pt>
    <dgm:pt modelId="{204379E2-B776-429C-A97C-B519961406F7}" type="pres">
      <dgm:prSet presAssocID="{E2CB8E83-F6FD-41A9-B093-5371EBDBBECE}" presName="connTx" presStyleLbl="parChTrans1D3" presStyleIdx="2" presStyleCnt="8"/>
      <dgm:spPr/>
      <dgm:t>
        <a:bodyPr/>
        <a:lstStyle/>
        <a:p>
          <a:endParaRPr lang="fr-FR"/>
        </a:p>
      </dgm:t>
    </dgm:pt>
    <dgm:pt modelId="{7124289F-984D-4F20-815A-76062E378618}" type="pres">
      <dgm:prSet presAssocID="{EB4F00DA-8D1C-4BD3-A918-6A195C5FCA16}" presName="root2" presStyleCnt="0"/>
      <dgm:spPr/>
    </dgm:pt>
    <dgm:pt modelId="{298D58BA-6F27-486B-A9CB-3DF685ED25AD}" type="pres">
      <dgm:prSet presAssocID="{EB4F00DA-8D1C-4BD3-A918-6A195C5FCA16}" presName="LevelTwoTextNode" presStyleLbl="node3" presStyleIdx="2" presStyleCnt="8" custScaleX="201877">
        <dgm:presLayoutVars>
          <dgm:chPref val="3"/>
        </dgm:presLayoutVars>
      </dgm:prSet>
      <dgm:spPr/>
      <dgm:t>
        <a:bodyPr/>
        <a:lstStyle/>
        <a:p>
          <a:endParaRPr lang="fr-FR"/>
        </a:p>
      </dgm:t>
    </dgm:pt>
    <dgm:pt modelId="{3E8719B4-15E5-4147-80F3-149F83E7EFDC}" type="pres">
      <dgm:prSet presAssocID="{EB4F00DA-8D1C-4BD3-A918-6A195C5FCA16}" presName="level3hierChild" presStyleCnt="0"/>
      <dgm:spPr/>
    </dgm:pt>
    <dgm:pt modelId="{600D8A0E-37F3-48FB-8F27-457986F7D276}" type="pres">
      <dgm:prSet presAssocID="{DF0C55A6-AAFE-4CB6-90A6-7EEAC57E98D2}" presName="conn2-1" presStyleLbl="parChTrans1D4" presStyleIdx="4" presStyleCnt="14"/>
      <dgm:spPr/>
      <dgm:t>
        <a:bodyPr/>
        <a:lstStyle/>
        <a:p>
          <a:endParaRPr lang="fr-FR"/>
        </a:p>
      </dgm:t>
    </dgm:pt>
    <dgm:pt modelId="{1A3A0070-FDF7-4FE4-8874-455452EE1DAC}" type="pres">
      <dgm:prSet presAssocID="{DF0C55A6-AAFE-4CB6-90A6-7EEAC57E98D2}" presName="connTx" presStyleLbl="parChTrans1D4" presStyleIdx="4" presStyleCnt="14"/>
      <dgm:spPr/>
      <dgm:t>
        <a:bodyPr/>
        <a:lstStyle/>
        <a:p>
          <a:endParaRPr lang="fr-FR"/>
        </a:p>
      </dgm:t>
    </dgm:pt>
    <dgm:pt modelId="{133D5D16-D802-4001-B649-214E6CD950EE}" type="pres">
      <dgm:prSet presAssocID="{DBC3A8B6-6B27-4595-B884-13B91EB914F9}" presName="root2" presStyleCnt="0"/>
      <dgm:spPr/>
    </dgm:pt>
    <dgm:pt modelId="{094ED728-6FE3-4730-9AC6-09945C8F5498}" type="pres">
      <dgm:prSet presAssocID="{DBC3A8B6-6B27-4595-B884-13B91EB914F9}" presName="LevelTwoTextNode" presStyleLbl="node4" presStyleIdx="4" presStyleCnt="14" custScaleX="523385" custLinFactX="72086" custLinFactNeighborX="100000">
        <dgm:presLayoutVars>
          <dgm:chPref val="3"/>
        </dgm:presLayoutVars>
      </dgm:prSet>
      <dgm:spPr/>
      <dgm:t>
        <a:bodyPr/>
        <a:lstStyle/>
        <a:p>
          <a:endParaRPr lang="fr-FR"/>
        </a:p>
      </dgm:t>
    </dgm:pt>
    <dgm:pt modelId="{B413BCAC-F77C-429C-81FE-B45C60B74E3C}" type="pres">
      <dgm:prSet presAssocID="{DBC3A8B6-6B27-4595-B884-13B91EB914F9}" presName="level3hierChild" presStyleCnt="0"/>
      <dgm:spPr/>
    </dgm:pt>
    <dgm:pt modelId="{CAFEB99C-827F-41A6-B28E-981CD5511437}" type="pres">
      <dgm:prSet presAssocID="{931A342A-6F1C-4E88-8B1A-DF5B743D63C9}" presName="conn2-1" presStyleLbl="parChTrans1D4" presStyleIdx="5" presStyleCnt="14"/>
      <dgm:spPr/>
      <dgm:t>
        <a:bodyPr/>
        <a:lstStyle/>
        <a:p>
          <a:endParaRPr lang="fr-FR"/>
        </a:p>
      </dgm:t>
    </dgm:pt>
    <dgm:pt modelId="{D207D22B-5875-4704-94F5-84C1B5A41863}" type="pres">
      <dgm:prSet presAssocID="{931A342A-6F1C-4E88-8B1A-DF5B743D63C9}" presName="connTx" presStyleLbl="parChTrans1D4" presStyleIdx="5" presStyleCnt="14"/>
      <dgm:spPr/>
      <dgm:t>
        <a:bodyPr/>
        <a:lstStyle/>
        <a:p>
          <a:endParaRPr lang="fr-FR"/>
        </a:p>
      </dgm:t>
    </dgm:pt>
    <dgm:pt modelId="{CAFF70CF-31B5-4E5A-A00C-23ADB0543151}" type="pres">
      <dgm:prSet presAssocID="{45BEC6CB-CEAE-4D3A-BB74-9710661E5495}" presName="root2" presStyleCnt="0"/>
      <dgm:spPr/>
    </dgm:pt>
    <dgm:pt modelId="{E62938E9-EF12-43F5-AAB9-9CD0041246A0}" type="pres">
      <dgm:prSet presAssocID="{45BEC6CB-CEAE-4D3A-BB74-9710661E5495}" presName="LevelTwoTextNode" presStyleLbl="node4" presStyleIdx="5" presStyleCnt="14" custScaleX="523385" custLinFactX="72086" custLinFactNeighborX="100000">
        <dgm:presLayoutVars>
          <dgm:chPref val="3"/>
        </dgm:presLayoutVars>
      </dgm:prSet>
      <dgm:spPr/>
      <dgm:t>
        <a:bodyPr/>
        <a:lstStyle/>
        <a:p>
          <a:endParaRPr lang="fr-FR"/>
        </a:p>
      </dgm:t>
    </dgm:pt>
    <dgm:pt modelId="{C87422D0-D0BB-4F78-93F6-27A26662F5D9}" type="pres">
      <dgm:prSet presAssocID="{45BEC6CB-CEAE-4D3A-BB74-9710661E5495}" presName="level3hierChild" presStyleCnt="0"/>
      <dgm:spPr/>
    </dgm:pt>
    <dgm:pt modelId="{CED20A7F-39C4-4DA2-8B29-D7693639F6AF}" type="pres">
      <dgm:prSet presAssocID="{AAEB49C7-DD80-47C3-B2BE-815DE08EC8FF}" presName="conn2-1" presStyleLbl="parChTrans1D3" presStyleIdx="3" presStyleCnt="8"/>
      <dgm:spPr/>
      <dgm:t>
        <a:bodyPr/>
        <a:lstStyle/>
        <a:p>
          <a:endParaRPr lang="fr-FR"/>
        </a:p>
      </dgm:t>
    </dgm:pt>
    <dgm:pt modelId="{D875A270-EDA4-471E-A414-BEA50A59889A}" type="pres">
      <dgm:prSet presAssocID="{AAEB49C7-DD80-47C3-B2BE-815DE08EC8FF}" presName="connTx" presStyleLbl="parChTrans1D3" presStyleIdx="3" presStyleCnt="8"/>
      <dgm:spPr/>
      <dgm:t>
        <a:bodyPr/>
        <a:lstStyle/>
        <a:p>
          <a:endParaRPr lang="fr-FR"/>
        </a:p>
      </dgm:t>
    </dgm:pt>
    <dgm:pt modelId="{9B79A061-A44A-4804-92A3-3F792BA80F95}" type="pres">
      <dgm:prSet presAssocID="{B864E2C4-FC59-4990-B023-570F9750BBF4}" presName="root2" presStyleCnt="0"/>
      <dgm:spPr/>
    </dgm:pt>
    <dgm:pt modelId="{BE8003E3-2DC2-4451-AB1B-1F16F91257DB}" type="pres">
      <dgm:prSet presAssocID="{B864E2C4-FC59-4990-B023-570F9750BBF4}" presName="LevelTwoTextNode" presStyleLbl="node3" presStyleIdx="3" presStyleCnt="8" custScaleX="201877">
        <dgm:presLayoutVars>
          <dgm:chPref val="3"/>
        </dgm:presLayoutVars>
      </dgm:prSet>
      <dgm:spPr/>
      <dgm:t>
        <a:bodyPr/>
        <a:lstStyle/>
        <a:p>
          <a:endParaRPr lang="fr-FR"/>
        </a:p>
      </dgm:t>
    </dgm:pt>
    <dgm:pt modelId="{2396F95B-9517-4B70-916E-A06EC9EE70A7}" type="pres">
      <dgm:prSet presAssocID="{B864E2C4-FC59-4990-B023-570F9750BBF4}" presName="level3hierChild" presStyleCnt="0"/>
      <dgm:spPr/>
    </dgm:pt>
    <dgm:pt modelId="{10496EE6-5ACC-4C63-8233-5ED129F6012E}" type="pres">
      <dgm:prSet presAssocID="{C2293203-D35E-46B2-B033-5C91B313FF5A}" presName="conn2-1" presStyleLbl="parChTrans1D4" presStyleIdx="6" presStyleCnt="14"/>
      <dgm:spPr/>
      <dgm:t>
        <a:bodyPr/>
        <a:lstStyle/>
        <a:p>
          <a:endParaRPr lang="fr-FR"/>
        </a:p>
      </dgm:t>
    </dgm:pt>
    <dgm:pt modelId="{371E1EAE-93FF-4281-A4FE-31CC77CE8551}" type="pres">
      <dgm:prSet presAssocID="{C2293203-D35E-46B2-B033-5C91B313FF5A}" presName="connTx" presStyleLbl="parChTrans1D4" presStyleIdx="6" presStyleCnt="14"/>
      <dgm:spPr/>
      <dgm:t>
        <a:bodyPr/>
        <a:lstStyle/>
        <a:p>
          <a:endParaRPr lang="fr-FR"/>
        </a:p>
      </dgm:t>
    </dgm:pt>
    <dgm:pt modelId="{10BE3BDE-D03E-464D-ABA5-FF910542C9C2}" type="pres">
      <dgm:prSet presAssocID="{ADA01EFF-B7C1-44C7-83BA-B2D0F0683985}" presName="root2" presStyleCnt="0"/>
      <dgm:spPr/>
    </dgm:pt>
    <dgm:pt modelId="{755473B6-3311-4B3F-B732-C4663E4A776A}" type="pres">
      <dgm:prSet presAssocID="{ADA01EFF-B7C1-44C7-83BA-B2D0F0683985}" presName="LevelTwoTextNode" presStyleLbl="node4" presStyleIdx="6" presStyleCnt="14" custScaleX="523385" custLinFactX="72086" custLinFactNeighborX="100000">
        <dgm:presLayoutVars>
          <dgm:chPref val="3"/>
        </dgm:presLayoutVars>
      </dgm:prSet>
      <dgm:spPr/>
      <dgm:t>
        <a:bodyPr/>
        <a:lstStyle/>
        <a:p>
          <a:endParaRPr lang="fr-FR"/>
        </a:p>
      </dgm:t>
    </dgm:pt>
    <dgm:pt modelId="{F66807FA-B39C-44F7-A803-E2360E1A7A3E}" type="pres">
      <dgm:prSet presAssocID="{ADA01EFF-B7C1-44C7-83BA-B2D0F0683985}" presName="level3hierChild" presStyleCnt="0"/>
      <dgm:spPr/>
    </dgm:pt>
    <dgm:pt modelId="{067B2A55-A52F-4C7D-924A-BACF6F633EF7}" type="pres">
      <dgm:prSet presAssocID="{444659E9-0466-4D88-9E79-AA9EB8CB4884}" presName="conn2-1" presStyleLbl="parChTrans1D3" presStyleIdx="4" presStyleCnt="8"/>
      <dgm:spPr/>
      <dgm:t>
        <a:bodyPr/>
        <a:lstStyle/>
        <a:p>
          <a:endParaRPr lang="fr-FR"/>
        </a:p>
      </dgm:t>
    </dgm:pt>
    <dgm:pt modelId="{D54C0F9A-35A5-4508-9FEE-C153548AD668}" type="pres">
      <dgm:prSet presAssocID="{444659E9-0466-4D88-9E79-AA9EB8CB4884}" presName="connTx" presStyleLbl="parChTrans1D3" presStyleIdx="4" presStyleCnt="8"/>
      <dgm:spPr/>
      <dgm:t>
        <a:bodyPr/>
        <a:lstStyle/>
        <a:p>
          <a:endParaRPr lang="fr-FR"/>
        </a:p>
      </dgm:t>
    </dgm:pt>
    <dgm:pt modelId="{4586D83F-6CA9-4FD1-90AB-64E9855AB042}" type="pres">
      <dgm:prSet presAssocID="{3450464A-F293-4BBC-9F65-1EF129D500D9}" presName="root2" presStyleCnt="0"/>
      <dgm:spPr/>
    </dgm:pt>
    <dgm:pt modelId="{842B5ADE-4592-4729-9BA0-AC8AA65DAC20}" type="pres">
      <dgm:prSet presAssocID="{3450464A-F293-4BBC-9F65-1EF129D500D9}" presName="LevelTwoTextNode" presStyleLbl="node3" presStyleIdx="4" presStyleCnt="8" custScaleX="201877">
        <dgm:presLayoutVars>
          <dgm:chPref val="3"/>
        </dgm:presLayoutVars>
      </dgm:prSet>
      <dgm:spPr/>
      <dgm:t>
        <a:bodyPr/>
        <a:lstStyle/>
        <a:p>
          <a:endParaRPr lang="fr-FR"/>
        </a:p>
      </dgm:t>
    </dgm:pt>
    <dgm:pt modelId="{E30DFF99-0F22-459C-88AE-9B2005B1D44A}" type="pres">
      <dgm:prSet presAssocID="{3450464A-F293-4BBC-9F65-1EF129D500D9}" presName="level3hierChild" presStyleCnt="0"/>
      <dgm:spPr/>
    </dgm:pt>
    <dgm:pt modelId="{2DFBC0EF-EDEF-4E2F-AFA7-BE5EB26C7056}" type="pres">
      <dgm:prSet presAssocID="{0EBF36AD-479B-43F5-9D1F-B2BED5E0CA2F}" presName="conn2-1" presStyleLbl="parChTrans1D4" presStyleIdx="7" presStyleCnt="14"/>
      <dgm:spPr/>
      <dgm:t>
        <a:bodyPr/>
        <a:lstStyle/>
        <a:p>
          <a:endParaRPr lang="fr-FR"/>
        </a:p>
      </dgm:t>
    </dgm:pt>
    <dgm:pt modelId="{F7DE6281-0885-4021-88F6-77B2A53DC85D}" type="pres">
      <dgm:prSet presAssocID="{0EBF36AD-479B-43F5-9D1F-B2BED5E0CA2F}" presName="connTx" presStyleLbl="parChTrans1D4" presStyleIdx="7" presStyleCnt="14"/>
      <dgm:spPr/>
      <dgm:t>
        <a:bodyPr/>
        <a:lstStyle/>
        <a:p>
          <a:endParaRPr lang="fr-FR"/>
        </a:p>
      </dgm:t>
    </dgm:pt>
    <dgm:pt modelId="{F6811B4F-60B6-4AA6-BD43-2931362EAADB}" type="pres">
      <dgm:prSet presAssocID="{8C6FC27F-8871-4BB4-9124-A6D5184963C4}" presName="root2" presStyleCnt="0"/>
      <dgm:spPr/>
    </dgm:pt>
    <dgm:pt modelId="{8BEC4CD2-E99D-4DCC-9FA4-E9EF5992CEAB}" type="pres">
      <dgm:prSet presAssocID="{8C6FC27F-8871-4BB4-9124-A6D5184963C4}" presName="LevelTwoTextNode" presStyleLbl="node4" presStyleIdx="7" presStyleCnt="14" custScaleX="523385" custLinFactX="72086" custLinFactNeighborX="100000">
        <dgm:presLayoutVars>
          <dgm:chPref val="3"/>
        </dgm:presLayoutVars>
      </dgm:prSet>
      <dgm:spPr/>
      <dgm:t>
        <a:bodyPr/>
        <a:lstStyle/>
        <a:p>
          <a:endParaRPr lang="fr-FR"/>
        </a:p>
      </dgm:t>
    </dgm:pt>
    <dgm:pt modelId="{22E2C28B-985C-451B-BDC0-98AC3E0D74D3}" type="pres">
      <dgm:prSet presAssocID="{8C6FC27F-8871-4BB4-9124-A6D5184963C4}" presName="level3hierChild" presStyleCnt="0"/>
      <dgm:spPr/>
    </dgm:pt>
    <dgm:pt modelId="{322E38CE-B25D-4933-A3FA-2A2A38B85158}" type="pres">
      <dgm:prSet presAssocID="{ED76FACE-DD45-4E6C-A7E6-68DBFFB366FB}" presName="conn2-1" presStyleLbl="parChTrans1D4" presStyleIdx="8" presStyleCnt="14"/>
      <dgm:spPr/>
      <dgm:t>
        <a:bodyPr/>
        <a:lstStyle/>
        <a:p>
          <a:endParaRPr lang="fr-FR"/>
        </a:p>
      </dgm:t>
    </dgm:pt>
    <dgm:pt modelId="{899BFC69-8E78-4773-82BB-07C0EAB8EB61}" type="pres">
      <dgm:prSet presAssocID="{ED76FACE-DD45-4E6C-A7E6-68DBFFB366FB}" presName="connTx" presStyleLbl="parChTrans1D4" presStyleIdx="8" presStyleCnt="14"/>
      <dgm:spPr/>
      <dgm:t>
        <a:bodyPr/>
        <a:lstStyle/>
        <a:p>
          <a:endParaRPr lang="fr-FR"/>
        </a:p>
      </dgm:t>
    </dgm:pt>
    <dgm:pt modelId="{1D0B7F8E-7F75-4276-982E-ADFE33C41C55}" type="pres">
      <dgm:prSet presAssocID="{EBA38D79-F51F-43CF-9B3C-FF3649A2B3E0}" presName="root2" presStyleCnt="0"/>
      <dgm:spPr/>
    </dgm:pt>
    <dgm:pt modelId="{1FB3961B-B13A-48C1-BC33-35E1D92DC445}" type="pres">
      <dgm:prSet presAssocID="{EBA38D79-F51F-43CF-9B3C-FF3649A2B3E0}" presName="LevelTwoTextNode" presStyleLbl="node4" presStyleIdx="8" presStyleCnt="14" custScaleX="523385" custLinFactX="72086" custLinFactNeighborX="100000">
        <dgm:presLayoutVars>
          <dgm:chPref val="3"/>
        </dgm:presLayoutVars>
      </dgm:prSet>
      <dgm:spPr/>
      <dgm:t>
        <a:bodyPr/>
        <a:lstStyle/>
        <a:p>
          <a:endParaRPr lang="fr-FR"/>
        </a:p>
      </dgm:t>
    </dgm:pt>
    <dgm:pt modelId="{7901AECA-7E8E-49B0-B2EB-0105276C3FA8}" type="pres">
      <dgm:prSet presAssocID="{EBA38D79-F51F-43CF-9B3C-FF3649A2B3E0}" presName="level3hierChild" presStyleCnt="0"/>
      <dgm:spPr/>
    </dgm:pt>
    <dgm:pt modelId="{75398DEC-0064-4ACC-A406-0F5D183EA113}" type="pres">
      <dgm:prSet presAssocID="{865B70A7-EBAC-464E-8025-AF3605DD4CA1}" presName="conn2-1" presStyleLbl="parChTrans1D3" presStyleIdx="5" presStyleCnt="8"/>
      <dgm:spPr/>
      <dgm:t>
        <a:bodyPr/>
        <a:lstStyle/>
        <a:p>
          <a:endParaRPr lang="fr-FR"/>
        </a:p>
      </dgm:t>
    </dgm:pt>
    <dgm:pt modelId="{D0EAA69E-D19B-4E38-B667-F8F2211B87EB}" type="pres">
      <dgm:prSet presAssocID="{865B70A7-EBAC-464E-8025-AF3605DD4CA1}" presName="connTx" presStyleLbl="parChTrans1D3" presStyleIdx="5" presStyleCnt="8"/>
      <dgm:spPr/>
      <dgm:t>
        <a:bodyPr/>
        <a:lstStyle/>
        <a:p>
          <a:endParaRPr lang="fr-FR"/>
        </a:p>
      </dgm:t>
    </dgm:pt>
    <dgm:pt modelId="{9FCCE525-85E1-4E2E-BA56-F61286312DA7}" type="pres">
      <dgm:prSet presAssocID="{A42D4249-0084-465C-9159-157DC77C4D1B}" presName="root2" presStyleCnt="0"/>
      <dgm:spPr/>
    </dgm:pt>
    <dgm:pt modelId="{A3E51525-BB08-4697-B108-D2611B019EAF}" type="pres">
      <dgm:prSet presAssocID="{A42D4249-0084-465C-9159-157DC77C4D1B}" presName="LevelTwoTextNode" presStyleLbl="node3" presStyleIdx="5" presStyleCnt="8" custScaleX="201877">
        <dgm:presLayoutVars>
          <dgm:chPref val="3"/>
        </dgm:presLayoutVars>
      </dgm:prSet>
      <dgm:spPr/>
      <dgm:t>
        <a:bodyPr/>
        <a:lstStyle/>
        <a:p>
          <a:endParaRPr lang="fr-FR"/>
        </a:p>
      </dgm:t>
    </dgm:pt>
    <dgm:pt modelId="{737FC72C-B173-4F15-A87D-DE326B58AC9B}" type="pres">
      <dgm:prSet presAssocID="{A42D4249-0084-465C-9159-157DC77C4D1B}" presName="level3hierChild" presStyleCnt="0"/>
      <dgm:spPr/>
    </dgm:pt>
    <dgm:pt modelId="{4991DB15-8F7E-4FEA-94F7-58E3351A37AD}" type="pres">
      <dgm:prSet presAssocID="{70C6C7D8-B2B0-4A48-BAE1-5D8E9AAD9355}" presName="conn2-1" presStyleLbl="parChTrans1D4" presStyleIdx="9" presStyleCnt="14"/>
      <dgm:spPr/>
      <dgm:t>
        <a:bodyPr/>
        <a:lstStyle/>
        <a:p>
          <a:endParaRPr lang="fr-FR"/>
        </a:p>
      </dgm:t>
    </dgm:pt>
    <dgm:pt modelId="{E9270CCD-FBD4-472F-90CB-87C4EAA85E15}" type="pres">
      <dgm:prSet presAssocID="{70C6C7D8-B2B0-4A48-BAE1-5D8E9AAD9355}" presName="connTx" presStyleLbl="parChTrans1D4" presStyleIdx="9" presStyleCnt="14"/>
      <dgm:spPr/>
      <dgm:t>
        <a:bodyPr/>
        <a:lstStyle/>
        <a:p>
          <a:endParaRPr lang="fr-FR"/>
        </a:p>
      </dgm:t>
    </dgm:pt>
    <dgm:pt modelId="{D4CEC9E2-EA40-4757-A09B-C0971E3D2096}" type="pres">
      <dgm:prSet presAssocID="{941345CC-BA76-4C44-BF31-ADCB4CB8B12E}" presName="root2" presStyleCnt="0"/>
      <dgm:spPr/>
    </dgm:pt>
    <dgm:pt modelId="{63B52382-3B76-4912-83A7-86D6F048D909}" type="pres">
      <dgm:prSet presAssocID="{941345CC-BA76-4C44-BF31-ADCB4CB8B12E}" presName="LevelTwoTextNode" presStyleLbl="node4" presStyleIdx="9" presStyleCnt="14" custScaleX="523385" custLinFactX="72086" custLinFactNeighborX="100000">
        <dgm:presLayoutVars>
          <dgm:chPref val="3"/>
        </dgm:presLayoutVars>
      </dgm:prSet>
      <dgm:spPr/>
      <dgm:t>
        <a:bodyPr/>
        <a:lstStyle/>
        <a:p>
          <a:endParaRPr lang="fr-FR"/>
        </a:p>
      </dgm:t>
    </dgm:pt>
    <dgm:pt modelId="{B408F284-2F3B-47AD-9E73-F6A4CBBCEB09}" type="pres">
      <dgm:prSet presAssocID="{941345CC-BA76-4C44-BF31-ADCB4CB8B12E}" presName="level3hierChild" presStyleCnt="0"/>
      <dgm:spPr/>
    </dgm:pt>
    <dgm:pt modelId="{40697E7B-D4B6-47DC-94D8-7C69D10A3F1E}" type="pres">
      <dgm:prSet presAssocID="{8390ABD8-2AE3-46A7-B7BD-7F4C2CED8209}" presName="conn2-1" presStyleLbl="parChTrans1D4" presStyleIdx="10" presStyleCnt="14"/>
      <dgm:spPr/>
      <dgm:t>
        <a:bodyPr/>
        <a:lstStyle/>
        <a:p>
          <a:endParaRPr lang="fr-FR"/>
        </a:p>
      </dgm:t>
    </dgm:pt>
    <dgm:pt modelId="{29171AE4-0972-4C22-A577-BEB8B27A002F}" type="pres">
      <dgm:prSet presAssocID="{8390ABD8-2AE3-46A7-B7BD-7F4C2CED8209}" presName="connTx" presStyleLbl="parChTrans1D4" presStyleIdx="10" presStyleCnt="14"/>
      <dgm:spPr/>
      <dgm:t>
        <a:bodyPr/>
        <a:lstStyle/>
        <a:p>
          <a:endParaRPr lang="fr-FR"/>
        </a:p>
      </dgm:t>
    </dgm:pt>
    <dgm:pt modelId="{2AFF28DD-2101-4EC5-94B9-83CCD8CC7E83}" type="pres">
      <dgm:prSet presAssocID="{46D838E6-B0F9-4C38-93B8-3F2ED5C135BF}" presName="root2" presStyleCnt="0"/>
      <dgm:spPr/>
    </dgm:pt>
    <dgm:pt modelId="{AF329EE1-8A05-465F-BA8B-5ED0B62637AC}" type="pres">
      <dgm:prSet presAssocID="{46D838E6-B0F9-4C38-93B8-3F2ED5C135BF}" presName="LevelTwoTextNode" presStyleLbl="node4" presStyleIdx="10" presStyleCnt="14" custScaleX="523385" custLinFactX="72086" custLinFactNeighborX="100000">
        <dgm:presLayoutVars>
          <dgm:chPref val="3"/>
        </dgm:presLayoutVars>
      </dgm:prSet>
      <dgm:spPr/>
      <dgm:t>
        <a:bodyPr/>
        <a:lstStyle/>
        <a:p>
          <a:endParaRPr lang="fr-FR"/>
        </a:p>
      </dgm:t>
    </dgm:pt>
    <dgm:pt modelId="{862A0828-2E87-4C69-92BB-A3ECAE93C0F6}" type="pres">
      <dgm:prSet presAssocID="{46D838E6-B0F9-4C38-93B8-3F2ED5C135BF}" presName="level3hierChild" presStyleCnt="0"/>
      <dgm:spPr/>
    </dgm:pt>
    <dgm:pt modelId="{84453A79-699A-4222-A365-B349CC7E564D}" type="pres">
      <dgm:prSet presAssocID="{CDF3B96D-0085-490F-B19A-1FA0D188E6F9}" presName="conn2-1" presStyleLbl="parChTrans1D3" presStyleIdx="6" presStyleCnt="8"/>
      <dgm:spPr/>
      <dgm:t>
        <a:bodyPr/>
        <a:lstStyle/>
        <a:p>
          <a:endParaRPr lang="fr-FR"/>
        </a:p>
      </dgm:t>
    </dgm:pt>
    <dgm:pt modelId="{8C18ED47-BA87-4A93-92A4-7561A420AE2E}" type="pres">
      <dgm:prSet presAssocID="{CDF3B96D-0085-490F-B19A-1FA0D188E6F9}" presName="connTx" presStyleLbl="parChTrans1D3" presStyleIdx="6" presStyleCnt="8"/>
      <dgm:spPr/>
      <dgm:t>
        <a:bodyPr/>
        <a:lstStyle/>
        <a:p>
          <a:endParaRPr lang="fr-FR"/>
        </a:p>
      </dgm:t>
    </dgm:pt>
    <dgm:pt modelId="{4A7293D5-3B8F-430C-86A4-3462F5B4D30E}" type="pres">
      <dgm:prSet presAssocID="{07CEEA0F-4DFF-4C48-B218-31654E86A1BA}" presName="root2" presStyleCnt="0"/>
      <dgm:spPr/>
    </dgm:pt>
    <dgm:pt modelId="{CFAA0187-EA69-4C92-BD02-28CCC69CEB6B}" type="pres">
      <dgm:prSet presAssocID="{07CEEA0F-4DFF-4C48-B218-31654E86A1BA}" presName="LevelTwoTextNode" presStyleLbl="node3" presStyleIdx="6" presStyleCnt="8" custScaleX="201877">
        <dgm:presLayoutVars>
          <dgm:chPref val="3"/>
        </dgm:presLayoutVars>
      </dgm:prSet>
      <dgm:spPr/>
      <dgm:t>
        <a:bodyPr/>
        <a:lstStyle/>
        <a:p>
          <a:endParaRPr lang="fr-FR"/>
        </a:p>
      </dgm:t>
    </dgm:pt>
    <dgm:pt modelId="{C40DABA2-9DEF-4045-945F-223850B2D259}" type="pres">
      <dgm:prSet presAssocID="{07CEEA0F-4DFF-4C48-B218-31654E86A1BA}" presName="level3hierChild" presStyleCnt="0"/>
      <dgm:spPr/>
    </dgm:pt>
    <dgm:pt modelId="{2509D15D-A71F-4C23-8E77-E12C4F609D33}" type="pres">
      <dgm:prSet presAssocID="{CE57DA39-381E-4784-9207-0FCE71FF337B}" presName="conn2-1" presStyleLbl="parChTrans1D4" presStyleIdx="11" presStyleCnt="14"/>
      <dgm:spPr/>
      <dgm:t>
        <a:bodyPr/>
        <a:lstStyle/>
        <a:p>
          <a:endParaRPr lang="fr-FR"/>
        </a:p>
      </dgm:t>
    </dgm:pt>
    <dgm:pt modelId="{882B94A7-D24A-410E-94FA-2F8F042A568B}" type="pres">
      <dgm:prSet presAssocID="{CE57DA39-381E-4784-9207-0FCE71FF337B}" presName="connTx" presStyleLbl="parChTrans1D4" presStyleIdx="11" presStyleCnt="14"/>
      <dgm:spPr/>
      <dgm:t>
        <a:bodyPr/>
        <a:lstStyle/>
        <a:p>
          <a:endParaRPr lang="fr-FR"/>
        </a:p>
      </dgm:t>
    </dgm:pt>
    <dgm:pt modelId="{649EC4D6-0CED-4D6A-BFF9-1DFB583A1753}" type="pres">
      <dgm:prSet presAssocID="{3209CA17-350F-45CD-8922-98CF5B782F66}" presName="root2" presStyleCnt="0"/>
      <dgm:spPr/>
    </dgm:pt>
    <dgm:pt modelId="{C976D2B9-5769-4A58-BD66-C029E5C7221D}" type="pres">
      <dgm:prSet presAssocID="{3209CA17-350F-45CD-8922-98CF5B782F66}" presName="LevelTwoTextNode" presStyleLbl="node4" presStyleIdx="11" presStyleCnt="14" custScaleX="523385" custLinFactX="72086" custLinFactNeighborX="100000">
        <dgm:presLayoutVars>
          <dgm:chPref val="3"/>
        </dgm:presLayoutVars>
      </dgm:prSet>
      <dgm:spPr/>
      <dgm:t>
        <a:bodyPr/>
        <a:lstStyle/>
        <a:p>
          <a:endParaRPr lang="fr-FR"/>
        </a:p>
      </dgm:t>
    </dgm:pt>
    <dgm:pt modelId="{BAC6FA0B-8CEF-4C03-AB2B-4FAAAA6AA96B}" type="pres">
      <dgm:prSet presAssocID="{3209CA17-350F-45CD-8922-98CF5B782F66}" presName="level3hierChild" presStyleCnt="0"/>
      <dgm:spPr/>
    </dgm:pt>
    <dgm:pt modelId="{9A41CC84-ABEA-4680-9E9C-E6BEB259B049}" type="pres">
      <dgm:prSet presAssocID="{596D6E0B-2037-461D-B2D2-C608FF8EC4B4}" presName="conn2-1" presStyleLbl="parChTrans1D4" presStyleIdx="12" presStyleCnt="14"/>
      <dgm:spPr/>
      <dgm:t>
        <a:bodyPr/>
        <a:lstStyle/>
        <a:p>
          <a:endParaRPr lang="fr-FR"/>
        </a:p>
      </dgm:t>
    </dgm:pt>
    <dgm:pt modelId="{1A775435-9249-4BE3-94DA-DE78B129525D}" type="pres">
      <dgm:prSet presAssocID="{596D6E0B-2037-461D-B2D2-C608FF8EC4B4}" presName="connTx" presStyleLbl="parChTrans1D4" presStyleIdx="12" presStyleCnt="14"/>
      <dgm:spPr/>
      <dgm:t>
        <a:bodyPr/>
        <a:lstStyle/>
        <a:p>
          <a:endParaRPr lang="fr-FR"/>
        </a:p>
      </dgm:t>
    </dgm:pt>
    <dgm:pt modelId="{53E6D082-4031-4D47-829B-5257101E52E0}" type="pres">
      <dgm:prSet presAssocID="{BEF2D3F9-E3F0-41B3-ACF0-DB08FC8991B4}" presName="root2" presStyleCnt="0"/>
      <dgm:spPr/>
    </dgm:pt>
    <dgm:pt modelId="{808F44E4-E8C5-4C4C-9D92-C282912FB3E7}" type="pres">
      <dgm:prSet presAssocID="{BEF2D3F9-E3F0-41B3-ACF0-DB08FC8991B4}" presName="LevelTwoTextNode" presStyleLbl="node4" presStyleIdx="12" presStyleCnt="14" custScaleX="523385" custLinFactX="72086" custLinFactNeighborX="100000">
        <dgm:presLayoutVars>
          <dgm:chPref val="3"/>
        </dgm:presLayoutVars>
      </dgm:prSet>
      <dgm:spPr/>
      <dgm:t>
        <a:bodyPr/>
        <a:lstStyle/>
        <a:p>
          <a:endParaRPr lang="fr-FR"/>
        </a:p>
      </dgm:t>
    </dgm:pt>
    <dgm:pt modelId="{C4000D98-FAB4-4F39-A5D6-7DBB88FB8DB2}" type="pres">
      <dgm:prSet presAssocID="{BEF2D3F9-E3F0-41B3-ACF0-DB08FC8991B4}" presName="level3hierChild" presStyleCnt="0"/>
      <dgm:spPr/>
    </dgm:pt>
    <dgm:pt modelId="{256CC832-540A-4C43-A087-AE9B3FCD4FAB}" type="pres">
      <dgm:prSet presAssocID="{34965BF0-A1E5-4590-B4B5-79BD30858559}" presName="conn2-1" presStyleLbl="parChTrans1D3" presStyleIdx="7" presStyleCnt="8"/>
      <dgm:spPr/>
      <dgm:t>
        <a:bodyPr/>
        <a:lstStyle/>
        <a:p>
          <a:endParaRPr lang="fr-FR"/>
        </a:p>
      </dgm:t>
    </dgm:pt>
    <dgm:pt modelId="{17C6A833-AAE9-4A0A-A998-B79E88B668E4}" type="pres">
      <dgm:prSet presAssocID="{34965BF0-A1E5-4590-B4B5-79BD30858559}" presName="connTx" presStyleLbl="parChTrans1D3" presStyleIdx="7" presStyleCnt="8"/>
      <dgm:spPr/>
      <dgm:t>
        <a:bodyPr/>
        <a:lstStyle/>
        <a:p>
          <a:endParaRPr lang="fr-FR"/>
        </a:p>
      </dgm:t>
    </dgm:pt>
    <dgm:pt modelId="{7ED440D1-40FF-4383-904D-64C9247D048A}" type="pres">
      <dgm:prSet presAssocID="{A0E69DC9-8CEA-4B73-A3A2-46432E430C31}" presName="root2" presStyleCnt="0"/>
      <dgm:spPr/>
    </dgm:pt>
    <dgm:pt modelId="{4EEEA69B-AF54-42E6-A992-694A1D8C96F6}" type="pres">
      <dgm:prSet presAssocID="{A0E69DC9-8CEA-4B73-A3A2-46432E430C31}" presName="LevelTwoTextNode" presStyleLbl="node3" presStyleIdx="7" presStyleCnt="8" custScaleX="201877">
        <dgm:presLayoutVars>
          <dgm:chPref val="3"/>
        </dgm:presLayoutVars>
      </dgm:prSet>
      <dgm:spPr/>
      <dgm:t>
        <a:bodyPr/>
        <a:lstStyle/>
        <a:p>
          <a:endParaRPr lang="fr-FR"/>
        </a:p>
      </dgm:t>
    </dgm:pt>
    <dgm:pt modelId="{0D1C9358-B808-4E42-884F-963F2D9391DC}" type="pres">
      <dgm:prSet presAssocID="{A0E69DC9-8CEA-4B73-A3A2-46432E430C31}" presName="level3hierChild" presStyleCnt="0"/>
      <dgm:spPr/>
    </dgm:pt>
    <dgm:pt modelId="{9FC29DFA-229D-4821-9CA8-E7DA9E164C4D}" type="pres">
      <dgm:prSet presAssocID="{8DD1037C-312B-455B-953C-39D3CE047B41}" presName="conn2-1" presStyleLbl="parChTrans1D4" presStyleIdx="13" presStyleCnt="14"/>
      <dgm:spPr/>
      <dgm:t>
        <a:bodyPr/>
        <a:lstStyle/>
        <a:p>
          <a:endParaRPr lang="fr-FR"/>
        </a:p>
      </dgm:t>
    </dgm:pt>
    <dgm:pt modelId="{B39ED79A-4D24-48D3-93FD-2F0F7EC7E98E}" type="pres">
      <dgm:prSet presAssocID="{8DD1037C-312B-455B-953C-39D3CE047B41}" presName="connTx" presStyleLbl="parChTrans1D4" presStyleIdx="13" presStyleCnt="14"/>
      <dgm:spPr/>
      <dgm:t>
        <a:bodyPr/>
        <a:lstStyle/>
        <a:p>
          <a:endParaRPr lang="fr-FR"/>
        </a:p>
      </dgm:t>
    </dgm:pt>
    <dgm:pt modelId="{CB6325DE-E04C-4E99-AE76-410BED103A56}" type="pres">
      <dgm:prSet presAssocID="{7DA4F440-7F9A-4842-B774-6E2D7E35B34A}" presName="root2" presStyleCnt="0"/>
      <dgm:spPr/>
    </dgm:pt>
    <dgm:pt modelId="{0CE19A2B-571B-4CB4-B69B-102A14EFFD78}" type="pres">
      <dgm:prSet presAssocID="{7DA4F440-7F9A-4842-B774-6E2D7E35B34A}" presName="LevelTwoTextNode" presStyleLbl="node4" presStyleIdx="13" presStyleCnt="14" custScaleX="523385" custLinFactX="72086" custLinFactNeighborX="100000">
        <dgm:presLayoutVars>
          <dgm:chPref val="3"/>
        </dgm:presLayoutVars>
      </dgm:prSet>
      <dgm:spPr/>
      <dgm:t>
        <a:bodyPr/>
        <a:lstStyle/>
        <a:p>
          <a:endParaRPr lang="fr-FR"/>
        </a:p>
      </dgm:t>
    </dgm:pt>
    <dgm:pt modelId="{6B6774C9-6EE4-491F-BC24-15F6CC0ADEF2}" type="pres">
      <dgm:prSet presAssocID="{7DA4F440-7F9A-4842-B774-6E2D7E35B34A}" presName="level3hierChild" presStyleCnt="0"/>
      <dgm:spPr/>
    </dgm:pt>
  </dgm:ptLst>
  <dgm:cxnLst>
    <dgm:cxn modelId="{11BEDEC5-EEA9-4E53-9A55-85B0F4015825}" type="presOf" srcId="{CDF3B96D-0085-490F-B19A-1FA0D188E6F9}" destId="{84453A79-699A-4222-A365-B349CC7E564D}" srcOrd="0" destOrd="0" presId="urn:microsoft.com/office/officeart/2005/8/layout/hierarchy2"/>
    <dgm:cxn modelId="{5A1806B5-3057-44B5-8A85-B17C86E4B1CE}" srcId="{3450464A-F293-4BBC-9F65-1EF129D500D9}" destId="{EBA38D79-F51F-43CF-9B3C-FF3649A2B3E0}" srcOrd="1" destOrd="0" parTransId="{ED76FACE-DD45-4E6C-A7E6-68DBFFB366FB}" sibTransId="{EFA23F10-3FAD-475A-A606-536F8586EF2A}"/>
    <dgm:cxn modelId="{BB15A3C4-8B01-44E3-ACB5-2D8F9810B86C}" srcId="{A42D4249-0084-465C-9159-157DC77C4D1B}" destId="{46D838E6-B0F9-4C38-93B8-3F2ED5C135BF}" srcOrd="1" destOrd="0" parTransId="{8390ABD8-2AE3-46A7-B7BD-7F4C2CED8209}" sibTransId="{15310B65-9182-4BDC-94C7-D8BE66EC020B}"/>
    <dgm:cxn modelId="{DDB9806D-8FD0-433A-A6A4-4EE2BBEF0E1D}" type="presOf" srcId="{DBC3A8B6-6B27-4595-B884-13B91EB914F9}" destId="{094ED728-6FE3-4730-9AC6-09945C8F5498}" srcOrd="0" destOrd="0" presId="urn:microsoft.com/office/officeart/2005/8/layout/hierarchy2"/>
    <dgm:cxn modelId="{793A09F0-98DC-49D3-BAC1-D1B38E3D6EDD}" type="presOf" srcId="{BEF2D3F9-E3F0-41B3-ACF0-DB08FC8991B4}" destId="{808F44E4-E8C5-4C4C-9D92-C282912FB3E7}" srcOrd="0" destOrd="0" presId="urn:microsoft.com/office/officeart/2005/8/layout/hierarchy2"/>
    <dgm:cxn modelId="{17F2C470-6A3E-48A8-9A90-F23F07D131A8}" type="presOf" srcId="{34965BF0-A1E5-4590-B4B5-79BD30858559}" destId="{17C6A833-AAE9-4A0A-A998-B79E88B668E4}" srcOrd="1" destOrd="0" presId="urn:microsoft.com/office/officeart/2005/8/layout/hierarchy2"/>
    <dgm:cxn modelId="{38FE9F99-B414-4A2B-B064-09F9021C1027}" type="presOf" srcId="{596D6E0B-2037-461D-B2D2-C608FF8EC4B4}" destId="{1A775435-9249-4BE3-94DA-DE78B129525D}" srcOrd="1" destOrd="0" presId="urn:microsoft.com/office/officeart/2005/8/layout/hierarchy2"/>
    <dgm:cxn modelId="{4BD83E01-DC01-4541-90E5-021442C9B916}" srcId="{9A2BBCC9-08C9-4BCC-BD7A-012332C8B990}" destId="{EB4F00DA-8D1C-4BD3-A918-6A195C5FCA16}" srcOrd="2" destOrd="0" parTransId="{E2CB8E83-F6FD-41A9-B093-5371EBDBBECE}" sibTransId="{B3F438CA-3B03-4FAC-A16B-DB2469C30665}"/>
    <dgm:cxn modelId="{800AAC49-82A5-4A5A-B54E-B132B26A854A}" srcId="{EB4F00DA-8D1C-4BD3-A918-6A195C5FCA16}" destId="{DBC3A8B6-6B27-4595-B884-13B91EB914F9}" srcOrd="0" destOrd="0" parTransId="{DF0C55A6-AAFE-4CB6-90A6-7EEAC57E98D2}" sibTransId="{CEED5C29-7D1E-44DB-923E-D13383C8ACB3}"/>
    <dgm:cxn modelId="{2C1273BC-F8F5-46EC-B9D9-DF91986E4062}" type="presOf" srcId="{8DD1037C-312B-455B-953C-39D3CE047B41}" destId="{9FC29DFA-229D-4821-9CA8-E7DA9E164C4D}" srcOrd="0" destOrd="0" presId="urn:microsoft.com/office/officeart/2005/8/layout/hierarchy2"/>
    <dgm:cxn modelId="{0ECE1215-C948-4DE2-824B-50DAD63E9D09}" srcId="{9A2BBCC9-08C9-4BCC-BD7A-012332C8B990}" destId="{EEDB03C6-0932-431B-8AEB-D01782B0736E}" srcOrd="1" destOrd="0" parTransId="{7AE11443-8B5E-4300-8BD1-F9598AD3D1C1}" sibTransId="{5DEE4D77-9C45-4EF7-A6CB-D1F01C4A37CE}"/>
    <dgm:cxn modelId="{F1BF1359-3B56-49E0-A556-E61DD3F24C61}" type="presOf" srcId="{1140E27E-AC06-4904-B7A6-C3ACE2B16664}" destId="{69C98D25-E49C-4FDB-82C0-18575914304D}" srcOrd="0" destOrd="0" presId="urn:microsoft.com/office/officeart/2005/8/layout/hierarchy2"/>
    <dgm:cxn modelId="{86139243-00F5-414E-836C-2C31BC66576D}" srcId="{EEDB03C6-0932-431B-8AEB-D01782B0736E}" destId="{C0B2AFD4-38F1-4053-A92C-2A86B1B56302}" srcOrd="1" destOrd="0" parTransId="{F2C449B2-F855-4B6C-A468-E69C4A91DD92}" sibTransId="{3D3BF331-99A5-4982-8ABF-37671ED0695F}"/>
    <dgm:cxn modelId="{1FE4DBB4-227C-43AC-87A5-7F69D883C8BC}" type="presOf" srcId="{F2C449B2-F855-4B6C-A468-E69C4A91DD92}" destId="{E0B09C65-7622-4CA0-90EC-31A55E45505E}" srcOrd="1" destOrd="0" presId="urn:microsoft.com/office/officeart/2005/8/layout/hierarchy2"/>
    <dgm:cxn modelId="{092DAB24-8626-497C-80B0-81C6E4B32576}" type="presOf" srcId="{CDF3B96D-0085-490F-B19A-1FA0D188E6F9}" destId="{8C18ED47-BA87-4A93-92A4-7561A420AE2E}" srcOrd="1" destOrd="0" presId="urn:microsoft.com/office/officeart/2005/8/layout/hierarchy2"/>
    <dgm:cxn modelId="{CB79143F-5C6B-4E51-9E51-92133AAF9CB3}" type="presOf" srcId="{0EBF36AD-479B-43F5-9D1F-B2BED5E0CA2F}" destId="{F7DE6281-0885-4021-88F6-77B2A53DC85D}" srcOrd="1" destOrd="0" presId="urn:microsoft.com/office/officeart/2005/8/layout/hierarchy2"/>
    <dgm:cxn modelId="{5E6D8B11-6492-4990-873C-81DBB1BFC785}" type="presOf" srcId="{CE57DA39-381E-4784-9207-0FCE71FF337B}" destId="{2509D15D-A71F-4C23-8E77-E12C4F609D33}" srcOrd="0" destOrd="0" presId="urn:microsoft.com/office/officeart/2005/8/layout/hierarchy2"/>
    <dgm:cxn modelId="{C99223DC-EF11-44B8-8996-4FE9532BB5CC}" type="presOf" srcId="{931A342A-6F1C-4E88-8B1A-DF5B743D63C9}" destId="{CAFEB99C-827F-41A6-B28E-981CD5511437}" srcOrd="0" destOrd="0" presId="urn:microsoft.com/office/officeart/2005/8/layout/hierarchy2"/>
    <dgm:cxn modelId="{38AAC344-8FC2-40EB-8CEC-00FFC0A42850}" type="presOf" srcId="{46D838E6-B0F9-4C38-93B8-3F2ED5C135BF}" destId="{AF329EE1-8A05-465F-BA8B-5ED0B62637AC}" srcOrd="0" destOrd="0" presId="urn:microsoft.com/office/officeart/2005/8/layout/hierarchy2"/>
    <dgm:cxn modelId="{2637476F-1BB5-41DD-97AB-8B900E3A8D24}" type="presOf" srcId="{BC4E36C4-BFD1-4D9B-B498-7B090A0D9557}" destId="{5E1F2220-05C4-438F-A081-99DAF64F7142}" srcOrd="0" destOrd="0" presId="urn:microsoft.com/office/officeart/2005/8/layout/hierarchy2"/>
    <dgm:cxn modelId="{647B6106-D2A3-4717-8608-9D73F11D5D16}" type="presOf" srcId="{E2CB8E83-F6FD-41A9-B093-5371EBDBBECE}" destId="{204379E2-B776-429C-A97C-B519961406F7}" srcOrd="1" destOrd="0" presId="urn:microsoft.com/office/officeart/2005/8/layout/hierarchy2"/>
    <dgm:cxn modelId="{547496E5-7B48-4A59-9A1E-E93DDA532CBF}" srcId="{D509E99B-8A2C-460C-9F7A-465650F4EBA1}" destId="{9A2BBCC9-08C9-4BCC-BD7A-012332C8B990}" srcOrd="0" destOrd="0" parTransId="{65EA317C-3767-49D7-B3FE-040F41827F8C}" sibTransId="{F03B07A7-92C2-40E9-BF62-D6CF9FAC0F04}"/>
    <dgm:cxn modelId="{D68EE16E-5304-4F5F-8865-CE0973D69016}" type="presOf" srcId="{3450464A-F293-4BBC-9F65-1EF129D500D9}" destId="{842B5ADE-4592-4729-9BA0-AC8AA65DAC20}" srcOrd="0" destOrd="0" presId="urn:microsoft.com/office/officeart/2005/8/layout/hierarchy2"/>
    <dgm:cxn modelId="{EF37EB63-D468-47FA-8AE1-3431B5C56E38}" type="presOf" srcId="{931A342A-6F1C-4E88-8B1A-DF5B743D63C9}" destId="{D207D22B-5875-4704-94F5-84C1B5A41863}" srcOrd="1" destOrd="0" presId="urn:microsoft.com/office/officeart/2005/8/layout/hierarchy2"/>
    <dgm:cxn modelId="{A79C4F74-95A8-4CFB-87C0-1BE6DC9CCE51}" type="presOf" srcId="{8DD1037C-312B-455B-953C-39D3CE047B41}" destId="{B39ED79A-4D24-48D3-93FD-2F0F7EC7E98E}" srcOrd="1" destOrd="0" presId="urn:microsoft.com/office/officeart/2005/8/layout/hierarchy2"/>
    <dgm:cxn modelId="{A44FD84E-3E90-4AF4-9099-282234784953}" type="presOf" srcId="{865B70A7-EBAC-464E-8025-AF3605DD4CA1}" destId="{75398DEC-0064-4ACC-A406-0F5D183EA113}" srcOrd="0" destOrd="0" presId="urn:microsoft.com/office/officeart/2005/8/layout/hierarchy2"/>
    <dgm:cxn modelId="{E3399FE1-7A59-46C8-BBF9-A3F2DA28CEA6}" type="presOf" srcId="{95AD826F-7D06-497C-A4E5-4166A3881BC2}" destId="{2DB7C7B3-9ACC-40BD-9CD8-AF4E25D7E57B}" srcOrd="1" destOrd="0" presId="urn:microsoft.com/office/officeart/2005/8/layout/hierarchy2"/>
    <dgm:cxn modelId="{DCEDB385-5D61-40FE-9DFC-09484CFEEF0C}" type="presOf" srcId="{45BEC6CB-CEAE-4D3A-BB74-9710661E5495}" destId="{E62938E9-EF12-43F5-AAB9-9CD0041246A0}" srcOrd="0" destOrd="0" presId="urn:microsoft.com/office/officeart/2005/8/layout/hierarchy2"/>
    <dgm:cxn modelId="{27349283-E122-4D1B-A52E-792D7F482CAD}" type="presOf" srcId="{AAEB49C7-DD80-47C3-B2BE-815DE08EC8FF}" destId="{CED20A7F-39C4-4DA2-8B29-D7693639F6AF}" srcOrd="0" destOrd="0" presId="urn:microsoft.com/office/officeart/2005/8/layout/hierarchy2"/>
    <dgm:cxn modelId="{66239A6A-C412-45D1-9EDB-FDDD37F90162}" type="presOf" srcId="{9A2BBCC9-08C9-4BCC-BD7A-012332C8B990}" destId="{9756CD15-2B6E-410B-B794-1B3B9CE85A61}" srcOrd="0" destOrd="0" presId="urn:microsoft.com/office/officeart/2005/8/layout/hierarchy2"/>
    <dgm:cxn modelId="{56C5708A-FE22-4F38-B82C-65F4253E8FB3}" type="presOf" srcId="{70C6C7D8-B2B0-4A48-BAE1-5D8E9AAD9355}" destId="{4991DB15-8F7E-4FEA-94F7-58E3351A37AD}" srcOrd="0" destOrd="0" presId="urn:microsoft.com/office/officeart/2005/8/layout/hierarchy2"/>
    <dgm:cxn modelId="{CD51447C-6CA8-46E9-98C9-FD576AC8BE90}" type="presOf" srcId="{65EA317C-3767-49D7-B3FE-040F41827F8C}" destId="{15B0DCBA-4087-4376-83B2-C78524BA444B}" srcOrd="0" destOrd="0" presId="urn:microsoft.com/office/officeart/2005/8/layout/hierarchy2"/>
    <dgm:cxn modelId="{1AC507E4-69AC-4DE5-A822-29B5AF23A47F}" srcId="{EEDB03C6-0932-431B-8AEB-D01782B0736E}" destId="{5DE4A063-D8AC-491D-AA02-8602FEF9D578}" srcOrd="0" destOrd="0" parTransId="{20ED08B4-8EA0-4BB3-ACE2-4ADBCFD5B8E9}" sibTransId="{E9706134-D946-447E-8EF8-8180D86C6202}"/>
    <dgm:cxn modelId="{F6126B4D-B2C5-4026-A21D-0E38DB0A2C43}" type="presOf" srcId="{EBA38D79-F51F-43CF-9B3C-FF3649A2B3E0}" destId="{1FB3961B-B13A-48C1-BC33-35E1D92DC445}" srcOrd="0" destOrd="0" presId="urn:microsoft.com/office/officeart/2005/8/layout/hierarchy2"/>
    <dgm:cxn modelId="{E2738C33-96B1-4C61-8928-D932393EA777}" type="presOf" srcId="{B864E2C4-FC59-4990-B023-570F9750BBF4}" destId="{BE8003E3-2DC2-4451-AB1B-1F16F91257DB}" srcOrd="0" destOrd="0" presId="urn:microsoft.com/office/officeart/2005/8/layout/hierarchy2"/>
    <dgm:cxn modelId="{D9A85EE8-6593-42B1-8B87-DDF4CD2C666F}" type="presOf" srcId="{DF0C55A6-AAFE-4CB6-90A6-7EEAC57E98D2}" destId="{1A3A0070-FDF7-4FE4-8874-455452EE1DAC}" srcOrd="1" destOrd="0" presId="urn:microsoft.com/office/officeart/2005/8/layout/hierarchy2"/>
    <dgm:cxn modelId="{0A08FA0C-28F2-46FA-AA9F-500B9E1C924A}" type="presOf" srcId="{C2293203-D35E-46B2-B033-5C91B313FF5A}" destId="{371E1EAE-93FF-4281-A4FE-31CC77CE8551}" srcOrd="1" destOrd="0" presId="urn:microsoft.com/office/officeart/2005/8/layout/hierarchy2"/>
    <dgm:cxn modelId="{821C0B89-FF12-4804-ABDE-7258D5196B3B}" type="presOf" srcId="{CE57DA39-381E-4784-9207-0FCE71FF337B}" destId="{882B94A7-D24A-410E-94FA-2F8F042A568B}" srcOrd="1" destOrd="0" presId="urn:microsoft.com/office/officeart/2005/8/layout/hierarchy2"/>
    <dgm:cxn modelId="{71BF8680-BF6E-4E3B-BF2B-FBC5B35A6519}" type="presOf" srcId="{164D2F9C-032D-4CAE-BC19-80EDC9E68C1F}" destId="{4407AE97-A298-40DA-BC7A-BAAE5C66AF72}" srcOrd="0" destOrd="0" presId="urn:microsoft.com/office/officeart/2005/8/layout/hierarchy2"/>
    <dgm:cxn modelId="{D3F2AD8E-4302-483B-9859-6BC39210074F}" type="presOf" srcId="{444659E9-0466-4D88-9E79-AA9EB8CB4884}" destId="{067B2A55-A52F-4C7D-924A-BACF6F633EF7}" srcOrd="0" destOrd="0" presId="urn:microsoft.com/office/officeart/2005/8/layout/hierarchy2"/>
    <dgm:cxn modelId="{236B1806-5140-476F-A27A-6EF0262B9AE6}" type="presOf" srcId="{760DF523-6ED4-4ACB-8497-57CEBE39C532}" destId="{6C4DA581-16BC-428A-83B1-6E7731BDC8EA}" srcOrd="0" destOrd="0" presId="urn:microsoft.com/office/officeart/2005/8/layout/hierarchy2"/>
    <dgm:cxn modelId="{7F7E0B03-981E-4D1B-9302-B91F785C4EE2}" type="presOf" srcId="{A42D4249-0084-465C-9159-157DC77C4D1B}" destId="{A3E51525-BB08-4697-B108-D2611B019EAF}" srcOrd="0" destOrd="0" presId="urn:microsoft.com/office/officeart/2005/8/layout/hierarchy2"/>
    <dgm:cxn modelId="{DEB31032-5198-4314-ACA8-7E1D7BB4A146}" srcId="{9A2BBCC9-08C9-4BCC-BD7A-012332C8B990}" destId="{B864E2C4-FC59-4990-B023-570F9750BBF4}" srcOrd="3" destOrd="0" parTransId="{AAEB49C7-DD80-47C3-B2BE-815DE08EC8FF}" sibTransId="{4F98DAF9-B190-4138-9730-B8D03730ACF3}"/>
    <dgm:cxn modelId="{4B9B4310-FACB-4222-8601-EE66D1F41DD7}" type="presOf" srcId="{BC4E36C4-BFD1-4D9B-B498-7B090A0D9557}" destId="{C31F0DCA-B9E8-451A-807F-B8810F7AFD98}" srcOrd="1" destOrd="0" presId="urn:microsoft.com/office/officeart/2005/8/layout/hierarchy2"/>
    <dgm:cxn modelId="{7864EC15-CA99-4476-9840-5C417A7E4B34}" srcId="{07CEEA0F-4DFF-4C48-B218-31654E86A1BA}" destId="{3209CA17-350F-45CD-8922-98CF5B782F66}" srcOrd="0" destOrd="0" parTransId="{CE57DA39-381E-4784-9207-0FCE71FF337B}" sibTransId="{B6F70BD0-D84F-4629-952E-30876ABBE47E}"/>
    <dgm:cxn modelId="{FBC6D330-D99B-43B5-A813-099F22B48196}" type="presOf" srcId="{3209CA17-350F-45CD-8922-98CF5B782F66}" destId="{C976D2B9-5769-4A58-BD66-C029E5C7221D}" srcOrd="0" destOrd="0" presId="urn:microsoft.com/office/officeart/2005/8/layout/hierarchy2"/>
    <dgm:cxn modelId="{EEBA7EB0-7D7F-45B9-A337-7A8935A5B2A4}" srcId="{9A2BBCC9-08C9-4BCC-BD7A-012332C8B990}" destId="{3450464A-F293-4BBC-9F65-1EF129D500D9}" srcOrd="4" destOrd="0" parTransId="{444659E9-0466-4D88-9E79-AA9EB8CB4884}" sibTransId="{7240D344-B619-43F2-90AB-19DA98275511}"/>
    <dgm:cxn modelId="{8B6008F7-8AA4-4E80-9822-5AB2B6C01EEB}" type="presOf" srcId="{F2C449B2-F855-4B6C-A468-E69C4A91DD92}" destId="{9E4C8E60-01F6-4549-AD4C-FD6D0BD324E3}" srcOrd="0" destOrd="0" presId="urn:microsoft.com/office/officeart/2005/8/layout/hierarchy2"/>
    <dgm:cxn modelId="{510AFBDC-B78F-41FF-801A-221649052934}" type="presOf" srcId="{760DF523-6ED4-4ACB-8497-57CEBE39C532}" destId="{7587AFEA-86B7-4E61-A4AF-8DC12CE40F2A}" srcOrd="1" destOrd="0" presId="urn:microsoft.com/office/officeart/2005/8/layout/hierarchy2"/>
    <dgm:cxn modelId="{52A08B6D-4517-43EF-8917-90A0FCD1733A}" type="presOf" srcId="{A0E69DC9-8CEA-4B73-A3A2-46432E430C31}" destId="{4EEEA69B-AF54-42E6-A992-694A1D8C96F6}" srcOrd="0" destOrd="0" presId="urn:microsoft.com/office/officeart/2005/8/layout/hierarchy2"/>
    <dgm:cxn modelId="{E00F0FE2-D8ED-4BB4-A1FD-B6F4C8EFFAF7}" type="presOf" srcId="{07CEEA0F-4DFF-4C48-B218-31654E86A1BA}" destId="{CFAA0187-EA69-4C92-BD02-28CCC69CEB6B}" srcOrd="0" destOrd="0" presId="urn:microsoft.com/office/officeart/2005/8/layout/hierarchy2"/>
    <dgm:cxn modelId="{94526970-E915-4984-8DA9-EF6115769730}" srcId="{AD725098-C099-4852-9616-BE36E4793A95}" destId="{D509E99B-8A2C-460C-9F7A-465650F4EBA1}" srcOrd="0" destOrd="0" parTransId="{6A67C091-F1C0-40B6-BAF2-E849A2739EE5}" sibTransId="{F69D8CA4-0AB5-4172-9149-5B09AD37E246}"/>
    <dgm:cxn modelId="{29AEFAB5-8A36-42B5-95E1-D4BB39069AA5}" type="presOf" srcId="{C2293203-D35E-46B2-B033-5C91B313FF5A}" destId="{10496EE6-5ACC-4C63-8233-5ED129F6012E}" srcOrd="0" destOrd="0" presId="urn:microsoft.com/office/officeart/2005/8/layout/hierarchy2"/>
    <dgm:cxn modelId="{3B6607FA-A97C-4DC9-9280-B12D29D544D6}" type="presOf" srcId="{08B9910C-9198-4144-A180-308DE3A63F62}" destId="{BE893CAB-BE9D-476E-AB38-B5C755F976FC}" srcOrd="0" destOrd="0" presId="urn:microsoft.com/office/officeart/2005/8/layout/hierarchy2"/>
    <dgm:cxn modelId="{32A4A297-A662-4D8E-8D70-D5FB42291CA4}" type="presOf" srcId="{C0B2AFD4-38F1-4053-A92C-2A86B1B56302}" destId="{6138564E-0996-4ADF-9393-B53CF69D6151}" srcOrd="0" destOrd="0" presId="urn:microsoft.com/office/officeart/2005/8/layout/hierarchy2"/>
    <dgm:cxn modelId="{65ACC508-FAC5-4995-9CB1-98F912501E69}" type="presOf" srcId="{865B70A7-EBAC-464E-8025-AF3605DD4CA1}" destId="{D0EAA69E-D19B-4E38-B667-F8F2211B87EB}" srcOrd="1" destOrd="0" presId="urn:microsoft.com/office/officeart/2005/8/layout/hierarchy2"/>
    <dgm:cxn modelId="{A254FD51-078A-4BBA-9510-16B45347B6DE}" srcId="{B864E2C4-FC59-4990-B023-570F9750BBF4}" destId="{ADA01EFF-B7C1-44C7-83BA-B2D0F0683985}" srcOrd="0" destOrd="0" parTransId="{C2293203-D35E-46B2-B033-5C91B313FF5A}" sibTransId="{A1144498-DCB8-49F9-8D7F-93E0684DB68B}"/>
    <dgm:cxn modelId="{51D9BCA6-DB9E-44AB-90B8-EC29C134C67E}" type="presOf" srcId="{ED76FACE-DD45-4E6C-A7E6-68DBFFB366FB}" destId="{322E38CE-B25D-4933-A3FA-2A2A38B85158}" srcOrd="0" destOrd="0" presId="urn:microsoft.com/office/officeart/2005/8/layout/hierarchy2"/>
    <dgm:cxn modelId="{BD48D70B-6D86-4457-AB2B-81977C6E94BB}" type="presOf" srcId="{5DE4A063-D8AC-491D-AA02-8602FEF9D578}" destId="{28D73A6C-178E-4142-8442-5C8CC1E482D2}" srcOrd="0" destOrd="0" presId="urn:microsoft.com/office/officeart/2005/8/layout/hierarchy2"/>
    <dgm:cxn modelId="{776B8E44-ED69-4FC1-92C0-9340A9F101BF}" type="presOf" srcId="{E2CB8E83-F6FD-41A9-B093-5371EBDBBECE}" destId="{2B0FFCEB-18DE-4569-B960-9828A63492FC}" srcOrd="0" destOrd="0" presId="urn:microsoft.com/office/officeart/2005/8/layout/hierarchy2"/>
    <dgm:cxn modelId="{D1A52B5C-05F1-4F36-9B96-C4957B908D20}" type="presOf" srcId="{8390ABD8-2AE3-46A7-B7BD-7F4C2CED8209}" destId="{40697E7B-D4B6-47DC-94D8-7C69D10A3F1E}" srcOrd="0" destOrd="0" presId="urn:microsoft.com/office/officeart/2005/8/layout/hierarchy2"/>
    <dgm:cxn modelId="{AF047A95-131B-4BFB-9631-80BFCCEF76D0}" srcId="{3450464A-F293-4BBC-9F65-1EF129D500D9}" destId="{8C6FC27F-8871-4BB4-9124-A6D5184963C4}" srcOrd="0" destOrd="0" parTransId="{0EBF36AD-479B-43F5-9D1F-B2BED5E0CA2F}" sibTransId="{0AC3EF04-D70E-4BDB-B386-6FACA0DB0C2A}"/>
    <dgm:cxn modelId="{F4F344D8-B859-40E5-A11C-4F905D32A6D6}" type="presOf" srcId="{596D6E0B-2037-461D-B2D2-C608FF8EC4B4}" destId="{9A41CC84-ABEA-4680-9E9C-E6BEB259B049}" srcOrd="0" destOrd="0" presId="urn:microsoft.com/office/officeart/2005/8/layout/hierarchy2"/>
    <dgm:cxn modelId="{3164C5A3-70C1-48B8-86C1-837FE27D623E}" srcId="{08B9910C-9198-4144-A180-308DE3A63F62}" destId="{1140E27E-AC06-4904-B7A6-C3ACE2B16664}" srcOrd="1" destOrd="0" parTransId="{BC4E36C4-BFD1-4D9B-B498-7B090A0D9557}" sibTransId="{B3046DAD-4F9D-4718-B66F-CA9F7552BB51}"/>
    <dgm:cxn modelId="{913126C9-D8A3-4126-995C-407385571D4E}" type="presOf" srcId="{8390ABD8-2AE3-46A7-B7BD-7F4C2CED8209}" destId="{29171AE4-0972-4C22-A577-BEB8B27A002F}" srcOrd="1" destOrd="0" presId="urn:microsoft.com/office/officeart/2005/8/layout/hierarchy2"/>
    <dgm:cxn modelId="{C3888982-CC1D-46E2-8B13-3C7A6C60BAAE}" type="presOf" srcId="{34965BF0-A1E5-4590-B4B5-79BD30858559}" destId="{256CC832-540A-4C43-A087-AE9B3FCD4FAB}" srcOrd="0" destOrd="0" presId="urn:microsoft.com/office/officeart/2005/8/layout/hierarchy2"/>
    <dgm:cxn modelId="{F3FB630F-B610-4B1C-808B-FF85218A4EE4}" type="presOf" srcId="{20ED08B4-8EA0-4BB3-ACE2-4ADBCFD5B8E9}" destId="{96487D65-A56A-44F9-8DAB-84C5013DD3D7}" srcOrd="0" destOrd="0" presId="urn:microsoft.com/office/officeart/2005/8/layout/hierarchy2"/>
    <dgm:cxn modelId="{EF00F6D0-F1D8-4F6B-9AC9-1A4D290E8B6E}" type="presOf" srcId="{AD725098-C099-4852-9616-BE36E4793A95}" destId="{7CC9B070-6E1E-4234-983B-54526D34233E}" srcOrd="0" destOrd="0" presId="urn:microsoft.com/office/officeart/2005/8/layout/hierarchy2"/>
    <dgm:cxn modelId="{9279E807-DAAA-4236-860A-FB59FFD314D1}" srcId="{9A2BBCC9-08C9-4BCC-BD7A-012332C8B990}" destId="{07CEEA0F-4DFF-4C48-B218-31654E86A1BA}" srcOrd="6" destOrd="0" parTransId="{CDF3B96D-0085-490F-B19A-1FA0D188E6F9}" sibTransId="{14716E41-1E26-48DD-99A0-569C09187D02}"/>
    <dgm:cxn modelId="{1E80A578-6005-4CCD-BAA2-4B170E8BF45F}" type="presOf" srcId="{20ED08B4-8EA0-4BB3-ACE2-4ADBCFD5B8E9}" destId="{6CABBADA-9953-48C2-BF15-74EF1D41B237}" srcOrd="1" destOrd="0" presId="urn:microsoft.com/office/officeart/2005/8/layout/hierarchy2"/>
    <dgm:cxn modelId="{73BD358A-F29F-4F39-A423-F168E7A4CD57}" srcId="{08B9910C-9198-4144-A180-308DE3A63F62}" destId="{164D2F9C-032D-4CAE-BC19-80EDC9E68C1F}" srcOrd="0" destOrd="0" parTransId="{95AD826F-7D06-497C-A4E5-4166A3881BC2}" sibTransId="{DE78B0DF-C46F-414C-B7A6-B1862FCABBCD}"/>
    <dgm:cxn modelId="{89FA5750-5F3C-4C79-A359-C0E8CB6E5E46}" srcId="{A42D4249-0084-465C-9159-157DC77C4D1B}" destId="{941345CC-BA76-4C44-BF31-ADCB4CB8B12E}" srcOrd="0" destOrd="0" parTransId="{70C6C7D8-B2B0-4A48-BAE1-5D8E9AAD9355}" sibTransId="{F428241B-7593-4299-8F81-59285A01B7A6}"/>
    <dgm:cxn modelId="{4CB916F6-96D1-4FB9-BDB9-693362B629C3}" srcId="{07CEEA0F-4DFF-4C48-B218-31654E86A1BA}" destId="{BEF2D3F9-E3F0-41B3-ACF0-DB08FC8991B4}" srcOrd="1" destOrd="0" parTransId="{596D6E0B-2037-461D-B2D2-C608FF8EC4B4}" sibTransId="{8A4E4D30-FEE5-44FA-989B-87E0A58784B0}"/>
    <dgm:cxn modelId="{0DB2217D-141F-4C1E-9608-845DDF6301FA}" srcId="{9A2BBCC9-08C9-4BCC-BD7A-012332C8B990}" destId="{A0E69DC9-8CEA-4B73-A3A2-46432E430C31}" srcOrd="7" destOrd="0" parTransId="{34965BF0-A1E5-4590-B4B5-79BD30858559}" sibTransId="{82F6334F-0B5B-4270-961C-A4B93DF1B701}"/>
    <dgm:cxn modelId="{E9E7F3BC-E28E-442A-AD2D-14E83BBEDA65}" srcId="{9A2BBCC9-08C9-4BCC-BD7A-012332C8B990}" destId="{08B9910C-9198-4144-A180-308DE3A63F62}" srcOrd="0" destOrd="0" parTransId="{760DF523-6ED4-4ACB-8497-57CEBE39C532}" sibTransId="{62BFAFF4-9E68-4A45-9249-46CBAE5BCD7A}"/>
    <dgm:cxn modelId="{5112B344-A9E5-476D-8180-CC2411DB2582}" type="presOf" srcId="{0EBF36AD-479B-43F5-9D1F-B2BED5E0CA2F}" destId="{2DFBC0EF-EDEF-4E2F-AFA7-BE5EB26C7056}" srcOrd="0" destOrd="0" presId="urn:microsoft.com/office/officeart/2005/8/layout/hierarchy2"/>
    <dgm:cxn modelId="{05386E2A-1FB9-4CBB-AC22-4579E5D6BFE7}" type="presOf" srcId="{7AE11443-8B5E-4300-8BD1-F9598AD3D1C1}" destId="{9B461326-7A9D-4434-A4D2-D6BC30EA4719}" srcOrd="1" destOrd="0" presId="urn:microsoft.com/office/officeart/2005/8/layout/hierarchy2"/>
    <dgm:cxn modelId="{5CE62CC5-B435-4865-91CA-B131890E2F34}" type="presOf" srcId="{D509E99B-8A2C-460C-9F7A-465650F4EBA1}" destId="{088128DA-8168-490F-BFAB-DFD46BA34800}" srcOrd="0" destOrd="0" presId="urn:microsoft.com/office/officeart/2005/8/layout/hierarchy2"/>
    <dgm:cxn modelId="{989CCB58-D09D-40F2-A097-88842D8355B7}" type="presOf" srcId="{AAEB49C7-DD80-47C3-B2BE-815DE08EC8FF}" destId="{D875A270-EDA4-471E-A414-BEA50A59889A}" srcOrd="1" destOrd="0" presId="urn:microsoft.com/office/officeart/2005/8/layout/hierarchy2"/>
    <dgm:cxn modelId="{78DC2F68-7176-48BC-8413-9A19734A4407}" type="presOf" srcId="{65EA317C-3767-49D7-B3FE-040F41827F8C}" destId="{18FF8E60-66CF-416D-9D66-3A548EDBC5BF}" srcOrd="1" destOrd="0" presId="urn:microsoft.com/office/officeart/2005/8/layout/hierarchy2"/>
    <dgm:cxn modelId="{967C8E20-D717-4585-B228-F8798A7D1E84}" type="presOf" srcId="{EB4F00DA-8D1C-4BD3-A918-6A195C5FCA16}" destId="{298D58BA-6F27-486B-A9CB-3DF685ED25AD}" srcOrd="0" destOrd="0" presId="urn:microsoft.com/office/officeart/2005/8/layout/hierarchy2"/>
    <dgm:cxn modelId="{EE49E910-39CB-4DDD-AD03-B455F7F8165B}" srcId="{A0E69DC9-8CEA-4B73-A3A2-46432E430C31}" destId="{7DA4F440-7F9A-4842-B774-6E2D7E35B34A}" srcOrd="0" destOrd="0" parTransId="{8DD1037C-312B-455B-953C-39D3CE047B41}" sibTransId="{85E9FCE4-BF10-4A8B-8717-6157EBB7BE11}"/>
    <dgm:cxn modelId="{3BBF4904-B42A-4E33-A87D-F93CD576B4ED}" type="presOf" srcId="{8C6FC27F-8871-4BB4-9124-A6D5184963C4}" destId="{8BEC4CD2-E99D-4DCC-9FA4-E9EF5992CEAB}" srcOrd="0" destOrd="0" presId="urn:microsoft.com/office/officeart/2005/8/layout/hierarchy2"/>
    <dgm:cxn modelId="{4C610E21-C2F4-4C7C-833E-4A5DDC84C6DB}" type="presOf" srcId="{ED76FACE-DD45-4E6C-A7E6-68DBFFB366FB}" destId="{899BFC69-8E78-4773-82BB-07C0EAB8EB61}" srcOrd="1" destOrd="0" presId="urn:microsoft.com/office/officeart/2005/8/layout/hierarchy2"/>
    <dgm:cxn modelId="{9E04A099-2DC8-4921-B465-E7F378D96CD5}" type="presOf" srcId="{941345CC-BA76-4C44-BF31-ADCB4CB8B12E}" destId="{63B52382-3B76-4912-83A7-86D6F048D909}" srcOrd="0" destOrd="0" presId="urn:microsoft.com/office/officeart/2005/8/layout/hierarchy2"/>
    <dgm:cxn modelId="{96EC37EF-D2CA-4BFD-943C-2ED412413B69}" type="presOf" srcId="{EEDB03C6-0932-431B-8AEB-D01782B0736E}" destId="{0DF05AF9-9D40-47F4-AC6D-2625AE7508D8}" srcOrd="0" destOrd="0" presId="urn:microsoft.com/office/officeart/2005/8/layout/hierarchy2"/>
    <dgm:cxn modelId="{32C07FE2-A8A8-4EA5-8EF0-B429F8BE8AB6}" srcId="{EB4F00DA-8D1C-4BD3-A918-6A195C5FCA16}" destId="{45BEC6CB-CEAE-4D3A-BB74-9710661E5495}" srcOrd="1" destOrd="0" parTransId="{931A342A-6F1C-4E88-8B1A-DF5B743D63C9}" sibTransId="{973A707F-A284-4971-9054-58E675E218C7}"/>
    <dgm:cxn modelId="{44F32B57-DA26-4AE0-BFDF-9CA4184B8BFD}" type="presOf" srcId="{DF0C55A6-AAFE-4CB6-90A6-7EEAC57E98D2}" destId="{600D8A0E-37F3-48FB-8F27-457986F7D276}" srcOrd="0" destOrd="0" presId="urn:microsoft.com/office/officeart/2005/8/layout/hierarchy2"/>
    <dgm:cxn modelId="{EC12615E-F4E0-4EB2-A4A8-279AB24FD76F}" type="presOf" srcId="{70C6C7D8-B2B0-4A48-BAE1-5D8E9AAD9355}" destId="{E9270CCD-FBD4-472F-90CB-87C4EAA85E15}" srcOrd="1" destOrd="0" presId="urn:microsoft.com/office/officeart/2005/8/layout/hierarchy2"/>
    <dgm:cxn modelId="{ED67AE0E-5335-4CEC-B801-26A4625BBCF7}" type="presOf" srcId="{95AD826F-7D06-497C-A4E5-4166A3881BC2}" destId="{5ECCB816-2ED2-4E01-B916-A5B57E3FDA87}" srcOrd="0" destOrd="0" presId="urn:microsoft.com/office/officeart/2005/8/layout/hierarchy2"/>
    <dgm:cxn modelId="{8693FB01-3CA6-44DC-8AE8-02F52C54FB2B}" type="presOf" srcId="{7DA4F440-7F9A-4842-B774-6E2D7E35B34A}" destId="{0CE19A2B-571B-4CB4-B69B-102A14EFFD78}" srcOrd="0" destOrd="0" presId="urn:microsoft.com/office/officeart/2005/8/layout/hierarchy2"/>
    <dgm:cxn modelId="{52D8328C-00AA-4D78-A34A-EAD6A98CFFF3}" type="presOf" srcId="{444659E9-0466-4D88-9E79-AA9EB8CB4884}" destId="{D54C0F9A-35A5-4508-9FEE-C153548AD668}" srcOrd="1" destOrd="0" presId="urn:microsoft.com/office/officeart/2005/8/layout/hierarchy2"/>
    <dgm:cxn modelId="{467D7CD2-382E-4D84-BD2E-B8AE195C2788}" srcId="{9A2BBCC9-08C9-4BCC-BD7A-012332C8B990}" destId="{A42D4249-0084-465C-9159-157DC77C4D1B}" srcOrd="5" destOrd="0" parTransId="{865B70A7-EBAC-464E-8025-AF3605DD4CA1}" sibTransId="{046A8608-ABA3-4201-A1D0-6C0947C733A7}"/>
    <dgm:cxn modelId="{53E1A57D-D4A1-4CC4-97CB-EE7B4E740494}" type="presOf" srcId="{7AE11443-8B5E-4300-8BD1-F9598AD3D1C1}" destId="{B140A170-4400-4B82-A785-C4B654D02547}" srcOrd="0" destOrd="0" presId="urn:microsoft.com/office/officeart/2005/8/layout/hierarchy2"/>
    <dgm:cxn modelId="{E883A61F-0A4D-41EE-94CD-7D809EDF1657}" type="presOf" srcId="{ADA01EFF-B7C1-44C7-83BA-B2D0F0683985}" destId="{755473B6-3311-4B3F-B732-C4663E4A776A}" srcOrd="0" destOrd="0" presId="urn:microsoft.com/office/officeart/2005/8/layout/hierarchy2"/>
    <dgm:cxn modelId="{DDB07C5E-4602-43E9-ABEB-2195AD2A6929}" type="presParOf" srcId="{7CC9B070-6E1E-4234-983B-54526D34233E}" destId="{73CEC9FE-B5C9-465F-B257-0C564CDB4878}" srcOrd="0" destOrd="0" presId="urn:microsoft.com/office/officeart/2005/8/layout/hierarchy2"/>
    <dgm:cxn modelId="{ED1F8D78-2992-4699-9FC4-B0C6D65A88EC}" type="presParOf" srcId="{73CEC9FE-B5C9-465F-B257-0C564CDB4878}" destId="{088128DA-8168-490F-BFAB-DFD46BA34800}" srcOrd="0" destOrd="0" presId="urn:microsoft.com/office/officeart/2005/8/layout/hierarchy2"/>
    <dgm:cxn modelId="{83F699D8-8633-45CF-BEF5-630887D9F2DB}" type="presParOf" srcId="{73CEC9FE-B5C9-465F-B257-0C564CDB4878}" destId="{ECF3C374-C93F-4895-8039-28B472362CC8}" srcOrd="1" destOrd="0" presId="urn:microsoft.com/office/officeart/2005/8/layout/hierarchy2"/>
    <dgm:cxn modelId="{4EB0EEB8-7CF8-45C8-AA88-012826219FC1}" type="presParOf" srcId="{ECF3C374-C93F-4895-8039-28B472362CC8}" destId="{15B0DCBA-4087-4376-83B2-C78524BA444B}" srcOrd="0" destOrd="0" presId="urn:microsoft.com/office/officeart/2005/8/layout/hierarchy2"/>
    <dgm:cxn modelId="{8251C249-75A4-451F-9F34-EF498C396F1A}" type="presParOf" srcId="{15B0DCBA-4087-4376-83B2-C78524BA444B}" destId="{18FF8E60-66CF-416D-9D66-3A548EDBC5BF}" srcOrd="0" destOrd="0" presId="urn:microsoft.com/office/officeart/2005/8/layout/hierarchy2"/>
    <dgm:cxn modelId="{ABF0F970-785F-46EC-A1E0-1BDDF8B8338D}" type="presParOf" srcId="{ECF3C374-C93F-4895-8039-28B472362CC8}" destId="{B921E263-21A4-4AA9-9F04-E1155337CE0B}" srcOrd="1" destOrd="0" presId="urn:microsoft.com/office/officeart/2005/8/layout/hierarchy2"/>
    <dgm:cxn modelId="{5CDEBC69-82F4-4B03-BBBC-247CE1CB1AF3}" type="presParOf" srcId="{B921E263-21A4-4AA9-9F04-E1155337CE0B}" destId="{9756CD15-2B6E-410B-B794-1B3B9CE85A61}" srcOrd="0" destOrd="0" presId="urn:microsoft.com/office/officeart/2005/8/layout/hierarchy2"/>
    <dgm:cxn modelId="{26232AF5-6BAE-4A57-AFE7-476A1998CE3C}" type="presParOf" srcId="{B921E263-21A4-4AA9-9F04-E1155337CE0B}" destId="{01490941-3312-44E5-A7CC-41EEEB8E25CB}" srcOrd="1" destOrd="0" presId="urn:microsoft.com/office/officeart/2005/8/layout/hierarchy2"/>
    <dgm:cxn modelId="{DDE861C4-331E-424B-A06C-8172ED8D28DD}" type="presParOf" srcId="{01490941-3312-44E5-A7CC-41EEEB8E25CB}" destId="{6C4DA581-16BC-428A-83B1-6E7731BDC8EA}" srcOrd="0" destOrd="0" presId="urn:microsoft.com/office/officeart/2005/8/layout/hierarchy2"/>
    <dgm:cxn modelId="{43D8C608-CD2F-41E6-BDC4-09793C464018}" type="presParOf" srcId="{6C4DA581-16BC-428A-83B1-6E7731BDC8EA}" destId="{7587AFEA-86B7-4E61-A4AF-8DC12CE40F2A}" srcOrd="0" destOrd="0" presId="urn:microsoft.com/office/officeart/2005/8/layout/hierarchy2"/>
    <dgm:cxn modelId="{3734446B-1967-4C1C-918D-C0064A74794F}" type="presParOf" srcId="{01490941-3312-44E5-A7CC-41EEEB8E25CB}" destId="{1E84CA23-0954-4953-B40D-37583CC920D3}" srcOrd="1" destOrd="0" presId="urn:microsoft.com/office/officeart/2005/8/layout/hierarchy2"/>
    <dgm:cxn modelId="{CA53702F-A5F9-412F-B719-FB76DC7469DD}" type="presParOf" srcId="{1E84CA23-0954-4953-B40D-37583CC920D3}" destId="{BE893CAB-BE9D-476E-AB38-B5C755F976FC}" srcOrd="0" destOrd="0" presId="urn:microsoft.com/office/officeart/2005/8/layout/hierarchy2"/>
    <dgm:cxn modelId="{73C59223-6A7E-49B7-9BEF-30EFEDBC2881}" type="presParOf" srcId="{1E84CA23-0954-4953-B40D-37583CC920D3}" destId="{3FAF4641-6DB6-476D-BAC0-AD32DABAC3E3}" srcOrd="1" destOrd="0" presId="urn:microsoft.com/office/officeart/2005/8/layout/hierarchy2"/>
    <dgm:cxn modelId="{C8F07926-0F36-4952-A293-EF429BD27CD1}" type="presParOf" srcId="{3FAF4641-6DB6-476D-BAC0-AD32DABAC3E3}" destId="{5ECCB816-2ED2-4E01-B916-A5B57E3FDA87}" srcOrd="0" destOrd="0" presId="urn:microsoft.com/office/officeart/2005/8/layout/hierarchy2"/>
    <dgm:cxn modelId="{023C7846-A8DA-4E47-98D9-8B55B366FF5D}" type="presParOf" srcId="{5ECCB816-2ED2-4E01-B916-A5B57E3FDA87}" destId="{2DB7C7B3-9ACC-40BD-9CD8-AF4E25D7E57B}" srcOrd="0" destOrd="0" presId="urn:microsoft.com/office/officeart/2005/8/layout/hierarchy2"/>
    <dgm:cxn modelId="{F7387158-1BFD-4C5A-83D7-AB37AA8EDC59}" type="presParOf" srcId="{3FAF4641-6DB6-476D-BAC0-AD32DABAC3E3}" destId="{4F4FF27D-7879-42F9-8036-F22D9DC69046}" srcOrd="1" destOrd="0" presId="urn:microsoft.com/office/officeart/2005/8/layout/hierarchy2"/>
    <dgm:cxn modelId="{D163DBDB-280E-45D0-A782-E34C1A4F9481}" type="presParOf" srcId="{4F4FF27D-7879-42F9-8036-F22D9DC69046}" destId="{4407AE97-A298-40DA-BC7A-BAAE5C66AF72}" srcOrd="0" destOrd="0" presId="urn:microsoft.com/office/officeart/2005/8/layout/hierarchy2"/>
    <dgm:cxn modelId="{03B750B1-A7A0-4AF9-88F5-4B058498DE75}" type="presParOf" srcId="{4F4FF27D-7879-42F9-8036-F22D9DC69046}" destId="{D0BF6ECC-83E7-4318-A7CF-D8251A8939D3}" srcOrd="1" destOrd="0" presId="urn:microsoft.com/office/officeart/2005/8/layout/hierarchy2"/>
    <dgm:cxn modelId="{54A97942-FE1B-4585-A8C0-BCDB74C6DAB2}" type="presParOf" srcId="{3FAF4641-6DB6-476D-BAC0-AD32DABAC3E3}" destId="{5E1F2220-05C4-438F-A081-99DAF64F7142}" srcOrd="2" destOrd="0" presId="urn:microsoft.com/office/officeart/2005/8/layout/hierarchy2"/>
    <dgm:cxn modelId="{09AA0437-E593-433A-8447-40F3B0478F8B}" type="presParOf" srcId="{5E1F2220-05C4-438F-A081-99DAF64F7142}" destId="{C31F0DCA-B9E8-451A-807F-B8810F7AFD98}" srcOrd="0" destOrd="0" presId="urn:microsoft.com/office/officeart/2005/8/layout/hierarchy2"/>
    <dgm:cxn modelId="{1517F9F3-F029-43DE-BFCC-551A7661DE7B}" type="presParOf" srcId="{3FAF4641-6DB6-476D-BAC0-AD32DABAC3E3}" destId="{C5CD5DD0-F4F6-491C-B29E-744E59B909A8}" srcOrd="3" destOrd="0" presId="urn:microsoft.com/office/officeart/2005/8/layout/hierarchy2"/>
    <dgm:cxn modelId="{0647B2CF-1A8C-42BB-8687-2F3EC68FE3EE}" type="presParOf" srcId="{C5CD5DD0-F4F6-491C-B29E-744E59B909A8}" destId="{69C98D25-E49C-4FDB-82C0-18575914304D}" srcOrd="0" destOrd="0" presId="urn:microsoft.com/office/officeart/2005/8/layout/hierarchy2"/>
    <dgm:cxn modelId="{D4C08540-2CAE-4626-B882-39B235EF94AF}" type="presParOf" srcId="{C5CD5DD0-F4F6-491C-B29E-744E59B909A8}" destId="{783B5E1C-E364-46F3-94C7-6ABB35B57BA2}" srcOrd="1" destOrd="0" presId="urn:microsoft.com/office/officeart/2005/8/layout/hierarchy2"/>
    <dgm:cxn modelId="{F43E4AA1-1C04-4F39-A4CB-C5F773DE56DD}" type="presParOf" srcId="{01490941-3312-44E5-A7CC-41EEEB8E25CB}" destId="{B140A170-4400-4B82-A785-C4B654D02547}" srcOrd="2" destOrd="0" presId="urn:microsoft.com/office/officeart/2005/8/layout/hierarchy2"/>
    <dgm:cxn modelId="{0A654A93-ABD1-4CA0-9E8D-9AB62642DD48}" type="presParOf" srcId="{B140A170-4400-4B82-A785-C4B654D02547}" destId="{9B461326-7A9D-4434-A4D2-D6BC30EA4719}" srcOrd="0" destOrd="0" presId="urn:microsoft.com/office/officeart/2005/8/layout/hierarchy2"/>
    <dgm:cxn modelId="{28C5A5E1-F95A-4472-BA28-3DFEB6ACA14C}" type="presParOf" srcId="{01490941-3312-44E5-A7CC-41EEEB8E25CB}" destId="{B5A72FF5-3550-4848-8E0F-498FEFB4A59E}" srcOrd="3" destOrd="0" presId="urn:microsoft.com/office/officeart/2005/8/layout/hierarchy2"/>
    <dgm:cxn modelId="{E52BAFBF-BEA3-4FFA-8B6D-5F05EF24AD33}" type="presParOf" srcId="{B5A72FF5-3550-4848-8E0F-498FEFB4A59E}" destId="{0DF05AF9-9D40-47F4-AC6D-2625AE7508D8}" srcOrd="0" destOrd="0" presId="urn:microsoft.com/office/officeart/2005/8/layout/hierarchy2"/>
    <dgm:cxn modelId="{FDA5170B-4F7C-493D-916E-9D4E36FE8625}" type="presParOf" srcId="{B5A72FF5-3550-4848-8E0F-498FEFB4A59E}" destId="{4ADF5BE8-9254-49E3-AB64-D5E4C31CDF33}" srcOrd="1" destOrd="0" presId="urn:microsoft.com/office/officeart/2005/8/layout/hierarchy2"/>
    <dgm:cxn modelId="{718EC8C1-49AC-4F5C-8811-71CB2202D15B}" type="presParOf" srcId="{4ADF5BE8-9254-49E3-AB64-D5E4C31CDF33}" destId="{96487D65-A56A-44F9-8DAB-84C5013DD3D7}" srcOrd="0" destOrd="0" presId="urn:microsoft.com/office/officeart/2005/8/layout/hierarchy2"/>
    <dgm:cxn modelId="{BECEC51A-5B29-4169-AC88-36BF5DDC5E37}" type="presParOf" srcId="{96487D65-A56A-44F9-8DAB-84C5013DD3D7}" destId="{6CABBADA-9953-48C2-BF15-74EF1D41B237}" srcOrd="0" destOrd="0" presId="urn:microsoft.com/office/officeart/2005/8/layout/hierarchy2"/>
    <dgm:cxn modelId="{DCDA1659-3FEE-443B-9935-0B7633F386D3}" type="presParOf" srcId="{4ADF5BE8-9254-49E3-AB64-D5E4C31CDF33}" destId="{E375240D-6082-420D-A3B0-58B0FF2766EC}" srcOrd="1" destOrd="0" presId="urn:microsoft.com/office/officeart/2005/8/layout/hierarchy2"/>
    <dgm:cxn modelId="{FA047228-C698-412C-A27C-D0C13B340AE9}" type="presParOf" srcId="{E375240D-6082-420D-A3B0-58B0FF2766EC}" destId="{28D73A6C-178E-4142-8442-5C8CC1E482D2}" srcOrd="0" destOrd="0" presId="urn:microsoft.com/office/officeart/2005/8/layout/hierarchy2"/>
    <dgm:cxn modelId="{44AE6BF4-1CF6-4DC6-8648-75ADB5821361}" type="presParOf" srcId="{E375240D-6082-420D-A3B0-58B0FF2766EC}" destId="{C9563CD1-A961-4C92-93C6-26DF4F028184}" srcOrd="1" destOrd="0" presId="urn:microsoft.com/office/officeart/2005/8/layout/hierarchy2"/>
    <dgm:cxn modelId="{16156452-0FD9-40F4-B750-F452F2ABCEF0}" type="presParOf" srcId="{4ADF5BE8-9254-49E3-AB64-D5E4C31CDF33}" destId="{9E4C8E60-01F6-4549-AD4C-FD6D0BD324E3}" srcOrd="2" destOrd="0" presId="urn:microsoft.com/office/officeart/2005/8/layout/hierarchy2"/>
    <dgm:cxn modelId="{A17EEFEF-4D84-46FF-8D24-32A7ABAD19D4}" type="presParOf" srcId="{9E4C8E60-01F6-4549-AD4C-FD6D0BD324E3}" destId="{E0B09C65-7622-4CA0-90EC-31A55E45505E}" srcOrd="0" destOrd="0" presId="urn:microsoft.com/office/officeart/2005/8/layout/hierarchy2"/>
    <dgm:cxn modelId="{EC6D7FFB-5271-4CA2-BAE4-FAC111454836}" type="presParOf" srcId="{4ADF5BE8-9254-49E3-AB64-D5E4C31CDF33}" destId="{42A0FD2A-2793-4344-AD73-94845C3EC548}" srcOrd="3" destOrd="0" presId="urn:microsoft.com/office/officeart/2005/8/layout/hierarchy2"/>
    <dgm:cxn modelId="{01F17D7C-9C70-47E2-86F0-67A9BE617CD4}" type="presParOf" srcId="{42A0FD2A-2793-4344-AD73-94845C3EC548}" destId="{6138564E-0996-4ADF-9393-B53CF69D6151}" srcOrd="0" destOrd="0" presId="urn:microsoft.com/office/officeart/2005/8/layout/hierarchy2"/>
    <dgm:cxn modelId="{051ED075-EBD7-4C40-B54D-12985D0D4AB7}" type="presParOf" srcId="{42A0FD2A-2793-4344-AD73-94845C3EC548}" destId="{21E82865-73DC-420B-8339-F43F081DFFBD}" srcOrd="1" destOrd="0" presId="urn:microsoft.com/office/officeart/2005/8/layout/hierarchy2"/>
    <dgm:cxn modelId="{85B296CD-CC85-4AE5-AE18-3335E5641C3D}" type="presParOf" srcId="{01490941-3312-44E5-A7CC-41EEEB8E25CB}" destId="{2B0FFCEB-18DE-4569-B960-9828A63492FC}" srcOrd="4" destOrd="0" presId="urn:microsoft.com/office/officeart/2005/8/layout/hierarchy2"/>
    <dgm:cxn modelId="{47AE8460-C633-4656-9E70-468BDB27D723}" type="presParOf" srcId="{2B0FFCEB-18DE-4569-B960-9828A63492FC}" destId="{204379E2-B776-429C-A97C-B519961406F7}" srcOrd="0" destOrd="0" presId="urn:microsoft.com/office/officeart/2005/8/layout/hierarchy2"/>
    <dgm:cxn modelId="{8CEF32BF-FA9C-4F4D-896D-FA413F543B9B}" type="presParOf" srcId="{01490941-3312-44E5-A7CC-41EEEB8E25CB}" destId="{7124289F-984D-4F20-815A-76062E378618}" srcOrd="5" destOrd="0" presId="urn:microsoft.com/office/officeart/2005/8/layout/hierarchy2"/>
    <dgm:cxn modelId="{A58E0666-1743-4756-9440-7A40A9E6BD20}" type="presParOf" srcId="{7124289F-984D-4F20-815A-76062E378618}" destId="{298D58BA-6F27-486B-A9CB-3DF685ED25AD}" srcOrd="0" destOrd="0" presId="urn:microsoft.com/office/officeart/2005/8/layout/hierarchy2"/>
    <dgm:cxn modelId="{D406E110-6DFA-4EA7-A06A-482291C681B5}" type="presParOf" srcId="{7124289F-984D-4F20-815A-76062E378618}" destId="{3E8719B4-15E5-4147-80F3-149F83E7EFDC}" srcOrd="1" destOrd="0" presId="urn:microsoft.com/office/officeart/2005/8/layout/hierarchy2"/>
    <dgm:cxn modelId="{C603EBED-369C-4DB8-9C46-F11D85FE98FC}" type="presParOf" srcId="{3E8719B4-15E5-4147-80F3-149F83E7EFDC}" destId="{600D8A0E-37F3-48FB-8F27-457986F7D276}" srcOrd="0" destOrd="0" presId="urn:microsoft.com/office/officeart/2005/8/layout/hierarchy2"/>
    <dgm:cxn modelId="{3896C3CB-F45A-4840-A72E-CC0D7DADB57F}" type="presParOf" srcId="{600D8A0E-37F3-48FB-8F27-457986F7D276}" destId="{1A3A0070-FDF7-4FE4-8874-455452EE1DAC}" srcOrd="0" destOrd="0" presId="urn:microsoft.com/office/officeart/2005/8/layout/hierarchy2"/>
    <dgm:cxn modelId="{E28748B3-B79E-4EB0-99D2-7B1A7F648282}" type="presParOf" srcId="{3E8719B4-15E5-4147-80F3-149F83E7EFDC}" destId="{133D5D16-D802-4001-B649-214E6CD950EE}" srcOrd="1" destOrd="0" presId="urn:microsoft.com/office/officeart/2005/8/layout/hierarchy2"/>
    <dgm:cxn modelId="{773AE160-BF61-4AEB-870A-D05A3BBE3B67}" type="presParOf" srcId="{133D5D16-D802-4001-B649-214E6CD950EE}" destId="{094ED728-6FE3-4730-9AC6-09945C8F5498}" srcOrd="0" destOrd="0" presId="urn:microsoft.com/office/officeart/2005/8/layout/hierarchy2"/>
    <dgm:cxn modelId="{13CFF88E-646F-4C1D-912A-2660F6F580C7}" type="presParOf" srcId="{133D5D16-D802-4001-B649-214E6CD950EE}" destId="{B413BCAC-F77C-429C-81FE-B45C60B74E3C}" srcOrd="1" destOrd="0" presId="urn:microsoft.com/office/officeart/2005/8/layout/hierarchy2"/>
    <dgm:cxn modelId="{C6A40064-BC77-4F5C-AD6D-349FF17B21C6}" type="presParOf" srcId="{3E8719B4-15E5-4147-80F3-149F83E7EFDC}" destId="{CAFEB99C-827F-41A6-B28E-981CD5511437}" srcOrd="2" destOrd="0" presId="urn:microsoft.com/office/officeart/2005/8/layout/hierarchy2"/>
    <dgm:cxn modelId="{D2343D8C-860B-4FFA-8024-6D0F9D87A941}" type="presParOf" srcId="{CAFEB99C-827F-41A6-B28E-981CD5511437}" destId="{D207D22B-5875-4704-94F5-84C1B5A41863}" srcOrd="0" destOrd="0" presId="urn:microsoft.com/office/officeart/2005/8/layout/hierarchy2"/>
    <dgm:cxn modelId="{37AFDB46-330A-4A3C-8E89-64B2056D2346}" type="presParOf" srcId="{3E8719B4-15E5-4147-80F3-149F83E7EFDC}" destId="{CAFF70CF-31B5-4E5A-A00C-23ADB0543151}" srcOrd="3" destOrd="0" presId="urn:microsoft.com/office/officeart/2005/8/layout/hierarchy2"/>
    <dgm:cxn modelId="{151E50EF-A8D0-4B9B-A894-E61166A9834D}" type="presParOf" srcId="{CAFF70CF-31B5-4E5A-A00C-23ADB0543151}" destId="{E62938E9-EF12-43F5-AAB9-9CD0041246A0}" srcOrd="0" destOrd="0" presId="urn:microsoft.com/office/officeart/2005/8/layout/hierarchy2"/>
    <dgm:cxn modelId="{4CD8B72E-CE82-42EA-9004-679607A146EE}" type="presParOf" srcId="{CAFF70CF-31B5-4E5A-A00C-23ADB0543151}" destId="{C87422D0-D0BB-4F78-93F6-27A26662F5D9}" srcOrd="1" destOrd="0" presId="urn:microsoft.com/office/officeart/2005/8/layout/hierarchy2"/>
    <dgm:cxn modelId="{CC9BE9CE-9FBD-482C-BAA1-67E32E42F9D4}" type="presParOf" srcId="{01490941-3312-44E5-A7CC-41EEEB8E25CB}" destId="{CED20A7F-39C4-4DA2-8B29-D7693639F6AF}" srcOrd="6" destOrd="0" presId="urn:microsoft.com/office/officeart/2005/8/layout/hierarchy2"/>
    <dgm:cxn modelId="{581924E2-E1FE-41E9-B7F6-245B3B62DCC5}" type="presParOf" srcId="{CED20A7F-39C4-4DA2-8B29-D7693639F6AF}" destId="{D875A270-EDA4-471E-A414-BEA50A59889A}" srcOrd="0" destOrd="0" presId="urn:microsoft.com/office/officeart/2005/8/layout/hierarchy2"/>
    <dgm:cxn modelId="{7C4B7766-22DB-43BA-B5F1-5F593CA63B1C}" type="presParOf" srcId="{01490941-3312-44E5-A7CC-41EEEB8E25CB}" destId="{9B79A061-A44A-4804-92A3-3F792BA80F95}" srcOrd="7" destOrd="0" presId="urn:microsoft.com/office/officeart/2005/8/layout/hierarchy2"/>
    <dgm:cxn modelId="{A6C3010C-DE99-4AB8-9AC8-5A0F0A6CDE8F}" type="presParOf" srcId="{9B79A061-A44A-4804-92A3-3F792BA80F95}" destId="{BE8003E3-2DC2-4451-AB1B-1F16F91257DB}" srcOrd="0" destOrd="0" presId="urn:microsoft.com/office/officeart/2005/8/layout/hierarchy2"/>
    <dgm:cxn modelId="{33778463-68E7-4F9E-A8EC-D86FFE116FA4}" type="presParOf" srcId="{9B79A061-A44A-4804-92A3-3F792BA80F95}" destId="{2396F95B-9517-4B70-916E-A06EC9EE70A7}" srcOrd="1" destOrd="0" presId="urn:microsoft.com/office/officeart/2005/8/layout/hierarchy2"/>
    <dgm:cxn modelId="{C1903379-6B63-4641-927C-F74BEF3401DE}" type="presParOf" srcId="{2396F95B-9517-4B70-916E-A06EC9EE70A7}" destId="{10496EE6-5ACC-4C63-8233-5ED129F6012E}" srcOrd="0" destOrd="0" presId="urn:microsoft.com/office/officeart/2005/8/layout/hierarchy2"/>
    <dgm:cxn modelId="{B98A60C5-48D3-4DE0-A3F6-96D76CD1D07A}" type="presParOf" srcId="{10496EE6-5ACC-4C63-8233-5ED129F6012E}" destId="{371E1EAE-93FF-4281-A4FE-31CC77CE8551}" srcOrd="0" destOrd="0" presId="urn:microsoft.com/office/officeart/2005/8/layout/hierarchy2"/>
    <dgm:cxn modelId="{AEEE40C8-447E-4482-B29B-AD79E1519D45}" type="presParOf" srcId="{2396F95B-9517-4B70-916E-A06EC9EE70A7}" destId="{10BE3BDE-D03E-464D-ABA5-FF910542C9C2}" srcOrd="1" destOrd="0" presId="urn:microsoft.com/office/officeart/2005/8/layout/hierarchy2"/>
    <dgm:cxn modelId="{86801167-425D-4E53-AAB1-DBBEE8687E73}" type="presParOf" srcId="{10BE3BDE-D03E-464D-ABA5-FF910542C9C2}" destId="{755473B6-3311-4B3F-B732-C4663E4A776A}" srcOrd="0" destOrd="0" presId="urn:microsoft.com/office/officeart/2005/8/layout/hierarchy2"/>
    <dgm:cxn modelId="{193D486D-FE26-46EF-8C67-F25A9D32ADE6}" type="presParOf" srcId="{10BE3BDE-D03E-464D-ABA5-FF910542C9C2}" destId="{F66807FA-B39C-44F7-A803-E2360E1A7A3E}" srcOrd="1" destOrd="0" presId="urn:microsoft.com/office/officeart/2005/8/layout/hierarchy2"/>
    <dgm:cxn modelId="{DC4A2BD1-380D-4BD5-B486-9DF97124BD57}" type="presParOf" srcId="{01490941-3312-44E5-A7CC-41EEEB8E25CB}" destId="{067B2A55-A52F-4C7D-924A-BACF6F633EF7}" srcOrd="8" destOrd="0" presId="urn:microsoft.com/office/officeart/2005/8/layout/hierarchy2"/>
    <dgm:cxn modelId="{BB0B957D-0EB5-4045-AF6F-A39F4EB1118C}" type="presParOf" srcId="{067B2A55-A52F-4C7D-924A-BACF6F633EF7}" destId="{D54C0F9A-35A5-4508-9FEE-C153548AD668}" srcOrd="0" destOrd="0" presId="urn:microsoft.com/office/officeart/2005/8/layout/hierarchy2"/>
    <dgm:cxn modelId="{14E66E98-8BA3-4717-A7B8-AE8B6EE0BE84}" type="presParOf" srcId="{01490941-3312-44E5-A7CC-41EEEB8E25CB}" destId="{4586D83F-6CA9-4FD1-90AB-64E9855AB042}" srcOrd="9" destOrd="0" presId="urn:microsoft.com/office/officeart/2005/8/layout/hierarchy2"/>
    <dgm:cxn modelId="{E96C20CC-8C3D-447A-BFD8-65F93B8052B7}" type="presParOf" srcId="{4586D83F-6CA9-4FD1-90AB-64E9855AB042}" destId="{842B5ADE-4592-4729-9BA0-AC8AA65DAC20}" srcOrd="0" destOrd="0" presId="urn:microsoft.com/office/officeart/2005/8/layout/hierarchy2"/>
    <dgm:cxn modelId="{23E05CFE-81EA-4673-A4D8-29A4AAF95DB0}" type="presParOf" srcId="{4586D83F-6CA9-4FD1-90AB-64E9855AB042}" destId="{E30DFF99-0F22-459C-88AE-9B2005B1D44A}" srcOrd="1" destOrd="0" presId="urn:microsoft.com/office/officeart/2005/8/layout/hierarchy2"/>
    <dgm:cxn modelId="{CFF17E35-1578-4884-BA5B-F56775595F50}" type="presParOf" srcId="{E30DFF99-0F22-459C-88AE-9B2005B1D44A}" destId="{2DFBC0EF-EDEF-4E2F-AFA7-BE5EB26C7056}" srcOrd="0" destOrd="0" presId="urn:microsoft.com/office/officeart/2005/8/layout/hierarchy2"/>
    <dgm:cxn modelId="{4E61B9BD-6BE2-4B3F-B9FF-5259BCBC5279}" type="presParOf" srcId="{2DFBC0EF-EDEF-4E2F-AFA7-BE5EB26C7056}" destId="{F7DE6281-0885-4021-88F6-77B2A53DC85D}" srcOrd="0" destOrd="0" presId="urn:microsoft.com/office/officeart/2005/8/layout/hierarchy2"/>
    <dgm:cxn modelId="{6CFBB0BD-C640-41B2-AA58-BC7C0D42595E}" type="presParOf" srcId="{E30DFF99-0F22-459C-88AE-9B2005B1D44A}" destId="{F6811B4F-60B6-4AA6-BD43-2931362EAADB}" srcOrd="1" destOrd="0" presId="urn:microsoft.com/office/officeart/2005/8/layout/hierarchy2"/>
    <dgm:cxn modelId="{E2955EFB-F1C0-4FD5-B2CC-5E0E91A5C5D0}" type="presParOf" srcId="{F6811B4F-60B6-4AA6-BD43-2931362EAADB}" destId="{8BEC4CD2-E99D-4DCC-9FA4-E9EF5992CEAB}" srcOrd="0" destOrd="0" presId="urn:microsoft.com/office/officeart/2005/8/layout/hierarchy2"/>
    <dgm:cxn modelId="{C1A0C6D8-D7B6-4E77-ACBE-D19ED825CE12}" type="presParOf" srcId="{F6811B4F-60B6-4AA6-BD43-2931362EAADB}" destId="{22E2C28B-985C-451B-BDC0-98AC3E0D74D3}" srcOrd="1" destOrd="0" presId="urn:microsoft.com/office/officeart/2005/8/layout/hierarchy2"/>
    <dgm:cxn modelId="{23005822-3BA3-4A3E-8AD6-A3CCF04F55F8}" type="presParOf" srcId="{E30DFF99-0F22-459C-88AE-9B2005B1D44A}" destId="{322E38CE-B25D-4933-A3FA-2A2A38B85158}" srcOrd="2" destOrd="0" presId="urn:microsoft.com/office/officeart/2005/8/layout/hierarchy2"/>
    <dgm:cxn modelId="{5AD84EFA-1DE7-4EC6-BA7C-07A5A41424EC}" type="presParOf" srcId="{322E38CE-B25D-4933-A3FA-2A2A38B85158}" destId="{899BFC69-8E78-4773-82BB-07C0EAB8EB61}" srcOrd="0" destOrd="0" presId="urn:microsoft.com/office/officeart/2005/8/layout/hierarchy2"/>
    <dgm:cxn modelId="{9EC8FE3C-FF3A-48DD-ABA6-CBDCFEE254B0}" type="presParOf" srcId="{E30DFF99-0F22-459C-88AE-9B2005B1D44A}" destId="{1D0B7F8E-7F75-4276-982E-ADFE33C41C55}" srcOrd="3" destOrd="0" presId="urn:microsoft.com/office/officeart/2005/8/layout/hierarchy2"/>
    <dgm:cxn modelId="{E37EA47E-BDF4-471C-9D34-F326C766B88D}" type="presParOf" srcId="{1D0B7F8E-7F75-4276-982E-ADFE33C41C55}" destId="{1FB3961B-B13A-48C1-BC33-35E1D92DC445}" srcOrd="0" destOrd="0" presId="urn:microsoft.com/office/officeart/2005/8/layout/hierarchy2"/>
    <dgm:cxn modelId="{015F7C54-7C9F-43FC-B0F8-63D91C533027}" type="presParOf" srcId="{1D0B7F8E-7F75-4276-982E-ADFE33C41C55}" destId="{7901AECA-7E8E-49B0-B2EB-0105276C3FA8}" srcOrd="1" destOrd="0" presId="urn:microsoft.com/office/officeart/2005/8/layout/hierarchy2"/>
    <dgm:cxn modelId="{23EFB486-B715-4471-8124-1E744C6FE4CC}" type="presParOf" srcId="{01490941-3312-44E5-A7CC-41EEEB8E25CB}" destId="{75398DEC-0064-4ACC-A406-0F5D183EA113}" srcOrd="10" destOrd="0" presId="urn:microsoft.com/office/officeart/2005/8/layout/hierarchy2"/>
    <dgm:cxn modelId="{E9B76A8C-B53A-41E4-A74B-3C9DD727ECA6}" type="presParOf" srcId="{75398DEC-0064-4ACC-A406-0F5D183EA113}" destId="{D0EAA69E-D19B-4E38-B667-F8F2211B87EB}" srcOrd="0" destOrd="0" presId="urn:microsoft.com/office/officeart/2005/8/layout/hierarchy2"/>
    <dgm:cxn modelId="{F6870AD5-29F0-4AFD-A815-D37ABC0FEEFF}" type="presParOf" srcId="{01490941-3312-44E5-A7CC-41EEEB8E25CB}" destId="{9FCCE525-85E1-4E2E-BA56-F61286312DA7}" srcOrd="11" destOrd="0" presId="urn:microsoft.com/office/officeart/2005/8/layout/hierarchy2"/>
    <dgm:cxn modelId="{036DE7C4-1E41-4E0D-A006-F990C3115F9A}" type="presParOf" srcId="{9FCCE525-85E1-4E2E-BA56-F61286312DA7}" destId="{A3E51525-BB08-4697-B108-D2611B019EAF}" srcOrd="0" destOrd="0" presId="urn:microsoft.com/office/officeart/2005/8/layout/hierarchy2"/>
    <dgm:cxn modelId="{4DE9E3FB-22B1-4F41-9205-840F50484858}" type="presParOf" srcId="{9FCCE525-85E1-4E2E-BA56-F61286312DA7}" destId="{737FC72C-B173-4F15-A87D-DE326B58AC9B}" srcOrd="1" destOrd="0" presId="urn:microsoft.com/office/officeart/2005/8/layout/hierarchy2"/>
    <dgm:cxn modelId="{16B883E3-120A-4398-84FE-331FE17D39ED}" type="presParOf" srcId="{737FC72C-B173-4F15-A87D-DE326B58AC9B}" destId="{4991DB15-8F7E-4FEA-94F7-58E3351A37AD}" srcOrd="0" destOrd="0" presId="urn:microsoft.com/office/officeart/2005/8/layout/hierarchy2"/>
    <dgm:cxn modelId="{995541EA-017F-4B03-8052-5BF9D96C9F3C}" type="presParOf" srcId="{4991DB15-8F7E-4FEA-94F7-58E3351A37AD}" destId="{E9270CCD-FBD4-472F-90CB-87C4EAA85E15}" srcOrd="0" destOrd="0" presId="urn:microsoft.com/office/officeart/2005/8/layout/hierarchy2"/>
    <dgm:cxn modelId="{EF9E4E4D-D6FB-4481-8BA4-9002865DE61A}" type="presParOf" srcId="{737FC72C-B173-4F15-A87D-DE326B58AC9B}" destId="{D4CEC9E2-EA40-4757-A09B-C0971E3D2096}" srcOrd="1" destOrd="0" presId="urn:microsoft.com/office/officeart/2005/8/layout/hierarchy2"/>
    <dgm:cxn modelId="{0A5DA4A9-1769-47B6-A029-046BE2C5C20B}" type="presParOf" srcId="{D4CEC9E2-EA40-4757-A09B-C0971E3D2096}" destId="{63B52382-3B76-4912-83A7-86D6F048D909}" srcOrd="0" destOrd="0" presId="urn:microsoft.com/office/officeart/2005/8/layout/hierarchy2"/>
    <dgm:cxn modelId="{EB0E58E1-F91D-4620-8728-BF4968DF6314}" type="presParOf" srcId="{D4CEC9E2-EA40-4757-A09B-C0971E3D2096}" destId="{B408F284-2F3B-47AD-9E73-F6A4CBBCEB09}" srcOrd="1" destOrd="0" presId="urn:microsoft.com/office/officeart/2005/8/layout/hierarchy2"/>
    <dgm:cxn modelId="{90AC0B2B-430B-4C88-847A-8ABCED474D39}" type="presParOf" srcId="{737FC72C-B173-4F15-A87D-DE326B58AC9B}" destId="{40697E7B-D4B6-47DC-94D8-7C69D10A3F1E}" srcOrd="2" destOrd="0" presId="urn:microsoft.com/office/officeart/2005/8/layout/hierarchy2"/>
    <dgm:cxn modelId="{0290BAD2-9FB5-4C85-827D-377139F9D37B}" type="presParOf" srcId="{40697E7B-D4B6-47DC-94D8-7C69D10A3F1E}" destId="{29171AE4-0972-4C22-A577-BEB8B27A002F}" srcOrd="0" destOrd="0" presId="urn:microsoft.com/office/officeart/2005/8/layout/hierarchy2"/>
    <dgm:cxn modelId="{9B48CB96-FEC5-42DD-8B72-B925EA979E44}" type="presParOf" srcId="{737FC72C-B173-4F15-A87D-DE326B58AC9B}" destId="{2AFF28DD-2101-4EC5-94B9-83CCD8CC7E83}" srcOrd="3" destOrd="0" presId="urn:microsoft.com/office/officeart/2005/8/layout/hierarchy2"/>
    <dgm:cxn modelId="{2A3AD8EE-FE2D-4B3A-B28B-6558D25340DD}" type="presParOf" srcId="{2AFF28DD-2101-4EC5-94B9-83CCD8CC7E83}" destId="{AF329EE1-8A05-465F-BA8B-5ED0B62637AC}" srcOrd="0" destOrd="0" presId="urn:microsoft.com/office/officeart/2005/8/layout/hierarchy2"/>
    <dgm:cxn modelId="{244482DF-E281-473C-9188-DD4BE94CDB99}" type="presParOf" srcId="{2AFF28DD-2101-4EC5-94B9-83CCD8CC7E83}" destId="{862A0828-2E87-4C69-92BB-A3ECAE93C0F6}" srcOrd="1" destOrd="0" presId="urn:microsoft.com/office/officeart/2005/8/layout/hierarchy2"/>
    <dgm:cxn modelId="{4EDBE5AD-2002-4FAB-84D3-B0D6529DC9E3}" type="presParOf" srcId="{01490941-3312-44E5-A7CC-41EEEB8E25CB}" destId="{84453A79-699A-4222-A365-B349CC7E564D}" srcOrd="12" destOrd="0" presId="urn:microsoft.com/office/officeart/2005/8/layout/hierarchy2"/>
    <dgm:cxn modelId="{3353A0B4-AC28-4832-B32E-6ECB520B15C8}" type="presParOf" srcId="{84453A79-699A-4222-A365-B349CC7E564D}" destId="{8C18ED47-BA87-4A93-92A4-7561A420AE2E}" srcOrd="0" destOrd="0" presId="urn:microsoft.com/office/officeart/2005/8/layout/hierarchy2"/>
    <dgm:cxn modelId="{5000964B-9598-452C-86CD-6222A35FD69A}" type="presParOf" srcId="{01490941-3312-44E5-A7CC-41EEEB8E25CB}" destId="{4A7293D5-3B8F-430C-86A4-3462F5B4D30E}" srcOrd="13" destOrd="0" presId="urn:microsoft.com/office/officeart/2005/8/layout/hierarchy2"/>
    <dgm:cxn modelId="{414ED78D-7A0D-4683-9ACC-63C0E887209F}" type="presParOf" srcId="{4A7293D5-3B8F-430C-86A4-3462F5B4D30E}" destId="{CFAA0187-EA69-4C92-BD02-28CCC69CEB6B}" srcOrd="0" destOrd="0" presId="urn:microsoft.com/office/officeart/2005/8/layout/hierarchy2"/>
    <dgm:cxn modelId="{0B36E40A-E7AD-453A-977B-AFCF32B04376}" type="presParOf" srcId="{4A7293D5-3B8F-430C-86A4-3462F5B4D30E}" destId="{C40DABA2-9DEF-4045-945F-223850B2D259}" srcOrd="1" destOrd="0" presId="urn:microsoft.com/office/officeart/2005/8/layout/hierarchy2"/>
    <dgm:cxn modelId="{1170F146-3760-4206-85DE-772CC24EB167}" type="presParOf" srcId="{C40DABA2-9DEF-4045-945F-223850B2D259}" destId="{2509D15D-A71F-4C23-8E77-E12C4F609D33}" srcOrd="0" destOrd="0" presId="urn:microsoft.com/office/officeart/2005/8/layout/hierarchy2"/>
    <dgm:cxn modelId="{8181D928-0F5A-4913-82FB-F07911752A75}" type="presParOf" srcId="{2509D15D-A71F-4C23-8E77-E12C4F609D33}" destId="{882B94A7-D24A-410E-94FA-2F8F042A568B}" srcOrd="0" destOrd="0" presId="urn:microsoft.com/office/officeart/2005/8/layout/hierarchy2"/>
    <dgm:cxn modelId="{955F02C9-3CC9-4D04-AAE6-AD2D95CBDAAB}" type="presParOf" srcId="{C40DABA2-9DEF-4045-945F-223850B2D259}" destId="{649EC4D6-0CED-4D6A-BFF9-1DFB583A1753}" srcOrd="1" destOrd="0" presId="urn:microsoft.com/office/officeart/2005/8/layout/hierarchy2"/>
    <dgm:cxn modelId="{094477CC-A5E9-4997-BC7C-193A2ED4C9A5}" type="presParOf" srcId="{649EC4D6-0CED-4D6A-BFF9-1DFB583A1753}" destId="{C976D2B9-5769-4A58-BD66-C029E5C7221D}" srcOrd="0" destOrd="0" presId="urn:microsoft.com/office/officeart/2005/8/layout/hierarchy2"/>
    <dgm:cxn modelId="{3D767D39-108B-4604-BDBF-A1F73EB411E8}" type="presParOf" srcId="{649EC4D6-0CED-4D6A-BFF9-1DFB583A1753}" destId="{BAC6FA0B-8CEF-4C03-AB2B-4FAAAA6AA96B}" srcOrd="1" destOrd="0" presId="urn:microsoft.com/office/officeart/2005/8/layout/hierarchy2"/>
    <dgm:cxn modelId="{8D7E0B14-18D4-40F1-84A0-CD11476D6A1D}" type="presParOf" srcId="{C40DABA2-9DEF-4045-945F-223850B2D259}" destId="{9A41CC84-ABEA-4680-9E9C-E6BEB259B049}" srcOrd="2" destOrd="0" presId="urn:microsoft.com/office/officeart/2005/8/layout/hierarchy2"/>
    <dgm:cxn modelId="{9E75F48B-4CE7-4A8E-B367-F5D681371261}" type="presParOf" srcId="{9A41CC84-ABEA-4680-9E9C-E6BEB259B049}" destId="{1A775435-9249-4BE3-94DA-DE78B129525D}" srcOrd="0" destOrd="0" presId="urn:microsoft.com/office/officeart/2005/8/layout/hierarchy2"/>
    <dgm:cxn modelId="{A7E11CE8-0985-4EC6-A4A1-E6A156F6BD49}" type="presParOf" srcId="{C40DABA2-9DEF-4045-945F-223850B2D259}" destId="{53E6D082-4031-4D47-829B-5257101E52E0}" srcOrd="3" destOrd="0" presId="urn:microsoft.com/office/officeart/2005/8/layout/hierarchy2"/>
    <dgm:cxn modelId="{B81FD7ED-825A-4911-9959-27BCC0DA0FDE}" type="presParOf" srcId="{53E6D082-4031-4D47-829B-5257101E52E0}" destId="{808F44E4-E8C5-4C4C-9D92-C282912FB3E7}" srcOrd="0" destOrd="0" presId="urn:microsoft.com/office/officeart/2005/8/layout/hierarchy2"/>
    <dgm:cxn modelId="{C5A0D6D1-047A-4D31-B21E-7A65D13A3546}" type="presParOf" srcId="{53E6D082-4031-4D47-829B-5257101E52E0}" destId="{C4000D98-FAB4-4F39-A5D6-7DBB88FB8DB2}" srcOrd="1" destOrd="0" presId="urn:microsoft.com/office/officeart/2005/8/layout/hierarchy2"/>
    <dgm:cxn modelId="{DB76D327-D054-4103-B519-45C315B3FDF4}" type="presParOf" srcId="{01490941-3312-44E5-A7CC-41EEEB8E25CB}" destId="{256CC832-540A-4C43-A087-AE9B3FCD4FAB}" srcOrd="14" destOrd="0" presId="urn:microsoft.com/office/officeart/2005/8/layout/hierarchy2"/>
    <dgm:cxn modelId="{27C051C8-5B4D-4648-AD06-D6B3C19747B6}" type="presParOf" srcId="{256CC832-540A-4C43-A087-AE9B3FCD4FAB}" destId="{17C6A833-AAE9-4A0A-A998-B79E88B668E4}" srcOrd="0" destOrd="0" presId="urn:microsoft.com/office/officeart/2005/8/layout/hierarchy2"/>
    <dgm:cxn modelId="{ED19DC4D-33F8-48F0-96D6-FC84AD7F3606}" type="presParOf" srcId="{01490941-3312-44E5-A7CC-41EEEB8E25CB}" destId="{7ED440D1-40FF-4383-904D-64C9247D048A}" srcOrd="15" destOrd="0" presId="urn:microsoft.com/office/officeart/2005/8/layout/hierarchy2"/>
    <dgm:cxn modelId="{371B775D-2E50-49DD-A44B-59182B1520E9}" type="presParOf" srcId="{7ED440D1-40FF-4383-904D-64C9247D048A}" destId="{4EEEA69B-AF54-42E6-A992-694A1D8C96F6}" srcOrd="0" destOrd="0" presId="urn:microsoft.com/office/officeart/2005/8/layout/hierarchy2"/>
    <dgm:cxn modelId="{A4EC53C3-3A08-4BB2-B7D1-AF036D24D404}" type="presParOf" srcId="{7ED440D1-40FF-4383-904D-64C9247D048A}" destId="{0D1C9358-B808-4E42-884F-963F2D9391DC}" srcOrd="1" destOrd="0" presId="urn:microsoft.com/office/officeart/2005/8/layout/hierarchy2"/>
    <dgm:cxn modelId="{01F81E5A-BD8A-42CE-8FA7-ABDDB61FDCB1}" type="presParOf" srcId="{0D1C9358-B808-4E42-884F-963F2D9391DC}" destId="{9FC29DFA-229D-4821-9CA8-E7DA9E164C4D}" srcOrd="0" destOrd="0" presId="urn:microsoft.com/office/officeart/2005/8/layout/hierarchy2"/>
    <dgm:cxn modelId="{7FD6997A-BD98-42CC-BE1D-5764F1EBC1B5}" type="presParOf" srcId="{9FC29DFA-229D-4821-9CA8-E7DA9E164C4D}" destId="{B39ED79A-4D24-48D3-93FD-2F0F7EC7E98E}" srcOrd="0" destOrd="0" presId="urn:microsoft.com/office/officeart/2005/8/layout/hierarchy2"/>
    <dgm:cxn modelId="{F4D691AF-2C12-4062-A030-7C8542CFA2EC}" type="presParOf" srcId="{0D1C9358-B808-4E42-884F-963F2D9391DC}" destId="{CB6325DE-E04C-4E99-AE76-410BED103A56}" srcOrd="1" destOrd="0" presId="urn:microsoft.com/office/officeart/2005/8/layout/hierarchy2"/>
    <dgm:cxn modelId="{F9A26766-749D-4D97-9A11-830BB8E25C2B}" type="presParOf" srcId="{CB6325DE-E04C-4E99-AE76-410BED103A56}" destId="{0CE19A2B-571B-4CB4-B69B-102A14EFFD78}" srcOrd="0" destOrd="0" presId="urn:microsoft.com/office/officeart/2005/8/layout/hierarchy2"/>
    <dgm:cxn modelId="{41EB988C-4424-480D-9569-2411BA569757}" type="presParOf" srcId="{CB6325DE-E04C-4E99-AE76-410BED103A56}" destId="{6B6774C9-6EE4-491F-BC24-15F6CC0ADEF2}" srcOrd="1" destOrd="0" presId="urn:microsoft.com/office/officeart/2005/8/layout/hierarchy2"/>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D725098-C099-4852-9616-BE36E4793A95}" type="doc">
      <dgm:prSet loTypeId="urn:microsoft.com/office/officeart/2005/8/layout/hierarchy2" loCatId="hierarchy" qsTypeId="urn:microsoft.com/office/officeart/2005/8/quickstyle/simple1" qsCatId="simple" csTypeId="urn:microsoft.com/office/officeart/2005/8/colors/accent2_1" csCatId="accent2" phldr="1"/>
      <dgm:spPr/>
      <dgm:t>
        <a:bodyPr/>
        <a:lstStyle/>
        <a:p>
          <a:endParaRPr lang="fr-FR"/>
        </a:p>
      </dgm:t>
    </dgm:pt>
    <dgm:pt modelId="{9A2BBCC9-08C9-4BCC-BD7A-012332C8B990}">
      <dgm:prSet phldrT="[Texte]" custT="1">
        <dgm:style>
          <a:lnRef idx="1">
            <a:schemeClr val="accent2"/>
          </a:lnRef>
          <a:fillRef idx="2">
            <a:schemeClr val="accent2"/>
          </a:fillRef>
          <a:effectRef idx="1">
            <a:schemeClr val="accent2"/>
          </a:effectRef>
          <a:fontRef idx="minor">
            <a:schemeClr val="dk1"/>
          </a:fontRef>
        </dgm:style>
      </dgm:prSet>
      <dgm:spPr/>
      <dgm:t>
        <a:bodyPr/>
        <a:lstStyle/>
        <a:p>
          <a:pPr algn="ctr"/>
          <a:r>
            <a:rPr lang="fr-FR" sz="800" b="1"/>
            <a:t>S&amp;E HC3N</a:t>
          </a:r>
        </a:p>
      </dgm:t>
    </dgm:pt>
    <dgm:pt modelId="{65EA317C-3767-49D7-B3FE-040F41827F8C}" type="parTrans" cxnId="{547496E5-7B48-4A59-9A1E-E93DDA532CBF}">
      <dgm:prSet custT="1"/>
      <dgm:spPr/>
      <dgm:t>
        <a:bodyPr/>
        <a:lstStyle/>
        <a:p>
          <a:endParaRPr lang="fr-FR" sz="800"/>
        </a:p>
      </dgm:t>
    </dgm:pt>
    <dgm:pt modelId="{F03B07A7-92C2-40E9-BF62-D6CF9FAC0F04}" type="sibTrans" cxnId="{547496E5-7B48-4A59-9A1E-E93DDA532CBF}">
      <dgm:prSet/>
      <dgm:spPr/>
      <dgm:t>
        <a:bodyPr/>
        <a:lstStyle/>
        <a:p>
          <a:endParaRPr lang="fr-FR" sz="800"/>
        </a:p>
      </dgm:t>
    </dgm:pt>
    <dgm:pt modelId="{08B9910C-9198-4144-A180-308DE3A63F62}">
      <dgm:prSet phldrT="[Texte]" custT="1"/>
      <dgm:spPr/>
      <dgm:t>
        <a:bodyPr/>
        <a:lstStyle/>
        <a:p>
          <a:r>
            <a:rPr lang="fr-FR" sz="800" b="1"/>
            <a:t>cible 1.1</a:t>
          </a:r>
        </a:p>
      </dgm:t>
    </dgm:pt>
    <dgm:pt modelId="{760DF523-6ED4-4ACB-8497-57CEBE39C532}" type="parTrans" cxnId="{E9E7F3BC-E28E-442A-AD2D-14E83BBEDA65}">
      <dgm:prSet custT="1"/>
      <dgm:spPr/>
      <dgm:t>
        <a:bodyPr/>
        <a:lstStyle/>
        <a:p>
          <a:endParaRPr lang="fr-FR" sz="800"/>
        </a:p>
      </dgm:t>
    </dgm:pt>
    <dgm:pt modelId="{62BFAFF4-9E68-4A45-9249-46CBAE5BCD7A}" type="sibTrans" cxnId="{E9E7F3BC-E28E-442A-AD2D-14E83BBEDA65}">
      <dgm:prSet/>
      <dgm:spPr/>
      <dgm:t>
        <a:bodyPr/>
        <a:lstStyle/>
        <a:p>
          <a:endParaRPr lang="fr-FR" sz="800"/>
        </a:p>
      </dgm:t>
    </dgm:pt>
    <dgm:pt modelId="{EEDB03C6-0932-431B-8AEB-D01782B0736E}">
      <dgm:prSet phldrT="[Texte]" custT="1"/>
      <dgm:spPr/>
      <dgm:t>
        <a:bodyPr/>
        <a:lstStyle/>
        <a:p>
          <a:r>
            <a:rPr lang="fr-FR" sz="800" b="1"/>
            <a:t>cible 2.2</a:t>
          </a:r>
        </a:p>
      </dgm:t>
    </dgm:pt>
    <dgm:pt modelId="{7AE11443-8B5E-4300-8BD1-F9598AD3D1C1}" type="parTrans" cxnId="{0ECE1215-C948-4DE2-824B-50DAD63E9D09}">
      <dgm:prSet custT="1"/>
      <dgm:spPr/>
      <dgm:t>
        <a:bodyPr/>
        <a:lstStyle/>
        <a:p>
          <a:endParaRPr lang="fr-FR" sz="800"/>
        </a:p>
      </dgm:t>
    </dgm:pt>
    <dgm:pt modelId="{5DEE4D77-9C45-4EF7-A6CB-D1F01C4A37CE}" type="sibTrans" cxnId="{0ECE1215-C948-4DE2-824B-50DAD63E9D09}">
      <dgm:prSet/>
      <dgm:spPr/>
      <dgm:t>
        <a:bodyPr/>
        <a:lstStyle/>
        <a:p>
          <a:endParaRPr lang="fr-FR" sz="800"/>
        </a:p>
      </dgm:t>
    </dgm:pt>
    <dgm:pt modelId="{EB4F00DA-8D1C-4BD3-A918-6A195C5FCA16}">
      <dgm:prSet phldrT="[Texte]" custT="1"/>
      <dgm:spPr/>
      <dgm:t>
        <a:bodyPr/>
        <a:lstStyle/>
        <a:p>
          <a:r>
            <a:rPr lang="fr-FR" sz="800" b="1"/>
            <a:t>Cible 2.3</a:t>
          </a:r>
        </a:p>
      </dgm:t>
    </dgm:pt>
    <dgm:pt modelId="{E2CB8E83-F6FD-41A9-B093-5371EBDBBECE}" type="parTrans" cxnId="{4BD83E01-DC01-4541-90E5-021442C9B916}">
      <dgm:prSet custT="1"/>
      <dgm:spPr/>
      <dgm:t>
        <a:bodyPr/>
        <a:lstStyle/>
        <a:p>
          <a:endParaRPr lang="fr-FR" sz="800"/>
        </a:p>
      </dgm:t>
    </dgm:pt>
    <dgm:pt modelId="{B3F438CA-3B03-4FAC-A16B-DB2469C30665}" type="sibTrans" cxnId="{4BD83E01-DC01-4541-90E5-021442C9B916}">
      <dgm:prSet/>
      <dgm:spPr/>
      <dgm:t>
        <a:bodyPr/>
        <a:lstStyle/>
        <a:p>
          <a:endParaRPr lang="fr-FR" sz="800"/>
        </a:p>
      </dgm:t>
    </dgm:pt>
    <dgm:pt modelId="{B864E2C4-FC59-4990-B023-570F9750BBF4}">
      <dgm:prSet custT="1"/>
      <dgm:spPr/>
      <dgm:t>
        <a:bodyPr/>
        <a:lstStyle/>
        <a:p>
          <a:r>
            <a:rPr lang="fr-FR" sz="800" b="1"/>
            <a:t>Cible 2.4</a:t>
          </a:r>
        </a:p>
      </dgm:t>
    </dgm:pt>
    <dgm:pt modelId="{AAEB49C7-DD80-47C3-B2BE-815DE08EC8FF}" type="parTrans" cxnId="{DEB31032-5198-4314-ACA8-7E1D7BB4A146}">
      <dgm:prSet custT="1"/>
      <dgm:spPr/>
      <dgm:t>
        <a:bodyPr/>
        <a:lstStyle/>
        <a:p>
          <a:endParaRPr lang="fr-FR" sz="800"/>
        </a:p>
      </dgm:t>
    </dgm:pt>
    <dgm:pt modelId="{4F98DAF9-B190-4138-9730-B8D03730ACF3}" type="sibTrans" cxnId="{DEB31032-5198-4314-ACA8-7E1D7BB4A146}">
      <dgm:prSet/>
      <dgm:spPr/>
      <dgm:t>
        <a:bodyPr/>
        <a:lstStyle/>
        <a:p>
          <a:endParaRPr lang="fr-FR" sz="800"/>
        </a:p>
      </dgm:t>
    </dgm:pt>
    <dgm:pt modelId="{3450464A-F293-4BBC-9F65-1EF129D500D9}">
      <dgm:prSet custT="1"/>
      <dgm:spPr/>
      <dgm:t>
        <a:bodyPr/>
        <a:lstStyle/>
        <a:p>
          <a:r>
            <a:rPr lang="fr-FR" sz="800" b="1"/>
            <a:t>Cible 2.5</a:t>
          </a:r>
        </a:p>
      </dgm:t>
    </dgm:pt>
    <dgm:pt modelId="{444659E9-0466-4D88-9E79-AA9EB8CB4884}" type="parTrans" cxnId="{EEBA7EB0-7D7F-45B9-A337-7A8935A5B2A4}">
      <dgm:prSet custT="1"/>
      <dgm:spPr/>
      <dgm:t>
        <a:bodyPr/>
        <a:lstStyle/>
        <a:p>
          <a:endParaRPr lang="fr-FR" sz="800"/>
        </a:p>
      </dgm:t>
    </dgm:pt>
    <dgm:pt modelId="{7240D344-B619-43F2-90AB-19DA98275511}" type="sibTrans" cxnId="{EEBA7EB0-7D7F-45B9-A337-7A8935A5B2A4}">
      <dgm:prSet/>
      <dgm:spPr/>
      <dgm:t>
        <a:bodyPr/>
        <a:lstStyle/>
        <a:p>
          <a:endParaRPr lang="fr-FR" sz="800"/>
        </a:p>
      </dgm:t>
    </dgm:pt>
    <dgm:pt modelId="{A42D4249-0084-465C-9159-157DC77C4D1B}">
      <dgm:prSet custT="1"/>
      <dgm:spPr/>
      <dgm:t>
        <a:bodyPr/>
        <a:lstStyle/>
        <a:p>
          <a:r>
            <a:rPr lang="fr-FR" sz="800" b="1"/>
            <a:t>Cible 2.a</a:t>
          </a:r>
        </a:p>
      </dgm:t>
    </dgm:pt>
    <dgm:pt modelId="{865B70A7-EBAC-464E-8025-AF3605DD4CA1}" type="parTrans" cxnId="{467D7CD2-382E-4D84-BD2E-B8AE195C2788}">
      <dgm:prSet custT="1"/>
      <dgm:spPr/>
      <dgm:t>
        <a:bodyPr/>
        <a:lstStyle/>
        <a:p>
          <a:endParaRPr lang="fr-FR" sz="800"/>
        </a:p>
      </dgm:t>
    </dgm:pt>
    <dgm:pt modelId="{046A8608-ABA3-4201-A1D0-6C0947C733A7}" type="sibTrans" cxnId="{467D7CD2-382E-4D84-BD2E-B8AE195C2788}">
      <dgm:prSet/>
      <dgm:spPr/>
      <dgm:t>
        <a:bodyPr/>
        <a:lstStyle/>
        <a:p>
          <a:endParaRPr lang="fr-FR" sz="800"/>
        </a:p>
      </dgm:t>
    </dgm:pt>
    <dgm:pt modelId="{07CEEA0F-4DFF-4C48-B218-31654E86A1BA}">
      <dgm:prSet custT="1"/>
      <dgm:spPr/>
      <dgm:t>
        <a:bodyPr/>
        <a:lstStyle/>
        <a:p>
          <a:r>
            <a:rPr lang="fr-FR" sz="800" b="1"/>
            <a:t>Cible 2.b</a:t>
          </a:r>
        </a:p>
      </dgm:t>
    </dgm:pt>
    <dgm:pt modelId="{CDF3B96D-0085-490F-B19A-1FA0D188E6F9}" type="parTrans" cxnId="{9279E807-DAAA-4236-860A-FB59FFD314D1}">
      <dgm:prSet custT="1"/>
      <dgm:spPr/>
      <dgm:t>
        <a:bodyPr/>
        <a:lstStyle/>
        <a:p>
          <a:endParaRPr lang="fr-FR" sz="800"/>
        </a:p>
      </dgm:t>
    </dgm:pt>
    <dgm:pt modelId="{14716E41-1E26-48DD-99A0-569C09187D02}" type="sibTrans" cxnId="{9279E807-DAAA-4236-860A-FB59FFD314D1}">
      <dgm:prSet/>
      <dgm:spPr/>
      <dgm:t>
        <a:bodyPr/>
        <a:lstStyle/>
        <a:p>
          <a:endParaRPr lang="fr-FR" sz="800"/>
        </a:p>
      </dgm:t>
    </dgm:pt>
    <dgm:pt modelId="{A0E69DC9-8CEA-4B73-A3A2-46432E430C31}">
      <dgm:prSet custT="1"/>
      <dgm:spPr/>
      <dgm:t>
        <a:bodyPr/>
        <a:lstStyle/>
        <a:p>
          <a:r>
            <a:rPr lang="fr-FR" sz="800" b="1"/>
            <a:t>Cible 2.c</a:t>
          </a:r>
        </a:p>
      </dgm:t>
    </dgm:pt>
    <dgm:pt modelId="{34965BF0-A1E5-4590-B4B5-79BD30858559}" type="parTrans" cxnId="{0DB2217D-141F-4C1E-9608-845DDF6301FA}">
      <dgm:prSet custT="1"/>
      <dgm:spPr/>
      <dgm:t>
        <a:bodyPr/>
        <a:lstStyle/>
        <a:p>
          <a:endParaRPr lang="fr-FR" sz="800"/>
        </a:p>
      </dgm:t>
    </dgm:pt>
    <dgm:pt modelId="{82F6334F-0B5B-4270-961C-A4B93DF1B701}" type="sibTrans" cxnId="{0DB2217D-141F-4C1E-9608-845DDF6301FA}">
      <dgm:prSet/>
      <dgm:spPr/>
      <dgm:t>
        <a:bodyPr/>
        <a:lstStyle/>
        <a:p>
          <a:endParaRPr lang="fr-FR" sz="800"/>
        </a:p>
      </dgm:t>
    </dgm:pt>
    <dgm:pt modelId="{164D2F9C-032D-4CAE-BC19-80EDC9E68C1F}">
      <dgm:prSet custT="1"/>
      <dgm:spPr/>
      <dgm:t>
        <a:bodyPr/>
        <a:lstStyle/>
        <a:p>
          <a:pPr algn="just"/>
          <a:r>
            <a:rPr lang="fr-FR" sz="800"/>
            <a:t>Indic. 2.1.1 - </a:t>
          </a:r>
          <a:r>
            <a:rPr lang="fr-FR" sz="800" b="1"/>
            <a:t>INS, DNPGCA</a:t>
          </a:r>
          <a:endParaRPr lang="fr-FR" sz="800"/>
        </a:p>
      </dgm:t>
    </dgm:pt>
    <dgm:pt modelId="{95AD826F-7D06-497C-A4E5-4166A3881BC2}" type="parTrans" cxnId="{73BD358A-F29F-4F39-A423-F168E7A4CD57}">
      <dgm:prSet custT="1"/>
      <dgm:spPr/>
      <dgm:t>
        <a:bodyPr/>
        <a:lstStyle/>
        <a:p>
          <a:endParaRPr lang="fr-FR" sz="800"/>
        </a:p>
      </dgm:t>
    </dgm:pt>
    <dgm:pt modelId="{DE78B0DF-C46F-414C-B7A6-B1862FCABBCD}" type="sibTrans" cxnId="{73BD358A-F29F-4F39-A423-F168E7A4CD57}">
      <dgm:prSet/>
      <dgm:spPr/>
      <dgm:t>
        <a:bodyPr/>
        <a:lstStyle/>
        <a:p>
          <a:endParaRPr lang="fr-FR" sz="800"/>
        </a:p>
      </dgm:t>
    </dgm:pt>
    <dgm:pt modelId="{1140E27E-AC06-4904-B7A6-C3ACE2B16664}">
      <dgm:prSet custT="1"/>
      <dgm:spPr/>
      <dgm:t>
        <a:bodyPr/>
        <a:lstStyle/>
        <a:p>
          <a:pPr algn="just"/>
          <a:r>
            <a:rPr lang="fr-FR" sz="800"/>
            <a:t>Indic 2.1.2 -  </a:t>
          </a:r>
          <a:r>
            <a:rPr lang="fr-FR" sz="800" b="1"/>
            <a:t>INS, DNPGCA</a:t>
          </a:r>
          <a:endParaRPr lang="fr-FR" sz="800"/>
        </a:p>
      </dgm:t>
    </dgm:pt>
    <dgm:pt modelId="{BC4E36C4-BFD1-4D9B-B498-7B090A0D9557}" type="parTrans" cxnId="{3164C5A3-70C1-48B8-86C1-837FE27D623E}">
      <dgm:prSet custT="1"/>
      <dgm:spPr/>
      <dgm:t>
        <a:bodyPr/>
        <a:lstStyle/>
        <a:p>
          <a:endParaRPr lang="fr-FR" sz="800"/>
        </a:p>
      </dgm:t>
    </dgm:pt>
    <dgm:pt modelId="{B3046DAD-4F9D-4718-B66F-CA9F7552BB51}" type="sibTrans" cxnId="{3164C5A3-70C1-48B8-86C1-837FE27D623E}">
      <dgm:prSet/>
      <dgm:spPr/>
      <dgm:t>
        <a:bodyPr/>
        <a:lstStyle/>
        <a:p>
          <a:endParaRPr lang="fr-FR" sz="800"/>
        </a:p>
      </dgm:t>
    </dgm:pt>
    <dgm:pt modelId="{5DE4A063-D8AC-491D-AA02-8602FEF9D578}">
      <dgm:prSet custT="1"/>
      <dgm:spPr/>
      <dgm:t>
        <a:bodyPr/>
        <a:lstStyle/>
        <a:p>
          <a:pPr algn="just"/>
          <a:r>
            <a:rPr lang="fr-FR" sz="800"/>
            <a:t>Indic 2.2.1 - </a:t>
          </a:r>
          <a:r>
            <a:rPr lang="fr-FR" sz="800" b="1"/>
            <a:t>INS, MSP</a:t>
          </a:r>
          <a:endParaRPr lang="fr-FR" sz="800"/>
        </a:p>
      </dgm:t>
    </dgm:pt>
    <dgm:pt modelId="{20ED08B4-8EA0-4BB3-ACE2-4ADBCFD5B8E9}" type="parTrans" cxnId="{1AC507E4-69AC-4DE5-A822-29B5AF23A47F}">
      <dgm:prSet custT="1"/>
      <dgm:spPr/>
      <dgm:t>
        <a:bodyPr/>
        <a:lstStyle/>
        <a:p>
          <a:endParaRPr lang="fr-FR" sz="800"/>
        </a:p>
      </dgm:t>
    </dgm:pt>
    <dgm:pt modelId="{E9706134-D946-447E-8EF8-8180D86C6202}" type="sibTrans" cxnId="{1AC507E4-69AC-4DE5-A822-29B5AF23A47F}">
      <dgm:prSet/>
      <dgm:spPr/>
      <dgm:t>
        <a:bodyPr/>
        <a:lstStyle/>
        <a:p>
          <a:endParaRPr lang="fr-FR" sz="800"/>
        </a:p>
      </dgm:t>
    </dgm:pt>
    <dgm:pt modelId="{C0B2AFD4-38F1-4053-A92C-2A86B1B56302}">
      <dgm:prSet custT="1"/>
      <dgm:spPr/>
      <dgm:t>
        <a:bodyPr/>
        <a:lstStyle/>
        <a:p>
          <a:pPr algn="just"/>
          <a:r>
            <a:rPr lang="fr-FR" sz="800"/>
            <a:t>Indic 2.2.2 - </a:t>
          </a:r>
          <a:r>
            <a:rPr lang="fr-FR" sz="800" b="1"/>
            <a:t>INS, MSP</a:t>
          </a:r>
          <a:endParaRPr lang="fr-FR" sz="800"/>
        </a:p>
      </dgm:t>
    </dgm:pt>
    <dgm:pt modelId="{F2C449B2-F855-4B6C-A468-E69C4A91DD92}" type="parTrans" cxnId="{86139243-00F5-414E-836C-2C31BC66576D}">
      <dgm:prSet custT="1"/>
      <dgm:spPr/>
      <dgm:t>
        <a:bodyPr/>
        <a:lstStyle/>
        <a:p>
          <a:endParaRPr lang="fr-FR" sz="800"/>
        </a:p>
      </dgm:t>
    </dgm:pt>
    <dgm:pt modelId="{3D3BF331-99A5-4982-8ABF-37671ED0695F}" type="sibTrans" cxnId="{86139243-00F5-414E-836C-2C31BC66576D}">
      <dgm:prSet/>
      <dgm:spPr/>
      <dgm:t>
        <a:bodyPr/>
        <a:lstStyle/>
        <a:p>
          <a:endParaRPr lang="fr-FR" sz="800"/>
        </a:p>
      </dgm:t>
    </dgm:pt>
    <dgm:pt modelId="{DBC3A8B6-6B27-4595-B884-13B91EB914F9}">
      <dgm:prSet custT="1"/>
      <dgm:spPr/>
      <dgm:t>
        <a:bodyPr/>
        <a:lstStyle/>
        <a:p>
          <a:pPr algn="just"/>
          <a:r>
            <a:rPr lang="fr-FR" sz="800"/>
            <a:t>Indic 2.3.1 - </a:t>
          </a:r>
          <a:r>
            <a:rPr lang="fr-FR" sz="800" b="1"/>
            <a:t>INS, MAGEL</a:t>
          </a:r>
          <a:endParaRPr lang="fr-FR" sz="800"/>
        </a:p>
      </dgm:t>
    </dgm:pt>
    <dgm:pt modelId="{DF0C55A6-AAFE-4CB6-90A6-7EEAC57E98D2}" type="parTrans" cxnId="{800AAC49-82A5-4A5A-B54E-B132B26A854A}">
      <dgm:prSet custT="1"/>
      <dgm:spPr/>
      <dgm:t>
        <a:bodyPr/>
        <a:lstStyle/>
        <a:p>
          <a:endParaRPr lang="fr-FR" sz="800"/>
        </a:p>
      </dgm:t>
    </dgm:pt>
    <dgm:pt modelId="{CEED5C29-7D1E-44DB-923E-D13383C8ACB3}" type="sibTrans" cxnId="{800AAC49-82A5-4A5A-B54E-B132B26A854A}">
      <dgm:prSet/>
      <dgm:spPr/>
      <dgm:t>
        <a:bodyPr/>
        <a:lstStyle/>
        <a:p>
          <a:endParaRPr lang="fr-FR" sz="800"/>
        </a:p>
      </dgm:t>
    </dgm:pt>
    <dgm:pt modelId="{45BEC6CB-CEAE-4D3A-BB74-9710661E5495}">
      <dgm:prSet custT="1"/>
      <dgm:spPr/>
      <dgm:t>
        <a:bodyPr/>
        <a:lstStyle/>
        <a:p>
          <a:pPr algn="just"/>
          <a:r>
            <a:rPr lang="fr-FR" sz="800"/>
            <a:t>Indic 2.3.2- </a:t>
          </a:r>
          <a:r>
            <a:rPr lang="fr-FR" sz="800" b="1"/>
            <a:t>INS, MAGEL</a:t>
          </a:r>
          <a:endParaRPr lang="fr-FR" sz="800"/>
        </a:p>
      </dgm:t>
    </dgm:pt>
    <dgm:pt modelId="{931A342A-6F1C-4E88-8B1A-DF5B743D63C9}" type="parTrans" cxnId="{32C07FE2-A8A8-4EA5-8EF0-B429F8BE8AB6}">
      <dgm:prSet custT="1"/>
      <dgm:spPr/>
      <dgm:t>
        <a:bodyPr/>
        <a:lstStyle/>
        <a:p>
          <a:endParaRPr lang="fr-FR" sz="800"/>
        </a:p>
      </dgm:t>
    </dgm:pt>
    <dgm:pt modelId="{973A707F-A284-4971-9054-58E675E218C7}" type="sibTrans" cxnId="{32C07FE2-A8A8-4EA5-8EF0-B429F8BE8AB6}">
      <dgm:prSet/>
      <dgm:spPr/>
      <dgm:t>
        <a:bodyPr/>
        <a:lstStyle/>
        <a:p>
          <a:endParaRPr lang="fr-FR" sz="800"/>
        </a:p>
      </dgm:t>
    </dgm:pt>
    <dgm:pt modelId="{ADA01EFF-B7C1-44C7-83BA-B2D0F0683985}">
      <dgm:prSet custT="1"/>
      <dgm:spPr/>
      <dgm:t>
        <a:bodyPr/>
        <a:lstStyle/>
        <a:p>
          <a:pPr algn="just"/>
          <a:r>
            <a:rPr lang="fr-FR" sz="800"/>
            <a:t>Indic 2.4.1 - </a:t>
          </a:r>
          <a:r>
            <a:rPr lang="fr-FR" sz="800" b="1"/>
            <a:t>MAGEL &amp; MEDD</a:t>
          </a:r>
        </a:p>
      </dgm:t>
    </dgm:pt>
    <dgm:pt modelId="{C2293203-D35E-46B2-B033-5C91B313FF5A}" type="parTrans" cxnId="{A254FD51-078A-4BBA-9510-16B45347B6DE}">
      <dgm:prSet custT="1"/>
      <dgm:spPr/>
      <dgm:t>
        <a:bodyPr/>
        <a:lstStyle/>
        <a:p>
          <a:endParaRPr lang="fr-FR" sz="800"/>
        </a:p>
      </dgm:t>
    </dgm:pt>
    <dgm:pt modelId="{A1144498-DCB8-49F9-8D7F-93E0684DB68B}" type="sibTrans" cxnId="{A254FD51-078A-4BBA-9510-16B45347B6DE}">
      <dgm:prSet/>
      <dgm:spPr/>
      <dgm:t>
        <a:bodyPr/>
        <a:lstStyle/>
        <a:p>
          <a:endParaRPr lang="fr-FR" sz="800"/>
        </a:p>
      </dgm:t>
    </dgm:pt>
    <dgm:pt modelId="{8C6FC27F-8871-4BB4-9124-A6D5184963C4}">
      <dgm:prSet custT="1"/>
      <dgm:spPr/>
      <dgm:t>
        <a:bodyPr/>
        <a:lstStyle/>
        <a:p>
          <a:pPr algn="just"/>
          <a:r>
            <a:rPr lang="fr-FR" sz="800"/>
            <a:t>Indic 2.5.1 - </a:t>
          </a:r>
          <a:r>
            <a:rPr lang="fr-FR" sz="800" b="1"/>
            <a:t>INRAN/CNSF</a:t>
          </a:r>
        </a:p>
      </dgm:t>
    </dgm:pt>
    <dgm:pt modelId="{0EBF36AD-479B-43F5-9D1F-B2BED5E0CA2F}" type="parTrans" cxnId="{AF047A95-131B-4BFB-9631-80BFCCEF76D0}">
      <dgm:prSet custT="1"/>
      <dgm:spPr/>
      <dgm:t>
        <a:bodyPr/>
        <a:lstStyle/>
        <a:p>
          <a:endParaRPr lang="fr-FR" sz="800"/>
        </a:p>
      </dgm:t>
    </dgm:pt>
    <dgm:pt modelId="{0AC3EF04-D70E-4BDB-B386-6FACA0DB0C2A}" type="sibTrans" cxnId="{AF047A95-131B-4BFB-9631-80BFCCEF76D0}">
      <dgm:prSet/>
      <dgm:spPr/>
      <dgm:t>
        <a:bodyPr/>
        <a:lstStyle/>
        <a:p>
          <a:endParaRPr lang="fr-FR" sz="800"/>
        </a:p>
      </dgm:t>
    </dgm:pt>
    <dgm:pt modelId="{EBA38D79-F51F-43CF-9B3C-FF3649A2B3E0}">
      <dgm:prSet custT="1"/>
      <dgm:spPr/>
      <dgm:t>
        <a:bodyPr/>
        <a:lstStyle/>
        <a:p>
          <a:pPr algn="just"/>
          <a:r>
            <a:rPr lang="fr-FR" sz="800"/>
            <a:t>Indic 2.5.2 </a:t>
          </a:r>
          <a:r>
            <a:rPr lang="fr-FR" sz="800" b="1"/>
            <a:t>INRAN/CNSF/CMB</a:t>
          </a:r>
        </a:p>
      </dgm:t>
    </dgm:pt>
    <dgm:pt modelId="{ED76FACE-DD45-4E6C-A7E6-68DBFFB366FB}" type="parTrans" cxnId="{5A1806B5-3057-44B5-8A85-B17C86E4B1CE}">
      <dgm:prSet custT="1"/>
      <dgm:spPr/>
      <dgm:t>
        <a:bodyPr/>
        <a:lstStyle/>
        <a:p>
          <a:endParaRPr lang="fr-FR" sz="800"/>
        </a:p>
      </dgm:t>
    </dgm:pt>
    <dgm:pt modelId="{EFA23F10-3FAD-475A-A606-536F8586EF2A}" type="sibTrans" cxnId="{5A1806B5-3057-44B5-8A85-B17C86E4B1CE}">
      <dgm:prSet/>
      <dgm:spPr/>
      <dgm:t>
        <a:bodyPr/>
        <a:lstStyle/>
        <a:p>
          <a:endParaRPr lang="fr-FR" sz="800"/>
        </a:p>
      </dgm:t>
    </dgm:pt>
    <dgm:pt modelId="{941345CC-BA76-4C44-BF31-ADCB4CB8B12E}">
      <dgm:prSet custT="1"/>
      <dgm:spPr/>
      <dgm:t>
        <a:bodyPr/>
        <a:lstStyle/>
        <a:p>
          <a:pPr algn="just"/>
          <a:r>
            <a:rPr lang="fr-FR" sz="800"/>
            <a:t>Indic 2.a.1 </a:t>
          </a:r>
          <a:r>
            <a:rPr lang="fr-FR" sz="800" b="1"/>
            <a:t>HC3N, MAGEL &amp; MF</a:t>
          </a:r>
        </a:p>
      </dgm:t>
    </dgm:pt>
    <dgm:pt modelId="{70C6C7D8-B2B0-4A48-BAE1-5D8E9AAD9355}" type="parTrans" cxnId="{89FA5750-5F3C-4C79-A359-C0E8CB6E5E46}">
      <dgm:prSet custT="1"/>
      <dgm:spPr/>
      <dgm:t>
        <a:bodyPr/>
        <a:lstStyle/>
        <a:p>
          <a:endParaRPr lang="fr-FR" sz="800"/>
        </a:p>
      </dgm:t>
    </dgm:pt>
    <dgm:pt modelId="{F428241B-7593-4299-8F81-59285A01B7A6}" type="sibTrans" cxnId="{89FA5750-5F3C-4C79-A359-C0E8CB6E5E46}">
      <dgm:prSet/>
      <dgm:spPr/>
      <dgm:t>
        <a:bodyPr/>
        <a:lstStyle/>
        <a:p>
          <a:endParaRPr lang="fr-FR" sz="800"/>
        </a:p>
      </dgm:t>
    </dgm:pt>
    <dgm:pt modelId="{46D838E6-B0F9-4C38-93B8-3F2ED5C135BF}">
      <dgm:prSet custT="1"/>
      <dgm:spPr/>
      <dgm:t>
        <a:bodyPr/>
        <a:lstStyle/>
        <a:p>
          <a:pPr algn="just"/>
          <a:r>
            <a:rPr lang="fr-FR" sz="800"/>
            <a:t>Indic 2.a.2 </a:t>
          </a:r>
          <a:r>
            <a:rPr lang="fr-FR" sz="800" b="1"/>
            <a:t>HC3N,  MAG/EL &amp; MF</a:t>
          </a:r>
        </a:p>
      </dgm:t>
    </dgm:pt>
    <dgm:pt modelId="{8390ABD8-2AE3-46A7-B7BD-7F4C2CED8209}" type="parTrans" cxnId="{BB15A3C4-8B01-44E3-ACB5-2D8F9810B86C}">
      <dgm:prSet custT="1"/>
      <dgm:spPr/>
      <dgm:t>
        <a:bodyPr/>
        <a:lstStyle/>
        <a:p>
          <a:endParaRPr lang="fr-FR" sz="800"/>
        </a:p>
      </dgm:t>
    </dgm:pt>
    <dgm:pt modelId="{15310B65-9182-4BDC-94C7-D8BE66EC020B}" type="sibTrans" cxnId="{BB15A3C4-8B01-44E3-ACB5-2D8F9810B86C}">
      <dgm:prSet/>
      <dgm:spPr/>
      <dgm:t>
        <a:bodyPr/>
        <a:lstStyle/>
        <a:p>
          <a:endParaRPr lang="fr-FR" sz="800"/>
        </a:p>
      </dgm:t>
    </dgm:pt>
    <dgm:pt modelId="{3209CA17-350F-45CD-8922-98CF5B782F66}">
      <dgm:prSet custT="1"/>
      <dgm:spPr/>
      <dgm:t>
        <a:bodyPr/>
        <a:lstStyle/>
        <a:p>
          <a:pPr algn="just"/>
          <a:r>
            <a:rPr lang="fr-FR" sz="800"/>
            <a:t>Indic 2.b.1 </a:t>
          </a:r>
          <a:r>
            <a:rPr lang="fr-FR" sz="800" b="1"/>
            <a:t>HC3N, MAGEL &amp; MF</a:t>
          </a:r>
        </a:p>
      </dgm:t>
    </dgm:pt>
    <dgm:pt modelId="{CE57DA39-381E-4784-9207-0FCE71FF337B}" type="parTrans" cxnId="{7864EC15-CA99-4476-9840-5C417A7E4B34}">
      <dgm:prSet custT="1"/>
      <dgm:spPr/>
      <dgm:t>
        <a:bodyPr/>
        <a:lstStyle/>
        <a:p>
          <a:endParaRPr lang="fr-FR" sz="800"/>
        </a:p>
      </dgm:t>
    </dgm:pt>
    <dgm:pt modelId="{B6F70BD0-D84F-4629-952E-30876ABBE47E}" type="sibTrans" cxnId="{7864EC15-CA99-4476-9840-5C417A7E4B34}">
      <dgm:prSet/>
      <dgm:spPr/>
      <dgm:t>
        <a:bodyPr/>
        <a:lstStyle/>
        <a:p>
          <a:endParaRPr lang="fr-FR" sz="800"/>
        </a:p>
      </dgm:t>
    </dgm:pt>
    <dgm:pt modelId="{BEF2D3F9-E3F0-41B3-ACF0-DB08FC8991B4}">
      <dgm:prSet custT="1"/>
      <dgm:spPr/>
      <dgm:t>
        <a:bodyPr/>
        <a:lstStyle/>
        <a:p>
          <a:pPr algn="just"/>
          <a:r>
            <a:rPr lang="fr-FR" sz="800"/>
            <a:t>Indic 2.b.2 </a:t>
          </a:r>
          <a:r>
            <a:rPr lang="fr-FR" sz="800" b="1"/>
            <a:t>- INS, MAGEL, HC3N</a:t>
          </a:r>
        </a:p>
      </dgm:t>
    </dgm:pt>
    <dgm:pt modelId="{596D6E0B-2037-461D-B2D2-C608FF8EC4B4}" type="parTrans" cxnId="{4CB916F6-96D1-4FB9-BDB9-693362B629C3}">
      <dgm:prSet custT="1"/>
      <dgm:spPr/>
      <dgm:t>
        <a:bodyPr/>
        <a:lstStyle/>
        <a:p>
          <a:endParaRPr lang="fr-FR" sz="800"/>
        </a:p>
      </dgm:t>
    </dgm:pt>
    <dgm:pt modelId="{8A4E4D30-FEE5-44FA-989B-87E0A58784B0}" type="sibTrans" cxnId="{4CB916F6-96D1-4FB9-BDB9-693362B629C3}">
      <dgm:prSet/>
      <dgm:spPr/>
      <dgm:t>
        <a:bodyPr/>
        <a:lstStyle/>
        <a:p>
          <a:endParaRPr lang="fr-FR" sz="800"/>
        </a:p>
      </dgm:t>
    </dgm:pt>
    <dgm:pt modelId="{7DA4F440-7F9A-4842-B774-6E2D7E35B34A}">
      <dgm:prSet custT="1"/>
      <dgm:spPr/>
      <dgm:t>
        <a:bodyPr/>
        <a:lstStyle/>
        <a:p>
          <a:pPr algn="just"/>
          <a:r>
            <a:rPr lang="fr-FR" sz="800"/>
            <a:t>Indic 2c1 </a:t>
          </a:r>
          <a:r>
            <a:rPr lang="fr-FR" sz="800" b="1"/>
            <a:t>- INS, HC3N</a:t>
          </a:r>
        </a:p>
      </dgm:t>
    </dgm:pt>
    <dgm:pt modelId="{8DD1037C-312B-455B-953C-39D3CE047B41}" type="parTrans" cxnId="{EE49E910-39CB-4DDD-AD03-B455F7F8165B}">
      <dgm:prSet custT="1"/>
      <dgm:spPr/>
      <dgm:t>
        <a:bodyPr/>
        <a:lstStyle/>
        <a:p>
          <a:endParaRPr lang="fr-FR" sz="800"/>
        </a:p>
      </dgm:t>
    </dgm:pt>
    <dgm:pt modelId="{85E9FCE4-BF10-4A8B-8717-6157EBB7BE11}" type="sibTrans" cxnId="{EE49E910-39CB-4DDD-AD03-B455F7F8165B}">
      <dgm:prSet/>
      <dgm:spPr/>
      <dgm:t>
        <a:bodyPr/>
        <a:lstStyle/>
        <a:p>
          <a:endParaRPr lang="fr-FR" sz="800"/>
        </a:p>
      </dgm:t>
    </dgm:pt>
    <dgm:pt modelId="{D509E99B-8A2C-460C-9F7A-465650F4EBA1}">
      <dgm:prSet custT="1"/>
      <dgm:spPr/>
      <dgm:t>
        <a:bodyPr/>
        <a:lstStyle/>
        <a:p>
          <a:r>
            <a:rPr lang="fr-FR" sz="800"/>
            <a:t>S&amp;E ODD</a:t>
          </a:r>
        </a:p>
      </dgm:t>
    </dgm:pt>
    <dgm:pt modelId="{6A67C091-F1C0-40B6-BAF2-E849A2739EE5}" type="parTrans" cxnId="{94526970-E915-4984-8DA9-EF6115769730}">
      <dgm:prSet/>
      <dgm:spPr/>
      <dgm:t>
        <a:bodyPr/>
        <a:lstStyle/>
        <a:p>
          <a:endParaRPr lang="fr-FR" sz="800"/>
        </a:p>
      </dgm:t>
    </dgm:pt>
    <dgm:pt modelId="{F69D8CA4-0AB5-4172-9149-5B09AD37E246}" type="sibTrans" cxnId="{94526970-E915-4984-8DA9-EF6115769730}">
      <dgm:prSet/>
      <dgm:spPr/>
      <dgm:t>
        <a:bodyPr/>
        <a:lstStyle/>
        <a:p>
          <a:endParaRPr lang="fr-FR" sz="800"/>
        </a:p>
      </dgm:t>
    </dgm:pt>
    <dgm:pt modelId="{7CC9B070-6E1E-4234-983B-54526D34233E}" type="pres">
      <dgm:prSet presAssocID="{AD725098-C099-4852-9616-BE36E4793A95}" presName="diagram" presStyleCnt="0">
        <dgm:presLayoutVars>
          <dgm:chPref val="1"/>
          <dgm:dir/>
          <dgm:animOne val="branch"/>
          <dgm:animLvl val="lvl"/>
          <dgm:resizeHandles val="exact"/>
        </dgm:presLayoutVars>
      </dgm:prSet>
      <dgm:spPr/>
      <dgm:t>
        <a:bodyPr/>
        <a:lstStyle/>
        <a:p>
          <a:endParaRPr lang="fr-FR"/>
        </a:p>
      </dgm:t>
    </dgm:pt>
    <dgm:pt modelId="{73CEC9FE-B5C9-465F-B257-0C564CDB4878}" type="pres">
      <dgm:prSet presAssocID="{D509E99B-8A2C-460C-9F7A-465650F4EBA1}" presName="root1" presStyleCnt="0"/>
      <dgm:spPr/>
    </dgm:pt>
    <dgm:pt modelId="{088128DA-8168-490F-BFAB-DFD46BA34800}" type="pres">
      <dgm:prSet presAssocID="{D509E99B-8A2C-460C-9F7A-465650F4EBA1}" presName="LevelOneTextNode" presStyleLbl="node0" presStyleIdx="0" presStyleCnt="1" custScaleX="186923" custLinFactX="-100000" custLinFactNeighborX="-125531">
        <dgm:presLayoutVars>
          <dgm:chPref val="3"/>
        </dgm:presLayoutVars>
      </dgm:prSet>
      <dgm:spPr/>
      <dgm:t>
        <a:bodyPr/>
        <a:lstStyle/>
        <a:p>
          <a:endParaRPr lang="fr-FR"/>
        </a:p>
      </dgm:t>
    </dgm:pt>
    <dgm:pt modelId="{ECF3C374-C93F-4895-8039-28B472362CC8}" type="pres">
      <dgm:prSet presAssocID="{D509E99B-8A2C-460C-9F7A-465650F4EBA1}" presName="level2hierChild" presStyleCnt="0"/>
      <dgm:spPr/>
    </dgm:pt>
    <dgm:pt modelId="{15B0DCBA-4087-4376-83B2-C78524BA444B}" type="pres">
      <dgm:prSet presAssocID="{65EA317C-3767-49D7-B3FE-040F41827F8C}" presName="conn2-1" presStyleLbl="parChTrans1D2" presStyleIdx="0" presStyleCnt="1"/>
      <dgm:spPr/>
      <dgm:t>
        <a:bodyPr/>
        <a:lstStyle/>
        <a:p>
          <a:endParaRPr lang="fr-FR"/>
        </a:p>
      </dgm:t>
    </dgm:pt>
    <dgm:pt modelId="{18FF8E60-66CF-416D-9D66-3A548EDBC5BF}" type="pres">
      <dgm:prSet presAssocID="{65EA317C-3767-49D7-B3FE-040F41827F8C}" presName="connTx" presStyleLbl="parChTrans1D2" presStyleIdx="0" presStyleCnt="1"/>
      <dgm:spPr/>
      <dgm:t>
        <a:bodyPr/>
        <a:lstStyle/>
        <a:p>
          <a:endParaRPr lang="fr-FR"/>
        </a:p>
      </dgm:t>
    </dgm:pt>
    <dgm:pt modelId="{B921E263-21A4-4AA9-9F04-E1155337CE0B}" type="pres">
      <dgm:prSet presAssocID="{9A2BBCC9-08C9-4BCC-BD7A-012332C8B990}" presName="root2" presStyleCnt="0"/>
      <dgm:spPr/>
    </dgm:pt>
    <dgm:pt modelId="{9756CD15-2B6E-410B-B794-1B3B9CE85A61}" type="pres">
      <dgm:prSet presAssocID="{9A2BBCC9-08C9-4BCC-BD7A-012332C8B990}" presName="LevelTwoTextNode" presStyleLbl="node2" presStyleIdx="0" presStyleCnt="1" custScaleX="186923" custLinFactX="-100000" custLinFactNeighborX="-125531">
        <dgm:presLayoutVars>
          <dgm:chPref val="3"/>
        </dgm:presLayoutVars>
      </dgm:prSet>
      <dgm:spPr/>
      <dgm:t>
        <a:bodyPr/>
        <a:lstStyle/>
        <a:p>
          <a:endParaRPr lang="fr-FR"/>
        </a:p>
      </dgm:t>
    </dgm:pt>
    <dgm:pt modelId="{01490941-3312-44E5-A7CC-41EEEB8E25CB}" type="pres">
      <dgm:prSet presAssocID="{9A2BBCC9-08C9-4BCC-BD7A-012332C8B990}" presName="level3hierChild" presStyleCnt="0"/>
      <dgm:spPr/>
    </dgm:pt>
    <dgm:pt modelId="{6C4DA581-16BC-428A-83B1-6E7731BDC8EA}" type="pres">
      <dgm:prSet presAssocID="{760DF523-6ED4-4ACB-8497-57CEBE39C532}" presName="conn2-1" presStyleLbl="parChTrans1D3" presStyleIdx="0" presStyleCnt="8"/>
      <dgm:spPr/>
      <dgm:t>
        <a:bodyPr/>
        <a:lstStyle/>
        <a:p>
          <a:endParaRPr lang="fr-FR"/>
        </a:p>
      </dgm:t>
    </dgm:pt>
    <dgm:pt modelId="{7587AFEA-86B7-4E61-A4AF-8DC12CE40F2A}" type="pres">
      <dgm:prSet presAssocID="{760DF523-6ED4-4ACB-8497-57CEBE39C532}" presName="connTx" presStyleLbl="parChTrans1D3" presStyleIdx="0" presStyleCnt="8"/>
      <dgm:spPr/>
      <dgm:t>
        <a:bodyPr/>
        <a:lstStyle/>
        <a:p>
          <a:endParaRPr lang="fr-FR"/>
        </a:p>
      </dgm:t>
    </dgm:pt>
    <dgm:pt modelId="{1E84CA23-0954-4953-B40D-37583CC920D3}" type="pres">
      <dgm:prSet presAssocID="{08B9910C-9198-4144-A180-308DE3A63F62}" presName="root2" presStyleCnt="0"/>
      <dgm:spPr/>
    </dgm:pt>
    <dgm:pt modelId="{BE893CAB-BE9D-476E-AB38-B5C755F976FC}" type="pres">
      <dgm:prSet presAssocID="{08B9910C-9198-4144-A180-308DE3A63F62}" presName="LevelTwoTextNode" presStyleLbl="node3" presStyleIdx="0" presStyleCnt="8" custScaleX="201877">
        <dgm:presLayoutVars>
          <dgm:chPref val="3"/>
        </dgm:presLayoutVars>
      </dgm:prSet>
      <dgm:spPr/>
      <dgm:t>
        <a:bodyPr/>
        <a:lstStyle/>
        <a:p>
          <a:endParaRPr lang="fr-FR"/>
        </a:p>
      </dgm:t>
    </dgm:pt>
    <dgm:pt modelId="{3FAF4641-6DB6-476D-BAC0-AD32DABAC3E3}" type="pres">
      <dgm:prSet presAssocID="{08B9910C-9198-4144-A180-308DE3A63F62}" presName="level3hierChild" presStyleCnt="0"/>
      <dgm:spPr/>
    </dgm:pt>
    <dgm:pt modelId="{5ECCB816-2ED2-4E01-B916-A5B57E3FDA87}" type="pres">
      <dgm:prSet presAssocID="{95AD826F-7D06-497C-A4E5-4166A3881BC2}" presName="conn2-1" presStyleLbl="parChTrans1D4" presStyleIdx="0" presStyleCnt="14"/>
      <dgm:spPr/>
      <dgm:t>
        <a:bodyPr/>
        <a:lstStyle/>
        <a:p>
          <a:endParaRPr lang="fr-FR"/>
        </a:p>
      </dgm:t>
    </dgm:pt>
    <dgm:pt modelId="{2DB7C7B3-9ACC-40BD-9CD8-AF4E25D7E57B}" type="pres">
      <dgm:prSet presAssocID="{95AD826F-7D06-497C-A4E5-4166A3881BC2}" presName="connTx" presStyleLbl="parChTrans1D4" presStyleIdx="0" presStyleCnt="14"/>
      <dgm:spPr/>
      <dgm:t>
        <a:bodyPr/>
        <a:lstStyle/>
        <a:p>
          <a:endParaRPr lang="fr-FR"/>
        </a:p>
      </dgm:t>
    </dgm:pt>
    <dgm:pt modelId="{4F4FF27D-7879-42F9-8036-F22D9DC69046}" type="pres">
      <dgm:prSet presAssocID="{164D2F9C-032D-4CAE-BC19-80EDC9E68C1F}" presName="root2" presStyleCnt="0"/>
      <dgm:spPr/>
    </dgm:pt>
    <dgm:pt modelId="{4407AE97-A298-40DA-BC7A-BAAE5C66AF72}" type="pres">
      <dgm:prSet presAssocID="{164D2F9C-032D-4CAE-BC19-80EDC9E68C1F}" presName="LevelTwoTextNode" presStyleLbl="node4" presStyleIdx="0" presStyleCnt="14" custScaleX="523385" custLinFactX="78021" custLinFactNeighborX="100000">
        <dgm:presLayoutVars>
          <dgm:chPref val="3"/>
        </dgm:presLayoutVars>
      </dgm:prSet>
      <dgm:spPr/>
      <dgm:t>
        <a:bodyPr/>
        <a:lstStyle/>
        <a:p>
          <a:endParaRPr lang="fr-FR"/>
        </a:p>
      </dgm:t>
    </dgm:pt>
    <dgm:pt modelId="{D0BF6ECC-83E7-4318-A7CF-D8251A8939D3}" type="pres">
      <dgm:prSet presAssocID="{164D2F9C-032D-4CAE-BC19-80EDC9E68C1F}" presName="level3hierChild" presStyleCnt="0"/>
      <dgm:spPr/>
    </dgm:pt>
    <dgm:pt modelId="{5E1F2220-05C4-438F-A081-99DAF64F7142}" type="pres">
      <dgm:prSet presAssocID="{BC4E36C4-BFD1-4D9B-B498-7B090A0D9557}" presName="conn2-1" presStyleLbl="parChTrans1D4" presStyleIdx="1" presStyleCnt="14"/>
      <dgm:spPr/>
      <dgm:t>
        <a:bodyPr/>
        <a:lstStyle/>
        <a:p>
          <a:endParaRPr lang="fr-FR"/>
        </a:p>
      </dgm:t>
    </dgm:pt>
    <dgm:pt modelId="{C31F0DCA-B9E8-451A-807F-B8810F7AFD98}" type="pres">
      <dgm:prSet presAssocID="{BC4E36C4-BFD1-4D9B-B498-7B090A0D9557}" presName="connTx" presStyleLbl="parChTrans1D4" presStyleIdx="1" presStyleCnt="14"/>
      <dgm:spPr/>
      <dgm:t>
        <a:bodyPr/>
        <a:lstStyle/>
        <a:p>
          <a:endParaRPr lang="fr-FR"/>
        </a:p>
      </dgm:t>
    </dgm:pt>
    <dgm:pt modelId="{C5CD5DD0-F4F6-491C-B29E-744E59B909A8}" type="pres">
      <dgm:prSet presAssocID="{1140E27E-AC06-4904-B7A6-C3ACE2B16664}" presName="root2" presStyleCnt="0"/>
      <dgm:spPr/>
    </dgm:pt>
    <dgm:pt modelId="{69C98D25-E49C-4FDB-82C0-18575914304D}" type="pres">
      <dgm:prSet presAssocID="{1140E27E-AC06-4904-B7A6-C3ACE2B16664}" presName="LevelTwoTextNode" presStyleLbl="node4" presStyleIdx="1" presStyleCnt="14" custScaleX="523385" custLinFactX="78021" custLinFactNeighborX="100000">
        <dgm:presLayoutVars>
          <dgm:chPref val="3"/>
        </dgm:presLayoutVars>
      </dgm:prSet>
      <dgm:spPr/>
      <dgm:t>
        <a:bodyPr/>
        <a:lstStyle/>
        <a:p>
          <a:endParaRPr lang="fr-FR"/>
        </a:p>
      </dgm:t>
    </dgm:pt>
    <dgm:pt modelId="{783B5E1C-E364-46F3-94C7-6ABB35B57BA2}" type="pres">
      <dgm:prSet presAssocID="{1140E27E-AC06-4904-B7A6-C3ACE2B16664}" presName="level3hierChild" presStyleCnt="0"/>
      <dgm:spPr/>
    </dgm:pt>
    <dgm:pt modelId="{B140A170-4400-4B82-A785-C4B654D02547}" type="pres">
      <dgm:prSet presAssocID="{7AE11443-8B5E-4300-8BD1-F9598AD3D1C1}" presName="conn2-1" presStyleLbl="parChTrans1D3" presStyleIdx="1" presStyleCnt="8"/>
      <dgm:spPr/>
      <dgm:t>
        <a:bodyPr/>
        <a:lstStyle/>
        <a:p>
          <a:endParaRPr lang="fr-FR"/>
        </a:p>
      </dgm:t>
    </dgm:pt>
    <dgm:pt modelId="{9B461326-7A9D-4434-A4D2-D6BC30EA4719}" type="pres">
      <dgm:prSet presAssocID="{7AE11443-8B5E-4300-8BD1-F9598AD3D1C1}" presName="connTx" presStyleLbl="parChTrans1D3" presStyleIdx="1" presStyleCnt="8"/>
      <dgm:spPr/>
      <dgm:t>
        <a:bodyPr/>
        <a:lstStyle/>
        <a:p>
          <a:endParaRPr lang="fr-FR"/>
        </a:p>
      </dgm:t>
    </dgm:pt>
    <dgm:pt modelId="{B5A72FF5-3550-4848-8E0F-498FEFB4A59E}" type="pres">
      <dgm:prSet presAssocID="{EEDB03C6-0932-431B-8AEB-D01782B0736E}" presName="root2" presStyleCnt="0"/>
      <dgm:spPr/>
    </dgm:pt>
    <dgm:pt modelId="{0DF05AF9-9D40-47F4-AC6D-2625AE7508D8}" type="pres">
      <dgm:prSet presAssocID="{EEDB03C6-0932-431B-8AEB-D01782B0736E}" presName="LevelTwoTextNode" presStyleLbl="node3" presStyleIdx="1" presStyleCnt="8" custScaleX="201877">
        <dgm:presLayoutVars>
          <dgm:chPref val="3"/>
        </dgm:presLayoutVars>
      </dgm:prSet>
      <dgm:spPr/>
      <dgm:t>
        <a:bodyPr/>
        <a:lstStyle/>
        <a:p>
          <a:endParaRPr lang="fr-FR"/>
        </a:p>
      </dgm:t>
    </dgm:pt>
    <dgm:pt modelId="{4ADF5BE8-9254-49E3-AB64-D5E4C31CDF33}" type="pres">
      <dgm:prSet presAssocID="{EEDB03C6-0932-431B-8AEB-D01782B0736E}" presName="level3hierChild" presStyleCnt="0"/>
      <dgm:spPr/>
    </dgm:pt>
    <dgm:pt modelId="{96487D65-A56A-44F9-8DAB-84C5013DD3D7}" type="pres">
      <dgm:prSet presAssocID="{20ED08B4-8EA0-4BB3-ACE2-4ADBCFD5B8E9}" presName="conn2-1" presStyleLbl="parChTrans1D4" presStyleIdx="2" presStyleCnt="14"/>
      <dgm:spPr/>
      <dgm:t>
        <a:bodyPr/>
        <a:lstStyle/>
        <a:p>
          <a:endParaRPr lang="fr-FR"/>
        </a:p>
      </dgm:t>
    </dgm:pt>
    <dgm:pt modelId="{6CABBADA-9953-48C2-BF15-74EF1D41B237}" type="pres">
      <dgm:prSet presAssocID="{20ED08B4-8EA0-4BB3-ACE2-4ADBCFD5B8E9}" presName="connTx" presStyleLbl="parChTrans1D4" presStyleIdx="2" presStyleCnt="14"/>
      <dgm:spPr/>
      <dgm:t>
        <a:bodyPr/>
        <a:lstStyle/>
        <a:p>
          <a:endParaRPr lang="fr-FR"/>
        </a:p>
      </dgm:t>
    </dgm:pt>
    <dgm:pt modelId="{E375240D-6082-420D-A3B0-58B0FF2766EC}" type="pres">
      <dgm:prSet presAssocID="{5DE4A063-D8AC-491D-AA02-8602FEF9D578}" presName="root2" presStyleCnt="0"/>
      <dgm:spPr/>
    </dgm:pt>
    <dgm:pt modelId="{28D73A6C-178E-4142-8442-5C8CC1E482D2}" type="pres">
      <dgm:prSet presAssocID="{5DE4A063-D8AC-491D-AA02-8602FEF9D578}" presName="LevelTwoTextNode" presStyleLbl="node4" presStyleIdx="2" presStyleCnt="14" custScaleX="523385" custLinFactX="78021" custLinFactNeighborX="100000">
        <dgm:presLayoutVars>
          <dgm:chPref val="3"/>
        </dgm:presLayoutVars>
      </dgm:prSet>
      <dgm:spPr/>
      <dgm:t>
        <a:bodyPr/>
        <a:lstStyle/>
        <a:p>
          <a:endParaRPr lang="fr-FR"/>
        </a:p>
      </dgm:t>
    </dgm:pt>
    <dgm:pt modelId="{C9563CD1-A961-4C92-93C6-26DF4F028184}" type="pres">
      <dgm:prSet presAssocID="{5DE4A063-D8AC-491D-AA02-8602FEF9D578}" presName="level3hierChild" presStyleCnt="0"/>
      <dgm:spPr/>
    </dgm:pt>
    <dgm:pt modelId="{9E4C8E60-01F6-4549-AD4C-FD6D0BD324E3}" type="pres">
      <dgm:prSet presAssocID="{F2C449B2-F855-4B6C-A468-E69C4A91DD92}" presName="conn2-1" presStyleLbl="parChTrans1D4" presStyleIdx="3" presStyleCnt="14"/>
      <dgm:spPr/>
      <dgm:t>
        <a:bodyPr/>
        <a:lstStyle/>
        <a:p>
          <a:endParaRPr lang="fr-FR"/>
        </a:p>
      </dgm:t>
    </dgm:pt>
    <dgm:pt modelId="{E0B09C65-7622-4CA0-90EC-31A55E45505E}" type="pres">
      <dgm:prSet presAssocID="{F2C449B2-F855-4B6C-A468-E69C4A91DD92}" presName="connTx" presStyleLbl="parChTrans1D4" presStyleIdx="3" presStyleCnt="14"/>
      <dgm:spPr/>
      <dgm:t>
        <a:bodyPr/>
        <a:lstStyle/>
        <a:p>
          <a:endParaRPr lang="fr-FR"/>
        </a:p>
      </dgm:t>
    </dgm:pt>
    <dgm:pt modelId="{42A0FD2A-2793-4344-AD73-94845C3EC548}" type="pres">
      <dgm:prSet presAssocID="{C0B2AFD4-38F1-4053-A92C-2A86B1B56302}" presName="root2" presStyleCnt="0"/>
      <dgm:spPr/>
    </dgm:pt>
    <dgm:pt modelId="{6138564E-0996-4ADF-9393-B53CF69D6151}" type="pres">
      <dgm:prSet presAssocID="{C0B2AFD4-38F1-4053-A92C-2A86B1B56302}" presName="LevelTwoTextNode" presStyleLbl="node4" presStyleIdx="3" presStyleCnt="14" custScaleX="523385" custLinFactX="72086" custLinFactNeighborX="100000">
        <dgm:presLayoutVars>
          <dgm:chPref val="3"/>
        </dgm:presLayoutVars>
      </dgm:prSet>
      <dgm:spPr/>
      <dgm:t>
        <a:bodyPr/>
        <a:lstStyle/>
        <a:p>
          <a:endParaRPr lang="fr-FR"/>
        </a:p>
      </dgm:t>
    </dgm:pt>
    <dgm:pt modelId="{21E82865-73DC-420B-8339-F43F081DFFBD}" type="pres">
      <dgm:prSet presAssocID="{C0B2AFD4-38F1-4053-A92C-2A86B1B56302}" presName="level3hierChild" presStyleCnt="0"/>
      <dgm:spPr/>
    </dgm:pt>
    <dgm:pt modelId="{2B0FFCEB-18DE-4569-B960-9828A63492FC}" type="pres">
      <dgm:prSet presAssocID="{E2CB8E83-F6FD-41A9-B093-5371EBDBBECE}" presName="conn2-1" presStyleLbl="parChTrans1D3" presStyleIdx="2" presStyleCnt="8"/>
      <dgm:spPr/>
      <dgm:t>
        <a:bodyPr/>
        <a:lstStyle/>
        <a:p>
          <a:endParaRPr lang="fr-FR"/>
        </a:p>
      </dgm:t>
    </dgm:pt>
    <dgm:pt modelId="{204379E2-B776-429C-A97C-B519961406F7}" type="pres">
      <dgm:prSet presAssocID="{E2CB8E83-F6FD-41A9-B093-5371EBDBBECE}" presName="connTx" presStyleLbl="parChTrans1D3" presStyleIdx="2" presStyleCnt="8"/>
      <dgm:spPr/>
      <dgm:t>
        <a:bodyPr/>
        <a:lstStyle/>
        <a:p>
          <a:endParaRPr lang="fr-FR"/>
        </a:p>
      </dgm:t>
    </dgm:pt>
    <dgm:pt modelId="{7124289F-984D-4F20-815A-76062E378618}" type="pres">
      <dgm:prSet presAssocID="{EB4F00DA-8D1C-4BD3-A918-6A195C5FCA16}" presName="root2" presStyleCnt="0"/>
      <dgm:spPr/>
    </dgm:pt>
    <dgm:pt modelId="{298D58BA-6F27-486B-A9CB-3DF685ED25AD}" type="pres">
      <dgm:prSet presAssocID="{EB4F00DA-8D1C-4BD3-A918-6A195C5FCA16}" presName="LevelTwoTextNode" presStyleLbl="node3" presStyleIdx="2" presStyleCnt="8" custScaleX="201877">
        <dgm:presLayoutVars>
          <dgm:chPref val="3"/>
        </dgm:presLayoutVars>
      </dgm:prSet>
      <dgm:spPr/>
      <dgm:t>
        <a:bodyPr/>
        <a:lstStyle/>
        <a:p>
          <a:endParaRPr lang="fr-FR"/>
        </a:p>
      </dgm:t>
    </dgm:pt>
    <dgm:pt modelId="{3E8719B4-15E5-4147-80F3-149F83E7EFDC}" type="pres">
      <dgm:prSet presAssocID="{EB4F00DA-8D1C-4BD3-A918-6A195C5FCA16}" presName="level3hierChild" presStyleCnt="0"/>
      <dgm:spPr/>
    </dgm:pt>
    <dgm:pt modelId="{600D8A0E-37F3-48FB-8F27-457986F7D276}" type="pres">
      <dgm:prSet presAssocID="{DF0C55A6-AAFE-4CB6-90A6-7EEAC57E98D2}" presName="conn2-1" presStyleLbl="parChTrans1D4" presStyleIdx="4" presStyleCnt="14"/>
      <dgm:spPr/>
      <dgm:t>
        <a:bodyPr/>
        <a:lstStyle/>
        <a:p>
          <a:endParaRPr lang="fr-FR"/>
        </a:p>
      </dgm:t>
    </dgm:pt>
    <dgm:pt modelId="{1A3A0070-FDF7-4FE4-8874-455452EE1DAC}" type="pres">
      <dgm:prSet presAssocID="{DF0C55A6-AAFE-4CB6-90A6-7EEAC57E98D2}" presName="connTx" presStyleLbl="parChTrans1D4" presStyleIdx="4" presStyleCnt="14"/>
      <dgm:spPr/>
      <dgm:t>
        <a:bodyPr/>
        <a:lstStyle/>
        <a:p>
          <a:endParaRPr lang="fr-FR"/>
        </a:p>
      </dgm:t>
    </dgm:pt>
    <dgm:pt modelId="{133D5D16-D802-4001-B649-214E6CD950EE}" type="pres">
      <dgm:prSet presAssocID="{DBC3A8B6-6B27-4595-B884-13B91EB914F9}" presName="root2" presStyleCnt="0"/>
      <dgm:spPr/>
    </dgm:pt>
    <dgm:pt modelId="{094ED728-6FE3-4730-9AC6-09945C8F5498}" type="pres">
      <dgm:prSet presAssocID="{DBC3A8B6-6B27-4595-B884-13B91EB914F9}" presName="LevelTwoTextNode" presStyleLbl="node4" presStyleIdx="4" presStyleCnt="14" custScaleX="523385" custLinFactX="72086" custLinFactNeighborX="100000">
        <dgm:presLayoutVars>
          <dgm:chPref val="3"/>
        </dgm:presLayoutVars>
      </dgm:prSet>
      <dgm:spPr/>
      <dgm:t>
        <a:bodyPr/>
        <a:lstStyle/>
        <a:p>
          <a:endParaRPr lang="fr-FR"/>
        </a:p>
      </dgm:t>
    </dgm:pt>
    <dgm:pt modelId="{B413BCAC-F77C-429C-81FE-B45C60B74E3C}" type="pres">
      <dgm:prSet presAssocID="{DBC3A8B6-6B27-4595-B884-13B91EB914F9}" presName="level3hierChild" presStyleCnt="0"/>
      <dgm:spPr/>
    </dgm:pt>
    <dgm:pt modelId="{CAFEB99C-827F-41A6-B28E-981CD5511437}" type="pres">
      <dgm:prSet presAssocID="{931A342A-6F1C-4E88-8B1A-DF5B743D63C9}" presName="conn2-1" presStyleLbl="parChTrans1D4" presStyleIdx="5" presStyleCnt="14"/>
      <dgm:spPr/>
      <dgm:t>
        <a:bodyPr/>
        <a:lstStyle/>
        <a:p>
          <a:endParaRPr lang="fr-FR"/>
        </a:p>
      </dgm:t>
    </dgm:pt>
    <dgm:pt modelId="{D207D22B-5875-4704-94F5-84C1B5A41863}" type="pres">
      <dgm:prSet presAssocID="{931A342A-6F1C-4E88-8B1A-DF5B743D63C9}" presName="connTx" presStyleLbl="parChTrans1D4" presStyleIdx="5" presStyleCnt="14"/>
      <dgm:spPr/>
      <dgm:t>
        <a:bodyPr/>
        <a:lstStyle/>
        <a:p>
          <a:endParaRPr lang="fr-FR"/>
        </a:p>
      </dgm:t>
    </dgm:pt>
    <dgm:pt modelId="{CAFF70CF-31B5-4E5A-A00C-23ADB0543151}" type="pres">
      <dgm:prSet presAssocID="{45BEC6CB-CEAE-4D3A-BB74-9710661E5495}" presName="root2" presStyleCnt="0"/>
      <dgm:spPr/>
    </dgm:pt>
    <dgm:pt modelId="{E62938E9-EF12-43F5-AAB9-9CD0041246A0}" type="pres">
      <dgm:prSet presAssocID="{45BEC6CB-CEAE-4D3A-BB74-9710661E5495}" presName="LevelTwoTextNode" presStyleLbl="node4" presStyleIdx="5" presStyleCnt="14" custScaleX="523385" custLinFactX="72086" custLinFactNeighborX="100000">
        <dgm:presLayoutVars>
          <dgm:chPref val="3"/>
        </dgm:presLayoutVars>
      </dgm:prSet>
      <dgm:spPr/>
      <dgm:t>
        <a:bodyPr/>
        <a:lstStyle/>
        <a:p>
          <a:endParaRPr lang="fr-FR"/>
        </a:p>
      </dgm:t>
    </dgm:pt>
    <dgm:pt modelId="{C87422D0-D0BB-4F78-93F6-27A26662F5D9}" type="pres">
      <dgm:prSet presAssocID="{45BEC6CB-CEAE-4D3A-BB74-9710661E5495}" presName="level3hierChild" presStyleCnt="0"/>
      <dgm:spPr/>
    </dgm:pt>
    <dgm:pt modelId="{CED20A7F-39C4-4DA2-8B29-D7693639F6AF}" type="pres">
      <dgm:prSet presAssocID="{AAEB49C7-DD80-47C3-B2BE-815DE08EC8FF}" presName="conn2-1" presStyleLbl="parChTrans1D3" presStyleIdx="3" presStyleCnt="8"/>
      <dgm:spPr/>
      <dgm:t>
        <a:bodyPr/>
        <a:lstStyle/>
        <a:p>
          <a:endParaRPr lang="fr-FR"/>
        </a:p>
      </dgm:t>
    </dgm:pt>
    <dgm:pt modelId="{D875A270-EDA4-471E-A414-BEA50A59889A}" type="pres">
      <dgm:prSet presAssocID="{AAEB49C7-DD80-47C3-B2BE-815DE08EC8FF}" presName="connTx" presStyleLbl="parChTrans1D3" presStyleIdx="3" presStyleCnt="8"/>
      <dgm:spPr/>
      <dgm:t>
        <a:bodyPr/>
        <a:lstStyle/>
        <a:p>
          <a:endParaRPr lang="fr-FR"/>
        </a:p>
      </dgm:t>
    </dgm:pt>
    <dgm:pt modelId="{9B79A061-A44A-4804-92A3-3F792BA80F95}" type="pres">
      <dgm:prSet presAssocID="{B864E2C4-FC59-4990-B023-570F9750BBF4}" presName="root2" presStyleCnt="0"/>
      <dgm:spPr/>
    </dgm:pt>
    <dgm:pt modelId="{BE8003E3-2DC2-4451-AB1B-1F16F91257DB}" type="pres">
      <dgm:prSet presAssocID="{B864E2C4-FC59-4990-B023-570F9750BBF4}" presName="LevelTwoTextNode" presStyleLbl="node3" presStyleIdx="3" presStyleCnt="8" custScaleX="201877">
        <dgm:presLayoutVars>
          <dgm:chPref val="3"/>
        </dgm:presLayoutVars>
      </dgm:prSet>
      <dgm:spPr/>
      <dgm:t>
        <a:bodyPr/>
        <a:lstStyle/>
        <a:p>
          <a:endParaRPr lang="fr-FR"/>
        </a:p>
      </dgm:t>
    </dgm:pt>
    <dgm:pt modelId="{2396F95B-9517-4B70-916E-A06EC9EE70A7}" type="pres">
      <dgm:prSet presAssocID="{B864E2C4-FC59-4990-B023-570F9750BBF4}" presName="level3hierChild" presStyleCnt="0"/>
      <dgm:spPr/>
    </dgm:pt>
    <dgm:pt modelId="{10496EE6-5ACC-4C63-8233-5ED129F6012E}" type="pres">
      <dgm:prSet presAssocID="{C2293203-D35E-46B2-B033-5C91B313FF5A}" presName="conn2-1" presStyleLbl="parChTrans1D4" presStyleIdx="6" presStyleCnt="14"/>
      <dgm:spPr/>
      <dgm:t>
        <a:bodyPr/>
        <a:lstStyle/>
        <a:p>
          <a:endParaRPr lang="fr-FR"/>
        </a:p>
      </dgm:t>
    </dgm:pt>
    <dgm:pt modelId="{371E1EAE-93FF-4281-A4FE-31CC77CE8551}" type="pres">
      <dgm:prSet presAssocID="{C2293203-D35E-46B2-B033-5C91B313FF5A}" presName="connTx" presStyleLbl="parChTrans1D4" presStyleIdx="6" presStyleCnt="14"/>
      <dgm:spPr/>
      <dgm:t>
        <a:bodyPr/>
        <a:lstStyle/>
        <a:p>
          <a:endParaRPr lang="fr-FR"/>
        </a:p>
      </dgm:t>
    </dgm:pt>
    <dgm:pt modelId="{10BE3BDE-D03E-464D-ABA5-FF910542C9C2}" type="pres">
      <dgm:prSet presAssocID="{ADA01EFF-B7C1-44C7-83BA-B2D0F0683985}" presName="root2" presStyleCnt="0"/>
      <dgm:spPr/>
    </dgm:pt>
    <dgm:pt modelId="{755473B6-3311-4B3F-B732-C4663E4A776A}" type="pres">
      <dgm:prSet presAssocID="{ADA01EFF-B7C1-44C7-83BA-B2D0F0683985}" presName="LevelTwoTextNode" presStyleLbl="node4" presStyleIdx="6" presStyleCnt="14" custScaleX="523385" custLinFactX="72086" custLinFactNeighborX="100000">
        <dgm:presLayoutVars>
          <dgm:chPref val="3"/>
        </dgm:presLayoutVars>
      </dgm:prSet>
      <dgm:spPr/>
      <dgm:t>
        <a:bodyPr/>
        <a:lstStyle/>
        <a:p>
          <a:endParaRPr lang="fr-FR"/>
        </a:p>
      </dgm:t>
    </dgm:pt>
    <dgm:pt modelId="{F66807FA-B39C-44F7-A803-E2360E1A7A3E}" type="pres">
      <dgm:prSet presAssocID="{ADA01EFF-B7C1-44C7-83BA-B2D0F0683985}" presName="level3hierChild" presStyleCnt="0"/>
      <dgm:spPr/>
    </dgm:pt>
    <dgm:pt modelId="{067B2A55-A52F-4C7D-924A-BACF6F633EF7}" type="pres">
      <dgm:prSet presAssocID="{444659E9-0466-4D88-9E79-AA9EB8CB4884}" presName="conn2-1" presStyleLbl="parChTrans1D3" presStyleIdx="4" presStyleCnt="8"/>
      <dgm:spPr/>
      <dgm:t>
        <a:bodyPr/>
        <a:lstStyle/>
        <a:p>
          <a:endParaRPr lang="fr-FR"/>
        </a:p>
      </dgm:t>
    </dgm:pt>
    <dgm:pt modelId="{D54C0F9A-35A5-4508-9FEE-C153548AD668}" type="pres">
      <dgm:prSet presAssocID="{444659E9-0466-4D88-9E79-AA9EB8CB4884}" presName="connTx" presStyleLbl="parChTrans1D3" presStyleIdx="4" presStyleCnt="8"/>
      <dgm:spPr/>
      <dgm:t>
        <a:bodyPr/>
        <a:lstStyle/>
        <a:p>
          <a:endParaRPr lang="fr-FR"/>
        </a:p>
      </dgm:t>
    </dgm:pt>
    <dgm:pt modelId="{4586D83F-6CA9-4FD1-90AB-64E9855AB042}" type="pres">
      <dgm:prSet presAssocID="{3450464A-F293-4BBC-9F65-1EF129D500D9}" presName="root2" presStyleCnt="0"/>
      <dgm:spPr/>
    </dgm:pt>
    <dgm:pt modelId="{842B5ADE-4592-4729-9BA0-AC8AA65DAC20}" type="pres">
      <dgm:prSet presAssocID="{3450464A-F293-4BBC-9F65-1EF129D500D9}" presName="LevelTwoTextNode" presStyleLbl="node3" presStyleIdx="4" presStyleCnt="8" custScaleX="201877">
        <dgm:presLayoutVars>
          <dgm:chPref val="3"/>
        </dgm:presLayoutVars>
      </dgm:prSet>
      <dgm:spPr/>
      <dgm:t>
        <a:bodyPr/>
        <a:lstStyle/>
        <a:p>
          <a:endParaRPr lang="fr-FR"/>
        </a:p>
      </dgm:t>
    </dgm:pt>
    <dgm:pt modelId="{E30DFF99-0F22-459C-88AE-9B2005B1D44A}" type="pres">
      <dgm:prSet presAssocID="{3450464A-F293-4BBC-9F65-1EF129D500D9}" presName="level3hierChild" presStyleCnt="0"/>
      <dgm:spPr/>
    </dgm:pt>
    <dgm:pt modelId="{2DFBC0EF-EDEF-4E2F-AFA7-BE5EB26C7056}" type="pres">
      <dgm:prSet presAssocID="{0EBF36AD-479B-43F5-9D1F-B2BED5E0CA2F}" presName="conn2-1" presStyleLbl="parChTrans1D4" presStyleIdx="7" presStyleCnt="14"/>
      <dgm:spPr/>
      <dgm:t>
        <a:bodyPr/>
        <a:lstStyle/>
        <a:p>
          <a:endParaRPr lang="fr-FR"/>
        </a:p>
      </dgm:t>
    </dgm:pt>
    <dgm:pt modelId="{F7DE6281-0885-4021-88F6-77B2A53DC85D}" type="pres">
      <dgm:prSet presAssocID="{0EBF36AD-479B-43F5-9D1F-B2BED5E0CA2F}" presName="connTx" presStyleLbl="parChTrans1D4" presStyleIdx="7" presStyleCnt="14"/>
      <dgm:spPr/>
      <dgm:t>
        <a:bodyPr/>
        <a:lstStyle/>
        <a:p>
          <a:endParaRPr lang="fr-FR"/>
        </a:p>
      </dgm:t>
    </dgm:pt>
    <dgm:pt modelId="{F6811B4F-60B6-4AA6-BD43-2931362EAADB}" type="pres">
      <dgm:prSet presAssocID="{8C6FC27F-8871-4BB4-9124-A6D5184963C4}" presName="root2" presStyleCnt="0"/>
      <dgm:spPr/>
    </dgm:pt>
    <dgm:pt modelId="{8BEC4CD2-E99D-4DCC-9FA4-E9EF5992CEAB}" type="pres">
      <dgm:prSet presAssocID="{8C6FC27F-8871-4BB4-9124-A6D5184963C4}" presName="LevelTwoTextNode" presStyleLbl="node4" presStyleIdx="7" presStyleCnt="14" custScaleX="523385" custLinFactX="72086" custLinFactNeighborX="100000">
        <dgm:presLayoutVars>
          <dgm:chPref val="3"/>
        </dgm:presLayoutVars>
      </dgm:prSet>
      <dgm:spPr/>
      <dgm:t>
        <a:bodyPr/>
        <a:lstStyle/>
        <a:p>
          <a:endParaRPr lang="fr-FR"/>
        </a:p>
      </dgm:t>
    </dgm:pt>
    <dgm:pt modelId="{22E2C28B-985C-451B-BDC0-98AC3E0D74D3}" type="pres">
      <dgm:prSet presAssocID="{8C6FC27F-8871-4BB4-9124-A6D5184963C4}" presName="level3hierChild" presStyleCnt="0"/>
      <dgm:spPr/>
    </dgm:pt>
    <dgm:pt modelId="{322E38CE-B25D-4933-A3FA-2A2A38B85158}" type="pres">
      <dgm:prSet presAssocID="{ED76FACE-DD45-4E6C-A7E6-68DBFFB366FB}" presName="conn2-1" presStyleLbl="parChTrans1D4" presStyleIdx="8" presStyleCnt="14"/>
      <dgm:spPr/>
      <dgm:t>
        <a:bodyPr/>
        <a:lstStyle/>
        <a:p>
          <a:endParaRPr lang="fr-FR"/>
        </a:p>
      </dgm:t>
    </dgm:pt>
    <dgm:pt modelId="{899BFC69-8E78-4773-82BB-07C0EAB8EB61}" type="pres">
      <dgm:prSet presAssocID="{ED76FACE-DD45-4E6C-A7E6-68DBFFB366FB}" presName="connTx" presStyleLbl="parChTrans1D4" presStyleIdx="8" presStyleCnt="14"/>
      <dgm:spPr/>
      <dgm:t>
        <a:bodyPr/>
        <a:lstStyle/>
        <a:p>
          <a:endParaRPr lang="fr-FR"/>
        </a:p>
      </dgm:t>
    </dgm:pt>
    <dgm:pt modelId="{1D0B7F8E-7F75-4276-982E-ADFE33C41C55}" type="pres">
      <dgm:prSet presAssocID="{EBA38D79-F51F-43CF-9B3C-FF3649A2B3E0}" presName="root2" presStyleCnt="0"/>
      <dgm:spPr/>
    </dgm:pt>
    <dgm:pt modelId="{1FB3961B-B13A-48C1-BC33-35E1D92DC445}" type="pres">
      <dgm:prSet presAssocID="{EBA38D79-F51F-43CF-9B3C-FF3649A2B3E0}" presName="LevelTwoTextNode" presStyleLbl="node4" presStyleIdx="8" presStyleCnt="14" custScaleX="523385" custLinFactX="72086" custLinFactNeighborX="100000">
        <dgm:presLayoutVars>
          <dgm:chPref val="3"/>
        </dgm:presLayoutVars>
      </dgm:prSet>
      <dgm:spPr/>
      <dgm:t>
        <a:bodyPr/>
        <a:lstStyle/>
        <a:p>
          <a:endParaRPr lang="fr-FR"/>
        </a:p>
      </dgm:t>
    </dgm:pt>
    <dgm:pt modelId="{7901AECA-7E8E-49B0-B2EB-0105276C3FA8}" type="pres">
      <dgm:prSet presAssocID="{EBA38D79-F51F-43CF-9B3C-FF3649A2B3E0}" presName="level3hierChild" presStyleCnt="0"/>
      <dgm:spPr/>
    </dgm:pt>
    <dgm:pt modelId="{75398DEC-0064-4ACC-A406-0F5D183EA113}" type="pres">
      <dgm:prSet presAssocID="{865B70A7-EBAC-464E-8025-AF3605DD4CA1}" presName="conn2-1" presStyleLbl="parChTrans1D3" presStyleIdx="5" presStyleCnt="8"/>
      <dgm:spPr/>
      <dgm:t>
        <a:bodyPr/>
        <a:lstStyle/>
        <a:p>
          <a:endParaRPr lang="fr-FR"/>
        </a:p>
      </dgm:t>
    </dgm:pt>
    <dgm:pt modelId="{D0EAA69E-D19B-4E38-B667-F8F2211B87EB}" type="pres">
      <dgm:prSet presAssocID="{865B70A7-EBAC-464E-8025-AF3605DD4CA1}" presName="connTx" presStyleLbl="parChTrans1D3" presStyleIdx="5" presStyleCnt="8"/>
      <dgm:spPr/>
      <dgm:t>
        <a:bodyPr/>
        <a:lstStyle/>
        <a:p>
          <a:endParaRPr lang="fr-FR"/>
        </a:p>
      </dgm:t>
    </dgm:pt>
    <dgm:pt modelId="{9FCCE525-85E1-4E2E-BA56-F61286312DA7}" type="pres">
      <dgm:prSet presAssocID="{A42D4249-0084-465C-9159-157DC77C4D1B}" presName="root2" presStyleCnt="0"/>
      <dgm:spPr/>
    </dgm:pt>
    <dgm:pt modelId="{A3E51525-BB08-4697-B108-D2611B019EAF}" type="pres">
      <dgm:prSet presAssocID="{A42D4249-0084-465C-9159-157DC77C4D1B}" presName="LevelTwoTextNode" presStyleLbl="node3" presStyleIdx="5" presStyleCnt="8" custScaleX="201877">
        <dgm:presLayoutVars>
          <dgm:chPref val="3"/>
        </dgm:presLayoutVars>
      </dgm:prSet>
      <dgm:spPr/>
      <dgm:t>
        <a:bodyPr/>
        <a:lstStyle/>
        <a:p>
          <a:endParaRPr lang="fr-FR"/>
        </a:p>
      </dgm:t>
    </dgm:pt>
    <dgm:pt modelId="{737FC72C-B173-4F15-A87D-DE326B58AC9B}" type="pres">
      <dgm:prSet presAssocID="{A42D4249-0084-465C-9159-157DC77C4D1B}" presName="level3hierChild" presStyleCnt="0"/>
      <dgm:spPr/>
    </dgm:pt>
    <dgm:pt modelId="{4991DB15-8F7E-4FEA-94F7-58E3351A37AD}" type="pres">
      <dgm:prSet presAssocID="{70C6C7D8-B2B0-4A48-BAE1-5D8E9AAD9355}" presName="conn2-1" presStyleLbl="parChTrans1D4" presStyleIdx="9" presStyleCnt="14"/>
      <dgm:spPr/>
      <dgm:t>
        <a:bodyPr/>
        <a:lstStyle/>
        <a:p>
          <a:endParaRPr lang="fr-FR"/>
        </a:p>
      </dgm:t>
    </dgm:pt>
    <dgm:pt modelId="{E9270CCD-FBD4-472F-90CB-87C4EAA85E15}" type="pres">
      <dgm:prSet presAssocID="{70C6C7D8-B2B0-4A48-BAE1-5D8E9AAD9355}" presName="connTx" presStyleLbl="parChTrans1D4" presStyleIdx="9" presStyleCnt="14"/>
      <dgm:spPr/>
      <dgm:t>
        <a:bodyPr/>
        <a:lstStyle/>
        <a:p>
          <a:endParaRPr lang="fr-FR"/>
        </a:p>
      </dgm:t>
    </dgm:pt>
    <dgm:pt modelId="{D4CEC9E2-EA40-4757-A09B-C0971E3D2096}" type="pres">
      <dgm:prSet presAssocID="{941345CC-BA76-4C44-BF31-ADCB4CB8B12E}" presName="root2" presStyleCnt="0"/>
      <dgm:spPr/>
    </dgm:pt>
    <dgm:pt modelId="{63B52382-3B76-4912-83A7-86D6F048D909}" type="pres">
      <dgm:prSet presAssocID="{941345CC-BA76-4C44-BF31-ADCB4CB8B12E}" presName="LevelTwoTextNode" presStyleLbl="node4" presStyleIdx="9" presStyleCnt="14" custScaleX="523385" custLinFactX="72086" custLinFactNeighborX="100000">
        <dgm:presLayoutVars>
          <dgm:chPref val="3"/>
        </dgm:presLayoutVars>
      </dgm:prSet>
      <dgm:spPr/>
      <dgm:t>
        <a:bodyPr/>
        <a:lstStyle/>
        <a:p>
          <a:endParaRPr lang="fr-FR"/>
        </a:p>
      </dgm:t>
    </dgm:pt>
    <dgm:pt modelId="{B408F284-2F3B-47AD-9E73-F6A4CBBCEB09}" type="pres">
      <dgm:prSet presAssocID="{941345CC-BA76-4C44-BF31-ADCB4CB8B12E}" presName="level3hierChild" presStyleCnt="0"/>
      <dgm:spPr/>
    </dgm:pt>
    <dgm:pt modelId="{40697E7B-D4B6-47DC-94D8-7C69D10A3F1E}" type="pres">
      <dgm:prSet presAssocID="{8390ABD8-2AE3-46A7-B7BD-7F4C2CED8209}" presName="conn2-1" presStyleLbl="parChTrans1D4" presStyleIdx="10" presStyleCnt="14"/>
      <dgm:spPr/>
      <dgm:t>
        <a:bodyPr/>
        <a:lstStyle/>
        <a:p>
          <a:endParaRPr lang="fr-FR"/>
        </a:p>
      </dgm:t>
    </dgm:pt>
    <dgm:pt modelId="{29171AE4-0972-4C22-A577-BEB8B27A002F}" type="pres">
      <dgm:prSet presAssocID="{8390ABD8-2AE3-46A7-B7BD-7F4C2CED8209}" presName="connTx" presStyleLbl="parChTrans1D4" presStyleIdx="10" presStyleCnt="14"/>
      <dgm:spPr/>
      <dgm:t>
        <a:bodyPr/>
        <a:lstStyle/>
        <a:p>
          <a:endParaRPr lang="fr-FR"/>
        </a:p>
      </dgm:t>
    </dgm:pt>
    <dgm:pt modelId="{2AFF28DD-2101-4EC5-94B9-83CCD8CC7E83}" type="pres">
      <dgm:prSet presAssocID="{46D838E6-B0F9-4C38-93B8-3F2ED5C135BF}" presName="root2" presStyleCnt="0"/>
      <dgm:spPr/>
    </dgm:pt>
    <dgm:pt modelId="{AF329EE1-8A05-465F-BA8B-5ED0B62637AC}" type="pres">
      <dgm:prSet presAssocID="{46D838E6-B0F9-4C38-93B8-3F2ED5C135BF}" presName="LevelTwoTextNode" presStyleLbl="node4" presStyleIdx="10" presStyleCnt="14" custScaleX="523385" custLinFactX="72086" custLinFactNeighborX="100000">
        <dgm:presLayoutVars>
          <dgm:chPref val="3"/>
        </dgm:presLayoutVars>
      </dgm:prSet>
      <dgm:spPr/>
      <dgm:t>
        <a:bodyPr/>
        <a:lstStyle/>
        <a:p>
          <a:endParaRPr lang="fr-FR"/>
        </a:p>
      </dgm:t>
    </dgm:pt>
    <dgm:pt modelId="{862A0828-2E87-4C69-92BB-A3ECAE93C0F6}" type="pres">
      <dgm:prSet presAssocID="{46D838E6-B0F9-4C38-93B8-3F2ED5C135BF}" presName="level3hierChild" presStyleCnt="0"/>
      <dgm:spPr/>
    </dgm:pt>
    <dgm:pt modelId="{84453A79-699A-4222-A365-B349CC7E564D}" type="pres">
      <dgm:prSet presAssocID="{CDF3B96D-0085-490F-B19A-1FA0D188E6F9}" presName="conn2-1" presStyleLbl="parChTrans1D3" presStyleIdx="6" presStyleCnt="8"/>
      <dgm:spPr/>
      <dgm:t>
        <a:bodyPr/>
        <a:lstStyle/>
        <a:p>
          <a:endParaRPr lang="fr-FR"/>
        </a:p>
      </dgm:t>
    </dgm:pt>
    <dgm:pt modelId="{8C18ED47-BA87-4A93-92A4-7561A420AE2E}" type="pres">
      <dgm:prSet presAssocID="{CDF3B96D-0085-490F-B19A-1FA0D188E6F9}" presName="connTx" presStyleLbl="parChTrans1D3" presStyleIdx="6" presStyleCnt="8"/>
      <dgm:spPr/>
      <dgm:t>
        <a:bodyPr/>
        <a:lstStyle/>
        <a:p>
          <a:endParaRPr lang="fr-FR"/>
        </a:p>
      </dgm:t>
    </dgm:pt>
    <dgm:pt modelId="{4A7293D5-3B8F-430C-86A4-3462F5B4D30E}" type="pres">
      <dgm:prSet presAssocID="{07CEEA0F-4DFF-4C48-B218-31654E86A1BA}" presName="root2" presStyleCnt="0"/>
      <dgm:spPr/>
    </dgm:pt>
    <dgm:pt modelId="{CFAA0187-EA69-4C92-BD02-28CCC69CEB6B}" type="pres">
      <dgm:prSet presAssocID="{07CEEA0F-4DFF-4C48-B218-31654E86A1BA}" presName="LevelTwoTextNode" presStyleLbl="node3" presStyleIdx="6" presStyleCnt="8" custScaleX="201877">
        <dgm:presLayoutVars>
          <dgm:chPref val="3"/>
        </dgm:presLayoutVars>
      </dgm:prSet>
      <dgm:spPr/>
      <dgm:t>
        <a:bodyPr/>
        <a:lstStyle/>
        <a:p>
          <a:endParaRPr lang="fr-FR"/>
        </a:p>
      </dgm:t>
    </dgm:pt>
    <dgm:pt modelId="{C40DABA2-9DEF-4045-945F-223850B2D259}" type="pres">
      <dgm:prSet presAssocID="{07CEEA0F-4DFF-4C48-B218-31654E86A1BA}" presName="level3hierChild" presStyleCnt="0"/>
      <dgm:spPr/>
    </dgm:pt>
    <dgm:pt modelId="{2509D15D-A71F-4C23-8E77-E12C4F609D33}" type="pres">
      <dgm:prSet presAssocID="{CE57DA39-381E-4784-9207-0FCE71FF337B}" presName="conn2-1" presStyleLbl="parChTrans1D4" presStyleIdx="11" presStyleCnt="14"/>
      <dgm:spPr/>
      <dgm:t>
        <a:bodyPr/>
        <a:lstStyle/>
        <a:p>
          <a:endParaRPr lang="fr-FR"/>
        </a:p>
      </dgm:t>
    </dgm:pt>
    <dgm:pt modelId="{882B94A7-D24A-410E-94FA-2F8F042A568B}" type="pres">
      <dgm:prSet presAssocID="{CE57DA39-381E-4784-9207-0FCE71FF337B}" presName="connTx" presStyleLbl="parChTrans1D4" presStyleIdx="11" presStyleCnt="14"/>
      <dgm:spPr/>
      <dgm:t>
        <a:bodyPr/>
        <a:lstStyle/>
        <a:p>
          <a:endParaRPr lang="fr-FR"/>
        </a:p>
      </dgm:t>
    </dgm:pt>
    <dgm:pt modelId="{649EC4D6-0CED-4D6A-BFF9-1DFB583A1753}" type="pres">
      <dgm:prSet presAssocID="{3209CA17-350F-45CD-8922-98CF5B782F66}" presName="root2" presStyleCnt="0"/>
      <dgm:spPr/>
    </dgm:pt>
    <dgm:pt modelId="{C976D2B9-5769-4A58-BD66-C029E5C7221D}" type="pres">
      <dgm:prSet presAssocID="{3209CA17-350F-45CD-8922-98CF5B782F66}" presName="LevelTwoTextNode" presStyleLbl="node4" presStyleIdx="11" presStyleCnt="14" custScaleX="523385" custLinFactX="72086" custLinFactNeighborX="100000">
        <dgm:presLayoutVars>
          <dgm:chPref val="3"/>
        </dgm:presLayoutVars>
      </dgm:prSet>
      <dgm:spPr/>
      <dgm:t>
        <a:bodyPr/>
        <a:lstStyle/>
        <a:p>
          <a:endParaRPr lang="fr-FR"/>
        </a:p>
      </dgm:t>
    </dgm:pt>
    <dgm:pt modelId="{BAC6FA0B-8CEF-4C03-AB2B-4FAAAA6AA96B}" type="pres">
      <dgm:prSet presAssocID="{3209CA17-350F-45CD-8922-98CF5B782F66}" presName="level3hierChild" presStyleCnt="0"/>
      <dgm:spPr/>
    </dgm:pt>
    <dgm:pt modelId="{9A41CC84-ABEA-4680-9E9C-E6BEB259B049}" type="pres">
      <dgm:prSet presAssocID="{596D6E0B-2037-461D-B2D2-C608FF8EC4B4}" presName="conn2-1" presStyleLbl="parChTrans1D4" presStyleIdx="12" presStyleCnt="14"/>
      <dgm:spPr/>
      <dgm:t>
        <a:bodyPr/>
        <a:lstStyle/>
        <a:p>
          <a:endParaRPr lang="fr-FR"/>
        </a:p>
      </dgm:t>
    </dgm:pt>
    <dgm:pt modelId="{1A775435-9249-4BE3-94DA-DE78B129525D}" type="pres">
      <dgm:prSet presAssocID="{596D6E0B-2037-461D-B2D2-C608FF8EC4B4}" presName="connTx" presStyleLbl="parChTrans1D4" presStyleIdx="12" presStyleCnt="14"/>
      <dgm:spPr/>
      <dgm:t>
        <a:bodyPr/>
        <a:lstStyle/>
        <a:p>
          <a:endParaRPr lang="fr-FR"/>
        </a:p>
      </dgm:t>
    </dgm:pt>
    <dgm:pt modelId="{53E6D082-4031-4D47-829B-5257101E52E0}" type="pres">
      <dgm:prSet presAssocID="{BEF2D3F9-E3F0-41B3-ACF0-DB08FC8991B4}" presName="root2" presStyleCnt="0"/>
      <dgm:spPr/>
    </dgm:pt>
    <dgm:pt modelId="{808F44E4-E8C5-4C4C-9D92-C282912FB3E7}" type="pres">
      <dgm:prSet presAssocID="{BEF2D3F9-E3F0-41B3-ACF0-DB08FC8991B4}" presName="LevelTwoTextNode" presStyleLbl="node4" presStyleIdx="12" presStyleCnt="14" custScaleX="523385" custLinFactX="72086" custLinFactNeighborX="100000">
        <dgm:presLayoutVars>
          <dgm:chPref val="3"/>
        </dgm:presLayoutVars>
      </dgm:prSet>
      <dgm:spPr/>
      <dgm:t>
        <a:bodyPr/>
        <a:lstStyle/>
        <a:p>
          <a:endParaRPr lang="fr-FR"/>
        </a:p>
      </dgm:t>
    </dgm:pt>
    <dgm:pt modelId="{C4000D98-FAB4-4F39-A5D6-7DBB88FB8DB2}" type="pres">
      <dgm:prSet presAssocID="{BEF2D3F9-E3F0-41B3-ACF0-DB08FC8991B4}" presName="level3hierChild" presStyleCnt="0"/>
      <dgm:spPr/>
    </dgm:pt>
    <dgm:pt modelId="{256CC832-540A-4C43-A087-AE9B3FCD4FAB}" type="pres">
      <dgm:prSet presAssocID="{34965BF0-A1E5-4590-B4B5-79BD30858559}" presName="conn2-1" presStyleLbl="parChTrans1D3" presStyleIdx="7" presStyleCnt="8"/>
      <dgm:spPr/>
      <dgm:t>
        <a:bodyPr/>
        <a:lstStyle/>
        <a:p>
          <a:endParaRPr lang="fr-FR"/>
        </a:p>
      </dgm:t>
    </dgm:pt>
    <dgm:pt modelId="{17C6A833-AAE9-4A0A-A998-B79E88B668E4}" type="pres">
      <dgm:prSet presAssocID="{34965BF0-A1E5-4590-B4B5-79BD30858559}" presName="connTx" presStyleLbl="parChTrans1D3" presStyleIdx="7" presStyleCnt="8"/>
      <dgm:spPr/>
      <dgm:t>
        <a:bodyPr/>
        <a:lstStyle/>
        <a:p>
          <a:endParaRPr lang="fr-FR"/>
        </a:p>
      </dgm:t>
    </dgm:pt>
    <dgm:pt modelId="{7ED440D1-40FF-4383-904D-64C9247D048A}" type="pres">
      <dgm:prSet presAssocID="{A0E69DC9-8CEA-4B73-A3A2-46432E430C31}" presName="root2" presStyleCnt="0"/>
      <dgm:spPr/>
    </dgm:pt>
    <dgm:pt modelId="{4EEEA69B-AF54-42E6-A992-694A1D8C96F6}" type="pres">
      <dgm:prSet presAssocID="{A0E69DC9-8CEA-4B73-A3A2-46432E430C31}" presName="LevelTwoTextNode" presStyleLbl="node3" presStyleIdx="7" presStyleCnt="8" custScaleX="201877">
        <dgm:presLayoutVars>
          <dgm:chPref val="3"/>
        </dgm:presLayoutVars>
      </dgm:prSet>
      <dgm:spPr/>
      <dgm:t>
        <a:bodyPr/>
        <a:lstStyle/>
        <a:p>
          <a:endParaRPr lang="fr-FR"/>
        </a:p>
      </dgm:t>
    </dgm:pt>
    <dgm:pt modelId="{0D1C9358-B808-4E42-884F-963F2D9391DC}" type="pres">
      <dgm:prSet presAssocID="{A0E69DC9-8CEA-4B73-A3A2-46432E430C31}" presName="level3hierChild" presStyleCnt="0"/>
      <dgm:spPr/>
    </dgm:pt>
    <dgm:pt modelId="{9FC29DFA-229D-4821-9CA8-E7DA9E164C4D}" type="pres">
      <dgm:prSet presAssocID="{8DD1037C-312B-455B-953C-39D3CE047B41}" presName="conn2-1" presStyleLbl="parChTrans1D4" presStyleIdx="13" presStyleCnt="14"/>
      <dgm:spPr/>
      <dgm:t>
        <a:bodyPr/>
        <a:lstStyle/>
        <a:p>
          <a:endParaRPr lang="fr-FR"/>
        </a:p>
      </dgm:t>
    </dgm:pt>
    <dgm:pt modelId="{B39ED79A-4D24-48D3-93FD-2F0F7EC7E98E}" type="pres">
      <dgm:prSet presAssocID="{8DD1037C-312B-455B-953C-39D3CE047B41}" presName="connTx" presStyleLbl="parChTrans1D4" presStyleIdx="13" presStyleCnt="14"/>
      <dgm:spPr/>
      <dgm:t>
        <a:bodyPr/>
        <a:lstStyle/>
        <a:p>
          <a:endParaRPr lang="fr-FR"/>
        </a:p>
      </dgm:t>
    </dgm:pt>
    <dgm:pt modelId="{CB6325DE-E04C-4E99-AE76-410BED103A56}" type="pres">
      <dgm:prSet presAssocID="{7DA4F440-7F9A-4842-B774-6E2D7E35B34A}" presName="root2" presStyleCnt="0"/>
      <dgm:spPr/>
    </dgm:pt>
    <dgm:pt modelId="{0CE19A2B-571B-4CB4-B69B-102A14EFFD78}" type="pres">
      <dgm:prSet presAssocID="{7DA4F440-7F9A-4842-B774-6E2D7E35B34A}" presName="LevelTwoTextNode" presStyleLbl="node4" presStyleIdx="13" presStyleCnt="14" custScaleX="523385" custLinFactX="72086" custLinFactNeighborX="100000">
        <dgm:presLayoutVars>
          <dgm:chPref val="3"/>
        </dgm:presLayoutVars>
      </dgm:prSet>
      <dgm:spPr/>
      <dgm:t>
        <a:bodyPr/>
        <a:lstStyle/>
        <a:p>
          <a:endParaRPr lang="fr-FR"/>
        </a:p>
      </dgm:t>
    </dgm:pt>
    <dgm:pt modelId="{6B6774C9-6EE4-491F-BC24-15F6CC0ADEF2}" type="pres">
      <dgm:prSet presAssocID="{7DA4F440-7F9A-4842-B774-6E2D7E35B34A}" presName="level3hierChild" presStyleCnt="0"/>
      <dgm:spPr/>
    </dgm:pt>
  </dgm:ptLst>
  <dgm:cxnLst>
    <dgm:cxn modelId="{11BEDEC5-EEA9-4E53-9A55-85B0F4015825}" type="presOf" srcId="{CDF3B96D-0085-490F-B19A-1FA0D188E6F9}" destId="{84453A79-699A-4222-A365-B349CC7E564D}" srcOrd="0" destOrd="0" presId="urn:microsoft.com/office/officeart/2005/8/layout/hierarchy2"/>
    <dgm:cxn modelId="{5A1806B5-3057-44B5-8A85-B17C86E4B1CE}" srcId="{3450464A-F293-4BBC-9F65-1EF129D500D9}" destId="{EBA38D79-F51F-43CF-9B3C-FF3649A2B3E0}" srcOrd="1" destOrd="0" parTransId="{ED76FACE-DD45-4E6C-A7E6-68DBFFB366FB}" sibTransId="{EFA23F10-3FAD-475A-A606-536F8586EF2A}"/>
    <dgm:cxn modelId="{BB15A3C4-8B01-44E3-ACB5-2D8F9810B86C}" srcId="{A42D4249-0084-465C-9159-157DC77C4D1B}" destId="{46D838E6-B0F9-4C38-93B8-3F2ED5C135BF}" srcOrd="1" destOrd="0" parTransId="{8390ABD8-2AE3-46A7-B7BD-7F4C2CED8209}" sibTransId="{15310B65-9182-4BDC-94C7-D8BE66EC020B}"/>
    <dgm:cxn modelId="{DDB9806D-8FD0-433A-A6A4-4EE2BBEF0E1D}" type="presOf" srcId="{DBC3A8B6-6B27-4595-B884-13B91EB914F9}" destId="{094ED728-6FE3-4730-9AC6-09945C8F5498}" srcOrd="0" destOrd="0" presId="urn:microsoft.com/office/officeart/2005/8/layout/hierarchy2"/>
    <dgm:cxn modelId="{793A09F0-98DC-49D3-BAC1-D1B38E3D6EDD}" type="presOf" srcId="{BEF2D3F9-E3F0-41B3-ACF0-DB08FC8991B4}" destId="{808F44E4-E8C5-4C4C-9D92-C282912FB3E7}" srcOrd="0" destOrd="0" presId="urn:microsoft.com/office/officeart/2005/8/layout/hierarchy2"/>
    <dgm:cxn modelId="{17F2C470-6A3E-48A8-9A90-F23F07D131A8}" type="presOf" srcId="{34965BF0-A1E5-4590-B4B5-79BD30858559}" destId="{17C6A833-AAE9-4A0A-A998-B79E88B668E4}" srcOrd="1" destOrd="0" presId="urn:microsoft.com/office/officeart/2005/8/layout/hierarchy2"/>
    <dgm:cxn modelId="{38FE9F99-B414-4A2B-B064-09F9021C1027}" type="presOf" srcId="{596D6E0B-2037-461D-B2D2-C608FF8EC4B4}" destId="{1A775435-9249-4BE3-94DA-DE78B129525D}" srcOrd="1" destOrd="0" presId="urn:microsoft.com/office/officeart/2005/8/layout/hierarchy2"/>
    <dgm:cxn modelId="{4BD83E01-DC01-4541-90E5-021442C9B916}" srcId="{9A2BBCC9-08C9-4BCC-BD7A-012332C8B990}" destId="{EB4F00DA-8D1C-4BD3-A918-6A195C5FCA16}" srcOrd="2" destOrd="0" parTransId="{E2CB8E83-F6FD-41A9-B093-5371EBDBBECE}" sibTransId="{B3F438CA-3B03-4FAC-A16B-DB2469C30665}"/>
    <dgm:cxn modelId="{800AAC49-82A5-4A5A-B54E-B132B26A854A}" srcId="{EB4F00DA-8D1C-4BD3-A918-6A195C5FCA16}" destId="{DBC3A8B6-6B27-4595-B884-13B91EB914F9}" srcOrd="0" destOrd="0" parTransId="{DF0C55A6-AAFE-4CB6-90A6-7EEAC57E98D2}" sibTransId="{CEED5C29-7D1E-44DB-923E-D13383C8ACB3}"/>
    <dgm:cxn modelId="{2C1273BC-F8F5-46EC-B9D9-DF91986E4062}" type="presOf" srcId="{8DD1037C-312B-455B-953C-39D3CE047B41}" destId="{9FC29DFA-229D-4821-9CA8-E7DA9E164C4D}" srcOrd="0" destOrd="0" presId="urn:microsoft.com/office/officeart/2005/8/layout/hierarchy2"/>
    <dgm:cxn modelId="{0ECE1215-C948-4DE2-824B-50DAD63E9D09}" srcId="{9A2BBCC9-08C9-4BCC-BD7A-012332C8B990}" destId="{EEDB03C6-0932-431B-8AEB-D01782B0736E}" srcOrd="1" destOrd="0" parTransId="{7AE11443-8B5E-4300-8BD1-F9598AD3D1C1}" sibTransId="{5DEE4D77-9C45-4EF7-A6CB-D1F01C4A37CE}"/>
    <dgm:cxn modelId="{F1BF1359-3B56-49E0-A556-E61DD3F24C61}" type="presOf" srcId="{1140E27E-AC06-4904-B7A6-C3ACE2B16664}" destId="{69C98D25-E49C-4FDB-82C0-18575914304D}" srcOrd="0" destOrd="0" presId="urn:microsoft.com/office/officeart/2005/8/layout/hierarchy2"/>
    <dgm:cxn modelId="{86139243-00F5-414E-836C-2C31BC66576D}" srcId="{EEDB03C6-0932-431B-8AEB-D01782B0736E}" destId="{C0B2AFD4-38F1-4053-A92C-2A86B1B56302}" srcOrd="1" destOrd="0" parTransId="{F2C449B2-F855-4B6C-A468-E69C4A91DD92}" sibTransId="{3D3BF331-99A5-4982-8ABF-37671ED0695F}"/>
    <dgm:cxn modelId="{1FE4DBB4-227C-43AC-87A5-7F69D883C8BC}" type="presOf" srcId="{F2C449B2-F855-4B6C-A468-E69C4A91DD92}" destId="{E0B09C65-7622-4CA0-90EC-31A55E45505E}" srcOrd="1" destOrd="0" presId="urn:microsoft.com/office/officeart/2005/8/layout/hierarchy2"/>
    <dgm:cxn modelId="{092DAB24-8626-497C-80B0-81C6E4B32576}" type="presOf" srcId="{CDF3B96D-0085-490F-B19A-1FA0D188E6F9}" destId="{8C18ED47-BA87-4A93-92A4-7561A420AE2E}" srcOrd="1" destOrd="0" presId="urn:microsoft.com/office/officeart/2005/8/layout/hierarchy2"/>
    <dgm:cxn modelId="{CB79143F-5C6B-4E51-9E51-92133AAF9CB3}" type="presOf" srcId="{0EBF36AD-479B-43F5-9D1F-B2BED5E0CA2F}" destId="{F7DE6281-0885-4021-88F6-77B2A53DC85D}" srcOrd="1" destOrd="0" presId="urn:microsoft.com/office/officeart/2005/8/layout/hierarchy2"/>
    <dgm:cxn modelId="{5E6D8B11-6492-4990-873C-81DBB1BFC785}" type="presOf" srcId="{CE57DA39-381E-4784-9207-0FCE71FF337B}" destId="{2509D15D-A71F-4C23-8E77-E12C4F609D33}" srcOrd="0" destOrd="0" presId="urn:microsoft.com/office/officeart/2005/8/layout/hierarchy2"/>
    <dgm:cxn modelId="{C99223DC-EF11-44B8-8996-4FE9532BB5CC}" type="presOf" srcId="{931A342A-6F1C-4E88-8B1A-DF5B743D63C9}" destId="{CAFEB99C-827F-41A6-B28E-981CD5511437}" srcOrd="0" destOrd="0" presId="urn:microsoft.com/office/officeart/2005/8/layout/hierarchy2"/>
    <dgm:cxn modelId="{38AAC344-8FC2-40EB-8CEC-00FFC0A42850}" type="presOf" srcId="{46D838E6-B0F9-4C38-93B8-3F2ED5C135BF}" destId="{AF329EE1-8A05-465F-BA8B-5ED0B62637AC}" srcOrd="0" destOrd="0" presId="urn:microsoft.com/office/officeart/2005/8/layout/hierarchy2"/>
    <dgm:cxn modelId="{2637476F-1BB5-41DD-97AB-8B900E3A8D24}" type="presOf" srcId="{BC4E36C4-BFD1-4D9B-B498-7B090A0D9557}" destId="{5E1F2220-05C4-438F-A081-99DAF64F7142}" srcOrd="0" destOrd="0" presId="urn:microsoft.com/office/officeart/2005/8/layout/hierarchy2"/>
    <dgm:cxn modelId="{647B6106-D2A3-4717-8608-9D73F11D5D16}" type="presOf" srcId="{E2CB8E83-F6FD-41A9-B093-5371EBDBBECE}" destId="{204379E2-B776-429C-A97C-B519961406F7}" srcOrd="1" destOrd="0" presId="urn:microsoft.com/office/officeart/2005/8/layout/hierarchy2"/>
    <dgm:cxn modelId="{547496E5-7B48-4A59-9A1E-E93DDA532CBF}" srcId="{D509E99B-8A2C-460C-9F7A-465650F4EBA1}" destId="{9A2BBCC9-08C9-4BCC-BD7A-012332C8B990}" srcOrd="0" destOrd="0" parTransId="{65EA317C-3767-49D7-B3FE-040F41827F8C}" sibTransId="{F03B07A7-92C2-40E9-BF62-D6CF9FAC0F04}"/>
    <dgm:cxn modelId="{D68EE16E-5304-4F5F-8865-CE0973D69016}" type="presOf" srcId="{3450464A-F293-4BBC-9F65-1EF129D500D9}" destId="{842B5ADE-4592-4729-9BA0-AC8AA65DAC20}" srcOrd="0" destOrd="0" presId="urn:microsoft.com/office/officeart/2005/8/layout/hierarchy2"/>
    <dgm:cxn modelId="{EF37EB63-D468-47FA-8AE1-3431B5C56E38}" type="presOf" srcId="{931A342A-6F1C-4E88-8B1A-DF5B743D63C9}" destId="{D207D22B-5875-4704-94F5-84C1B5A41863}" srcOrd="1" destOrd="0" presId="urn:microsoft.com/office/officeart/2005/8/layout/hierarchy2"/>
    <dgm:cxn modelId="{A79C4F74-95A8-4CFB-87C0-1BE6DC9CCE51}" type="presOf" srcId="{8DD1037C-312B-455B-953C-39D3CE047B41}" destId="{B39ED79A-4D24-48D3-93FD-2F0F7EC7E98E}" srcOrd="1" destOrd="0" presId="urn:microsoft.com/office/officeart/2005/8/layout/hierarchy2"/>
    <dgm:cxn modelId="{A44FD84E-3E90-4AF4-9099-282234784953}" type="presOf" srcId="{865B70A7-EBAC-464E-8025-AF3605DD4CA1}" destId="{75398DEC-0064-4ACC-A406-0F5D183EA113}" srcOrd="0" destOrd="0" presId="urn:microsoft.com/office/officeart/2005/8/layout/hierarchy2"/>
    <dgm:cxn modelId="{E3399FE1-7A59-46C8-BBF9-A3F2DA28CEA6}" type="presOf" srcId="{95AD826F-7D06-497C-A4E5-4166A3881BC2}" destId="{2DB7C7B3-9ACC-40BD-9CD8-AF4E25D7E57B}" srcOrd="1" destOrd="0" presId="urn:microsoft.com/office/officeart/2005/8/layout/hierarchy2"/>
    <dgm:cxn modelId="{DCEDB385-5D61-40FE-9DFC-09484CFEEF0C}" type="presOf" srcId="{45BEC6CB-CEAE-4D3A-BB74-9710661E5495}" destId="{E62938E9-EF12-43F5-AAB9-9CD0041246A0}" srcOrd="0" destOrd="0" presId="urn:microsoft.com/office/officeart/2005/8/layout/hierarchy2"/>
    <dgm:cxn modelId="{27349283-E122-4D1B-A52E-792D7F482CAD}" type="presOf" srcId="{AAEB49C7-DD80-47C3-B2BE-815DE08EC8FF}" destId="{CED20A7F-39C4-4DA2-8B29-D7693639F6AF}" srcOrd="0" destOrd="0" presId="urn:microsoft.com/office/officeart/2005/8/layout/hierarchy2"/>
    <dgm:cxn modelId="{66239A6A-C412-45D1-9EDB-FDDD37F90162}" type="presOf" srcId="{9A2BBCC9-08C9-4BCC-BD7A-012332C8B990}" destId="{9756CD15-2B6E-410B-B794-1B3B9CE85A61}" srcOrd="0" destOrd="0" presId="urn:microsoft.com/office/officeart/2005/8/layout/hierarchy2"/>
    <dgm:cxn modelId="{56C5708A-FE22-4F38-B82C-65F4253E8FB3}" type="presOf" srcId="{70C6C7D8-B2B0-4A48-BAE1-5D8E9AAD9355}" destId="{4991DB15-8F7E-4FEA-94F7-58E3351A37AD}" srcOrd="0" destOrd="0" presId="urn:microsoft.com/office/officeart/2005/8/layout/hierarchy2"/>
    <dgm:cxn modelId="{CD51447C-6CA8-46E9-98C9-FD576AC8BE90}" type="presOf" srcId="{65EA317C-3767-49D7-B3FE-040F41827F8C}" destId="{15B0DCBA-4087-4376-83B2-C78524BA444B}" srcOrd="0" destOrd="0" presId="urn:microsoft.com/office/officeart/2005/8/layout/hierarchy2"/>
    <dgm:cxn modelId="{1AC507E4-69AC-4DE5-A822-29B5AF23A47F}" srcId="{EEDB03C6-0932-431B-8AEB-D01782B0736E}" destId="{5DE4A063-D8AC-491D-AA02-8602FEF9D578}" srcOrd="0" destOrd="0" parTransId="{20ED08B4-8EA0-4BB3-ACE2-4ADBCFD5B8E9}" sibTransId="{E9706134-D946-447E-8EF8-8180D86C6202}"/>
    <dgm:cxn modelId="{F6126B4D-B2C5-4026-A21D-0E38DB0A2C43}" type="presOf" srcId="{EBA38D79-F51F-43CF-9B3C-FF3649A2B3E0}" destId="{1FB3961B-B13A-48C1-BC33-35E1D92DC445}" srcOrd="0" destOrd="0" presId="urn:microsoft.com/office/officeart/2005/8/layout/hierarchy2"/>
    <dgm:cxn modelId="{E2738C33-96B1-4C61-8928-D932393EA777}" type="presOf" srcId="{B864E2C4-FC59-4990-B023-570F9750BBF4}" destId="{BE8003E3-2DC2-4451-AB1B-1F16F91257DB}" srcOrd="0" destOrd="0" presId="urn:microsoft.com/office/officeart/2005/8/layout/hierarchy2"/>
    <dgm:cxn modelId="{D9A85EE8-6593-42B1-8B87-DDF4CD2C666F}" type="presOf" srcId="{DF0C55A6-AAFE-4CB6-90A6-7EEAC57E98D2}" destId="{1A3A0070-FDF7-4FE4-8874-455452EE1DAC}" srcOrd="1" destOrd="0" presId="urn:microsoft.com/office/officeart/2005/8/layout/hierarchy2"/>
    <dgm:cxn modelId="{0A08FA0C-28F2-46FA-AA9F-500B9E1C924A}" type="presOf" srcId="{C2293203-D35E-46B2-B033-5C91B313FF5A}" destId="{371E1EAE-93FF-4281-A4FE-31CC77CE8551}" srcOrd="1" destOrd="0" presId="urn:microsoft.com/office/officeart/2005/8/layout/hierarchy2"/>
    <dgm:cxn modelId="{821C0B89-FF12-4804-ABDE-7258D5196B3B}" type="presOf" srcId="{CE57DA39-381E-4784-9207-0FCE71FF337B}" destId="{882B94A7-D24A-410E-94FA-2F8F042A568B}" srcOrd="1" destOrd="0" presId="urn:microsoft.com/office/officeart/2005/8/layout/hierarchy2"/>
    <dgm:cxn modelId="{71BF8680-BF6E-4E3B-BF2B-FBC5B35A6519}" type="presOf" srcId="{164D2F9C-032D-4CAE-BC19-80EDC9E68C1F}" destId="{4407AE97-A298-40DA-BC7A-BAAE5C66AF72}" srcOrd="0" destOrd="0" presId="urn:microsoft.com/office/officeart/2005/8/layout/hierarchy2"/>
    <dgm:cxn modelId="{D3F2AD8E-4302-483B-9859-6BC39210074F}" type="presOf" srcId="{444659E9-0466-4D88-9E79-AA9EB8CB4884}" destId="{067B2A55-A52F-4C7D-924A-BACF6F633EF7}" srcOrd="0" destOrd="0" presId="urn:microsoft.com/office/officeart/2005/8/layout/hierarchy2"/>
    <dgm:cxn modelId="{236B1806-5140-476F-A27A-6EF0262B9AE6}" type="presOf" srcId="{760DF523-6ED4-4ACB-8497-57CEBE39C532}" destId="{6C4DA581-16BC-428A-83B1-6E7731BDC8EA}" srcOrd="0" destOrd="0" presId="urn:microsoft.com/office/officeart/2005/8/layout/hierarchy2"/>
    <dgm:cxn modelId="{7F7E0B03-981E-4D1B-9302-B91F785C4EE2}" type="presOf" srcId="{A42D4249-0084-465C-9159-157DC77C4D1B}" destId="{A3E51525-BB08-4697-B108-D2611B019EAF}" srcOrd="0" destOrd="0" presId="urn:microsoft.com/office/officeart/2005/8/layout/hierarchy2"/>
    <dgm:cxn modelId="{DEB31032-5198-4314-ACA8-7E1D7BB4A146}" srcId="{9A2BBCC9-08C9-4BCC-BD7A-012332C8B990}" destId="{B864E2C4-FC59-4990-B023-570F9750BBF4}" srcOrd="3" destOrd="0" parTransId="{AAEB49C7-DD80-47C3-B2BE-815DE08EC8FF}" sibTransId="{4F98DAF9-B190-4138-9730-B8D03730ACF3}"/>
    <dgm:cxn modelId="{4B9B4310-FACB-4222-8601-EE66D1F41DD7}" type="presOf" srcId="{BC4E36C4-BFD1-4D9B-B498-7B090A0D9557}" destId="{C31F0DCA-B9E8-451A-807F-B8810F7AFD98}" srcOrd="1" destOrd="0" presId="urn:microsoft.com/office/officeart/2005/8/layout/hierarchy2"/>
    <dgm:cxn modelId="{7864EC15-CA99-4476-9840-5C417A7E4B34}" srcId="{07CEEA0F-4DFF-4C48-B218-31654E86A1BA}" destId="{3209CA17-350F-45CD-8922-98CF5B782F66}" srcOrd="0" destOrd="0" parTransId="{CE57DA39-381E-4784-9207-0FCE71FF337B}" sibTransId="{B6F70BD0-D84F-4629-952E-30876ABBE47E}"/>
    <dgm:cxn modelId="{FBC6D330-D99B-43B5-A813-099F22B48196}" type="presOf" srcId="{3209CA17-350F-45CD-8922-98CF5B782F66}" destId="{C976D2B9-5769-4A58-BD66-C029E5C7221D}" srcOrd="0" destOrd="0" presId="urn:microsoft.com/office/officeart/2005/8/layout/hierarchy2"/>
    <dgm:cxn modelId="{EEBA7EB0-7D7F-45B9-A337-7A8935A5B2A4}" srcId="{9A2BBCC9-08C9-4BCC-BD7A-012332C8B990}" destId="{3450464A-F293-4BBC-9F65-1EF129D500D9}" srcOrd="4" destOrd="0" parTransId="{444659E9-0466-4D88-9E79-AA9EB8CB4884}" sibTransId="{7240D344-B619-43F2-90AB-19DA98275511}"/>
    <dgm:cxn modelId="{8B6008F7-8AA4-4E80-9822-5AB2B6C01EEB}" type="presOf" srcId="{F2C449B2-F855-4B6C-A468-E69C4A91DD92}" destId="{9E4C8E60-01F6-4549-AD4C-FD6D0BD324E3}" srcOrd="0" destOrd="0" presId="urn:microsoft.com/office/officeart/2005/8/layout/hierarchy2"/>
    <dgm:cxn modelId="{510AFBDC-B78F-41FF-801A-221649052934}" type="presOf" srcId="{760DF523-6ED4-4ACB-8497-57CEBE39C532}" destId="{7587AFEA-86B7-4E61-A4AF-8DC12CE40F2A}" srcOrd="1" destOrd="0" presId="urn:microsoft.com/office/officeart/2005/8/layout/hierarchy2"/>
    <dgm:cxn modelId="{52A08B6D-4517-43EF-8917-90A0FCD1733A}" type="presOf" srcId="{A0E69DC9-8CEA-4B73-A3A2-46432E430C31}" destId="{4EEEA69B-AF54-42E6-A992-694A1D8C96F6}" srcOrd="0" destOrd="0" presId="urn:microsoft.com/office/officeart/2005/8/layout/hierarchy2"/>
    <dgm:cxn modelId="{E00F0FE2-D8ED-4BB4-A1FD-B6F4C8EFFAF7}" type="presOf" srcId="{07CEEA0F-4DFF-4C48-B218-31654E86A1BA}" destId="{CFAA0187-EA69-4C92-BD02-28CCC69CEB6B}" srcOrd="0" destOrd="0" presId="urn:microsoft.com/office/officeart/2005/8/layout/hierarchy2"/>
    <dgm:cxn modelId="{94526970-E915-4984-8DA9-EF6115769730}" srcId="{AD725098-C099-4852-9616-BE36E4793A95}" destId="{D509E99B-8A2C-460C-9F7A-465650F4EBA1}" srcOrd="0" destOrd="0" parTransId="{6A67C091-F1C0-40B6-BAF2-E849A2739EE5}" sibTransId="{F69D8CA4-0AB5-4172-9149-5B09AD37E246}"/>
    <dgm:cxn modelId="{29AEFAB5-8A36-42B5-95E1-D4BB39069AA5}" type="presOf" srcId="{C2293203-D35E-46B2-B033-5C91B313FF5A}" destId="{10496EE6-5ACC-4C63-8233-5ED129F6012E}" srcOrd="0" destOrd="0" presId="urn:microsoft.com/office/officeart/2005/8/layout/hierarchy2"/>
    <dgm:cxn modelId="{3B6607FA-A97C-4DC9-9280-B12D29D544D6}" type="presOf" srcId="{08B9910C-9198-4144-A180-308DE3A63F62}" destId="{BE893CAB-BE9D-476E-AB38-B5C755F976FC}" srcOrd="0" destOrd="0" presId="urn:microsoft.com/office/officeart/2005/8/layout/hierarchy2"/>
    <dgm:cxn modelId="{32A4A297-A662-4D8E-8D70-D5FB42291CA4}" type="presOf" srcId="{C0B2AFD4-38F1-4053-A92C-2A86B1B56302}" destId="{6138564E-0996-4ADF-9393-B53CF69D6151}" srcOrd="0" destOrd="0" presId="urn:microsoft.com/office/officeart/2005/8/layout/hierarchy2"/>
    <dgm:cxn modelId="{65ACC508-FAC5-4995-9CB1-98F912501E69}" type="presOf" srcId="{865B70A7-EBAC-464E-8025-AF3605DD4CA1}" destId="{D0EAA69E-D19B-4E38-B667-F8F2211B87EB}" srcOrd="1" destOrd="0" presId="urn:microsoft.com/office/officeart/2005/8/layout/hierarchy2"/>
    <dgm:cxn modelId="{A254FD51-078A-4BBA-9510-16B45347B6DE}" srcId="{B864E2C4-FC59-4990-B023-570F9750BBF4}" destId="{ADA01EFF-B7C1-44C7-83BA-B2D0F0683985}" srcOrd="0" destOrd="0" parTransId="{C2293203-D35E-46B2-B033-5C91B313FF5A}" sibTransId="{A1144498-DCB8-49F9-8D7F-93E0684DB68B}"/>
    <dgm:cxn modelId="{51D9BCA6-DB9E-44AB-90B8-EC29C134C67E}" type="presOf" srcId="{ED76FACE-DD45-4E6C-A7E6-68DBFFB366FB}" destId="{322E38CE-B25D-4933-A3FA-2A2A38B85158}" srcOrd="0" destOrd="0" presId="urn:microsoft.com/office/officeart/2005/8/layout/hierarchy2"/>
    <dgm:cxn modelId="{BD48D70B-6D86-4457-AB2B-81977C6E94BB}" type="presOf" srcId="{5DE4A063-D8AC-491D-AA02-8602FEF9D578}" destId="{28D73A6C-178E-4142-8442-5C8CC1E482D2}" srcOrd="0" destOrd="0" presId="urn:microsoft.com/office/officeart/2005/8/layout/hierarchy2"/>
    <dgm:cxn modelId="{776B8E44-ED69-4FC1-92C0-9340A9F101BF}" type="presOf" srcId="{E2CB8E83-F6FD-41A9-B093-5371EBDBBECE}" destId="{2B0FFCEB-18DE-4569-B960-9828A63492FC}" srcOrd="0" destOrd="0" presId="urn:microsoft.com/office/officeart/2005/8/layout/hierarchy2"/>
    <dgm:cxn modelId="{D1A52B5C-05F1-4F36-9B96-C4957B908D20}" type="presOf" srcId="{8390ABD8-2AE3-46A7-B7BD-7F4C2CED8209}" destId="{40697E7B-D4B6-47DC-94D8-7C69D10A3F1E}" srcOrd="0" destOrd="0" presId="urn:microsoft.com/office/officeart/2005/8/layout/hierarchy2"/>
    <dgm:cxn modelId="{AF047A95-131B-4BFB-9631-80BFCCEF76D0}" srcId="{3450464A-F293-4BBC-9F65-1EF129D500D9}" destId="{8C6FC27F-8871-4BB4-9124-A6D5184963C4}" srcOrd="0" destOrd="0" parTransId="{0EBF36AD-479B-43F5-9D1F-B2BED5E0CA2F}" sibTransId="{0AC3EF04-D70E-4BDB-B386-6FACA0DB0C2A}"/>
    <dgm:cxn modelId="{F4F344D8-B859-40E5-A11C-4F905D32A6D6}" type="presOf" srcId="{596D6E0B-2037-461D-B2D2-C608FF8EC4B4}" destId="{9A41CC84-ABEA-4680-9E9C-E6BEB259B049}" srcOrd="0" destOrd="0" presId="urn:microsoft.com/office/officeart/2005/8/layout/hierarchy2"/>
    <dgm:cxn modelId="{3164C5A3-70C1-48B8-86C1-837FE27D623E}" srcId="{08B9910C-9198-4144-A180-308DE3A63F62}" destId="{1140E27E-AC06-4904-B7A6-C3ACE2B16664}" srcOrd="1" destOrd="0" parTransId="{BC4E36C4-BFD1-4D9B-B498-7B090A0D9557}" sibTransId="{B3046DAD-4F9D-4718-B66F-CA9F7552BB51}"/>
    <dgm:cxn modelId="{913126C9-D8A3-4126-995C-407385571D4E}" type="presOf" srcId="{8390ABD8-2AE3-46A7-B7BD-7F4C2CED8209}" destId="{29171AE4-0972-4C22-A577-BEB8B27A002F}" srcOrd="1" destOrd="0" presId="urn:microsoft.com/office/officeart/2005/8/layout/hierarchy2"/>
    <dgm:cxn modelId="{C3888982-CC1D-46E2-8B13-3C7A6C60BAAE}" type="presOf" srcId="{34965BF0-A1E5-4590-B4B5-79BD30858559}" destId="{256CC832-540A-4C43-A087-AE9B3FCD4FAB}" srcOrd="0" destOrd="0" presId="urn:microsoft.com/office/officeart/2005/8/layout/hierarchy2"/>
    <dgm:cxn modelId="{F3FB630F-B610-4B1C-808B-FF85218A4EE4}" type="presOf" srcId="{20ED08B4-8EA0-4BB3-ACE2-4ADBCFD5B8E9}" destId="{96487D65-A56A-44F9-8DAB-84C5013DD3D7}" srcOrd="0" destOrd="0" presId="urn:microsoft.com/office/officeart/2005/8/layout/hierarchy2"/>
    <dgm:cxn modelId="{EF00F6D0-F1D8-4F6B-9AC9-1A4D290E8B6E}" type="presOf" srcId="{AD725098-C099-4852-9616-BE36E4793A95}" destId="{7CC9B070-6E1E-4234-983B-54526D34233E}" srcOrd="0" destOrd="0" presId="urn:microsoft.com/office/officeart/2005/8/layout/hierarchy2"/>
    <dgm:cxn modelId="{9279E807-DAAA-4236-860A-FB59FFD314D1}" srcId="{9A2BBCC9-08C9-4BCC-BD7A-012332C8B990}" destId="{07CEEA0F-4DFF-4C48-B218-31654E86A1BA}" srcOrd="6" destOrd="0" parTransId="{CDF3B96D-0085-490F-B19A-1FA0D188E6F9}" sibTransId="{14716E41-1E26-48DD-99A0-569C09187D02}"/>
    <dgm:cxn modelId="{1E80A578-6005-4CCD-BAA2-4B170E8BF45F}" type="presOf" srcId="{20ED08B4-8EA0-4BB3-ACE2-4ADBCFD5B8E9}" destId="{6CABBADA-9953-48C2-BF15-74EF1D41B237}" srcOrd="1" destOrd="0" presId="urn:microsoft.com/office/officeart/2005/8/layout/hierarchy2"/>
    <dgm:cxn modelId="{73BD358A-F29F-4F39-A423-F168E7A4CD57}" srcId="{08B9910C-9198-4144-A180-308DE3A63F62}" destId="{164D2F9C-032D-4CAE-BC19-80EDC9E68C1F}" srcOrd="0" destOrd="0" parTransId="{95AD826F-7D06-497C-A4E5-4166A3881BC2}" sibTransId="{DE78B0DF-C46F-414C-B7A6-B1862FCABBCD}"/>
    <dgm:cxn modelId="{89FA5750-5F3C-4C79-A359-C0E8CB6E5E46}" srcId="{A42D4249-0084-465C-9159-157DC77C4D1B}" destId="{941345CC-BA76-4C44-BF31-ADCB4CB8B12E}" srcOrd="0" destOrd="0" parTransId="{70C6C7D8-B2B0-4A48-BAE1-5D8E9AAD9355}" sibTransId="{F428241B-7593-4299-8F81-59285A01B7A6}"/>
    <dgm:cxn modelId="{4CB916F6-96D1-4FB9-BDB9-693362B629C3}" srcId="{07CEEA0F-4DFF-4C48-B218-31654E86A1BA}" destId="{BEF2D3F9-E3F0-41B3-ACF0-DB08FC8991B4}" srcOrd="1" destOrd="0" parTransId="{596D6E0B-2037-461D-B2D2-C608FF8EC4B4}" sibTransId="{8A4E4D30-FEE5-44FA-989B-87E0A58784B0}"/>
    <dgm:cxn modelId="{0DB2217D-141F-4C1E-9608-845DDF6301FA}" srcId="{9A2BBCC9-08C9-4BCC-BD7A-012332C8B990}" destId="{A0E69DC9-8CEA-4B73-A3A2-46432E430C31}" srcOrd="7" destOrd="0" parTransId="{34965BF0-A1E5-4590-B4B5-79BD30858559}" sibTransId="{82F6334F-0B5B-4270-961C-A4B93DF1B701}"/>
    <dgm:cxn modelId="{E9E7F3BC-E28E-442A-AD2D-14E83BBEDA65}" srcId="{9A2BBCC9-08C9-4BCC-BD7A-012332C8B990}" destId="{08B9910C-9198-4144-A180-308DE3A63F62}" srcOrd="0" destOrd="0" parTransId="{760DF523-6ED4-4ACB-8497-57CEBE39C532}" sibTransId="{62BFAFF4-9E68-4A45-9249-46CBAE5BCD7A}"/>
    <dgm:cxn modelId="{5112B344-A9E5-476D-8180-CC2411DB2582}" type="presOf" srcId="{0EBF36AD-479B-43F5-9D1F-B2BED5E0CA2F}" destId="{2DFBC0EF-EDEF-4E2F-AFA7-BE5EB26C7056}" srcOrd="0" destOrd="0" presId="urn:microsoft.com/office/officeart/2005/8/layout/hierarchy2"/>
    <dgm:cxn modelId="{05386E2A-1FB9-4CBB-AC22-4579E5D6BFE7}" type="presOf" srcId="{7AE11443-8B5E-4300-8BD1-F9598AD3D1C1}" destId="{9B461326-7A9D-4434-A4D2-D6BC30EA4719}" srcOrd="1" destOrd="0" presId="urn:microsoft.com/office/officeart/2005/8/layout/hierarchy2"/>
    <dgm:cxn modelId="{5CE62CC5-B435-4865-91CA-B131890E2F34}" type="presOf" srcId="{D509E99B-8A2C-460C-9F7A-465650F4EBA1}" destId="{088128DA-8168-490F-BFAB-DFD46BA34800}" srcOrd="0" destOrd="0" presId="urn:microsoft.com/office/officeart/2005/8/layout/hierarchy2"/>
    <dgm:cxn modelId="{989CCB58-D09D-40F2-A097-88842D8355B7}" type="presOf" srcId="{AAEB49C7-DD80-47C3-B2BE-815DE08EC8FF}" destId="{D875A270-EDA4-471E-A414-BEA50A59889A}" srcOrd="1" destOrd="0" presId="urn:microsoft.com/office/officeart/2005/8/layout/hierarchy2"/>
    <dgm:cxn modelId="{78DC2F68-7176-48BC-8413-9A19734A4407}" type="presOf" srcId="{65EA317C-3767-49D7-B3FE-040F41827F8C}" destId="{18FF8E60-66CF-416D-9D66-3A548EDBC5BF}" srcOrd="1" destOrd="0" presId="urn:microsoft.com/office/officeart/2005/8/layout/hierarchy2"/>
    <dgm:cxn modelId="{967C8E20-D717-4585-B228-F8798A7D1E84}" type="presOf" srcId="{EB4F00DA-8D1C-4BD3-A918-6A195C5FCA16}" destId="{298D58BA-6F27-486B-A9CB-3DF685ED25AD}" srcOrd="0" destOrd="0" presId="urn:microsoft.com/office/officeart/2005/8/layout/hierarchy2"/>
    <dgm:cxn modelId="{EE49E910-39CB-4DDD-AD03-B455F7F8165B}" srcId="{A0E69DC9-8CEA-4B73-A3A2-46432E430C31}" destId="{7DA4F440-7F9A-4842-B774-6E2D7E35B34A}" srcOrd="0" destOrd="0" parTransId="{8DD1037C-312B-455B-953C-39D3CE047B41}" sibTransId="{85E9FCE4-BF10-4A8B-8717-6157EBB7BE11}"/>
    <dgm:cxn modelId="{3BBF4904-B42A-4E33-A87D-F93CD576B4ED}" type="presOf" srcId="{8C6FC27F-8871-4BB4-9124-A6D5184963C4}" destId="{8BEC4CD2-E99D-4DCC-9FA4-E9EF5992CEAB}" srcOrd="0" destOrd="0" presId="urn:microsoft.com/office/officeart/2005/8/layout/hierarchy2"/>
    <dgm:cxn modelId="{4C610E21-C2F4-4C7C-833E-4A5DDC84C6DB}" type="presOf" srcId="{ED76FACE-DD45-4E6C-A7E6-68DBFFB366FB}" destId="{899BFC69-8E78-4773-82BB-07C0EAB8EB61}" srcOrd="1" destOrd="0" presId="urn:microsoft.com/office/officeart/2005/8/layout/hierarchy2"/>
    <dgm:cxn modelId="{9E04A099-2DC8-4921-B465-E7F378D96CD5}" type="presOf" srcId="{941345CC-BA76-4C44-BF31-ADCB4CB8B12E}" destId="{63B52382-3B76-4912-83A7-86D6F048D909}" srcOrd="0" destOrd="0" presId="urn:microsoft.com/office/officeart/2005/8/layout/hierarchy2"/>
    <dgm:cxn modelId="{96EC37EF-D2CA-4BFD-943C-2ED412413B69}" type="presOf" srcId="{EEDB03C6-0932-431B-8AEB-D01782B0736E}" destId="{0DF05AF9-9D40-47F4-AC6D-2625AE7508D8}" srcOrd="0" destOrd="0" presId="urn:microsoft.com/office/officeart/2005/8/layout/hierarchy2"/>
    <dgm:cxn modelId="{32C07FE2-A8A8-4EA5-8EF0-B429F8BE8AB6}" srcId="{EB4F00DA-8D1C-4BD3-A918-6A195C5FCA16}" destId="{45BEC6CB-CEAE-4D3A-BB74-9710661E5495}" srcOrd="1" destOrd="0" parTransId="{931A342A-6F1C-4E88-8B1A-DF5B743D63C9}" sibTransId="{973A707F-A284-4971-9054-58E675E218C7}"/>
    <dgm:cxn modelId="{44F32B57-DA26-4AE0-BFDF-9CA4184B8BFD}" type="presOf" srcId="{DF0C55A6-AAFE-4CB6-90A6-7EEAC57E98D2}" destId="{600D8A0E-37F3-48FB-8F27-457986F7D276}" srcOrd="0" destOrd="0" presId="urn:microsoft.com/office/officeart/2005/8/layout/hierarchy2"/>
    <dgm:cxn modelId="{EC12615E-F4E0-4EB2-A4A8-279AB24FD76F}" type="presOf" srcId="{70C6C7D8-B2B0-4A48-BAE1-5D8E9AAD9355}" destId="{E9270CCD-FBD4-472F-90CB-87C4EAA85E15}" srcOrd="1" destOrd="0" presId="urn:microsoft.com/office/officeart/2005/8/layout/hierarchy2"/>
    <dgm:cxn modelId="{ED67AE0E-5335-4CEC-B801-26A4625BBCF7}" type="presOf" srcId="{95AD826F-7D06-497C-A4E5-4166A3881BC2}" destId="{5ECCB816-2ED2-4E01-B916-A5B57E3FDA87}" srcOrd="0" destOrd="0" presId="urn:microsoft.com/office/officeart/2005/8/layout/hierarchy2"/>
    <dgm:cxn modelId="{8693FB01-3CA6-44DC-8AE8-02F52C54FB2B}" type="presOf" srcId="{7DA4F440-7F9A-4842-B774-6E2D7E35B34A}" destId="{0CE19A2B-571B-4CB4-B69B-102A14EFFD78}" srcOrd="0" destOrd="0" presId="urn:microsoft.com/office/officeart/2005/8/layout/hierarchy2"/>
    <dgm:cxn modelId="{52D8328C-00AA-4D78-A34A-EAD6A98CFFF3}" type="presOf" srcId="{444659E9-0466-4D88-9E79-AA9EB8CB4884}" destId="{D54C0F9A-35A5-4508-9FEE-C153548AD668}" srcOrd="1" destOrd="0" presId="urn:microsoft.com/office/officeart/2005/8/layout/hierarchy2"/>
    <dgm:cxn modelId="{467D7CD2-382E-4D84-BD2E-B8AE195C2788}" srcId="{9A2BBCC9-08C9-4BCC-BD7A-012332C8B990}" destId="{A42D4249-0084-465C-9159-157DC77C4D1B}" srcOrd="5" destOrd="0" parTransId="{865B70A7-EBAC-464E-8025-AF3605DD4CA1}" sibTransId="{046A8608-ABA3-4201-A1D0-6C0947C733A7}"/>
    <dgm:cxn modelId="{53E1A57D-D4A1-4CC4-97CB-EE7B4E740494}" type="presOf" srcId="{7AE11443-8B5E-4300-8BD1-F9598AD3D1C1}" destId="{B140A170-4400-4B82-A785-C4B654D02547}" srcOrd="0" destOrd="0" presId="urn:microsoft.com/office/officeart/2005/8/layout/hierarchy2"/>
    <dgm:cxn modelId="{E883A61F-0A4D-41EE-94CD-7D809EDF1657}" type="presOf" srcId="{ADA01EFF-B7C1-44C7-83BA-B2D0F0683985}" destId="{755473B6-3311-4B3F-B732-C4663E4A776A}" srcOrd="0" destOrd="0" presId="urn:microsoft.com/office/officeart/2005/8/layout/hierarchy2"/>
    <dgm:cxn modelId="{DDB07C5E-4602-43E9-ABEB-2195AD2A6929}" type="presParOf" srcId="{7CC9B070-6E1E-4234-983B-54526D34233E}" destId="{73CEC9FE-B5C9-465F-B257-0C564CDB4878}" srcOrd="0" destOrd="0" presId="urn:microsoft.com/office/officeart/2005/8/layout/hierarchy2"/>
    <dgm:cxn modelId="{ED1F8D78-2992-4699-9FC4-B0C6D65A88EC}" type="presParOf" srcId="{73CEC9FE-B5C9-465F-B257-0C564CDB4878}" destId="{088128DA-8168-490F-BFAB-DFD46BA34800}" srcOrd="0" destOrd="0" presId="urn:microsoft.com/office/officeart/2005/8/layout/hierarchy2"/>
    <dgm:cxn modelId="{83F699D8-8633-45CF-BEF5-630887D9F2DB}" type="presParOf" srcId="{73CEC9FE-B5C9-465F-B257-0C564CDB4878}" destId="{ECF3C374-C93F-4895-8039-28B472362CC8}" srcOrd="1" destOrd="0" presId="urn:microsoft.com/office/officeart/2005/8/layout/hierarchy2"/>
    <dgm:cxn modelId="{4EB0EEB8-7CF8-45C8-AA88-012826219FC1}" type="presParOf" srcId="{ECF3C374-C93F-4895-8039-28B472362CC8}" destId="{15B0DCBA-4087-4376-83B2-C78524BA444B}" srcOrd="0" destOrd="0" presId="urn:microsoft.com/office/officeart/2005/8/layout/hierarchy2"/>
    <dgm:cxn modelId="{8251C249-75A4-451F-9F34-EF498C396F1A}" type="presParOf" srcId="{15B0DCBA-4087-4376-83B2-C78524BA444B}" destId="{18FF8E60-66CF-416D-9D66-3A548EDBC5BF}" srcOrd="0" destOrd="0" presId="urn:microsoft.com/office/officeart/2005/8/layout/hierarchy2"/>
    <dgm:cxn modelId="{ABF0F970-785F-46EC-A1E0-1BDDF8B8338D}" type="presParOf" srcId="{ECF3C374-C93F-4895-8039-28B472362CC8}" destId="{B921E263-21A4-4AA9-9F04-E1155337CE0B}" srcOrd="1" destOrd="0" presId="urn:microsoft.com/office/officeart/2005/8/layout/hierarchy2"/>
    <dgm:cxn modelId="{5CDEBC69-82F4-4B03-BBBC-247CE1CB1AF3}" type="presParOf" srcId="{B921E263-21A4-4AA9-9F04-E1155337CE0B}" destId="{9756CD15-2B6E-410B-B794-1B3B9CE85A61}" srcOrd="0" destOrd="0" presId="urn:microsoft.com/office/officeart/2005/8/layout/hierarchy2"/>
    <dgm:cxn modelId="{26232AF5-6BAE-4A57-AFE7-476A1998CE3C}" type="presParOf" srcId="{B921E263-21A4-4AA9-9F04-E1155337CE0B}" destId="{01490941-3312-44E5-A7CC-41EEEB8E25CB}" srcOrd="1" destOrd="0" presId="urn:microsoft.com/office/officeart/2005/8/layout/hierarchy2"/>
    <dgm:cxn modelId="{DDE861C4-331E-424B-A06C-8172ED8D28DD}" type="presParOf" srcId="{01490941-3312-44E5-A7CC-41EEEB8E25CB}" destId="{6C4DA581-16BC-428A-83B1-6E7731BDC8EA}" srcOrd="0" destOrd="0" presId="urn:microsoft.com/office/officeart/2005/8/layout/hierarchy2"/>
    <dgm:cxn modelId="{43D8C608-CD2F-41E6-BDC4-09793C464018}" type="presParOf" srcId="{6C4DA581-16BC-428A-83B1-6E7731BDC8EA}" destId="{7587AFEA-86B7-4E61-A4AF-8DC12CE40F2A}" srcOrd="0" destOrd="0" presId="urn:microsoft.com/office/officeart/2005/8/layout/hierarchy2"/>
    <dgm:cxn modelId="{3734446B-1967-4C1C-918D-C0064A74794F}" type="presParOf" srcId="{01490941-3312-44E5-A7CC-41EEEB8E25CB}" destId="{1E84CA23-0954-4953-B40D-37583CC920D3}" srcOrd="1" destOrd="0" presId="urn:microsoft.com/office/officeart/2005/8/layout/hierarchy2"/>
    <dgm:cxn modelId="{CA53702F-A5F9-412F-B719-FB76DC7469DD}" type="presParOf" srcId="{1E84CA23-0954-4953-B40D-37583CC920D3}" destId="{BE893CAB-BE9D-476E-AB38-B5C755F976FC}" srcOrd="0" destOrd="0" presId="urn:microsoft.com/office/officeart/2005/8/layout/hierarchy2"/>
    <dgm:cxn modelId="{73C59223-6A7E-49B7-9BEF-30EFEDBC2881}" type="presParOf" srcId="{1E84CA23-0954-4953-B40D-37583CC920D3}" destId="{3FAF4641-6DB6-476D-BAC0-AD32DABAC3E3}" srcOrd="1" destOrd="0" presId="urn:microsoft.com/office/officeart/2005/8/layout/hierarchy2"/>
    <dgm:cxn modelId="{C8F07926-0F36-4952-A293-EF429BD27CD1}" type="presParOf" srcId="{3FAF4641-6DB6-476D-BAC0-AD32DABAC3E3}" destId="{5ECCB816-2ED2-4E01-B916-A5B57E3FDA87}" srcOrd="0" destOrd="0" presId="urn:microsoft.com/office/officeart/2005/8/layout/hierarchy2"/>
    <dgm:cxn modelId="{023C7846-A8DA-4E47-98D9-8B55B366FF5D}" type="presParOf" srcId="{5ECCB816-2ED2-4E01-B916-A5B57E3FDA87}" destId="{2DB7C7B3-9ACC-40BD-9CD8-AF4E25D7E57B}" srcOrd="0" destOrd="0" presId="urn:microsoft.com/office/officeart/2005/8/layout/hierarchy2"/>
    <dgm:cxn modelId="{F7387158-1BFD-4C5A-83D7-AB37AA8EDC59}" type="presParOf" srcId="{3FAF4641-6DB6-476D-BAC0-AD32DABAC3E3}" destId="{4F4FF27D-7879-42F9-8036-F22D9DC69046}" srcOrd="1" destOrd="0" presId="urn:microsoft.com/office/officeart/2005/8/layout/hierarchy2"/>
    <dgm:cxn modelId="{D163DBDB-280E-45D0-A782-E34C1A4F9481}" type="presParOf" srcId="{4F4FF27D-7879-42F9-8036-F22D9DC69046}" destId="{4407AE97-A298-40DA-BC7A-BAAE5C66AF72}" srcOrd="0" destOrd="0" presId="urn:microsoft.com/office/officeart/2005/8/layout/hierarchy2"/>
    <dgm:cxn modelId="{03B750B1-A7A0-4AF9-88F5-4B058498DE75}" type="presParOf" srcId="{4F4FF27D-7879-42F9-8036-F22D9DC69046}" destId="{D0BF6ECC-83E7-4318-A7CF-D8251A8939D3}" srcOrd="1" destOrd="0" presId="urn:microsoft.com/office/officeart/2005/8/layout/hierarchy2"/>
    <dgm:cxn modelId="{54A97942-FE1B-4585-A8C0-BCDB74C6DAB2}" type="presParOf" srcId="{3FAF4641-6DB6-476D-BAC0-AD32DABAC3E3}" destId="{5E1F2220-05C4-438F-A081-99DAF64F7142}" srcOrd="2" destOrd="0" presId="urn:microsoft.com/office/officeart/2005/8/layout/hierarchy2"/>
    <dgm:cxn modelId="{09AA0437-E593-433A-8447-40F3B0478F8B}" type="presParOf" srcId="{5E1F2220-05C4-438F-A081-99DAF64F7142}" destId="{C31F0DCA-B9E8-451A-807F-B8810F7AFD98}" srcOrd="0" destOrd="0" presId="urn:microsoft.com/office/officeart/2005/8/layout/hierarchy2"/>
    <dgm:cxn modelId="{1517F9F3-F029-43DE-BFCC-551A7661DE7B}" type="presParOf" srcId="{3FAF4641-6DB6-476D-BAC0-AD32DABAC3E3}" destId="{C5CD5DD0-F4F6-491C-B29E-744E59B909A8}" srcOrd="3" destOrd="0" presId="urn:microsoft.com/office/officeart/2005/8/layout/hierarchy2"/>
    <dgm:cxn modelId="{0647B2CF-1A8C-42BB-8687-2F3EC68FE3EE}" type="presParOf" srcId="{C5CD5DD0-F4F6-491C-B29E-744E59B909A8}" destId="{69C98D25-E49C-4FDB-82C0-18575914304D}" srcOrd="0" destOrd="0" presId="urn:microsoft.com/office/officeart/2005/8/layout/hierarchy2"/>
    <dgm:cxn modelId="{D4C08540-2CAE-4626-B882-39B235EF94AF}" type="presParOf" srcId="{C5CD5DD0-F4F6-491C-B29E-744E59B909A8}" destId="{783B5E1C-E364-46F3-94C7-6ABB35B57BA2}" srcOrd="1" destOrd="0" presId="urn:microsoft.com/office/officeart/2005/8/layout/hierarchy2"/>
    <dgm:cxn modelId="{F43E4AA1-1C04-4F39-A4CB-C5F773DE56DD}" type="presParOf" srcId="{01490941-3312-44E5-A7CC-41EEEB8E25CB}" destId="{B140A170-4400-4B82-A785-C4B654D02547}" srcOrd="2" destOrd="0" presId="urn:microsoft.com/office/officeart/2005/8/layout/hierarchy2"/>
    <dgm:cxn modelId="{0A654A93-ABD1-4CA0-9E8D-9AB62642DD48}" type="presParOf" srcId="{B140A170-4400-4B82-A785-C4B654D02547}" destId="{9B461326-7A9D-4434-A4D2-D6BC30EA4719}" srcOrd="0" destOrd="0" presId="urn:microsoft.com/office/officeart/2005/8/layout/hierarchy2"/>
    <dgm:cxn modelId="{28C5A5E1-F95A-4472-BA28-3DFEB6ACA14C}" type="presParOf" srcId="{01490941-3312-44E5-A7CC-41EEEB8E25CB}" destId="{B5A72FF5-3550-4848-8E0F-498FEFB4A59E}" srcOrd="3" destOrd="0" presId="urn:microsoft.com/office/officeart/2005/8/layout/hierarchy2"/>
    <dgm:cxn modelId="{E52BAFBF-BEA3-4FFA-8B6D-5F05EF24AD33}" type="presParOf" srcId="{B5A72FF5-3550-4848-8E0F-498FEFB4A59E}" destId="{0DF05AF9-9D40-47F4-AC6D-2625AE7508D8}" srcOrd="0" destOrd="0" presId="urn:microsoft.com/office/officeart/2005/8/layout/hierarchy2"/>
    <dgm:cxn modelId="{FDA5170B-4F7C-493D-916E-9D4E36FE8625}" type="presParOf" srcId="{B5A72FF5-3550-4848-8E0F-498FEFB4A59E}" destId="{4ADF5BE8-9254-49E3-AB64-D5E4C31CDF33}" srcOrd="1" destOrd="0" presId="urn:microsoft.com/office/officeart/2005/8/layout/hierarchy2"/>
    <dgm:cxn modelId="{718EC8C1-49AC-4F5C-8811-71CB2202D15B}" type="presParOf" srcId="{4ADF5BE8-9254-49E3-AB64-D5E4C31CDF33}" destId="{96487D65-A56A-44F9-8DAB-84C5013DD3D7}" srcOrd="0" destOrd="0" presId="urn:microsoft.com/office/officeart/2005/8/layout/hierarchy2"/>
    <dgm:cxn modelId="{BECEC51A-5B29-4169-AC88-36BF5DDC5E37}" type="presParOf" srcId="{96487D65-A56A-44F9-8DAB-84C5013DD3D7}" destId="{6CABBADA-9953-48C2-BF15-74EF1D41B237}" srcOrd="0" destOrd="0" presId="urn:microsoft.com/office/officeart/2005/8/layout/hierarchy2"/>
    <dgm:cxn modelId="{DCDA1659-3FEE-443B-9935-0B7633F386D3}" type="presParOf" srcId="{4ADF5BE8-9254-49E3-AB64-D5E4C31CDF33}" destId="{E375240D-6082-420D-A3B0-58B0FF2766EC}" srcOrd="1" destOrd="0" presId="urn:microsoft.com/office/officeart/2005/8/layout/hierarchy2"/>
    <dgm:cxn modelId="{FA047228-C698-412C-A27C-D0C13B340AE9}" type="presParOf" srcId="{E375240D-6082-420D-A3B0-58B0FF2766EC}" destId="{28D73A6C-178E-4142-8442-5C8CC1E482D2}" srcOrd="0" destOrd="0" presId="urn:microsoft.com/office/officeart/2005/8/layout/hierarchy2"/>
    <dgm:cxn modelId="{44AE6BF4-1CF6-4DC6-8648-75ADB5821361}" type="presParOf" srcId="{E375240D-6082-420D-A3B0-58B0FF2766EC}" destId="{C9563CD1-A961-4C92-93C6-26DF4F028184}" srcOrd="1" destOrd="0" presId="urn:microsoft.com/office/officeart/2005/8/layout/hierarchy2"/>
    <dgm:cxn modelId="{16156452-0FD9-40F4-B750-F452F2ABCEF0}" type="presParOf" srcId="{4ADF5BE8-9254-49E3-AB64-D5E4C31CDF33}" destId="{9E4C8E60-01F6-4549-AD4C-FD6D0BD324E3}" srcOrd="2" destOrd="0" presId="urn:microsoft.com/office/officeart/2005/8/layout/hierarchy2"/>
    <dgm:cxn modelId="{A17EEFEF-4D84-46FF-8D24-32A7ABAD19D4}" type="presParOf" srcId="{9E4C8E60-01F6-4549-AD4C-FD6D0BD324E3}" destId="{E0B09C65-7622-4CA0-90EC-31A55E45505E}" srcOrd="0" destOrd="0" presId="urn:microsoft.com/office/officeart/2005/8/layout/hierarchy2"/>
    <dgm:cxn modelId="{EC6D7FFB-5271-4CA2-BAE4-FAC111454836}" type="presParOf" srcId="{4ADF5BE8-9254-49E3-AB64-D5E4C31CDF33}" destId="{42A0FD2A-2793-4344-AD73-94845C3EC548}" srcOrd="3" destOrd="0" presId="urn:microsoft.com/office/officeart/2005/8/layout/hierarchy2"/>
    <dgm:cxn modelId="{01F17D7C-9C70-47E2-86F0-67A9BE617CD4}" type="presParOf" srcId="{42A0FD2A-2793-4344-AD73-94845C3EC548}" destId="{6138564E-0996-4ADF-9393-B53CF69D6151}" srcOrd="0" destOrd="0" presId="urn:microsoft.com/office/officeart/2005/8/layout/hierarchy2"/>
    <dgm:cxn modelId="{051ED075-EBD7-4C40-B54D-12985D0D4AB7}" type="presParOf" srcId="{42A0FD2A-2793-4344-AD73-94845C3EC548}" destId="{21E82865-73DC-420B-8339-F43F081DFFBD}" srcOrd="1" destOrd="0" presId="urn:microsoft.com/office/officeart/2005/8/layout/hierarchy2"/>
    <dgm:cxn modelId="{85B296CD-CC85-4AE5-AE18-3335E5641C3D}" type="presParOf" srcId="{01490941-3312-44E5-A7CC-41EEEB8E25CB}" destId="{2B0FFCEB-18DE-4569-B960-9828A63492FC}" srcOrd="4" destOrd="0" presId="urn:microsoft.com/office/officeart/2005/8/layout/hierarchy2"/>
    <dgm:cxn modelId="{47AE8460-C633-4656-9E70-468BDB27D723}" type="presParOf" srcId="{2B0FFCEB-18DE-4569-B960-9828A63492FC}" destId="{204379E2-B776-429C-A97C-B519961406F7}" srcOrd="0" destOrd="0" presId="urn:microsoft.com/office/officeart/2005/8/layout/hierarchy2"/>
    <dgm:cxn modelId="{8CEF32BF-FA9C-4F4D-896D-FA413F543B9B}" type="presParOf" srcId="{01490941-3312-44E5-A7CC-41EEEB8E25CB}" destId="{7124289F-984D-4F20-815A-76062E378618}" srcOrd="5" destOrd="0" presId="urn:microsoft.com/office/officeart/2005/8/layout/hierarchy2"/>
    <dgm:cxn modelId="{A58E0666-1743-4756-9440-7A40A9E6BD20}" type="presParOf" srcId="{7124289F-984D-4F20-815A-76062E378618}" destId="{298D58BA-6F27-486B-A9CB-3DF685ED25AD}" srcOrd="0" destOrd="0" presId="urn:microsoft.com/office/officeart/2005/8/layout/hierarchy2"/>
    <dgm:cxn modelId="{D406E110-6DFA-4EA7-A06A-482291C681B5}" type="presParOf" srcId="{7124289F-984D-4F20-815A-76062E378618}" destId="{3E8719B4-15E5-4147-80F3-149F83E7EFDC}" srcOrd="1" destOrd="0" presId="urn:microsoft.com/office/officeart/2005/8/layout/hierarchy2"/>
    <dgm:cxn modelId="{C603EBED-369C-4DB8-9C46-F11D85FE98FC}" type="presParOf" srcId="{3E8719B4-15E5-4147-80F3-149F83E7EFDC}" destId="{600D8A0E-37F3-48FB-8F27-457986F7D276}" srcOrd="0" destOrd="0" presId="urn:microsoft.com/office/officeart/2005/8/layout/hierarchy2"/>
    <dgm:cxn modelId="{3896C3CB-F45A-4840-A72E-CC0D7DADB57F}" type="presParOf" srcId="{600D8A0E-37F3-48FB-8F27-457986F7D276}" destId="{1A3A0070-FDF7-4FE4-8874-455452EE1DAC}" srcOrd="0" destOrd="0" presId="urn:microsoft.com/office/officeart/2005/8/layout/hierarchy2"/>
    <dgm:cxn modelId="{E28748B3-B79E-4EB0-99D2-7B1A7F648282}" type="presParOf" srcId="{3E8719B4-15E5-4147-80F3-149F83E7EFDC}" destId="{133D5D16-D802-4001-B649-214E6CD950EE}" srcOrd="1" destOrd="0" presId="urn:microsoft.com/office/officeart/2005/8/layout/hierarchy2"/>
    <dgm:cxn modelId="{773AE160-BF61-4AEB-870A-D05A3BBE3B67}" type="presParOf" srcId="{133D5D16-D802-4001-B649-214E6CD950EE}" destId="{094ED728-6FE3-4730-9AC6-09945C8F5498}" srcOrd="0" destOrd="0" presId="urn:microsoft.com/office/officeart/2005/8/layout/hierarchy2"/>
    <dgm:cxn modelId="{13CFF88E-646F-4C1D-912A-2660F6F580C7}" type="presParOf" srcId="{133D5D16-D802-4001-B649-214E6CD950EE}" destId="{B413BCAC-F77C-429C-81FE-B45C60B74E3C}" srcOrd="1" destOrd="0" presId="urn:microsoft.com/office/officeart/2005/8/layout/hierarchy2"/>
    <dgm:cxn modelId="{C6A40064-BC77-4F5C-AD6D-349FF17B21C6}" type="presParOf" srcId="{3E8719B4-15E5-4147-80F3-149F83E7EFDC}" destId="{CAFEB99C-827F-41A6-B28E-981CD5511437}" srcOrd="2" destOrd="0" presId="urn:microsoft.com/office/officeart/2005/8/layout/hierarchy2"/>
    <dgm:cxn modelId="{D2343D8C-860B-4FFA-8024-6D0F9D87A941}" type="presParOf" srcId="{CAFEB99C-827F-41A6-B28E-981CD5511437}" destId="{D207D22B-5875-4704-94F5-84C1B5A41863}" srcOrd="0" destOrd="0" presId="urn:microsoft.com/office/officeart/2005/8/layout/hierarchy2"/>
    <dgm:cxn modelId="{37AFDB46-330A-4A3C-8E89-64B2056D2346}" type="presParOf" srcId="{3E8719B4-15E5-4147-80F3-149F83E7EFDC}" destId="{CAFF70CF-31B5-4E5A-A00C-23ADB0543151}" srcOrd="3" destOrd="0" presId="urn:microsoft.com/office/officeart/2005/8/layout/hierarchy2"/>
    <dgm:cxn modelId="{151E50EF-A8D0-4B9B-A894-E61166A9834D}" type="presParOf" srcId="{CAFF70CF-31B5-4E5A-A00C-23ADB0543151}" destId="{E62938E9-EF12-43F5-AAB9-9CD0041246A0}" srcOrd="0" destOrd="0" presId="urn:microsoft.com/office/officeart/2005/8/layout/hierarchy2"/>
    <dgm:cxn modelId="{4CD8B72E-CE82-42EA-9004-679607A146EE}" type="presParOf" srcId="{CAFF70CF-31B5-4E5A-A00C-23ADB0543151}" destId="{C87422D0-D0BB-4F78-93F6-27A26662F5D9}" srcOrd="1" destOrd="0" presId="urn:microsoft.com/office/officeart/2005/8/layout/hierarchy2"/>
    <dgm:cxn modelId="{CC9BE9CE-9FBD-482C-BAA1-67E32E42F9D4}" type="presParOf" srcId="{01490941-3312-44E5-A7CC-41EEEB8E25CB}" destId="{CED20A7F-39C4-4DA2-8B29-D7693639F6AF}" srcOrd="6" destOrd="0" presId="urn:microsoft.com/office/officeart/2005/8/layout/hierarchy2"/>
    <dgm:cxn modelId="{581924E2-E1FE-41E9-B7F6-245B3B62DCC5}" type="presParOf" srcId="{CED20A7F-39C4-4DA2-8B29-D7693639F6AF}" destId="{D875A270-EDA4-471E-A414-BEA50A59889A}" srcOrd="0" destOrd="0" presId="urn:microsoft.com/office/officeart/2005/8/layout/hierarchy2"/>
    <dgm:cxn modelId="{7C4B7766-22DB-43BA-B5F1-5F593CA63B1C}" type="presParOf" srcId="{01490941-3312-44E5-A7CC-41EEEB8E25CB}" destId="{9B79A061-A44A-4804-92A3-3F792BA80F95}" srcOrd="7" destOrd="0" presId="urn:microsoft.com/office/officeart/2005/8/layout/hierarchy2"/>
    <dgm:cxn modelId="{A6C3010C-DE99-4AB8-9AC8-5A0F0A6CDE8F}" type="presParOf" srcId="{9B79A061-A44A-4804-92A3-3F792BA80F95}" destId="{BE8003E3-2DC2-4451-AB1B-1F16F91257DB}" srcOrd="0" destOrd="0" presId="urn:microsoft.com/office/officeart/2005/8/layout/hierarchy2"/>
    <dgm:cxn modelId="{33778463-68E7-4F9E-A8EC-D86FFE116FA4}" type="presParOf" srcId="{9B79A061-A44A-4804-92A3-3F792BA80F95}" destId="{2396F95B-9517-4B70-916E-A06EC9EE70A7}" srcOrd="1" destOrd="0" presId="urn:microsoft.com/office/officeart/2005/8/layout/hierarchy2"/>
    <dgm:cxn modelId="{C1903379-6B63-4641-927C-F74BEF3401DE}" type="presParOf" srcId="{2396F95B-9517-4B70-916E-A06EC9EE70A7}" destId="{10496EE6-5ACC-4C63-8233-5ED129F6012E}" srcOrd="0" destOrd="0" presId="urn:microsoft.com/office/officeart/2005/8/layout/hierarchy2"/>
    <dgm:cxn modelId="{B98A60C5-48D3-4DE0-A3F6-96D76CD1D07A}" type="presParOf" srcId="{10496EE6-5ACC-4C63-8233-5ED129F6012E}" destId="{371E1EAE-93FF-4281-A4FE-31CC77CE8551}" srcOrd="0" destOrd="0" presId="urn:microsoft.com/office/officeart/2005/8/layout/hierarchy2"/>
    <dgm:cxn modelId="{AEEE40C8-447E-4482-B29B-AD79E1519D45}" type="presParOf" srcId="{2396F95B-9517-4B70-916E-A06EC9EE70A7}" destId="{10BE3BDE-D03E-464D-ABA5-FF910542C9C2}" srcOrd="1" destOrd="0" presId="urn:microsoft.com/office/officeart/2005/8/layout/hierarchy2"/>
    <dgm:cxn modelId="{86801167-425D-4E53-AAB1-DBBEE8687E73}" type="presParOf" srcId="{10BE3BDE-D03E-464D-ABA5-FF910542C9C2}" destId="{755473B6-3311-4B3F-B732-C4663E4A776A}" srcOrd="0" destOrd="0" presId="urn:microsoft.com/office/officeart/2005/8/layout/hierarchy2"/>
    <dgm:cxn modelId="{193D486D-FE26-46EF-8C67-F25A9D32ADE6}" type="presParOf" srcId="{10BE3BDE-D03E-464D-ABA5-FF910542C9C2}" destId="{F66807FA-B39C-44F7-A803-E2360E1A7A3E}" srcOrd="1" destOrd="0" presId="urn:microsoft.com/office/officeart/2005/8/layout/hierarchy2"/>
    <dgm:cxn modelId="{DC4A2BD1-380D-4BD5-B486-9DF97124BD57}" type="presParOf" srcId="{01490941-3312-44E5-A7CC-41EEEB8E25CB}" destId="{067B2A55-A52F-4C7D-924A-BACF6F633EF7}" srcOrd="8" destOrd="0" presId="urn:microsoft.com/office/officeart/2005/8/layout/hierarchy2"/>
    <dgm:cxn modelId="{BB0B957D-0EB5-4045-AF6F-A39F4EB1118C}" type="presParOf" srcId="{067B2A55-A52F-4C7D-924A-BACF6F633EF7}" destId="{D54C0F9A-35A5-4508-9FEE-C153548AD668}" srcOrd="0" destOrd="0" presId="urn:microsoft.com/office/officeart/2005/8/layout/hierarchy2"/>
    <dgm:cxn modelId="{14E66E98-8BA3-4717-A7B8-AE8B6EE0BE84}" type="presParOf" srcId="{01490941-3312-44E5-A7CC-41EEEB8E25CB}" destId="{4586D83F-6CA9-4FD1-90AB-64E9855AB042}" srcOrd="9" destOrd="0" presId="urn:microsoft.com/office/officeart/2005/8/layout/hierarchy2"/>
    <dgm:cxn modelId="{E96C20CC-8C3D-447A-BFD8-65F93B8052B7}" type="presParOf" srcId="{4586D83F-6CA9-4FD1-90AB-64E9855AB042}" destId="{842B5ADE-4592-4729-9BA0-AC8AA65DAC20}" srcOrd="0" destOrd="0" presId="urn:microsoft.com/office/officeart/2005/8/layout/hierarchy2"/>
    <dgm:cxn modelId="{23E05CFE-81EA-4673-A4D8-29A4AAF95DB0}" type="presParOf" srcId="{4586D83F-6CA9-4FD1-90AB-64E9855AB042}" destId="{E30DFF99-0F22-459C-88AE-9B2005B1D44A}" srcOrd="1" destOrd="0" presId="urn:microsoft.com/office/officeart/2005/8/layout/hierarchy2"/>
    <dgm:cxn modelId="{CFF17E35-1578-4884-BA5B-F56775595F50}" type="presParOf" srcId="{E30DFF99-0F22-459C-88AE-9B2005B1D44A}" destId="{2DFBC0EF-EDEF-4E2F-AFA7-BE5EB26C7056}" srcOrd="0" destOrd="0" presId="urn:microsoft.com/office/officeart/2005/8/layout/hierarchy2"/>
    <dgm:cxn modelId="{4E61B9BD-6BE2-4B3F-B9FF-5259BCBC5279}" type="presParOf" srcId="{2DFBC0EF-EDEF-4E2F-AFA7-BE5EB26C7056}" destId="{F7DE6281-0885-4021-88F6-77B2A53DC85D}" srcOrd="0" destOrd="0" presId="urn:microsoft.com/office/officeart/2005/8/layout/hierarchy2"/>
    <dgm:cxn modelId="{6CFBB0BD-C640-41B2-AA58-BC7C0D42595E}" type="presParOf" srcId="{E30DFF99-0F22-459C-88AE-9B2005B1D44A}" destId="{F6811B4F-60B6-4AA6-BD43-2931362EAADB}" srcOrd="1" destOrd="0" presId="urn:microsoft.com/office/officeart/2005/8/layout/hierarchy2"/>
    <dgm:cxn modelId="{E2955EFB-F1C0-4FD5-B2CC-5E0E91A5C5D0}" type="presParOf" srcId="{F6811B4F-60B6-4AA6-BD43-2931362EAADB}" destId="{8BEC4CD2-E99D-4DCC-9FA4-E9EF5992CEAB}" srcOrd="0" destOrd="0" presId="urn:microsoft.com/office/officeart/2005/8/layout/hierarchy2"/>
    <dgm:cxn modelId="{C1A0C6D8-D7B6-4E77-ACBE-D19ED825CE12}" type="presParOf" srcId="{F6811B4F-60B6-4AA6-BD43-2931362EAADB}" destId="{22E2C28B-985C-451B-BDC0-98AC3E0D74D3}" srcOrd="1" destOrd="0" presId="urn:microsoft.com/office/officeart/2005/8/layout/hierarchy2"/>
    <dgm:cxn modelId="{23005822-3BA3-4A3E-8AD6-A3CCF04F55F8}" type="presParOf" srcId="{E30DFF99-0F22-459C-88AE-9B2005B1D44A}" destId="{322E38CE-B25D-4933-A3FA-2A2A38B85158}" srcOrd="2" destOrd="0" presId="urn:microsoft.com/office/officeart/2005/8/layout/hierarchy2"/>
    <dgm:cxn modelId="{5AD84EFA-1DE7-4EC6-BA7C-07A5A41424EC}" type="presParOf" srcId="{322E38CE-B25D-4933-A3FA-2A2A38B85158}" destId="{899BFC69-8E78-4773-82BB-07C0EAB8EB61}" srcOrd="0" destOrd="0" presId="urn:microsoft.com/office/officeart/2005/8/layout/hierarchy2"/>
    <dgm:cxn modelId="{9EC8FE3C-FF3A-48DD-ABA6-CBDCFEE254B0}" type="presParOf" srcId="{E30DFF99-0F22-459C-88AE-9B2005B1D44A}" destId="{1D0B7F8E-7F75-4276-982E-ADFE33C41C55}" srcOrd="3" destOrd="0" presId="urn:microsoft.com/office/officeart/2005/8/layout/hierarchy2"/>
    <dgm:cxn modelId="{E37EA47E-BDF4-471C-9D34-F326C766B88D}" type="presParOf" srcId="{1D0B7F8E-7F75-4276-982E-ADFE33C41C55}" destId="{1FB3961B-B13A-48C1-BC33-35E1D92DC445}" srcOrd="0" destOrd="0" presId="urn:microsoft.com/office/officeart/2005/8/layout/hierarchy2"/>
    <dgm:cxn modelId="{015F7C54-7C9F-43FC-B0F8-63D91C533027}" type="presParOf" srcId="{1D0B7F8E-7F75-4276-982E-ADFE33C41C55}" destId="{7901AECA-7E8E-49B0-B2EB-0105276C3FA8}" srcOrd="1" destOrd="0" presId="urn:microsoft.com/office/officeart/2005/8/layout/hierarchy2"/>
    <dgm:cxn modelId="{23EFB486-B715-4471-8124-1E744C6FE4CC}" type="presParOf" srcId="{01490941-3312-44E5-A7CC-41EEEB8E25CB}" destId="{75398DEC-0064-4ACC-A406-0F5D183EA113}" srcOrd="10" destOrd="0" presId="urn:microsoft.com/office/officeart/2005/8/layout/hierarchy2"/>
    <dgm:cxn modelId="{E9B76A8C-B53A-41E4-A74B-3C9DD727ECA6}" type="presParOf" srcId="{75398DEC-0064-4ACC-A406-0F5D183EA113}" destId="{D0EAA69E-D19B-4E38-B667-F8F2211B87EB}" srcOrd="0" destOrd="0" presId="urn:microsoft.com/office/officeart/2005/8/layout/hierarchy2"/>
    <dgm:cxn modelId="{F6870AD5-29F0-4AFD-A815-D37ABC0FEEFF}" type="presParOf" srcId="{01490941-3312-44E5-A7CC-41EEEB8E25CB}" destId="{9FCCE525-85E1-4E2E-BA56-F61286312DA7}" srcOrd="11" destOrd="0" presId="urn:microsoft.com/office/officeart/2005/8/layout/hierarchy2"/>
    <dgm:cxn modelId="{036DE7C4-1E41-4E0D-A006-F990C3115F9A}" type="presParOf" srcId="{9FCCE525-85E1-4E2E-BA56-F61286312DA7}" destId="{A3E51525-BB08-4697-B108-D2611B019EAF}" srcOrd="0" destOrd="0" presId="urn:microsoft.com/office/officeart/2005/8/layout/hierarchy2"/>
    <dgm:cxn modelId="{4DE9E3FB-22B1-4F41-9205-840F50484858}" type="presParOf" srcId="{9FCCE525-85E1-4E2E-BA56-F61286312DA7}" destId="{737FC72C-B173-4F15-A87D-DE326B58AC9B}" srcOrd="1" destOrd="0" presId="urn:microsoft.com/office/officeart/2005/8/layout/hierarchy2"/>
    <dgm:cxn modelId="{16B883E3-120A-4398-84FE-331FE17D39ED}" type="presParOf" srcId="{737FC72C-B173-4F15-A87D-DE326B58AC9B}" destId="{4991DB15-8F7E-4FEA-94F7-58E3351A37AD}" srcOrd="0" destOrd="0" presId="urn:microsoft.com/office/officeart/2005/8/layout/hierarchy2"/>
    <dgm:cxn modelId="{995541EA-017F-4B03-8052-5BF9D96C9F3C}" type="presParOf" srcId="{4991DB15-8F7E-4FEA-94F7-58E3351A37AD}" destId="{E9270CCD-FBD4-472F-90CB-87C4EAA85E15}" srcOrd="0" destOrd="0" presId="urn:microsoft.com/office/officeart/2005/8/layout/hierarchy2"/>
    <dgm:cxn modelId="{EF9E4E4D-D6FB-4481-8BA4-9002865DE61A}" type="presParOf" srcId="{737FC72C-B173-4F15-A87D-DE326B58AC9B}" destId="{D4CEC9E2-EA40-4757-A09B-C0971E3D2096}" srcOrd="1" destOrd="0" presId="urn:microsoft.com/office/officeart/2005/8/layout/hierarchy2"/>
    <dgm:cxn modelId="{0A5DA4A9-1769-47B6-A029-046BE2C5C20B}" type="presParOf" srcId="{D4CEC9E2-EA40-4757-A09B-C0971E3D2096}" destId="{63B52382-3B76-4912-83A7-86D6F048D909}" srcOrd="0" destOrd="0" presId="urn:microsoft.com/office/officeart/2005/8/layout/hierarchy2"/>
    <dgm:cxn modelId="{EB0E58E1-F91D-4620-8728-BF4968DF6314}" type="presParOf" srcId="{D4CEC9E2-EA40-4757-A09B-C0971E3D2096}" destId="{B408F284-2F3B-47AD-9E73-F6A4CBBCEB09}" srcOrd="1" destOrd="0" presId="urn:microsoft.com/office/officeart/2005/8/layout/hierarchy2"/>
    <dgm:cxn modelId="{90AC0B2B-430B-4C88-847A-8ABCED474D39}" type="presParOf" srcId="{737FC72C-B173-4F15-A87D-DE326B58AC9B}" destId="{40697E7B-D4B6-47DC-94D8-7C69D10A3F1E}" srcOrd="2" destOrd="0" presId="urn:microsoft.com/office/officeart/2005/8/layout/hierarchy2"/>
    <dgm:cxn modelId="{0290BAD2-9FB5-4C85-827D-377139F9D37B}" type="presParOf" srcId="{40697E7B-D4B6-47DC-94D8-7C69D10A3F1E}" destId="{29171AE4-0972-4C22-A577-BEB8B27A002F}" srcOrd="0" destOrd="0" presId="urn:microsoft.com/office/officeart/2005/8/layout/hierarchy2"/>
    <dgm:cxn modelId="{9B48CB96-FEC5-42DD-8B72-B925EA979E44}" type="presParOf" srcId="{737FC72C-B173-4F15-A87D-DE326B58AC9B}" destId="{2AFF28DD-2101-4EC5-94B9-83CCD8CC7E83}" srcOrd="3" destOrd="0" presId="urn:microsoft.com/office/officeart/2005/8/layout/hierarchy2"/>
    <dgm:cxn modelId="{2A3AD8EE-FE2D-4B3A-B28B-6558D25340DD}" type="presParOf" srcId="{2AFF28DD-2101-4EC5-94B9-83CCD8CC7E83}" destId="{AF329EE1-8A05-465F-BA8B-5ED0B62637AC}" srcOrd="0" destOrd="0" presId="urn:microsoft.com/office/officeart/2005/8/layout/hierarchy2"/>
    <dgm:cxn modelId="{244482DF-E281-473C-9188-DD4BE94CDB99}" type="presParOf" srcId="{2AFF28DD-2101-4EC5-94B9-83CCD8CC7E83}" destId="{862A0828-2E87-4C69-92BB-A3ECAE93C0F6}" srcOrd="1" destOrd="0" presId="urn:microsoft.com/office/officeart/2005/8/layout/hierarchy2"/>
    <dgm:cxn modelId="{4EDBE5AD-2002-4FAB-84D3-B0D6529DC9E3}" type="presParOf" srcId="{01490941-3312-44E5-A7CC-41EEEB8E25CB}" destId="{84453A79-699A-4222-A365-B349CC7E564D}" srcOrd="12" destOrd="0" presId="urn:microsoft.com/office/officeart/2005/8/layout/hierarchy2"/>
    <dgm:cxn modelId="{3353A0B4-AC28-4832-B32E-6ECB520B15C8}" type="presParOf" srcId="{84453A79-699A-4222-A365-B349CC7E564D}" destId="{8C18ED47-BA87-4A93-92A4-7561A420AE2E}" srcOrd="0" destOrd="0" presId="urn:microsoft.com/office/officeart/2005/8/layout/hierarchy2"/>
    <dgm:cxn modelId="{5000964B-9598-452C-86CD-6222A35FD69A}" type="presParOf" srcId="{01490941-3312-44E5-A7CC-41EEEB8E25CB}" destId="{4A7293D5-3B8F-430C-86A4-3462F5B4D30E}" srcOrd="13" destOrd="0" presId="urn:microsoft.com/office/officeart/2005/8/layout/hierarchy2"/>
    <dgm:cxn modelId="{414ED78D-7A0D-4683-9ACC-63C0E887209F}" type="presParOf" srcId="{4A7293D5-3B8F-430C-86A4-3462F5B4D30E}" destId="{CFAA0187-EA69-4C92-BD02-28CCC69CEB6B}" srcOrd="0" destOrd="0" presId="urn:microsoft.com/office/officeart/2005/8/layout/hierarchy2"/>
    <dgm:cxn modelId="{0B36E40A-E7AD-453A-977B-AFCF32B04376}" type="presParOf" srcId="{4A7293D5-3B8F-430C-86A4-3462F5B4D30E}" destId="{C40DABA2-9DEF-4045-945F-223850B2D259}" srcOrd="1" destOrd="0" presId="urn:microsoft.com/office/officeart/2005/8/layout/hierarchy2"/>
    <dgm:cxn modelId="{1170F146-3760-4206-85DE-772CC24EB167}" type="presParOf" srcId="{C40DABA2-9DEF-4045-945F-223850B2D259}" destId="{2509D15D-A71F-4C23-8E77-E12C4F609D33}" srcOrd="0" destOrd="0" presId="urn:microsoft.com/office/officeart/2005/8/layout/hierarchy2"/>
    <dgm:cxn modelId="{8181D928-0F5A-4913-82FB-F07911752A75}" type="presParOf" srcId="{2509D15D-A71F-4C23-8E77-E12C4F609D33}" destId="{882B94A7-D24A-410E-94FA-2F8F042A568B}" srcOrd="0" destOrd="0" presId="urn:microsoft.com/office/officeart/2005/8/layout/hierarchy2"/>
    <dgm:cxn modelId="{955F02C9-3CC9-4D04-AAE6-AD2D95CBDAAB}" type="presParOf" srcId="{C40DABA2-9DEF-4045-945F-223850B2D259}" destId="{649EC4D6-0CED-4D6A-BFF9-1DFB583A1753}" srcOrd="1" destOrd="0" presId="urn:microsoft.com/office/officeart/2005/8/layout/hierarchy2"/>
    <dgm:cxn modelId="{094477CC-A5E9-4997-BC7C-193A2ED4C9A5}" type="presParOf" srcId="{649EC4D6-0CED-4D6A-BFF9-1DFB583A1753}" destId="{C976D2B9-5769-4A58-BD66-C029E5C7221D}" srcOrd="0" destOrd="0" presId="urn:microsoft.com/office/officeart/2005/8/layout/hierarchy2"/>
    <dgm:cxn modelId="{3D767D39-108B-4604-BDBF-A1F73EB411E8}" type="presParOf" srcId="{649EC4D6-0CED-4D6A-BFF9-1DFB583A1753}" destId="{BAC6FA0B-8CEF-4C03-AB2B-4FAAAA6AA96B}" srcOrd="1" destOrd="0" presId="urn:microsoft.com/office/officeart/2005/8/layout/hierarchy2"/>
    <dgm:cxn modelId="{8D7E0B14-18D4-40F1-84A0-CD11476D6A1D}" type="presParOf" srcId="{C40DABA2-9DEF-4045-945F-223850B2D259}" destId="{9A41CC84-ABEA-4680-9E9C-E6BEB259B049}" srcOrd="2" destOrd="0" presId="urn:microsoft.com/office/officeart/2005/8/layout/hierarchy2"/>
    <dgm:cxn modelId="{9E75F48B-4CE7-4A8E-B367-F5D681371261}" type="presParOf" srcId="{9A41CC84-ABEA-4680-9E9C-E6BEB259B049}" destId="{1A775435-9249-4BE3-94DA-DE78B129525D}" srcOrd="0" destOrd="0" presId="urn:microsoft.com/office/officeart/2005/8/layout/hierarchy2"/>
    <dgm:cxn modelId="{A7E11CE8-0985-4EC6-A4A1-E6A156F6BD49}" type="presParOf" srcId="{C40DABA2-9DEF-4045-945F-223850B2D259}" destId="{53E6D082-4031-4D47-829B-5257101E52E0}" srcOrd="3" destOrd="0" presId="urn:microsoft.com/office/officeart/2005/8/layout/hierarchy2"/>
    <dgm:cxn modelId="{B81FD7ED-825A-4911-9959-27BCC0DA0FDE}" type="presParOf" srcId="{53E6D082-4031-4D47-829B-5257101E52E0}" destId="{808F44E4-E8C5-4C4C-9D92-C282912FB3E7}" srcOrd="0" destOrd="0" presId="urn:microsoft.com/office/officeart/2005/8/layout/hierarchy2"/>
    <dgm:cxn modelId="{C5A0D6D1-047A-4D31-B21E-7A65D13A3546}" type="presParOf" srcId="{53E6D082-4031-4D47-829B-5257101E52E0}" destId="{C4000D98-FAB4-4F39-A5D6-7DBB88FB8DB2}" srcOrd="1" destOrd="0" presId="urn:microsoft.com/office/officeart/2005/8/layout/hierarchy2"/>
    <dgm:cxn modelId="{DB76D327-D054-4103-B519-45C315B3FDF4}" type="presParOf" srcId="{01490941-3312-44E5-A7CC-41EEEB8E25CB}" destId="{256CC832-540A-4C43-A087-AE9B3FCD4FAB}" srcOrd="14" destOrd="0" presId="urn:microsoft.com/office/officeart/2005/8/layout/hierarchy2"/>
    <dgm:cxn modelId="{27C051C8-5B4D-4648-AD06-D6B3C19747B6}" type="presParOf" srcId="{256CC832-540A-4C43-A087-AE9B3FCD4FAB}" destId="{17C6A833-AAE9-4A0A-A998-B79E88B668E4}" srcOrd="0" destOrd="0" presId="urn:microsoft.com/office/officeart/2005/8/layout/hierarchy2"/>
    <dgm:cxn modelId="{ED19DC4D-33F8-48F0-96D6-FC84AD7F3606}" type="presParOf" srcId="{01490941-3312-44E5-A7CC-41EEEB8E25CB}" destId="{7ED440D1-40FF-4383-904D-64C9247D048A}" srcOrd="15" destOrd="0" presId="urn:microsoft.com/office/officeart/2005/8/layout/hierarchy2"/>
    <dgm:cxn modelId="{371B775D-2E50-49DD-A44B-59182B1520E9}" type="presParOf" srcId="{7ED440D1-40FF-4383-904D-64C9247D048A}" destId="{4EEEA69B-AF54-42E6-A992-694A1D8C96F6}" srcOrd="0" destOrd="0" presId="urn:microsoft.com/office/officeart/2005/8/layout/hierarchy2"/>
    <dgm:cxn modelId="{A4EC53C3-3A08-4BB2-B7D1-AF036D24D404}" type="presParOf" srcId="{7ED440D1-40FF-4383-904D-64C9247D048A}" destId="{0D1C9358-B808-4E42-884F-963F2D9391DC}" srcOrd="1" destOrd="0" presId="urn:microsoft.com/office/officeart/2005/8/layout/hierarchy2"/>
    <dgm:cxn modelId="{01F81E5A-BD8A-42CE-8FA7-ABDDB61FDCB1}" type="presParOf" srcId="{0D1C9358-B808-4E42-884F-963F2D9391DC}" destId="{9FC29DFA-229D-4821-9CA8-E7DA9E164C4D}" srcOrd="0" destOrd="0" presId="urn:microsoft.com/office/officeart/2005/8/layout/hierarchy2"/>
    <dgm:cxn modelId="{7FD6997A-BD98-42CC-BE1D-5764F1EBC1B5}" type="presParOf" srcId="{9FC29DFA-229D-4821-9CA8-E7DA9E164C4D}" destId="{B39ED79A-4D24-48D3-93FD-2F0F7EC7E98E}" srcOrd="0" destOrd="0" presId="urn:microsoft.com/office/officeart/2005/8/layout/hierarchy2"/>
    <dgm:cxn modelId="{F4D691AF-2C12-4062-A030-7C8542CFA2EC}" type="presParOf" srcId="{0D1C9358-B808-4E42-884F-963F2D9391DC}" destId="{CB6325DE-E04C-4E99-AE76-410BED103A56}" srcOrd="1" destOrd="0" presId="urn:microsoft.com/office/officeart/2005/8/layout/hierarchy2"/>
    <dgm:cxn modelId="{F9A26766-749D-4D97-9A11-830BB8E25C2B}" type="presParOf" srcId="{CB6325DE-E04C-4E99-AE76-410BED103A56}" destId="{0CE19A2B-571B-4CB4-B69B-102A14EFFD78}" srcOrd="0" destOrd="0" presId="urn:microsoft.com/office/officeart/2005/8/layout/hierarchy2"/>
    <dgm:cxn modelId="{41EB988C-4424-480D-9569-2411BA569757}" type="presParOf" srcId="{CB6325DE-E04C-4E99-AE76-410BED103A56}" destId="{6B6774C9-6EE4-491F-BC24-15F6CC0ADEF2}" srcOrd="1" destOrd="0" presId="urn:microsoft.com/office/officeart/2005/8/layout/hierarchy2"/>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FD0767-9103-41B3-955E-FD64BE6604A9}">
      <dsp:nvSpPr>
        <dsp:cNvPr id="0" name=""/>
        <dsp:cNvSpPr/>
      </dsp:nvSpPr>
      <dsp:spPr>
        <a:xfrm>
          <a:off x="1565915" y="805053"/>
          <a:ext cx="573535" cy="573535"/>
        </a:xfrm>
        <a:prstGeom prst="ellipse">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b="1" kern="1200"/>
            <a:t>ODD2</a:t>
          </a:r>
        </a:p>
        <a:p>
          <a:pPr lvl="0" algn="ctr" defTabSz="400050">
            <a:lnSpc>
              <a:spcPct val="90000"/>
            </a:lnSpc>
            <a:spcBef>
              <a:spcPct val="0"/>
            </a:spcBef>
            <a:spcAft>
              <a:spcPct val="35000"/>
            </a:spcAft>
          </a:pPr>
          <a:r>
            <a:rPr lang="fr-FR" sz="900" b="1" kern="1200"/>
            <a:t>HC3N</a:t>
          </a:r>
        </a:p>
        <a:p>
          <a:pPr lvl="0" algn="ctr" defTabSz="400050">
            <a:lnSpc>
              <a:spcPct val="90000"/>
            </a:lnSpc>
            <a:spcBef>
              <a:spcPct val="0"/>
            </a:spcBef>
            <a:spcAft>
              <a:spcPct val="35000"/>
            </a:spcAft>
          </a:pPr>
          <a:r>
            <a:rPr lang="fr-FR" sz="900" b="1" kern="1200"/>
            <a:t>MP</a:t>
          </a:r>
        </a:p>
      </dsp:txBody>
      <dsp:txXfrm>
        <a:off x="1649907" y="889045"/>
        <a:ext cx="405551" cy="405551"/>
      </dsp:txXfrm>
    </dsp:sp>
    <dsp:sp modelId="{DE9118B4-B516-43C2-AAD9-AA20ACCCBB1C}">
      <dsp:nvSpPr>
        <dsp:cNvPr id="0" name=""/>
        <dsp:cNvSpPr/>
      </dsp:nvSpPr>
      <dsp:spPr>
        <a:xfrm rot="16200000">
          <a:off x="1791729" y="595995"/>
          <a:ext cx="121907" cy="195002"/>
        </a:xfrm>
        <a:prstGeom prst="leftArrow">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fr-FR" sz="700" b="1" kern="1200"/>
        </a:p>
      </dsp:txBody>
      <dsp:txXfrm>
        <a:off x="1810015" y="653281"/>
        <a:ext cx="85335" cy="117002"/>
      </dsp:txXfrm>
    </dsp:sp>
    <dsp:sp modelId="{5DFE651D-F475-427C-AB7B-3CDD68093338}">
      <dsp:nvSpPr>
        <dsp:cNvPr id="0" name=""/>
        <dsp:cNvSpPr/>
      </dsp:nvSpPr>
      <dsp:spPr>
        <a:xfrm>
          <a:off x="1565915" y="1503"/>
          <a:ext cx="573535" cy="573535"/>
        </a:xfrm>
        <a:prstGeom prst="ellipse">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b="1" kern="1200"/>
            <a:t>cible 2.1 - DNPGCA -</a:t>
          </a:r>
        </a:p>
      </dsp:txBody>
      <dsp:txXfrm>
        <a:off x="1649907" y="85495"/>
        <a:ext cx="405551" cy="405551"/>
      </dsp:txXfrm>
    </dsp:sp>
    <dsp:sp modelId="{25C0E5D6-813E-494A-8263-6A2E796B7710}">
      <dsp:nvSpPr>
        <dsp:cNvPr id="0" name=""/>
        <dsp:cNvSpPr/>
      </dsp:nvSpPr>
      <dsp:spPr>
        <a:xfrm rot="19800000">
          <a:off x="2136689" y="795157"/>
          <a:ext cx="121907" cy="195002"/>
        </a:xfrm>
        <a:prstGeom prst="leftArrow">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fr-FR" sz="700" b="1" kern="1200"/>
        </a:p>
      </dsp:txBody>
      <dsp:txXfrm>
        <a:off x="2139139" y="843300"/>
        <a:ext cx="85335" cy="117002"/>
      </dsp:txXfrm>
    </dsp:sp>
    <dsp:sp modelId="{595A9794-E8BB-4497-A253-A7A297749CC5}">
      <dsp:nvSpPr>
        <dsp:cNvPr id="0" name=""/>
        <dsp:cNvSpPr/>
      </dsp:nvSpPr>
      <dsp:spPr>
        <a:xfrm>
          <a:off x="2261809" y="403278"/>
          <a:ext cx="573535" cy="573535"/>
        </a:xfrm>
        <a:prstGeom prst="ellipse">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b="1" kern="1200"/>
            <a:t>cible 2.2 - DN/MSP - HC3N, MPS</a:t>
          </a:r>
        </a:p>
      </dsp:txBody>
      <dsp:txXfrm>
        <a:off x="2345801" y="487270"/>
        <a:ext cx="405551" cy="405551"/>
      </dsp:txXfrm>
    </dsp:sp>
    <dsp:sp modelId="{785DD06A-A6BB-42C8-B07D-7DE9BD182E05}">
      <dsp:nvSpPr>
        <dsp:cNvPr id="0" name=""/>
        <dsp:cNvSpPr/>
      </dsp:nvSpPr>
      <dsp:spPr>
        <a:xfrm rot="1800000">
          <a:off x="2136689" y="1193482"/>
          <a:ext cx="121907" cy="195002"/>
        </a:xfrm>
        <a:prstGeom prst="leftArrow">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fr-FR" sz="700" b="1" kern="1200"/>
        </a:p>
      </dsp:txBody>
      <dsp:txXfrm>
        <a:off x="2139139" y="1223339"/>
        <a:ext cx="85335" cy="117002"/>
      </dsp:txXfrm>
    </dsp:sp>
    <dsp:sp modelId="{457FAEF6-3E1F-49B6-B04C-A2652B86EAC0}">
      <dsp:nvSpPr>
        <dsp:cNvPr id="0" name=""/>
        <dsp:cNvSpPr/>
      </dsp:nvSpPr>
      <dsp:spPr>
        <a:xfrm>
          <a:off x="2261809" y="1206827"/>
          <a:ext cx="573535" cy="573535"/>
        </a:xfrm>
        <a:prstGeom prst="ellipse">
          <a:avLst/>
        </a:prstGeom>
        <a:solidFill>
          <a:schemeClr val="lt1">
            <a:hueOff val="0"/>
            <a:satOff val="0"/>
            <a:lumOff val="0"/>
            <a:alphaOff val="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b="1" kern="1200"/>
            <a:t>Cible 2.3 - MAGEL</a:t>
          </a:r>
        </a:p>
      </dsp:txBody>
      <dsp:txXfrm>
        <a:off x="2345801" y="1290819"/>
        <a:ext cx="405551" cy="405551"/>
      </dsp:txXfrm>
    </dsp:sp>
    <dsp:sp modelId="{E6CD8D5F-E477-42F3-BAAB-31E28A18B091}">
      <dsp:nvSpPr>
        <dsp:cNvPr id="0" name=""/>
        <dsp:cNvSpPr/>
      </dsp:nvSpPr>
      <dsp:spPr>
        <a:xfrm rot="5400000">
          <a:off x="1791729" y="1392644"/>
          <a:ext cx="121907" cy="195002"/>
        </a:xfrm>
        <a:prstGeom prst="leftArrow">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fr-FR" sz="700" b="1" kern="1200"/>
        </a:p>
      </dsp:txBody>
      <dsp:txXfrm>
        <a:off x="1810015" y="1413358"/>
        <a:ext cx="85335" cy="117002"/>
      </dsp:txXfrm>
    </dsp:sp>
    <dsp:sp modelId="{BF83298E-4273-4DA7-813B-AC1E972716F8}">
      <dsp:nvSpPr>
        <dsp:cNvPr id="0" name=""/>
        <dsp:cNvSpPr/>
      </dsp:nvSpPr>
      <dsp:spPr>
        <a:xfrm>
          <a:off x="1565915" y="1608602"/>
          <a:ext cx="573535" cy="573535"/>
        </a:xfrm>
        <a:prstGeom prst="ellipse">
          <a:avLst/>
        </a:prstGeom>
        <a:solidFill>
          <a:schemeClr val="lt1">
            <a:hueOff val="0"/>
            <a:satOff val="0"/>
            <a:lumOff val="0"/>
            <a:alphaOff val="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b="1" kern="1200"/>
            <a:t>Cible 2.4 - MAG/EL &amp; MEDD; </a:t>
          </a:r>
        </a:p>
      </dsp:txBody>
      <dsp:txXfrm>
        <a:off x="1649907" y="1692594"/>
        <a:ext cx="405551" cy="405551"/>
      </dsp:txXfrm>
    </dsp:sp>
    <dsp:sp modelId="{BBA47D31-385A-4C3D-8978-BCE9AF311639}">
      <dsp:nvSpPr>
        <dsp:cNvPr id="0" name=""/>
        <dsp:cNvSpPr/>
      </dsp:nvSpPr>
      <dsp:spPr>
        <a:xfrm rot="9000000">
          <a:off x="1446770" y="1193482"/>
          <a:ext cx="121907" cy="195002"/>
        </a:xfrm>
        <a:prstGeom prst="leftArrow">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fr-FR" sz="700" b="1" kern="1200"/>
        </a:p>
      </dsp:txBody>
      <dsp:txXfrm rot="10800000">
        <a:off x="1480892" y="1223339"/>
        <a:ext cx="85335" cy="117002"/>
      </dsp:txXfrm>
    </dsp:sp>
    <dsp:sp modelId="{5A8E0C70-C4BD-4D58-9B48-7C680034D8D9}">
      <dsp:nvSpPr>
        <dsp:cNvPr id="0" name=""/>
        <dsp:cNvSpPr/>
      </dsp:nvSpPr>
      <dsp:spPr>
        <a:xfrm>
          <a:off x="870021" y="1206827"/>
          <a:ext cx="573535" cy="573535"/>
        </a:xfrm>
        <a:prstGeom prst="ellipse">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b="1" kern="1200"/>
            <a:t>cible 2.5 - SNRA (INRAN, SNRA, CMB et CNSF)</a:t>
          </a:r>
        </a:p>
      </dsp:txBody>
      <dsp:txXfrm>
        <a:off x="954013" y="1290819"/>
        <a:ext cx="405551" cy="405551"/>
      </dsp:txXfrm>
    </dsp:sp>
    <dsp:sp modelId="{63D6762C-981A-468F-8558-554CC8E33808}">
      <dsp:nvSpPr>
        <dsp:cNvPr id="0" name=""/>
        <dsp:cNvSpPr/>
      </dsp:nvSpPr>
      <dsp:spPr>
        <a:xfrm rot="12600000">
          <a:off x="1446770" y="795157"/>
          <a:ext cx="121907" cy="195002"/>
        </a:xfrm>
        <a:prstGeom prst="leftArrow">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fr-FR" sz="700" b="1" kern="1200"/>
        </a:p>
      </dsp:txBody>
      <dsp:txXfrm rot="10800000">
        <a:off x="1480892" y="843300"/>
        <a:ext cx="85335" cy="117002"/>
      </dsp:txXfrm>
    </dsp:sp>
    <dsp:sp modelId="{C0DBE9BA-15CB-4923-B7FF-39974BCF74D1}">
      <dsp:nvSpPr>
        <dsp:cNvPr id="0" name=""/>
        <dsp:cNvSpPr/>
      </dsp:nvSpPr>
      <dsp:spPr>
        <a:xfrm>
          <a:off x="870021" y="403278"/>
          <a:ext cx="573535" cy="573535"/>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b="1" kern="1200"/>
            <a:t>cibles 2a; 2b; 2c </a:t>
          </a:r>
        </a:p>
        <a:p>
          <a:pPr lvl="0" algn="ctr" defTabSz="311150">
            <a:lnSpc>
              <a:spcPct val="90000"/>
            </a:lnSpc>
            <a:spcBef>
              <a:spcPct val="0"/>
            </a:spcBef>
            <a:spcAft>
              <a:spcPct val="35000"/>
            </a:spcAft>
          </a:pPr>
          <a:r>
            <a:rPr lang="fr-FR" sz="700" b="1" kern="1200"/>
            <a:t>HC3N</a:t>
          </a:r>
        </a:p>
      </dsp:txBody>
      <dsp:txXfrm>
        <a:off x="954013" y="487270"/>
        <a:ext cx="405551" cy="4055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8128DA-8168-490F-BFAB-DFD46BA34800}">
      <dsp:nvSpPr>
        <dsp:cNvPr id="0" name=""/>
        <dsp:cNvSpPr/>
      </dsp:nvSpPr>
      <dsp:spPr>
        <a:xfrm>
          <a:off x="377043" y="1122573"/>
          <a:ext cx="539441"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S&amp;E ODD</a:t>
          </a:r>
        </a:p>
      </dsp:txBody>
      <dsp:txXfrm>
        <a:off x="381269" y="1126799"/>
        <a:ext cx="530989" cy="135843"/>
      </dsp:txXfrm>
    </dsp:sp>
    <dsp:sp modelId="{15B0DCBA-4087-4376-83B2-C78524BA444B}">
      <dsp:nvSpPr>
        <dsp:cNvPr id="0" name=""/>
        <dsp:cNvSpPr/>
      </dsp:nvSpPr>
      <dsp:spPr>
        <a:xfrm>
          <a:off x="916484" y="1189090"/>
          <a:ext cx="115436" cy="11260"/>
        </a:xfrm>
        <a:custGeom>
          <a:avLst/>
          <a:gdLst/>
          <a:ahLst/>
          <a:cxnLst/>
          <a:rect l="0" t="0" r="0" b="0"/>
          <a:pathLst>
            <a:path>
              <a:moveTo>
                <a:pt x="0" y="5630"/>
              </a:moveTo>
              <a:lnTo>
                <a:pt x="115436" y="563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971316" y="1191834"/>
        <a:ext cx="5771" cy="5771"/>
      </dsp:txXfrm>
    </dsp:sp>
    <dsp:sp modelId="{9756CD15-2B6E-410B-B794-1B3B9CE85A61}">
      <dsp:nvSpPr>
        <dsp:cNvPr id="0" name=""/>
        <dsp:cNvSpPr/>
      </dsp:nvSpPr>
      <dsp:spPr>
        <a:xfrm>
          <a:off x="1031920" y="1122573"/>
          <a:ext cx="539441" cy="144295"/>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t>S&amp;E HC3N</a:t>
          </a:r>
        </a:p>
      </dsp:txBody>
      <dsp:txXfrm>
        <a:off x="1036146" y="1126799"/>
        <a:ext cx="530989" cy="135843"/>
      </dsp:txXfrm>
    </dsp:sp>
    <dsp:sp modelId="{6C4DA581-16BC-428A-83B1-6E7731BDC8EA}">
      <dsp:nvSpPr>
        <dsp:cNvPr id="0" name=""/>
        <dsp:cNvSpPr/>
      </dsp:nvSpPr>
      <dsp:spPr>
        <a:xfrm rot="18387572">
          <a:off x="1309755" y="670530"/>
          <a:ext cx="1289506" cy="11260"/>
        </a:xfrm>
        <a:custGeom>
          <a:avLst/>
          <a:gdLst/>
          <a:ahLst/>
          <a:cxnLst/>
          <a:rect l="0" t="0" r="0" b="0"/>
          <a:pathLst>
            <a:path>
              <a:moveTo>
                <a:pt x="0" y="5630"/>
              </a:moveTo>
              <a:lnTo>
                <a:pt x="1289506"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1922271" y="643922"/>
        <a:ext cx="64475" cy="64475"/>
      </dsp:txXfrm>
    </dsp:sp>
    <dsp:sp modelId="{BE893CAB-BE9D-476E-AB38-B5C755F976FC}">
      <dsp:nvSpPr>
        <dsp:cNvPr id="0" name=""/>
        <dsp:cNvSpPr/>
      </dsp:nvSpPr>
      <dsp:spPr>
        <a:xfrm>
          <a:off x="2337657" y="85452"/>
          <a:ext cx="58259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t>cible 1.1</a:t>
          </a:r>
        </a:p>
      </dsp:txBody>
      <dsp:txXfrm>
        <a:off x="2341883" y="89678"/>
        <a:ext cx="574144" cy="135843"/>
      </dsp:txXfrm>
    </dsp:sp>
    <dsp:sp modelId="{5ECCB816-2ED2-4E01-B916-A5B57E3FDA87}">
      <dsp:nvSpPr>
        <dsp:cNvPr id="0" name=""/>
        <dsp:cNvSpPr/>
      </dsp:nvSpPr>
      <dsp:spPr>
        <a:xfrm rot="21149272">
          <a:off x="2917530" y="110485"/>
          <a:ext cx="634633" cy="11260"/>
        </a:xfrm>
        <a:custGeom>
          <a:avLst/>
          <a:gdLst/>
          <a:ahLst/>
          <a:cxnLst/>
          <a:rect l="0" t="0" r="0" b="0"/>
          <a:pathLst>
            <a:path>
              <a:moveTo>
                <a:pt x="0" y="5630"/>
              </a:moveTo>
              <a:lnTo>
                <a:pt x="634633"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3218981" y="100249"/>
        <a:ext cx="31731" cy="31731"/>
      </dsp:txXfrm>
    </dsp:sp>
    <dsp:sp modelId="{4407AE97-A298-40DA-BC7A-BAAE5C66AF72}">
      <dsp:nvSpPr>
        <dsp:cNvPr id="0" name=""/>
        <dsp:cNvSpPr/>
      </dsp:nvSpPr>
      <dsp:spPr>
        <a:xfrm>
          <a:off x="3549440" y="2483"/>
          <a:ext cx="151043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fr-FR" sz="800" kern="1200"/>
            <a:t>Indic. 2.1.1 - </a:t>
          </a:r>
          <a:r>
            <a:rPr lang="fr-FR" sz="800" b="1" kern="1200"/>
            <a:t>INS, DNPGCA</a:t>
          </a:r>
          <a:endParaRPr lang="fr-FR" sz="800" kern="1200"/>
        </a:p>
      </dsp:txBody>
      <dsp:txXfrm>
        <a:off x="3553666" y="6709"/>
        <a:ext cx="1501984" cy="135843"/>
      </dsp:txXfrm>
    </dsp:sp>
    <dsp:sp modelId="{5E1F2220-05C4-438F-A081-99DAF64F7142}">
      <dsp:nvSpPr>
        <dsp:cNvPr id="0" name=""/>
        <dsp:cNvSpPr/>
      </dsp:nvSpPr>
      <dsp:spPr>
        <a:xfrm rot="450728">
          <a:off x="2917530" y="193454"/>
          <a:ext cx="634633" cy="11260"/>
        </a:xfrm>
        <a:custGeom>
          <a:avLst/>
          <a:gdLst/>
          <a:ahLst/>
          <a:cxnLst/>
          <a:rect l="0" t="0" r="0" b="0"/>
          <a:pathLst>
            <a:path>
              <a:moveTo>
                <a:pt x="0" y="5630"/>
              </a:moveTo>
              <a:lnTo>
                <a:pt x="634633"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3218981" y="183219"/>
        <a:ext cx="31731" cy="31731"/>
      </dsp:txXfrm>
    </dsp:sp>
    <dsp:sp modelId="{69C98D25-E49C-4FDB-82C0-18575914304D}">
      <dsp:nvSpPr>
        <dsp:cNvPr id="0" name=""/>
        <dsp:cNvSpPr/>
      </dsp:nvSpPr>
      <dsp:spPr>
        <a:xfrm>
          <a:off x="3549440" y="168422"/>
          <a:ext cx="151043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fr-FR" sz="800" kern="1200"/>
            <a:t>Indic 2.1.2 -  </a:t>
          </a:r>
          <a:r>
            <a:rPr lang="fr-FR" sz="800" b="1" kern="1200"/>
            <a:t>INS, DNPGCA</a:t>
          </a:r>
          <a:endParaRPr lang="fr-FR" sz="800" kern="1200"/>
        </a:p>
      </dsp:txBody>
      <dsp:txXfrm>
        <a:off x="3553666" y="172648"/>
        <a:ext cx="1501984" cy="135843"/>
      </dsp:txXfrm>
    </dsp:sp>
    <dsp:sp modelId="{B140A170-4400-4B82-A785-C4B654D02547}">
      <dsp:nvSpPr>
        <dsp:cNvPr id="0" name=""/>
        <dsp:cNvSpPr/>
      </dsp:nvSpPr>
      <dsp:spPr>
        <a:xfrm rot="19042550">
          <a:off x="1433794" y="836469"/>
          <a:ext cx="1041429" cy="11260"/>
        </a:xfrm>
        <a:custGeom>
          <a:avLst/>
          <a:gdLst/>
          <a:ahLst/>
          <a:cxnLst/>
          <a:rect l="0" t="0" r="0" b="0"/>
          <a:pathLst>
            <a:path>
              <a:moveTo>
                <a:pt x="0" y="5630"/>
              </a:moveTo>
              <a:lnTo>
                <a:pt x="1041429"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1928473" y="816064"/>
        <a:ext cx="52071" cy="52071"/>
      </dsp:txXfrm>
    </dsp:sp>
    <dsp:sp modelId="{0DF05AF9-9D40-47F4-AC6D-2625AE7508D8}">
      <dsp:nvSpPr>
        <dsp:cNvPr id="0" name=""/>
        <dsp:cNvSpPr/>
      </dsp:nvSpPr>
      <dsp:spPr>
        <a:xfrm>
          <a:off x="2337657" y="417331"/>
          <a:ext cx="58259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t>cible 2.2</a:t>
          </a:r>
        </a:p>
      </dsp:txBody>
      <dsp:txXfrm>
        <a:off x="2341883" y="421557"/>
        <a:ext cx="574144" cy="135843"/>
      </dsp:txXfrm>
    </dsp:sp>
    <dsp:sp modelId="{96487D65-A56A-44F9-8DAB-84C5013DD3D7}">
      <dsp:nvSpPr>
        <dsp:cNvPr id="0" name=""/>
        <dsp:cNvSpPr/>
      </dsp:nvSpPr>
      <dsp:spPr>
        <a:xfrm rot="21149272">
          <a:off x="2917530" y="442363"/>
          <a:ext cx="634633" cy="11260"/>
        </a:xfrm>
        <a:custGeom>
          <a:avLst/>
          <a:gdLst/>
          <a:ahLst/>
          <a:cxnLst/>
          <a:rect l="0" t="0" r="0" b="0"/>
          <a:pathLst>
            <a:path>
              <a:moveTo>
                <a:pt x="0" y="5630"/>
              </a:moveTo>
              <a:lnTo>
                <a:pt x="634633"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3218981" y="432128"/>
        <a:ext cx="31731" cy="31731"/>
      </dsp:txXfrm>
    </dsp:sp>
    <dsp:sp modelId="{28D73A6C-178E-4142-8442-5C8CC1E482D2}">
      <dsp:nvSpPr>
        <dsp:cNvPr id="0" name=""/>
        <dsp:cNvSpPr/>
      </dsp:nvSpPr>
      <dsp:spPr>
        <a:xfrm>
          <a:off x="3549440" y="334361"/>
          <a:ext cx="151043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fr-FR" sz="800" kern="1200"/>
            <a:t>Indic 2.2.1 - </a:t>
          </a:r>
          <a:r>
            <a:rPr lang="fr-FR" sz="800" b="1" kern="1200"/>
            <a:t>INS, MSP</a:t>
          </a:r>
          <a:endParaRPr lang="fr-FR" sz="800" kern="1200"/>
        </a:p>
      </dsp:txBody>
      <dsp:txXfrm>
        <a:off x="3553666" y="338587"/>
        <a:ext cx="1501984" cy="135843"/>
      </dsp:txXfrm>
    </dsp:sp>
    <dsp:sp modelId="{9E4C8E60-01F6-4549-AD4C-FD6D0BD324E3}">
      <dsp:nvSpPr>
        <dsp:cNvPr id="0" name=""/>
        <dsp:cNvSpPr/>
      </dsp:nvSpPr>
      <dsp:spPr>
        <a:xfrm rot="463191">
          <a:off x="2917455" y="525333"/>
          <a:ext cx="617656" cy="11260"/>
        </a:xfrm>
        <a:custGeom>
          <a:avLst/>
          <a:gdLst/>
          <a:ahLst/>
          <a:cxnLst/>
          <a:rect l="0" t="0" r="0" b="0"/>
          <a:pathLst>
            <a:path>
              <a:moveTo>
                <a:pt x="0" y="5630"/>
              </a:moveTo>
              <a:lnTo>
                <a:pt x="617656"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3210842" y="515522"/>
        <a:ext cx="30882" cy="30882"/>
      </dsp:txXfrm>
    </dsp:sp>
    <dsp:sp modelId="{6138564E-0996-4ADF-9393-B53CF69D6151}">
      <dsp:nvSpPr>
        <dsp:cNvPr id="0" name=""/>
        <dsp:cNvSpPr/>
      </dsp:nvSpPr>
      <dsp:spPr>
        <a:xfrm>
          <a:off x="3532313" y="500301"/>
          <a:ext cx="151043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fr-FR" sz="800" kern="1200"/>
            <a:t>Indic 2.2.2 - </a:t>
          </a:r>
          <a:r>
            <a:rPr lang="fr-FR" sz="800" b="1" kern="1200"/>
            <a:t>INS, MSP</a:t>
          </a:r>
          <a:endParaRPr lang="fr-FR" sz="800" kern="1200"/>
        </a:p>
      </dsp:txBody>
      <dsp:txXfrm>
        <a:off x="3536539" y="504527"/>
        <a:ext cx="1501984" cy="135843"/>
      </dsp:txXfrm>
    </dsp:sp>
    <dsp:sp modelId="{2B0FFCEB-18DE-4569-B960-9828A63492FC}">
      <dsp:nvSpPr>
        <dsp:cNvPr id="0" name=""/>
        <dsp:cNvSpPr/>
      </dsp:nvSpPr>
      <dsp:spPr>
        <a:xfrm rot="20041393">
          <a:off x="1528302" y="1002408"/>
          <a:ext cx="852413" cy="11260"/>
        </a:xfrm>
        <a:custGeom>
          <a:avLst/>
          <a:gdLst/>
          <a:ahLst/>
          <a:cxnLst/>
          <a:rect l="0" t="0" r="0" b="0"/>
          <a:pathLst>
            <a:path>
              <a:moveTo>
                <a:pt x="0" y="5630"/>
              </a:moveTo>
              <a:lnTo>
                <a:pt x="852413"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1933198" y="986728"/>
        <a:ext cx="42620" cy="42620"/>
      </dsp:txXfrm>
    </dsp:sp>
    <dsp:sp modelId="{298D58BA-6F27-486B-A9CB-3DF685ED25AD}">
      <dsp:nvSpPr>
        <dsp:cNvPr id="0" name=""/>
        <dsp:cNvSpPr/>
      </dsp:nvSpPr>
      <dsp:spPr>
        <a:xfrm>
          <a:off x="2337657" y="749209"/>
          <a:ext cx="58259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t>Cible 2.3</a:t>
          </a:r>
        </a:p>
      </dsp:txBody>
      <dsp:txXfrm>
        <a:off x="2341883" y="753435"/>
        <a:ext cx="574144" cy="135843"/>
      </dsp:txXfrm>
    </dsp:sp>
    <dsp:sp modelId="{600D8A0E-37F3-48FB-8F27-457986F7D276}">
      <dsp:nvSpPr>
        <dsp:cNvPr id="0" name=""/>
        <dsp:cNvSpPr/>
      </dsp:nvSpPr>
      <dsp:spPr>
        <a:xfrm rot="21136809">
          <a:off x="2917455" y="774242"/>
          <a:ext cx="617656" cy="11260"/>
        </a:xfrm>
        <a:custGeom>
          <a:avLst/>
          <a:gdLst/>
          <a:ahLst/>
          <a:cxnLst/>
          <a:rect l="0" t="0" r="0" b="0"/>
          <a:pathLst>
            <a:path>
              <a:moveTo>
                <a:pt x="0" y="5630"/>
              </a:moveTo>
              <a:lnTo>
                <a:pt x="617656"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3210842" y="764431"/>
        <a:ext cx="30882" cy="30882"/>
      </dsp:txXfrm>
    </dsp:sp>
    <dsp:sp modelId="{094ED728-6FE3-4730-9AC6-09945C8F5498}">
      <dsp:nvSpPr>
        <dsp:cNvPr id="0" name=""/>
        <dsp:cNvSpPr/>
      </dsp:nvSpPr>
      <dsp:spPr>
        <a:xfrm>
          <a:off x="3532313" y="666240"/>
          <a:ext cx="151043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fr-FR" sz="800" kern="1200"/>
            <a:t>Indic 2.3.1 - </a:t>
          </a:r>
          <a:r>
            <a:rPr lang="fr-FR" sz="800" b="1" kern="1200"/>
            <a:t>INS, MAGEL</a:t>
          </a:r>
          <a:endParaRPr lang="fr-FR" sz="800" kern="1200"/>
        </a:p>
      </dsp:txBody>
      <dsp:txXfrm>
        <a:off x="3536539" y="670466"/>
        <a:ext cx="1501984" cy="135843"/>
      </dsp:txXfrm>
    </dsp:sp>
    <dsp:sp modelId="{CAFEB99C-827F-41A6-B28E-981CD5511437}">
      <dsp:nvSpPr>
        <dsp:cNvPr id="0" name=""/>
        <dsp:cNvSpPr/>
      </dsp:nvSpPr>
      <dsp:spPr>
        <a:xfrm rot="463191">
          <a:off x="2917455" y="857211"/>
          <a:ext cx="617656" cy="11260"/>
        </a:xfrm>
        <a:custGeom>
          <a:avLst/>
          <a:gdLst/>
          <a:ahLst/>
          <a:cxnLst/>
          <a:rect l="0" t="0" r="0" b="0"/>
          <a:pathLst>
            <a:path>
              <a:moveTo>
                <a:pt x="0" y="5630"/>
              </a:moveTo>
              <a:lnTo>
                <a:pt x="617656"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3210842" y="847400"/>
        <a:ext cx="30882" cy="30882"/>
      </dsp:txXfrm>
    </dsp:sp>
    <dsp:sp modelId="{E62938E9-EF12-43F5-AAB9-9CD0041246A0}">
      <dsp:nvSpPr>
        <dsp:cNvPr id="0" name=""/>
        <dsp:cNvSpPr/>
      </dsp:nvSpPr>
      <dsp:spPr>
        <a:xfrm>
          <a:off x="3532313" y="832179"/>
          <a:ext cx="151043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fr-FR" sz="800" kern="1200"/>
            <a:t>Indic 2.3.2- </a:t>
          </a:r>
          <a:r>
            <a:rPr lang="fr-FR" sz="800" b="1" kern="1200"/>
            <a:t>INS, MAGEL</a:t>
          </a:r>
          <a:endParaRPr lang="fr-FR" sz="800" kern="1200"/>
        </a:p>
      </dsp:txBody>
      <dsp:txXfrm>
        <a:off x="3536539" y="836405"/>
        <a:ext cx="1501984" cy="135843"/>
      </dsp:txXfrm>
    </dsp:sp>
    <dsp:sp modelId="{CED20A7F-39C4-4DA2-8B29-D7693639F6AF}">
      <dsp:nvSpPr>
        <dsp:cNvPr id="0" name=""/>
        <dsp:cNvSpPr/>
      </dsp:nvSpPr>
      <dsp:spPr>
        <a:xfrm rot="21046507">
          <a:off x="1566341" y="1126863"/>
          <a:ext cx="776336" cy="11260"/>
        </a:xfrm>
        <a:custGeom>
          <a:avLst/>
          <a:gdLst/>
          <a:ahLst/>
          <a:cxnLst/>
          <a:rect l="0" t="0" r="0" b="0"/>
          <a:pathLst>
            <a:path>
              <a:moveTo>
                <a:pt x="0" y="5630"/>
              </a:moveTo>
              <a:lnTo>
                <a:pt x="776336"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1935100" y="1113085"/>
        <a:ext cx="38816" cy="38816"/>
      </dsp:txXfrm>
    </dsp:sp>
    <dsp:sp modelId="{BE8003E3-2DC2-4451-AB1B-1F16F91257DB}">
      <dsp:nvSpPr>
        <dsp:cNvPr id="0" name=""/>
        <dsp:cNvSpPr/>
      </dsp:nvSpPr>
      <dsp:spPr>
        <a:xfrm>
          <a:off x="2337657" y="998118"/>
          <a:ext cx="58259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t>Cible 2.4</a:t>
          </a:r>
        </a:p>
      </dsp:txBody>
      <dsp:txXfrm>
        <a:off x="2341883" y="1002344"/>
        <a:ext cx="574144" cy="135843"/>
      </dsp:txXfrm>
    </dsp:sp>
    <dsp:sp modelId="{10496EE6-5ACC-4C63-8233-5ED129F6012E}">
      <dsp:nvSpPr>
        <dsp:cNvPr id="0" name=""/>
        <dsp:cNvSpPr/>
      </dsp:nvSpPr>
      <dsp:spPr>
        <a:xfrm>
          <a:off x="2920254" y="1064635"/>
          <a:ext cx="612058" cy="11260"/>
        </a:xfrm>
        <a:custGeom>
          <a:avLst/>
          <a:gdLst/>
          <a:ahLst/>
          <a:cxnLst/>
          <a:rect l="0" t="0" r="0" b="0"/>
          <a:pathLst>
            <a:path>
              <a:moveTo>
                <a:pt x="0" y="5630"/>
              </a:moveTo>
              <a:lnTo>
                <a:pt x="612058"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3210982" y="1054964"/>
        <a:ext cx="30602" cy="30602"/>
      </dsp:txXfrm>
    </dsp:sp>
    <dsp:sp modelId="{755473B6-3311-4B3F-B732-C4663E4A776A}">
      <dsp:nvSpPr>
        <dsp:cNvPr id="0" name=""/>
        <dsp:cNvSpPr/>
      </dsp:nvSpPr>
      <dsp:spPr>
        <a:xfrm>
          <a:off x="3532313" y="998118"/>
          <a:ext cx="151043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fr-FR" sz="800" kern="1200"/>
            <a:t>Indic 2.4.1 - </a:t>
          </a:r>
          <a:r>
            <a:rPr lang="fr-FR" sz="800" b="1" kern="1200"/>
            <a:t>MAGEL &amp; MEDD</a:t>
          </a:r>
        </a:p>
      </dsp:txBody>
      <dsp:txXfrm>
        <a:off x="3536539" y="1002344"/>
        <a:ext cx="1501984" cy="135843"/>
      </dsp:txXfrm>
    </dsp:sp>
    <dsp:sp modelId="{067B2A55-A52F-4C7D-924A-BACF6F633EF7}">
      <dsp:nvSpPr>
        <dsp:cNvPr id="0" name=""/>
        <dsp:cNvSpPr/>
      </dsp:nvSpPr>
      <dsp:spPr>
        <a:xfrm rot="553493">
          <a:off x="1566341" y="1251317"/>
          <a:ext cx="776336" cy="11260"/>
        </a:xfrm>
        <a:custGeom>
          <a:avLst/>
          <a:gdLst/>
          <a:ahLst/>
          <a:cxnLst/>
          <a:rect l="0" t="0" r="0" b="0"/>
          <a:pathLst>
            <a:path>
              <a:moveTo>
                <a:pt x="0" y="5630"/>
              </a:moveTo>
              <a:lnTo>
                <a:pt x="776336"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1935100" y="1237539"/>
        <a:ext cx="38816" cy="38816"/>
      </dsp:txXfrm>
    </dsp:sp>
    <dsp:sp modelId="{842B5ADE-4592-4729-9BA0-AC8AA65DAC20}">
      <dsp:nvSpPr>
        <dsp:cNvPr id="0" name=""/>
        <dsp:cNvSpPr/>
      </dsp:nvSpPr>
      <dsp:spPr>
        <a:xfrm>
          <a:off x="2337657" y="1247027"/>
          <a:ext cx="58259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t>Cible 2.5</a:t>
          </a:r>
        </a:p>
      </dsp:txBody>
      <dsp:txXfrm>
        <a:off x="2341883" y="1251253"/>
        <a:ext cx="574144" cy="135843"/>
      </dsp:txXfrm>
    </dsp:sp>
    <dsp:sp modelId="{2DFBC0EF-EDEF-4E2F-AFA7-BE5EB26C7056}">
      <dsp:nvSpPr>
        <dsp:cNvPr id="0" name=""/>
        <dsp:cNvSpPr/>
      </dsp:nvSpPr>
      <dsp:spPr>
        <a:xfrm rot="21136809">
          <a:off x="2917455" y="1272059"/>
          <a:ext cx="617656" cy="11260"/>
        </a:xfrm>
        <a:custGeom>
          <a:avLst/>
          <a:gdLst/>
          <a:ahLst/>
          <a:cxnLst/>
          <a:rect l="0" t="0" r="0" b="0"/>
          <a:pathLst>
            <a:path>
              <a:moveTo>
                <a:pt x="0" y="5630"/>
              </a:moveTo>
              <a:lnTo>
                <a:pt x="617656"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3210842" y="1262249"/>
        <a:ext cx="30882" cy="30882"/>
      </dsp:txXfrm>
    </dsp:sp>
    <dsp:sp modelId="{8BEC4CD2-E99D-4DCC-9FA4-E9EF5992CEAB}">
      <dsp:nvSpPr>
        <dsp:cNvPr id="0" name=""/>
        <dsp:cNvSpPr/>
      </dsp:nvSpPr>
      <dsp:spPr>
        <a:xfrm>
          <a:off x="3532313" y="1164058"/>
          <a:ext cx="151043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fr-FR" sz="800" kern="1200"/>
            <a:t>Indic 2.5.1 - </a:t>
          </a:r>
          <a:r>
            <a:rPr lang="fr-FR" sz="800" b="1" kern="1200"/>
            <a:t>INRAN/CNSF</a:t>
          </a:r>
        </a:p>
      </dsp:txBody>
      <dsp:txXfrm>
        <a:off x="3536539" y="1168284"/>
        <a:ext cx="1501984" cy="135843"/>
      </dsp:txXfrm>
    </dsp:sp>
    <dsp:sp modelId="{322E38CE-B25D-4933-A3FA-2A2A38B85158}">
      <dsp:nvSpPr>
        <dsp:cNvPr id="0" name=""/>
        <dsp:cNvSpPr/>
      </dsp:nvSpPr>
      <dsp:spPr>
        <a:xfrm rot="463191">
          <a:off x="2917455" y="1355029"/>
          <a:ext cx="617656" cy="11260"/>
        </a:xfrm>
        <a:custGeom>
          <a:avLst/>
          <a:gdLst/>
          <a:ahLst/>
          <a:cxnLst/>
          <a:rect l="0" t="0" r="0" b="0"/>
          <a:pathLst>
            <a:path>
              <a:moveTo>
                <a:pt x="0" y="5630"/>
              </a:moveTo>
              <a:lnTo>
                <a:pt x="617656"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3210842" y="1345218"/>
        <a:ext cx="30882" cy="30882"/>
      </dsp:txXfrm>
    </dsp:sp>
    <dsp:sp modelId="{1FB3961B-B13A-48C1-BC33-35E1D92DC445}">
      <dsp:nvSpPr>
        <dsp:cNvPr id="0" name=""/>
        <dsp:cNvSpPr/>
      </dsp:nvSpPr>
      <dsp:spPr>
        <a:xfrm>
          <a:off x="3532313" y="1329997"/>
          <a:ext cx="151043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fr-FR" sz="800" kern="1200"/>
            <a:t>Indic 2.5.2 </a:t>
          </a:r>
          <a:r>
            <a:rPr lang="fr-FR" sz="800" b="1" kern="1200"/>
            <a:t>INRAN/CNSF/CMB</a:t>
          </a:r>
        </a:p>
      </dsp:txBody>
      <dsp:txXfrm>
        <a:off x="3536539" y="1334223"/>
        <a:ext cx="1501984" cy="135843"/>
      </dsp:txXfrm>
    </dsp:sp>
    <dsp:sp modelId="{75398DEC-0064-4ACC-A406-0F5D183EA113}">
      <dsp:nvSpPr>
        <dsp:cNvPr id="0" name=""/>
        <dsp:cNvSpPr/>
      </dsp:nvSpPr>
      <dsp:spPr>
        <a:xfrm rot="1846440">
          <a:off x="1508569" y="1417256"/>
          <a:ext cx="891879" cy="11260"/>
        </a:xfrm>
        <a:custGeom>
          <a:avLst/>
          <a:gdLst/>
          <a:ahLst/>
          <a:cxnLst/>
          <a:rect l="0" t="0" r="0" b="0"/>
          <a:pathLst>
            <a:path>
              <a:moveTo>
                <a:pt x="0" y="5630"/>
              </a:moveTo>
              <a:lnTo>
                <a:pt x="891879"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1932212" y="1400590"/>
        <a:ext cx="44593" cy="44593"/>
      </dsp:txXfrm>
    </dsp:sp>
    <dsp:sp modelId="{A3E51525-BB08-4697-B108-D2611B019EAF}">
      <dsp:nvSpPr>
        <dsp:cNvPr id="0" name=""/>
        <dsp:cNvSpPr/>
      </dsp:nvSpPr>
      <dsp:spPr>
        <a:xfrm>
          <a:off x="2337657" y="1578906"/>
          <a:ext cx="58259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t>Cible 2.a</a:t>
          </a:r>
        </a:p>
      </dsp:txBody>
      <dsp:txXfrm>
        <a:off x="2341883" y="1583132"/>
        <a:ext cx="574144" cy="135843"/>
      </dsp:txXfrm>
    </dsp:sp>
    <dsp:sp modelId="{4991DB15-8F7E-4FEA-94F7-58E3351A37AD}">
      <dsp:nvSpPr>
        <dsp:cNvPr id="0" name=""/>
        <dsp:cNvSpPr/>
      </dsp:nvSpPr>
      <dsp:spPr>
        <a:xfrm rot="21136809">
          <a:off x="2917455" y="1603938"/>
          <a:ext cx="617656" cy="11260"/>
        </a:xfrm>
        <a:custGeom>
          <a:avLst/>
          <a:gdLst/>
          <a:ahLst/>
          <a:cxnLst/>
          <a:rect l="0" t="0" r="0" b="0"/>
          <a:pathLst>
            <a:path>
              <a:moveTo>
                <a:pt x="0" y="5630"/>
              </a:moveTo>
              <a:lnTo>
                <a:pt x="617656"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3210842" y="1594127"/>
        <a:ext cx="30882" cy="30882"/>
      </dsp:txXfrm>
    </dsp:sp>
    <dsp:sp modelId="{63B52382-3B76-4912-83A7-86D6F048D909}">
      <dsp:nvSpPr>
        <dsp:cNvPr id="0" name=""/>
        <dsp:cNvSpPr/>
      </dsp:nvSpPr>
      <dsp:spPr>
        <a:xfrm>
          <a:off x="3532313" y="1495936"/>
          <a:ext cx="151043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fr-FR" sz="800" kern="1200"/>
            <a:t>Indic 2.a.1 </a:t>
          </a:r>
          <a:r>
            <a:rPr lang="fr-FR" sz="800" b="1" kern="1200"/>
            <a:t>HC3N, MAGEL &amp; MF</a:t>
          </a:r>
        </a:p>
      </dsp:txBody>
      <dsp:txXfrm>
        <a:off x="3536539" y="1500162"/>
        <a:ext cx="1501984" cy="135843"/>
      </dsp:txXfrm>
    </dsp:sp>
    <dsp:sp modelId="{40697E7B-D4B6-47DC-94D8-7C69D10A3F1E}">
      <dsp:nvSpPr>
        <dsp:cNvPr id="0" name=""/>
        <dsp:cNvSpPr/>
      </dsp:nvSpPr>
      <dsp:spPr>
        <a:xfrm rot="463191">
          <a:off x="2917455" y="1686908"/>
          <a:ext cx="617656" cy="11260"/>
        </a:xfrm>
        <a:custGeom>
          <a:avLst/>
          <a:gdLst/>
          <a:ahLst/>
          <a:cxnLst/>
          <a:rect l="0" t="0" r="0" b="0"/>
          <a:pathLst>
            <a:path>
              <a:moveTo>
                <a:pt x="0" y="5630"/>
              </a:moveTo>
              <a:lnTo>
                <a:pt x="617656"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3210842" y="1677097"/>
        <a:ext cx="30882" cy="30882"/>
      </dsp:txXfrm>
    </dsp:sp>
    <dsp:sp modelId="{AF329EE1-8A05-465F-BA8B-5ED0B62637AC}">
      <dsp:nvSpPr>
        <dsp:cNvPr id="0" name=""/>
        <dsp:cNvSpPr/>
      </dsp:nvSpPr>
      <dsp:spPr>
        <a:xfrm>
          <a:off x="3532313" y="1661875"/>
          <a:ext cx="151043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fr-FR" sz="800" kern="1200"/>
            <a:t>Indic 2.a.2 </a:t>
          </a:r>
          <a:r>
            <a:rPr lang="fr-FR" sz="800" b="1" kern="1200"/>
            <a:t>HC3N,  MAG/EL &amp; MF</a:t>
          </a:r>
        </a:p>
      </dsp:txBody>
      <dsp:txXfrm>
        <a:off x="3536539" y="1666101"/>
        <a:ext cx="1501984" cy="135843"/>
      </dsp:txXfrm>
    </dsp:sp>
    <dsp:sp modelId="{84453A79-699A-4222-A365-B349CC7E564D}">
      <dsp:nvSpPr>
        <dsp:cNvPr id="0" name=""/>
        <dsp:cNvSpPr/>
      </dsp:nvSpPr>
      <dsp:spPr>
        <a:xfrm rot="2748462">
          <a:off x="1404853" y="1583196"/>
          <a:ext cx="1099311" cy="11260"/>
        </a:xfrm>
        <a:custGeom>
          <a:avLst/>
          <a:gdLst/>
          <a:ahLst/>
          <a:cxnLst/>
          <a:rect l="0" t="0" r="0" b="0"/>
          <a:pathLst>
            <a:path>
              <a:moveTo>
                <a:pt x="0" y="5630"/>
              </a:moveTo>
              <a:lnTo>
                <a:pt x="1099311"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1927026" y="1561343"/>
        <a:ext cx="54965" cy="54965"/>
      </dsp:txXfrm>
    </dsp:sp>
    <dsp:sp modelId="{CFAA0187-EA69-4C92-BD02-28CCC69CEB6B}">
      <dsp:nvSpPr>
        <dsp:cNvPr id="0" name=""/>
        <dsp:cNvSpPr/>
      </dsp:nvSpPr>
      <dsp:spPr>
        <a:xfrm>
          <a:off x="2337657" y="1910784"/>
          <a:ext cx="58259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t>Cible 2.b</a:t>
          </a:r>
        </a:p>
      </dsp:txBody>
      <dsp:txXfrm>
        <a:off x="2341883" y="1915010"/>
        <a:ext cx="574144" cy="135843"/>
      </dsp:txXfrm>
    </dsp:sp>
    <dsp:sp modelId="{2509D15D-A71F-4C23-8E77-E12C4F609D33}">
      <dsp:nvSpPr>
        <dsp:cNvPr id="0" name=""/>
        <dsp:cNvSpPr/>
      </dsp:nvSpPr>
      <dsp:spPr>
        <a:xfrm rot="21136809">
          <a:off x="2917455" y="1935816"/>
          <a:ext cx="617656" cy="11260"/>
        </a:xfrm>
        <a:custGeom>
          <a:avLst/>
          <a:gdLst/>
          <a:ahLst/>
          <a:cxnLst/>
          <a:rect l="0" t="0" r="0" b="0"/>
          <a:pathLst>
            <a:path>
              <a:moveTo>
                <a:pt x="0" y="5630"/>
              </a:moveTo>
              <a:lnTo>
                <a:pt x="617656"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3210842" y="1926006"/>
        <a:ext cx="30882" cy="30882"/>
      </dsp:txXfrm>
    </dsp:sp>
    <dsp:sp modelId="{C976D2B9-5769-4A58-BD66-C029E5C7221D}">
      <dsp:nvSpPr>
        <dsp:cNvPr id="0" name=""/>
        <dsp:cNvSpPr/>
      </dsp:nvSpPr>
      <dsp:spPr>
        <a:xfrm>
          <a:off x="3532313" y="1827815"/>
          <a:ext cx="151043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fr-FR" sz="800" kern="1200"/>
            <a:t>Indic 2.b.1 </a:t>
          </a:r>
          <a:r>
            <a:rPr lang="fr-FR" sz="800" b="1" kern="1200"/>
            <a:t>HC3N, MAGEL &amp; MF</a:t>
          </a:r>
        </a:p>
      </dsp:txBody>
      <dsp:txXfrm>
        <a:off x="3536539" y="1832041"/>
        <a:ext cx="1501984" cy="135843"/>
      </dsp:txXfrm>
    </dsp:sp>
    <dsp:sp modelId="{9A41CC84-ABEA-4680-9E9C-E6BEB259B049}">
      <dsp:nvSpPr>
        <dsp:cNvPr id="0" name=""/>
        <dsp:cNvSpPr/>
      </dsp:nvSpPr>
      <dsp:spPr>
        <a:xfrm rot="463191">
          <a:off x="2917455" y="2018786"/>
          <a:ext cx="617656" cy="11260"/>
        </a:xfrm>
        <a:custGeom>
          <a:avLst/>
          <a:gdLst/>
          <a:ahLst/>
          <a:cxnLst/>
          <a:rect l="0" t="0" r="0" b="0"/>
          <a:pathLst>
            <a:path>
              <a:moveTo>
                <a:pt x="0" y="5630"/>
              </a:moveTo>
              <a:lnTo>
                <a:pt x="617656"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3210842" y="2008975"/>
        <a:ext cx="30882" cy="30882"/>
      </dsp:txXfrm>
    </dsp:sp>
    <dsp:sp modelId="{808F44E4-E8C5-4C4C-9D92-C282912FB3E7}">
      <dsp:nvSpPr>
        <dsp:cNvPr id="0" name=""/>
        <dsp:cNvSpPr/>
      </dsp:nvSpPr>
      <dsp:spPr>
        <a:xfrm>
          <a:off x="3532313" y="1993754"/>
          <a:ext cx="151043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fr-FR" sz="800" kern="1200"/>
            <a:t>Indic 2.b.2 </a:t>
          </a:r>
          <a:r>
            <a:rPr lang="fr-FR" sz="800" b="1" kern="1200"/>
            <a:t>- INS, MAGEL, HC3N</a:t>
          </a:r>
        </a:p>
      </dsp:txBody>
      <dsp:txXfrm>
        <a:off x="3536539" y="1997980"/>
        <a:ext cx="1501984" cy="135843"/>
      </dsp:txXfrm>
    </dsp:sp>
    <dsp:sp modelId="{256CC832-540A-4C43-A087-AE9B3FCD4FAB}">
      <dsp:nvSpPr>
        <dsp:cNvPr id="0" name=""/>
        <dsp:cNvSpPr/>
      </dsp:nvSpPr>
      <dsp:spPr>
        <a:xfrm rot="3212428">
          <a:off x="1309755" y="1707650"/>
          <a:ext cx="1289506" cy="11260"/>
        </a:xfrm>
        <a:custGeom>
          <a:avLst/>
          <a:gdLst/>
          <a:ahLst/>
          <a:cxnLst/>
          <a:rect l="0" t="0" r="0" b="0"/>
          <a:pathLst>
            <a:path>
              <a:moveTo>
                <a:pt x="0" y="5630"/>
              </a:moveTo>
              <a:lnTo>
                <a:pt x="1289506"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1922271" y="1681043"/>
        <a:ext cx="64475" cy="64475"/>
      </dsp:txXfrm>
    </dsp:sp>
    <dsp:sp modelId="{4EEEA69B-AF54-42E6-A992-694A1D8C96F6}">
      <dsp:nvSpPr>
        <dsp:cNvPr id="0" name=""/>
        <dsp:cNvSpPr/>
      </dsp:nvSpPr>
      <dsp:spPr>
        <a:xfrm>
          <a:off x="2337657" y="2159693"/>
          <a:ext cx="58259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t>Cible 2.c</a:t>
          </a:r>
        </a:p>
      </dsp:txBody>
      <dsp:txXfrm>
        <a:off x="2341883" y="2163919"/>
        <a:ext cx="574144" cy="135843"/>
      </dsp:txXfrm>
    </dsp:sp>
    <dsp:sp modelId="{9FC29DFA-229D-4821-9CA8-E7DA9E164C4D}">
      <dsp:nvSpPr>
        <dsp:cNvPr id="0" name=""/>
        <dsp:cNvSpPr/>
      </dsp:nvSpPr>
      <dsp:spPr>
        <a:xfrm>
          <a:off x="2920254" y="2226210"/>
          <a:ext cx="612058" cy="11260"/>
        </a:xfrm>
        <a:custGeom>
          <a:avLst/>
          <a:gdLst/>
          <a:ahLst/>
          <a:cxnLst/>
          <a:rect l="0" t="0" r="0" b="0"/>
          <a:pathLst>
            <a:path>
              <a:moveTo>
                <a:pt x="0" y="5630"/>
              </a:moveTo>
              <a:lnTo>
                <a:pt x="612058" y="563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fr-FR" sz="800" kern="1200"/>
        </a:p>
      </dsp:txBody>
      <dsp:txXfrm>
        <a:off x="3210982" y="2216539"/>
        <a:ext cx="30602" cy="30602"/>
      </dsp:txXfrm>
    </dsp:sp>
    <dsp:sp modelId="{0CE19A2B-571B-4CB4-B69B-102A14EFFD78}">
      <dsp:nvSpPr>
        <dsp:cNvPr id="0" name=""/>
        <dsp:cNvSpPr/>
      </dsp:nvSpPr>
      <dsp:spPr>
        <a:xfrm>
          <a:off x="3532313" y="2159693"/>
          <a:ext cx="1510436" cy="14429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fr-FR" sz="800" kern="1200"/>
            <a:t>Indic 2c1 </a:t>
          </a:r>
          <a:r>
            <a:rPr lang="fr-FR" sz="800" b="1" kern="1200"/>
            <a:t>- INS, HC3N</a:t>
          </a:r>
        </a:p>
      </dsp:txBody>
      <dsp:txXfrm>
        <a:off x="3536539" y="2163919"/>
        <a:ext cx="1501984" cy="13584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nIAMEY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BC24BA-7B24-4B8F-B095-A482AB0BD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50085</Words>
  <Characters>275468</Characters>
  <Application>Microsoft Office Word</Application>
  <DocSecurity>0</DocSecurity>
  <Lines>2295</Lines>
  <Paragraphs>649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REVUE STRATEGIQUE NATIONALE FAIM ZERO DU NIGER</vt:lpstr>
      <vt:lpstr>REVUE STRATEGIQUE NATIONALE FAIM ZERO DU NIGER</vt:lpstr>
    </vt:vector>
  </TitlesOfParts>
  <Company>CABINET REDES</Company>
  <LinksUpToDate>false</LinksUpToDate>
  <CharactersWithSpaces>324904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REVUE STRATEGIQUE NATIONALE FAIM ZERO DU NIGER</dc:title>
  <dc:subject>Rapport définitif du 01/10/2018</dc:subject>
  <dc:creator>Mohamadou Magha, Barkiré Bourahima, Hamid Ahmed</dc:creator>
  <cp:keywords/>
  <dc:description/>
  <cp:lastModifiedBy>Yahaya GARBA</cp:lastModifiedBy>
  <cp:revision>2</cp:revision>
  <cp:lastPrinted>2018-09-24T14:46:00Z</cp:lastPrinted>
  <dcterms:created xsi:type="dcterms:W3CDTF">2018-10-09T06:55:00Z</dcterms:created>
  <dcterms:modified xsi:type="dcterms:W3CDTF">2018-10-09T06:55:00Z</dcterms:modified>
</cp:coreProperties>
</file>