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51B" w14:textId="5B1F4C72" w:rsidR="008945EC" w:rsidRPr="00C0193A" w:rsidRDefault="00C0193A" w:rsidP="008945EC">
      <w:pPr>
        <w:spacing w:after="0"/>
        <w:jc w:val="center"/>
        <w:rPr>
          <w:rFonts w:ascii="Nyala" w:hAnsi="Nyala"/>
          <w:b/>
          <w:bCs/>
          <w:sz w:val="30"/>
          <w:szCs w:val="30"/>
        </w:rPr>
      </w:pPr>
      <w:r w:rsidRPr="00C0193A">
        <w:rPr>
          <w:rFonts w:ascii="Nyala" w:hAnsi="Nyala"/>
          <w:b/>
          <w:bCs/>
          <w:sz w:val="30"/>
          <w:szCs w:val="30"/>
        </w:rPr>
        <w:t>*</w:t>
      </w:r>
    </w:p>
    <w:p w14:paraId="7E60BDAD" w14:textId="52F45C68" w:rsidR="00572964" w:rsidRPr="00C0193A" w:rsidRDefault="00572964" w:rsidP="008945EC">
      <w:pPr>
        <w:spacing w:after="0"/>
        <w:jc w:val="center"/>
        <w:rPr>
          <w:rFonts w:ascii="Nyala" w:hAnsi="Nyala"/>
          <w:b/>
          <w:bCs/>
          <w:sz w:val="36"/>
          <w:szCs w:val="36"/>
        </w:rPr>
      </w:pPr>
      <w:r w:rsidRPr="00C0193A">
        <w:rPr>
          <w:rFonts w:ascii="Nyala" w:hAnsi="Nyala"/>
          <w:b/>
          <w:bCs/>
          <w:sz w:val="36"/>
          <w:szCs w:val="36"/>
        </w:rPr>
        <w:t>Niger</w:t>
      </w:r>
    </w:p>
    <w:p w14:paraId="0389EF68" w14:textId="5DB2124A" w:rsidR="00572964" w:rsidRPr="00C0193A" w:rsidRDefault="00572964" w:rsidP="008945EC">
      <w:pPr>
        <w:spacing w:after="0"/>
        <w:jc w:val="center"/>
        <w:rPr>
          <w:rFonts w:ascii="Nyala" w:hAnsi="Nyala"/>
          <w:b/>
          <w:bCs/>
          <w:sz w:val="36"/>
          <w:szCs w:val="36"/>
        </w:rPr>
      </w:pPr>
    </w:p>
    <w:p w14:paraId="137492DA" w14:textId="77777777" w:rsidR="00572964" w:rsidRPr="00C0193A" w:rsidRDefault="00572964" w:rsidP="008945EC">
      <w:pPr>
        <w:spacing w:after="0"/>
        <w:jc w:val="center"/>
        <w:rPr>
          <w:rFonts w:ascii="Nyala" w:hAnsi="Nyala"/>
          <w:b/>
          <w:bCs/>
          <w:sz w:val="36"/>
          <w:szCs w:val="36"/>
        </w:rPr>
      </w:pPr>
    </w:p>
    <w:p w14:paraId="590B9AC7" w14:textId="28131030" w:rsidR="008945EC" w:rsidRPr="00C0193A" w:rsidRDefault="008945EC" w:rsidP="008945EC">
      <w:pPr>
        <w:spacing w:after="0"/>
        <w:jc w:val="center"/>
        <w:rPr>
          <w:rFonts w:ascii="Nyala" w:hAnsi="Nyala"/>
          <w:b/>
          <w:bCs/>
          <w:sz w:val="36"/>
          <w:szCs w:val="36"/>
        </w:rPr>
      </w:pPr>
      <w:r w:rsidRPr="00C0193A">
        <w:rPr>
          <w:rFonts w:ascii="Nyala" w:hAnsi="Nyala"/>
          <w:b/>
          <w:bCs/>
          <w:sz w:val="36"/>
          <w:szCs w:val="36"/>
        </w:rPr>
        <w:t>Haut-Commissariat à l’Initiative 3N, Les Nigériens Nourrissent les Nigériens (HC3N)</w:t>
      </w:r>
    </w:p>
    <w:p w14:paraId="30D8650B" w14:textId="77777777" w:rsidR="008945EC" w:rsidRPr="00C0193A" w:rsidRDefault="008945EC" w:rsidP="008945EC">
      <w:pPr>
        <w:spacing w:after="0"/>
        <w:jc w:val="center"/>
        <w:rPr>
          <w:rFonts w:ascii="Nyala" w:hAnsi="Nyala"/>
          <w:b/>
          <w:bCs/>
          <w:sz w:val="30"/>
          <w:szCs w:val="30"/>
        </w:rPr>
      </w:pPr>
    </w:p>
    <w:p w14:paraId="0CFCFC57" w14:textId="77777777" w:rsidR="008945EC" w:rsidRPr="00C0193A" w:rsidRDefault="008945EC" w:rsidP="008945EC">
      <w:pPr>
        <w:spacing w:after="0"/>
        <w:jc w:val="center"/>
        <w:rPr>
          <w:rFonts w:ascii="Nyala" w:hAnsi="Nyala"/>
          <w:b/>
          <w:bCs/>
          <w:sz w:val="30"/>
          <w:szCs w:val="30"/>
        </w:rPr>
      </w:pPr>
    </w:p>
    <w:p w14:paraId="4475A1A9" w14:textId="77777777" w:rsidR="008945EC" w:rsidRPr="00C0193A" w:rsidRDefault="008945EC" w:rsidP="008945EC">
      <w:pPr>
        <w:spacing w:after="0"/>
        <w:jc w:val="center"/>
        <w:rPr>
          <w:rFonts w:ascii="Nyala" w:hAnsi="Nyala"/>
          <w:b/>
          <w:bCs/>
          <w:sz w:val="30"/>
          <w:szCs w:val="30"/>
        </w:rPr>
      </w:pPr>
    </w:p>
    <w:p w14:paraId="005ED5BF" w14:textId="2A3AAD32" w:rsidR="008945EC" w:rsidRPr="00C0193A" w:rsidRDefault="008945EC" w:rsidP="008945EC">
      <w:pPr>
        <w:spacing w:after="0"/>
        <w:jc w:val="center"/>
        <w:rPr>
          <w:rFonts w:ascii="Nyala" w:hAnsi="Nyala"/>
          <w:b/>
          <w:bCs/>
          <w:sz w:val="30"/>
          <w:szCs w:val="30"/>
        </w:rPr>
      </w:pPr>
      <w:r w:rsidRPr="00C0193A">
        <w:rPr>
          <w:rFonts w:ascii="Nyala" w:hAnsi="Nyala"/>
          <w:b/>
          <w:bCs/>
          <w:sz w:val="30"/>
          <w:szCs w:val="30"/>
        </w:rPr>
        <w:t xml:space="preserve">Prise de parole du Dr Aboubacar </w:t>
      </w:r>
      <w:proofErr w:type="spellStart"/>
      <w:r w:rsidRPr="00C0193A">
        <w:rPr>
          <w:rFonts w:ascii="Nyala" w:hAnsi="Nyala"/>
          <w:b/>
          <w:bCs/>
          <w:sz w:val="30"/>
          <w:szCs w:val="30"/>
        </w:rPr>
        <w:t>Mahamoudou</w:t>
      </w:r>
      <w:proofErr w:type="spellEnd"/>
      <w:r w:rsidRPr="00C0193A">
        <w:rPr>
          <w:rFonts w:ascii="Nyala" w:hAnsi="Nyala"/>
          <w:b/>
          <w:bCs/>
          <w:sz w:val="30"/>
          <w:szCs w:val="30"/>
        </w:rPr>
        <w:t>, Coordonnateur de la Cellule Nutrition, sur les preuves et l’analyse des données pour la prise de décision sur la sécurité alimentaire et nutritionnelle</w:t>
      </w:r>
    </w:p>
    <w:p w14:paraId="38AB28F5" w14:textId="513ABDC1" w:rsidR="008945EC" w:rsidRPr="00C0193A" w:rsidRDefault="008945EC" w:rsidP="008945EC">
      <w:pPr>
        <w:spacing w:after="0"/>
        <w:jc w:val="center"/>
        <w:rPr>
          <w:rFonts w:ascii="Nyala" w:hAnsi="Nyala"/>
          <w:b/>
          <w:bCs/>
          <w:sz w:val="30"/>
          <w:szCs w:val="30"/>
        </w:rPr>
      </w:pPr>
    </w:p>
    <w:p w14:paraId="194F0C08" w14:textId="77777777" w:rsidR="008945EC" w:rsidRPr="00C0193A" w:rsidRDefault="008945EC" w:rsidP="008945EC">
      <w:pPr>
        <w:spacing w:after="0"/>
        <w:jc w:val="center"/>
        <w:rPr>
          <w:rFonts w:ascii="Nyala" w:hAnsi="Nyala"/>
          <w:b/>
          <w:bCs/>
          <w:sz w:val="30"/>
          <w:szCs w:val="30"/>
        </w:rPr>
      </w:pPr>
      <w:r w:rsidRPr="00C0193A">
        <w:rPr>
          <w:rFonts w:ascii="Nyala" w:hAnsi="Nyala"/>
          <w:b/>
          <w:bCs/>
          <w:sz w:val="30"/>
          <w:szCs w:val="30"/>
        </w:rPr>
        <w:t xml:space="preserve">  </w:t>
      </w:r>
    </w:p>
    <w:p w14:paraId="062FE526" w14:textId="0A1522E7" w:rsidR="008945EC" w:rsidRPr="00C0193A" w:rsidRDefault="008945EC" w:rsidP="008945EC">
      <w:pPr>
        <w:spacing w:after="0"/>
        <w:ind w:left="720"/>
        <w:jc w:val="center"/>
        <w:rPr>
          <w:rFonts w:ascii="Nyala" w:hAnsi="Nyala"/>
          <w:b/>
          <w:bCs/>
          <w:sz w:val="30"/>
          <w:szCs w:val="30"/>
        </w:rPr>
      </w:pPr>
    </w:p>
    <w:p w14:paraId="67E8A21A" w14:textId="629FA366" w:rsidR="008945EC" w:rsidRPr="00C0193A" w:rsidRDefault="008945EC" w:rsidP="008945EC">
      <w:pPr>
        <w:spacing w:after="0"/>
        <w:ind w:left="720"/>
        <w:jc w:val="center"/>
        <w:rPr>
          <w:rFonts w:ascii="Nyala" w:hAnsi="Nyala"/>
          <w:b/>
          <w:bCs/>
          <w:sz w:val="30"/>
          <w:szCs w:val="30"/>
        </w:rPr>
      </w:pPr>
    </w:p>
    <w:p w14:paraId="214C65BC" w14:textId="77777777" w:rsidR="008945EC" w:rsidRPr="00C0193A" w:rsidRDefault="008945EC" w:rsidP="008945EC">
      <w:pPr>
        <w:spacing w:after="0"/>
        <w:ind w:left="720"/>
        <w:jc w:val="center"/>
        <w:rPr>
          <w:rFonts w:ascii="Nyala" w:hAnsi="Nyala"/>
          <w:b/>
          <w:bCs/>
          <w:sz w:val="30"/>
          <w:szCs w:val="30"/>
        </w:rPr>
      </w:pPr>
    </w:p>
    <w:p w14:paraId="7676A2F1" w14:textId="77777777" w:rsidR="008945EC" w:rsidRPr="00C0193A" w:rsidRDefault="008945EC" w:rsidP="008945EC">
      <w:pPr>
        <w:spacing w:after="0"/>
        <w:ind w:left="720"/>
        <w:jc w:val="center"/>
        <w:rPr>
          <w:rFonts w:ascii="Nyala" w:hAnsi="Nyala"/>
          <w:b/>
          <w:bCs/>
          <w:sz w:val="30"/>
          <w:szCs w:val="30"/>
        </w:rPr>
      </w:pPr>
    </w:p>
    <w:p w14:paraId="4055E3F9" w14:textId="77777777" w:rsidR="008945EC" w:rsidRPr="00C0193A" w:rsidRDefault="008945EC" w:rsidP="008945EC">
      <w:pPr>
        <w:pStyle w:val="Sansinterligne"/>
        <w:spacing w:line="360" w:lineRule="auto"/>
        <w:jc w:val="center"/>
        <w:rPr>
          <w:rFonts w:ascii="Trebuchet MS" w:hAnsi="Trebuchet MS"/>
          <w:b/>
          <w:sz w:val="28"/>
          <w:szCs w:val="28"/>
          <w:u w:val="single"/>
          <w:lang w:eastAsia="en-GB"/>
        </w:rPr>
      </w:pPr>
      <w:r w:rsidRPr="00C0193A">
        <w:rPr>
          <w:rFonts w:ascii="Trebuchet MS" w:hAnsi="Trebuchet MS"/>
          <w:b/>
          <w:sz w:val="28"/>
          <w:szCs w:val="28"/>
          <w:u w:val="single"/>
          <w:lang w:eastAsia="en-GB"/>
        </w:rPr>
        <w:t xml:space="preserve">13ème Journée Africaine pour la Sécurité Alimentaire </w:t>
      </w:r>
    </w:p>
    <w:p w14:paraId="3A179B01" w14:textId="77777777" w:rsidR="008945EC" w:rsidRPr="00C0193A" w:rsidRDefault="008945EC" w:rsidP="008945EC">
      <w:pPr>
        <w:pStyle w:val="Sansinterligne"/>
        <w:spacing w:line="360" w:lineRule="auto"/>
        <w:jc w:val="center"/>
        <w:rPr>
          <w:rFonts w:ascii="Trebuchet MS" w:hAnsi="Trebuchet MS"/>
          <w:b/>
          <w:sz w:val="28"/>
          <w:szCs w:val="28"/>
          <w:u w:val="single"/>
          <w:lang w:eastAsia="en-GB"/>
        </w:rPr>
      </w:pPr>
      <w:proofErr w:type="gramStart"/>
      <w:r w:rsidRPr="00C0193A">
        <w:rPr>
          <w:rFonts w:ascii="Trebuchet MS" w:hAnsi="Trebuchet MS"/>
          <w:b/>
          <w:sz w:val="28"/>
          <w:szCs w:val="28"/>
          <w:u w:val="single"/>
          <w:lang w:eastAsia="en-GB"/>
        </w:rPr>
        <w:t>et</w:t>
      </w:r>
      <w:proofErr w:type="gramEnd"/>
      <w:r w:rsidRPr="00C0193A">
        <w:rPr>
          <w:rFonts w:ascii="Trebuchet MS" w:hAnsi="Trebuchet MS"/>
          <w:b/>
          <w:sz w:val="28"/>
          <w:szCs w:val="28"/>
          <w:u w:val="single"/>
          <w:lang w:eastAsia="en-GB"/>
        </w:rPr>
        <w:t xml:space="preserve"> Nutritionnelle  </w:t>
      </w:r>
    </w:p>
    <w:p w14:paraId="36A23D25" w14:textId="77777777" w:rsidR="008945EC" w:rsidRPr="00C0193A" w:rsidRDefault="008945EC" w:rsidP="008945EC">
      <w:pPr>
        <w:ind w:left="720"/>
        <w:jc w:val="center"/>
        <w:rPr>
          <w:rFonts w:ascii="Nyala" w:hAnsi="Nyala"/>
          <w:b/>
          <w:bCs/>
          <w:sz w:val="32"/>
          <w:szCs w:val="32"/>
        </w:rPr>
      </w:pPr>
    </w:p>
    <w:p w14:paraId="09108EBC" w14:textId="77777777" w:rsidR="008945EC" w:rsidRPr="00C0193A" w:rsidRDefault="008945EC" w:rsidP="008945EC">
      <w:pPr>
        <w:jc w:val="center"/>
        <w:rPr>
          <w:rFonts w:ascii="Nyala" w:hAnsi="Nyala"/>
          <w:b/>
          <w:bCs/>
          <w:sz w:val="32"/>
          <w:szCs w:val="32"/>
        </w:rPr>
      </w:pPr>
    </w:p>
    <w:p w14:paraId="5B40710D" w14:textId="77777777" w:rsidR="008945EC" w:rsidRPr="00C0193A" w:rsidRDefault="008945EC" w:rsidP="008945EC">
      <w:pPr>
        <w:jc w:val="center"/>
        <w:rPr>
          <w:rFonts w:ascii="Nyala" w:hAnsi="Nyala"/>
          <w:b/>
          <w:bCs/>
          <w:sz w:val="32"/>
          <w:szCs w:val="32"/>
        </w:rPr>
      </w:pPr>
    </w:p>
    <w:p w14:paraId="523DE6C0" w14:textId="77777777" w:rsidR="008945EC" w:rsidRPr="00C0193A" w:rsidRDefault="008945EC" w:rsidP="008945EC">
      <w:pPr>
        <w:jc w:val="center"/>
        <w:rPr>
          <w:rFonts w:ascii="Nyala" w:hAnsi="Nyala"/>
          <w:b/>
          <w:bCs/>
          <w:sz w:val="32"/>
          <w:szCs w:val="32"/>
        </w:rPr>
      </w:pPr>
      <w:r w:rsidRPr="00C0193A">
        <w:rPr>
          <w:rFonts w:ascii="Nyala" w:hAnsi="Nyala"/>
          <w:b/>
          <w:bCs/>
          <w:sz w:val="32"/>
          <w:szCs w:val="32"/>
        </w:rPr>
        <w:t>31 Octobre 2022</w:t>
      </w:r>
    </w:p>
    <w:p w14:paraId="2BCA2439" w14:textId="77777777" w:rsidR="008945EC"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04DC7BB2" w14:textId="15C68CA4" w:rsidR="008945EC"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7D0E3ACD" w14:textId="25F2D8C3" w:rsidR="008945EC"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70728847" w14:textId="74E30B05" w:rsidR="008945EC"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452AA924" w14:textId="77777777" w:rsidR="008945EC"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54600CCA" w14:textId="7777777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7C3D4FC6" w14:textId="7777777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0D7F84E6" w14:textId="7777777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34C66BD9" w14:textId="7777777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p>
    <w:p w14:paraId="19821F1A" w14:textId="354BC82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sz w:val="32"/>
          <w:szCs w:val="32"/>
          <w:lang w:eastAsia="en-US"/>
        </w:rPr>
      </w:pPr>
      <w:r w:rsidRPr="00C0193A">
        <w:rPr>
          <w:rFonts w:ascii="Nyala" w:hAnsi="Nyala" w:cs="Open Sans"/>
          <w:sz w:val="32"/>
          <w:szCs w:val="32"/>
          <w:lang w:eastAsia="en-US"/>
        </w:rPr>
        <w:t>Distingués Invités,</w:t>
      </w:r>
    </w:p>
    <w:p w14:paraId="2FEFEE34" w14:textId="77777777" w:rsidR="008945EC" w:rsidRPr="00C0193A" w:rsidRDefault="008945EC" w:rsidP="008945EC">
      <w:pPr>
        <w:pStyle w:val="p1"/>
        <w:shd w:val="clear" w:color="auto" w:fill="FFFFFF"/>
        <w:spacing w:before="120" w:beforeAutospacing="0" w:after="120" w:afterAutospacing="0"/>
        <w:ind w:left="3600" w:right="318"/>
        <w:jc w:val="both"/>
        <w:rPr>
          <w:rFonts w:ascii="Nyala" w:hAnsi="Nyala" w:cs="Open Sans"/>
          <w:color w:val="003B43"/>
          <w:sz w:val="32"/>
          <w:szCs w:val="32"/>
          <w:lang w:eastAsia="en-US"/>
        </w:rPr>
      </w:pPr>
      <w:r w:rsidRPr="00C0193A">
        <w:rPr>
          <w:rFonts w:ascii="Nyala" w:hAnsi="Nyala" w:cs="Open Sans"/>
          <w:sz w:val="32"/>
          <w:szCs w:val="32"/>
          <w:lang w:eastAsia="en-US"/>
        </w:rPr>
        <w:t>Mesdames et Messieurs,</w:t>
      </w:r>
    </w:p>
    <w:p w14:paraId="22921EDA" w14:textId="77777777" w:rsidR="008945EC" w:rsidRDefault="008945EC" w:rsidP="008945EC">
      <w:pPr>
        <w:jc w:val="both"/>
        <w:rPr>
          <w:rFonts w:ascii="Nyala" w:hAnsi="Nyala"/>
          <w:sz w:val="32"/>
          <w:szCs w:val="32"/>
          <w:lang w:val="fr-CA"/>
        </w:rPr>
      </w:pPr>
    </w:p>
    <w:p w14:paraId="5AB6627E" w14:textId="7A32733C" w:rsidR="008945EC" w:rsidRPr="00C0193A" w:rsidRDefault="008945EC" w:rsidP="008945EC">
      <w:pPr>
        <w:jc w:val="both"/>
        <w:rPr>
          <w:rFonts w:ascii="Nyala" w:hAnsi="Nyala"/>
          <w:b/>
          <w:bCs/>
          <w:sz w:val="32"/>
          <w:szCs w:val="32"/>
        </w:rPr>
      </w:pPr>
      <w:r>
        <w:rPr>
          <w:rFonts w:ascii="Nyala" w:hAnsi="Nyala"/>
          <w:sz w:val="32"/>
          <w:szCs w:val="32"/>
          <w:lang w:val="fr-CA"/>
        </w:rPr>
        <w:t xml:space="preserve">Je me réjouis de prendre la parole </w:t>
      </w:r>
      <w:r w:rsidRPr="00C0193A">
        <w:rPr>
          <w:rFonts w:ascii="Nyala" w:hAnsi="Nyala"/>
          <w:sz w:val="32"/>
          <w:szCs w:val="32"/>
        </w:rPr>
        <w:t>à l’occasion du lancement de la 13</w:t>
      </w:r>
      <w:r w:rsidRPr="00C0193A">
        <w:rPr>
          <w:rFonts w:ascii="Nyala" w:hAnsi="Nyala"/>
          <w:sz w:val="32"/>
          <w:szCs w:val="32"/>
          <w:vertAlign w:val="superscript"/>
        </w:rPr>
        <w:t>ème</w:t>
      </w:r>
      <w:r w:rsidRPr="00C0193A">
        <w:rPr>
          <w:rFonts w:ascii="Nyala" w:hAnsi="Nyala"/>
          <w:sz w:val="32"/>
          <w:szCs w:val="32"/>
        </w:rPr>
        <w:t xml:space="preserve"> Journée Africaine pour la Sécurité Alimentaire et nutritionnelle sur </w:t>
      </w:r>
      <w:r w:rsidRPr="00C0193A">
        <w:rPr>
          <w:rFonts w:ascii="Nyala" w:hAnsi="Nyala"/>
          <w:b/>
          <w:bCs/>
          <w:sz w:val="32"/>
          <w:szCs w:val="32"/>
        </w:rPr>
        <w:t>la compréhension des impacts sociaux et économiques de la malnutrition: Des études sur le Coût de la Faim à celles sur le coût des régimes alimentaires.</w:t>
      </w:r>
    </w:p>
    <w:p w14:paraId="21ED58B0" w14:textId="77777777" w:rsidR="008945EC" w:rsidRPr="0087093E" w:rsidRDefault="008945EC" w:rsidP="008945EC">
      <w:pPr>
        <w:jc w:val="both"/>
        <w:rPr>
          <w:rFonts w:ascii="Nyala" w:hAnsi="Nyala"/>
          <w:sz w:val="32"/>
          <w:szCs w:val="32"/>
        </w:rPr>
      </w:pPr>
      <w:r w:rsidRPr="0087093E">
        <w:rPr>
          <w:rFonts w:ascii="Nyala" w:hAnsi="Nyala"/>
          <w:sz w:val="32"/>
          <w:szCs w:val="32"/>
        </w:rPr>
        <w:t>Je voudrai avant tout rappeler que la République du Niger avait organisé la 3</w:t>
      </w:r>
      <w:r w:rsidRPr="0087093E">
        <w:rPr>
          <w:rFonts w:ascii="Nyala" w:hAnsi="Nyala"/>
          <w:sz w:val="32"/>
          <w:szCs w:val="32"/>
          <w:vertAlign w:val="superscript"/>
        </w:rPr>
        <w:t>ème</w:t>
      </w:r>
      <w:r w:rsidRPr="0087093E">
        <w:rPr>
          <w:rFonts w:ascii="Nyala" w:hAnsi="Nyala"/>
          <w:sz w:val="32"/>
          <w:szCs w:val="32"/>
        </w:rPr>
        <w:t xml:space="preserve"> Journée Africaine pour la Sécurité Alimentaire et nutritionnelle en Octobre 2013 sur le thème </w:t>
      </w:r>
      <w:r w:rsidRPr="0087093E">
        <w:rPr>
          <w:rFonts w:ascii="Nyala" w:hAnsi="Nyala"/>
          <w:b/>
          <w:bCs/>
          <w:sz w:val="32"/>
          <w:szCs w:val="32"/>
        </w:rPr>
        <w:t>vers la renaissance de l’Afrique : Atteindre le droit à l’alimentation et une nutrition adéquate</w:t>
      </w:r>
      <w:r w:rsidRPr="0087093E">
        <w:rPr>
          <w:rFonts w:ascii="Nyala" w:hAnsi="Nyala"/>
          <w:sz w:val="32"/>
          <w:szCs w:val="32"/>
        </w:rPr>
        <w:t xml:space="preserve">. </w:t>
      </w:r>
    </w:p>
    <w:p w14:paraId="29701468" w14:textId="4E648800" w:rsidR="008945EC" w:rsidRPr="00C0193A" w:rsidRDefault="008945EC" w:rsidP="008945EC">
      <w:pPr>
        <w:jc w:val="both"/>
        <w:rPr>
          <w:rFonts w:ascii="Nyala" w:hAnsi="Nyala"/>
          <w:sz w:val="32"/>
          <w:szCs w:val="32"/>
        </w:rPr>
      </w:pPr>
      <w:r w:rsidRPr="00C0193A">
        <w:rPr>
          <w:rFonts w:ascii="Nyala" w:hAnsi="Nyala"/>
          <w:sz w:val="32"/>
          <w:szCs w:val="32"/>
        </w:rPr>
        <w:t xml:space="preserve">C’est à l’occasion du discours d’ouverture de cette journée que son excellence le Premier Ministre du Niger avait sollicité les partenaires techniques et financiers pour conduire une étude sur le coût de la faim. Cela aiderait à mieux comprendre les impacts sociaux et économiques malnutrition pour la prise de </w:t>
      </w:r>
      <w:proofErr w:type="spellStart"/>
      <w:r w:rsidR="00572964" w:rsidRPr="00C0193A">
        <w:rPr>
          <w:rFonts w:ascii="Nyala" w:hAnsi="Nyala"/>
          <w:sz w:val="32"/>
          <w:szCs w:val="32"/>
        </w:rPr>
        <w:t>decision</w:t>
      </w:r>
      <w:proofErr w:type="spellEnd"/>
      <w:r w:rsidR="00572964" w:rsidRPr="00C0193A">
        <w:rPr>
          <w:rFonts w:ascii="Nyala" w:hAnsi="Nyala"/>
          <w:sz w:val="32"/>
          <w:szCs w:val="32"/>
        </w:rPr>
        <w:t xml:space="preserve"> au Niger</w:t>
      </w:r>
      <w:r w:rsidRPr="00C0193A">
        <w:rPr>
          <w:rFonts w:ascii="Nyala" w:hAnsi="Nyala"/>
          <w:sz w:val="32"/>
          <w:szCs w:val="32"/>
        </w:rPr>
        <w:t xml:space="preserve">. </w:t>
      </w:r>
    </w:p>
    <w:p w14:paraId="4BCBA3A9"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C’est aussi au même moment que le Niger s’était engagé dans l’opérationnalisation de l’Initiative 3N, les Nigériens Nourrissent les Nigériens et la Formulation de la Politique Nationale de Sécurité Nutritionnelle. </w:t>
      </w:r>
    </w:p>
    <w:p w14:paraId="5E5267FA" w14:textId="77777777" w:rsidR="008945EC" w:rsidRPr="00C0193A" w:rsidRDefault="008945EC" w:rsidP="008945EC">
      <w:pPr>
        <w:jc w:val="both"/>
        <w:rPr>
          <w:rFonts w:ascii="Nyala" w:hAnsi="Nyala"/>
          <w:sz w:val="32"/>
          <w:szCs w:val="32"/>
        </w:rPr>
      </w:pPr>
      <w:r w:rsidRPr="00C0193A">
        <w:rPr>
          <w:rFonts w:ascii="Nyala" w:hAnsi="Nyala"/>
          <w:sz w:val="32"/>
          <w:szCs w:val="32"/>
        </w:rPr>
        <w:t>La première étude sur le Coût de la Faim a été réalisée avec l’appui du département des Affaires Sociales de la Commission de l’Union Africaine et d’une coalition des partenaires du Niger incluant le PAM. Elle a été largement disséminée en décembre 2018 et utilisée entre autres pour plaider en faveur d’une plus grande mobilisation des ressources pour la nutrition.</w:t>
      </w:r>
    </w:p>
    <w:p w14:paraId="1A6BDD01"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L’analyse FNG– « Combler le déficit en nutriments » – a été conçue pour identifier quelles interventions spécifiques ou sensibles à la nutrition sont les plus appropriées dans un contexte donné en vue d’améliorer l'apport en nutriments des groupes vulnérables.  Cette approche a été introduite au Niger en Octobre 2017 et sa méthodologie a été entièrement transférée au </w:t>
      </w:r>
      <w:r w:rsidRPr="00C0193A">
        <w:rPr>
          <w:rFonts w:ascii="Nyala" w:hAnsi="Nyala"/>
          <w:sz w:val="32"/>
          <w:szCs w:val="32"/>
        </w:rPr>
        <w:lastRenderedPageBreak/>
        <w:t xml:space="preserve">Haut-Commissariat à l’I3N et à l’Institut National de la Statistique grâce à l’assistance du PAM et de ses partenaires. Plusieurs rapports d’analyse ont été rendus disponibles et partagés avec les parties prenantes de la nutrition.  </w:t>
      </w:r>
    </w:p>
    <w:p w14:paraId="370A3A84"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C’est également en 2017 que la Plateforme Nationale d’Information pour la Nutrition (PNIN) a été mise en place, sur financement de l’Union Européenne, pour assurer des analyses secondaires des données de nutrition déjà disponibles et régulièrement collectées. La Plateforme répond au besoin d’information venant des preneurs de décision et des responsables des programmes. Plusieurs rapports d’analyse ont été produits et disséminés auprès des preneurs de décision. Un portail web a été créé contenant tous les rapports d’analyse produits et les basées des données d’enquêtes anonymisées. </w:t>
      </w:r>
    </w:p>
    <w:p w14:paraId="1E73BAEA"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Tout cet effort de documentation et de compréhension des déterminants de la malnutrition a permis de passer </w:t>
      </w:r>
      <w:r w:rsidRPr="00C0193A">
        <w:rPr>
          <w:rFonts w:ascii="Nyala" w:hAnsi="Nyala"/>
          <w:b/>
          <w:bCs/>
          <w:sz w:val="32"/>
          <w:szCs w:val="32"/>
        </w:rPr>
        <w:t>d’une vision de la lutte contre la malnutrition centrée sur la réponse aux urgences nutritionnelles</w:t>
      </w:r>
      <w:r w:rsidRPr="00C0193A">
        <w:rPr>
          <w:rFonts w:ascii="Nyala" w:hAnsi="Nyala"/>
          <w:sz w:val="32"/>
          <w:szCs w:val="32"/>
        </w:rPr>
        <w:t xml:space="preserve"> </w:t>
      </w:r>
      <w:r w:rsidRPr="00C0193A">
        <w:rPr>
          <w:rFonts w:ascii="Nyala" w:hAnsi="Nyala"/>
          <w:b/>
          <w:bCs/>
          <w:sz w:val="32"/>
          <w:szCs w:val="32"/>
        </w:rPr>
        <w:t>vers celle intégrant en plus la prévention de toutes les formes de malnutrition</w:t>
      </w:r>
      <w:r w:rsidRPr="00C0193A">
        <w:rPr>
          <w:rFonts w:ascii="Nyala" w:hAnsi="Nyala"/>
          <w:sz w:val="32"/>
          <w:szCs w:val="32"/>
        </w:rPr>
        <w:t xml:space="preserve">. Le dialogue avec les preneurs de décision à travers les canaux de concertation existant se poursuit pour plus de financement public en faveur de la nutrition. </w:t>
      </w:r>
    </w:p>
    <w:p w14:paraId="58D65821"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Tous ces processus de valorisation des données existantes ont également permis de formuler les plans d’action quinquennaux de l’I3N et de la PNSN en identifiant les priorités d’action par exemple sur la base de l’information nutritionnelle disponible. </w:t>
      </w:r>
    </w:p>
    <w:p w14:paraId="31FFE1E0" w14:textId="77777777" w:rsidR="008945EC" w:rsidRPr="00C0193A" w:rsidRDefault="008945EC" w:rsidP="008945EC">
      <w:pPr>
        <w:jc w:val="both"/>
        <w:rPr>
          <w:rFonts w:ascii="Nyala" w:hAnsi="Nyala"/>
          <w:sz w:val="32"/>
          <w:szCs w:val="32"/>
        </w:rPr>
      </w:pPr>
      <w:r w:rsidRPr="00C0193A">
        <w:rPr>
          <w:rFonts w:ascii="Nyala" w:hAnsi="Nyala"/>
          <w:sz w:val="32"/>
          <w:szCs w:val="32"/>
        </w:rPr>
        <w:t xml:space="preserve">Je vous remercie de votre attention. </w:t>
      </w:r>
    </w:p>
    <w:p w14:paraId="408919D4" w14:textId="77777777" w:rsidR="008945EC" w:rsidRPr="00C0193A" w:rsidRDefault="008945EC" w:rsidP="008945EC">
      <w:pPr>
        <w:jc w:val="both"/>
        <w:rPr>
          <w:rFonts w:ascii="Nyala" w:hAnsi="Nyala"/>
          <w:sz w:val="32"/>
          <w:szCs w:val="32"/>
        </w:rPr>
      </w:pPr>
    </w:p>
    <w:p w14:paraId="3A0E0842" w14:textId="77777777" w:rsidR="00B57154" w:rsidRDefault="00B57154"/>
    <w:sectPr w:rsidR="00B5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45EC"/>
    <w:rsid w:val="00464ECB"/>
    <w:rsid w:val="00572964"/>
    <w:rsid w:val="0087093E"/>
    <w:rsid w:val="008945EC"/>
    <w:rsid w:val="00B57154"/>
    <w:rsid w:val="00C0193A"/>
    <w:rsid w:val="00FD4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040B"/>
  <w15:docId w15:val="{719605D4-C095-40CF-B40D-F08539D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E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locked/>
    <w:rsid w:val="008945EC"/>
    <w:rPr>
      <w:rFonts w:ascii="Calibri" w:eastAsia="Times New Roman" w:hAnsi="Calibri" w:cs="Times New Roman"/>
      <w:lang w:eastAsia="fr-FR"/>
    </w:rPr>
  </w:style>
  <w:style w:type="paragraph" w:styleId="Sansinterligne">
    <w:name w:val="No Spacing"/>
    <w:link w:val="SansinterligneCar"/>
    <w:uiPriority w:val="1"/>
    <w:qFormat/>
    <w:rsid w:val="008945EC"/>
    <w:pPr>
      <w:spacing w:after="0" w:line="240" w:lineRule="auto"/>
    </w:pPr>
    <w:rPr>
      <w:rFonts w:ascii="Calibri" w:eastAsia="Times New Roman" w:hAnsi="Calibri" w:cs="Times New Roman"/>
      <w:lang w:eastAsia="fr-FR"/>
    </w:rPr>
  </w:style>
  <w:style w:type="paragraph" w:customStyle="1" w:styleId="p1">
    <w:name w:val="p1"/>
    <w:basedOn w:val="Normal"/>
    <w:rsid w:val="008945E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Ag Bendech</dc:creator>
  <cp:keywords/>
  <dc:description/>
  <cp:lastModifiedBy>ABOUBACAR MAHAMADOU</cp:lastModifiedBy>
  <cp:revision>1</cp:revision>
  <dcterms:created xsi:type="dcterms:W3CDTF">2022-10-29T12:17:00Z</dcterms:created>
  <dcterms:modified xsi:type="dcterms:W3CDTF">2022-11-05T10:00:00Z</dcterms:modified>
</cp:coreProperties>
</file>